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C4E002482B4D1889180FD864B603D0"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ДОКЛАД НА КОМИСИЯТА</w:t>
      </w:r>
    </w:p>
    <w:p>
      <w:pPr>
        <w:spacing w:line="240" w:lineRule="auto"/>
        <w:jc w:val="center"/>
        <w:rPr>
          <w:rFonts w:ascii="Times New Roman" w:hAnsi="Times New Roman"/>
          <w:b/>
          <w:noProof/>
          <w:sz w:val="24"/>
          <w:szCs w:val="24"/>
        </w:rPr>
      </w:pPr>
      <w:r>
        <w:rPr>
          <w:rFonts w:ascii="Times New Roman" w:hAnsi="Times New Roman"/>
          <w:b/>
          <w:noProof/>
          <w:sz w:val="24"/>
        </w:rPr>
        <w:t>ЗА РАБОТАТА НА КОМИТЕТИТЕ ПРЕЗ 2015 ГОДИНА</w:t>
      </w:r>
    </w:p>
    <w:p>
      <w:pPr>
        <w:spacing w:line="240" w:lineRule="auto"/>
        <w:jc w:val="center"/>
        <w:rPr>
          <w:rFonts w:ascii="Times New Roman" w:hAnsi="Times New Roman"/>
          <w:b/>
          <w:noProof/>
          <w:sz w:val="24"/>
          <w:szCs w:val="24"/>
        </w:rPr>
      </w:pPr>
    </w:p>
    <w:p>
      <w:pPr>
        <w:spacing w:line="240" w:lineRule="auto"/>
        <w:jc w:val="both"/>
        <w:rPr>
          <w:rFonts w:ascii="Times New Roman" w:hAnsi="Times New Roman"/>
          <w:noProof/>
          <w:sz w:val="24"/>
          <w:szCs w:val="24"/>
        </w:rPr>
      </w:pPr>
      <w:bookmarkStart w:id="2" w:name="_Toc531662363"/>
      <w:bookmarkStart w:id="3" w:name="_Toc530990686"/>
      <w:bookmarkStart w:id="4" w:name="_Toc527972231"/>
      <w:bookmarkStart w:id="5" w:name="_Toc525033196"/>
      <w:bookmarkStart w:id="6" w:name="_Toc525019710"/>
      <w:r>
        <w:rPr>
          <w:rFonts w:ascii="Times New Roman" w:hAnsi="Times New Roman"/>
          <w:noProof/>
          <w:sz w:val="24"/>
        </w:rPr>
        <w:t>Съгласно член 10, параграф 2 от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 относно комитологията“) Комисията представя годишен доклад за работата на комитетите през 2015 г.</w:t>
      </w:r>
    </w:p>
    <w:p>
      <w:pPr>
        <w:spacing w:line="240" w:lineRule="auto"/>
        <w:jc w:val="both"/>
        <w:rPr>
          <w:rFonts w:ascii="Times New Roman" w:hAnsi="Times New Roman"/>
          <w:noProof/>
          <w:sz w:val="24"/>
          <w:szCs w:val="24"/>
        </w:rPr>
      </w:pPr>
      <w:r>
        <w:rPr>
          <w:rFonts w:ascii="Times New Roman" w:hAnsi="Times New Roman"/>
          <w:noProof/>
          <w:sz w:val="24"/>
        </w:rPr>
        <w:t>Докладът съдържа преглед на случилото се в системата на комитологията през 2015 г. и резюме на дейностите на комитетите. Той е придружен от работен документ на службите на Комисията, съдържащ подробна статистика за работата на отделните комитети.</w:t>
      </w:r>
    </w:p>
    <w:p>
      <w:pPr>
        <w:spacing w:line="24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smallCaps/>
          <w:noProof/>
          <w:sz w:val="24"/>
        </w:rPr>
        <w:t>Преглед на случилото се в системата на комитология през 2015 г.</w:t>
      </w:r>
    </w:p>
    <w:p>
      <w:pPr>
        <w:spacing w:line="240" w:lineRule="auto"/>
        <w:jc w:val="both"/>
        <w:rPr>
          <w:rFonts w:ascii="Times New Roman" w:hAnsi="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Общо развитие</w:t>
      </w:r>
    </w:p>
    <w:p>
      <w:pPr>
        <w:spacing w:line="240" w:lineRule="auto"/>
        <w:jc w:val="both"/>
        <w:rPr>
          <w:rFonts w:ascii="Times New Roman" w:hAnsi="Times New Roman"/>
          <w:noProof/>
          <w:sz w:val="24"/>
          <w:szCs w:val="24"/>
        </w:rPr>
      </w:pPr>
      <w:r>
        <w:rPr>
          <w:rFonts w:ascii="Times New Roman" w:hAnsi="Times New Roman"/>
          <w:noProof/>
          <w:sz w:val="24"/>
        </w:rPr>
        <w:t>Комисията направи преглед на първите 5 години от прилагането на Регламент 182/2011 в доклад, приет на 26 февруари 2016 г.</w:t>
      </w:r>
      <w:r>
        <w:rPr>
          <w:rStyle w:val="FootnoteReference"/>
          <w:rFonts w:ascii="Times New Roman" w:hAnsi="Times New Roman"/>
          <w:noProof/>
          <w:sz w:val="24"/>
        </w:rPr>
        <w:footnoteReference w:id="2"/>
      </w:r>
      <w:r>
        <w:rPr>
          <w:rFonts w:ascii="Times New Roman" w:hAnsi="Times New Roman"/>
          <w:noProof/>
          <w:sz w:val="24"/>
        </w:rPr>
        <w:t xml:space="preserve"> В него се достига до заключението, че през последните пет години регламентът е дал възможност за ефективното упражняване на изпълнителните правомощия на Комисията под контрола на държавите членки. Друго заключение засяга факта, че съществуващата рамка позволява ефикасно и конструктивно сътрудничество между Комисията и държавите членки. </w:t>
      </w:r>
    </w:p>
    <w:p>
      <w:pPr>
        <w:spacing w:line="240" w:lineRule="auto"/>
        <w:jc w:val="both"/>
        <w:rPr>
          <w:rFonts w:ascii="Times New Roman" w:hAnsi="Times New Roman"/>
          <w:b/>
          <w:noProof/>
          <w:sz w:val="24"/>
          <w:szCs w:val="24"/>
        </w:rPr>
      </w:pPr>
      <w:r>
        <w:rPr>
          <w:rFonts w:ascii="Times New Roman" w:hAnsi="Times New Roman"/>
          <w:noProof/>
          <w:sz w:val="24"/>
        </w:rPr>
        <w:t>Както бе описано в годишния доклад за 2013 г.</w:t>
      </w:r>
      <w:r>
        <w:rPr>
          <w:rFonts w:ascii="Times New Roman" w:hAnsi="Times New Roman"/>
          <w:noProof/>
          <w:sz w:val="24"/>
          <w:vertAlign w:val="superscript"/>
        </w:rPr>
        <w:footnoteReference w:id="3"/>
      </w:r>
      <w:r>
        <w:rPr>
          <w:rFonts w:ascii="Times New Roman" w:hAnsi="Times New Roman"/>
          <w:noProof/>
          <w:sz w:val="24"/>
        </w:rPr>
        <w:t>, всички процедури по комитология, предвидени в „старото“ Решение относно комитологията</w:t>
      </w:r>
      <w:r>
        <w:rPr>
          <w:rFonts w:ascii="Times New Roman" w:hAnsi="Times New Roman"/>
          <w:noProof/>
          <w:sz w:val="24"/>
          <w:vertAlign w:val="superscript"/>
        </w:rPr>
        <w:footnoteReference w:id="4"/>
      </w:r>
      <w:r>
        <w:rPr>
          <w:rFonts w:ascii="Times New Roman" w:hAnsi="Times New Roman"/>
          <w:noProof/>
          <w:sz w:val="24"/>
        </w:rPr>
        <w:t>, с изключение на процедурата по регулиране с контрол (ПРК), бяха автоматично адаптирани към новите процедури по комитология, предвидени в Регламента относно комитологията (Регламент (ЕС) 182/2011).</w:t>
      </w:r>
    </w:p>
    <w:p>
      <w:pPr>
        <w:spacing w:line="240" w:lineRule="auto"/>
        <w:jc w:val="both"/>
        <w:rPr>
          <w:rFonts w:ascii="Times New Roman" w:hAnsi="Times New Roman"/>
          <w:noProof/>
          <w:sz w:val="24"/>
          <w:szCs w:val="24"/>
        </w:rPr>
      </w:pPr>
      <w:r>
        <w:rPr>
          <w:rFonts w:ascii="Times New Roman" w:hAnsi="Times New Roman"/>
          <w:noProof/>
          <w:sz w:val="24"/>
        </w:rPr>
        <w:t>Следователно през 2015 г. комитетите по комитология функционираха съгласно процедурите, определени в Регламента относно комитологията, а именно по консултиране (член 4) и по разглеждане (член 5), както и съгласно процедура по регулиране с контрол (ПРК), определена в член 5а от Решението относно комитологията.</w:t>
      </w:r>
    </w:p>
    <w:p>
      <w:pPr>
        <w:spacing w:line="240" w:lineRule="auto"/>
        <w:jc w:val="both"/>
        <w:rPr>
          <w:rFonts w:ascii="Times New Roman" w:hAnsi="Times New Roman"/>
          <w:noProof/>
          <w:sz w:val="24"/>
          <w:szCs w:val="24"/>
        </w:rPr>
      </w:pPr>
      <w:r>
        <w:rPr>
          <w:rFonts w:ascii="Times New Roman" w:hAnsi="Times New Roman"/>
          <w:noProof/>
          <w:sz w:val="24"/>
        </w:rPr>
        <w:t>В съответствие с изявлението</w:t>
      </w:r>
      <w:r>
        <w:rPr>
          <w:rFonts w:ascii="Times New Roman" w:hAnsi="Times New Roman"/>
          <w:noProof/>
          <w:sz w:val="24"/>
          <w:vertAlign w:val="superscript"/>
        </w:rPr>
        <w:footnoteReference w:id="5"/>
      </w:r>
      <w:r>
        <w:rPr>
          <w:rFonts w:ascii="Times New Roman" w:hAnsi="Times New Roman"/>
          <w:noProof/>
          <w:sz w:val="24"/>
        </w:rPr>
        <w:t xml:space="preserve">, направено при приемането на Регламента относно комитологията, че всички разпоредби за ПРК в съществуващи основни актове ще бъдат </w:t>
      </w:r>
      <w:r>
        <w:rPr>
          <w:rFonts w:ascii="Times New Roman" w:hAnsi="Times New Roman"/>
          <w:noProof/>
          <w:sz w:val="24"/>
        </w:rPr>
        <w:lastRenderedPageBreak/>
        <w:t>адаптирани към заложените в Договора критерии, след проведен през 2012 г. предварителен скрининг през 2013 г. Комисията прие три предложения</w:t>
      </w:r>
      <w:r>
        <w:rPr>
          <w:rFonts w:ascii="Times New Roman" w:hAnsi="Times New Roman"/>
          <w:noProof/>
          <w:sz w:val="24"/>
          <w:vertAlign w:val="superscript"/>
        </w:rPr>
        <w:footnoteReference w:id="6"/>
      </w:r>
      <w:r>
        <w:rPr>
          <w:rFonts w:ascii="Times New Roman" w:hAnsi="Times New Roman"/>
          <w:noProof/>
          <w:sz w:val="24"/>
        </w:rPr>
        <w:t xml:space="preserve"> за привеждане на общо 200 основни акта в съответствие с членове 290 и 291 от ДФЕС. През ноември 2014 г. в началото на новия си мандат и в рамките на прегледа на внесените законодателните предложения Комисията реши да оттегли тези предложения</w:t>
      </w:r>
      <w:r>
        <w:rPr>
          <w:rStyle w:val="FootnoteReference"/>
          <w:rFonts w:ascii="Times New Roman" w:hAnsi="Times New Roman"/>
          <w:noProof/>
          <w:sz w:val="24"/>
        </w:rPr>
        <w:footnoteReference w:id="7"/>
      </w:r>
      <w:r>
        <w:rPr>
          <w:rFonts w:ascii="Times New Roman" w:hAnsi="Times New Roman"/>
          <w:noProof/>
          <w:sz w:val="24"/>
        </w:rPr>
        <w:t xml:space="preserve"> в очакване на резултата от бъдещите дискусии между институциите в контекста на Междуинституционалното споразумение за по-добро регулиране. Това доведе до ново Споразумение, което бе официално подписано на 13 април 2016 г. и в което се припомня „нуждата да бъде даден пълен приоритет на бързото привеждане в съответствие на всички основни актове, които все още се позовават на процедурата по регулиране с контрол</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В работната си програма за 2017 г.</w:t>
      </w:r>
      <w:r>
        <w:rPr>
          <w:rStyle w:val="FootnoteReference"/>
          <w:rFonts w:ascii="Times New Roman" w:hAnsi="Times New Roman"/>
          <w:noProof/>
          <w:sz w:val="24"/>
        </w:rPr>
        <w:footnoteReference w:id="9"/>
      </w:r>
      <w:r>
        <w:rPr>
          <w:rFonts w:ascii="Times New Roman" w:hAnsi="Times New Roman"/>
          <w:noProof/>
          <w:sz w:val="24"/>
        </w:rPr>
        <w:t xml:space="preserve"> Комисията съответно посочва, че ще „предложи законодателство за привеждане на действащите нормативни актове в съответствие с разпоредбите на Договора относно делегираните актове и актовете за изпълнение, като по този начин бъде постепенно премахната процедурата по регулиране с контрол“ и заявява намерението, че „ще направим оценка на демократичната легитимност на съществуващите процедури за приемане на делегирани актове и актове за изпълнение, както и ще разгледаме възможностите за промяна на съществуващите процедури за приемане на някои вторични законодателни актове.“</w:t>
      </w:r>
    </w:p>
    <w:p>
      <w:pPr>
        <w:spacing w:line="240" w:lineRule="auto"/>
        <w:ind w:left="720"/>
        <w:jc w:val="both"/>
        <w:rPr>
          <w:rFonts w:ascii="Times New Roman" w:hAnsi="Times New Roman"/>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Развитие на съдебната практика</w:t>
      </w:r>
    </w:p>
    <w:p>
      <w:pPr>
        <w:spacing w:line="240" w:lineRule="auto"/>
        <w:jc w:val="both"/>
        <w:rPr>
          <w:rFonts w:ascii="Times New Roman" w:hAnsi="Times New Roman"/>
          <w:noProof/>
          <w:sz w:val="24"/>
          <w:szCs w:val="24"/>
        </w:rPr>
      </w:pPr>
      <w:r>
        <w:rPr>
          <w:rFonts w:ascii="Times New Roman" w:hAnsi="Times New Roman"/>
          <w:noProof/>
          <w:sz w:val="24"/>
        </w:rPr>
        <w:t>С решението си по дело C-88/14, Комисия/Парламент и Съвет („делото за механизма за визова реципрочност“) на 16 юли 2015 г. Съдът отново се занима с въпроса за разграничаването между делегирани актове и актове за изпълнение. С жалбата си по това дело Комисията иска отмяна на преработения механизъм за реципрочност, доколкото тези разпоредби предоставят на Комисията делегирано правомощие по смисъла на член 290, параграф 1 от ДФЕС, а не изпълнително правомощие по смисъла на член 291, параграф 2 от ДФЕС. Комисията счита последното за по-уместно в този случай, предвид конкретните задачи (изменението на дадено приложение след въвеждането на изискване за виза от трета страна). Съдът отхвърля иска на Комисията и посочва, че нито наличието, нито обхватът на дискреционната власт, предоставена на Комисията със законодателен акт, са релевантни при проверката дали актът, който трябва да бъде приет от Комисията, спада към делегираните актове или актовете за изпълнение.</w:t>
      </w:r>
    </w:p>
    <w:p>
      <w:pPr>
        <w:spacing w:line="240" w:lineRule="auto"/>
        <w:jc w:val="both"/>
        <w:rPr>
          <w:rFonts w:ascii="Times New Roman" w:hAnsi="Times New Roman"/>
          <w:noProof/>
          <w:sz w:val="24"/>
          <w:szCs w:val="24"/>
        </w:rPr>
      </w:pPr>
      <w:r>
        <w:rPr>
          <w:rFonts w:ascii="Times New Roman" w:hAnsi="Times New Roman"/>
          <w:noProof/>
          <w:sz w:val="24"/>
        </w:rPr>
        <w:t xml:space="preserve">В решението си по съединени дела T-261/13 и T-86/14, Нидерландия срещу Комисията („Евростат“) от 23 септември 2015 г., Съдът отмени разпоредбите в мерките за изпълнение на Комисията, приети по реда на процедурата по регулиране с контрол. Съдът припомня, че в това отношение правилата за формирането на волята на институциите на Съюза са установени в Договорите и прилагането им не зависи от преценката нито на държавите членки, нито на самите институции. Кралство </w:t>
      </w:r>
      <w:r>
        <w:rPr>
          <w:rFonts w:ascii="Times New Roman" w:hAnsi="Times New Roman"/>
          <w:noProof/>
          <w:sz w:val="24"/>
        </w:rPr>
        <w:lastRenderedPageBreak/>
        <w:t xml:space="preserve">Нидерландия твърди в това дело, че приемането на мерки за изпълнение съгласно Регламент (ЕО) № 2494/95 и на мерки за прилагането на тези мерки за изпълнение изисква прилагането на процедурата по регулиране с контрол, а във въпросните мерки за изпълнение на Комисията се предвижда Евростат да изготвя и актуализира методологически рамки, без да е необходимо да се следва процедурата по регулиране с контрол. Комисията твърди, че методологичните рамки не са били правно обвързващи актове за държавите членки и сами по себе си не представляват мерки за изпълнение по смисъла на Регламент (ЕО) № 2494/95. Съдът реши, че тези рамки са мерки за изпълнение, които трябва да бъдат спазвани, за да се осигури полезното действие на приложимите регламенти и съпоставимостта на хармонизирани индекси на потребителските цени. Като такива спорните разпоредби е следвало да предвиждат прилагането на процедура по регулиране с контрол за приемане на необходимите мерки за изпълнение, както е предвидено в Регламент № 2494/95. </w:t>
      </w:r>
    </w:p>
    <w:p>
      <w:pPr>
        <w:spacing w:line="240" w:lineRule="auto"/>
        <w:jc w:val="both"/>
        <w:rPr>
          <w:rFonts w:ascii="Times New Roman" w:hAnsi="Times New Roman"/>
          <w:b/>
          <w:noProof/>
          <w:sz w:val="24"/>
          <w:szCs w:val="24"/>
        </w:rPr>
      </w:pPr>
      <w:r>
        <w:rPr>
          <w:noProof/>
        </w:rPr>
        <w:br w:type="page"/>
      </w:r>
      <w:r>
        <w:rPr>
          <w:rFonts w:ascii="Times New Roman" w:hAnsi="Times New Roman"/>
          <w:b/>
          <w:noProof/>
          <w:sz w:val="24"/>
        </w:rPr>
        <w:lastRenderedPageBreak/>
        <w:t>2.</w:t>
      </w:r>
      <w:r>
        <w:rPr>
          <w:noProof/>
        </w:rPr>
        <w:tab/>
      </w:r>
      <w:r>
        <w:rPr>
          <w:rFonts w:ascii="Times New Roman" w:hAnsi="Times New Roman"/>
          <w:b/>
          <w:smallCaps/>
          <w:noProof/>
          <w:sz w:val="24"/>
        </w:rPr>
        <w:t>Преглед на дейностите</w:t>
      </w:r>
    </w:p>
    <w:p>
      <w:pPr>
        <w:spacing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Брой на комитетите и на заседанията</w:t>
      </w:r>
    </w:p>
    <w:p>
      <w:pPr>
        <w:spacing w:line="240" w:lineRule="auto"/>
        <w:jc w:val="both"/>
        <w:rPr>
          <w:rFonts w:ascii="Times New Roman" w:hAnsi="Times New Roman"/>
          <w:noProof/>
          <w:spacing w:val="-2"/>
          <w:sz w:val="24"/>
          <w:szCs w:val="24"/>
        </w:rPr>
      </w:pPr>
      <w:r>
        <w:rPr>
          <w:rFonts w:ascii="Times New Roman" w:hAnsi="Times New Roman"/>
          <w:noProof/>
          <w:spacing w:val="-2"/>
          <w:sz w:val="24"/>
        </w:rPr>
        <w:t>Важно е да се прави разлика между комитетите в рамките на процедурата по комитология, от една страна, и други структури, по-специално „експертните групи“, създадени от самата Комисия, от друга страна. Тези групи предоставят експертни познания на Комисията</w:t>
      </w:r>
      <w:r>
        <w:rPr>
          <w:rFonts w:ascii="Times New Roman" w:hAnsi="Times New Roman"/>
          <w:noProof/>
          <w:spacing w:val="-2"/>
          <w:sz w:val="24"/>
          <w:vertAlign w:val="superscript"/>
        </w:rPr>
        <w:footnoteReference w:id="10"/>
      </w:r>
      <w:r>
        <w:rPr>
          <w:rFonts w:ascii="Times New Roman" w:hAnsi="Times New Roman"/>
          <w:noProof/>
          <w:spacing w:val="-2"/>
          <w:sz w:val="24"/>
        </w:rPr>
        <w:t xml:space="preserve"> при изготвянето и изпълнението на политиките, както и на делегираните актове, докато комитетите в рамките на процедурата по комитология подпомагат Комисията при упражняването на изпълнителните правомощия, които са ѝ предоставени с основни правни актове. Настоящият доклад е посветен изключително на комитетите в рамките на процедурата по комитология. </w:t>
      </w:r>
      <w:r>
        <w:rPr>
          <w:rFonts w:ascii="Times New Roman" w:hAnsi="Times New Roman"/>
          <w:noProof/>
          <w:spacing w:val="-2"/>
          <w:sz w:val="24"/>
          <w:u w:val="single"/>
        </w:rPr>
        <w:t>Броят на действащите комитети по комитология</w:t>
      </w:r>
      <w:r>
        <w:rPr>
          <w:rFonts w:ascii="Times New Roman" w:hAnsi="Times New Roman"/>
          <w:noProof/>
          <w:spacing w:val="-2"/>
          <w:sz w:val="24"/>
        </w:rPr>
        <w:t xml:space="preserve"> в периода 1 януари—31 декември 2015 г. бе изчислен по сектор на дейност (вж. </w:t>
      </w:r>
      <w:r>
        <w:rPr>
          <w:rFonts w:ascii="Times New Roman" w:hAnsi="Times New Roman"/>
          <w:noProof/>
          <w:spacing w:val="-2"/>
          <w:sz w:val="24"/>
          <w:u w:val="single"/>
        </w:rPr>
        <w:t>таблица I</w:t>
      </w:r>
      <w:r>
        <w:rPr>
          <w:rFonts w:ascii="Times New Roman" w:hAnsi="Times New Roman"/>
          <w:noProof/>
          <w:spacing w:val="-2"/>
          <w:sz w:val="24"/>
        </w:rPr>
        <w:t>). С цел да се даде възможност за сравнение са дадени и данните за предходната година (към 31 декември 2014 г.). Подразделенията и конфигурациите не са отчетени отделно, тъй като принадлежат към даден основен комитет.</w:t>
      </w:r>
    </w:p>
    <w:p>
      <w:pPr>
        <w:spacing w:line="240" w:lineRule="auto"/>
        <w:rPr>
          <w:rFonts w:ascii="Times New Roman" w:hAnsi="Times New Roman"/>
          <w:b/>
          <w:noProof/>
          <w:sz w:val="24"/>
          <w:szCs w:val="24"/>
          <w:u w:val="single"/>
        </w:rPr>
      </w:pPr>
      <w:r>
        <w:rPr>
          <w:rFonts w:ascii="Times New Roman" w:hAnsi="Times New Roman"/>
          <w:b/>
          <w:noProof/>
          <w:sz w:val="24"/>
          <w:u w:val="single"/>
        </w:rPr>
        <w:t xml:space="preserve">ТАБЛИЦА I — </w:t>
      </w:r>
      <w:r>
        <w:rPr>
          <w:rFonts w:ascii="Times New Roman" w:hAnsi="Times New Roman"/>
          <w:b/>
          <w:smallCaps/>
          <w:noProof/>
          <w:sz w:val="24"/>
          <w:u w:val="single"/>
        </w:rPr>
        <w:t>Общ брой на комитетите</w:t>
      </w:r>
    </w:p>
    <w:tbl>
      <w:tblPr>
        <w:tblW w:w="5000" w:type="pct"/>
        <w:tblLook w:val="0000" w:firstRow="0" w:lastRow="0" w:firstColumn="0" w:lastColumn="0" w:noHBand="0" w:noVBand="0"/>
      </w:tblPr>
      <w:tblGrid>
        <w:gridCol w:w="7029"/>
        <w:gridCol w:w="1125"/>
        <w:gridCol w:w="1134"/>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Сектор на политиката</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 (Земеделие и развитие на селските райони)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 (Бюджет)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 (Действия по климата)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   (Съобщителни мрежи, съдържание и технологии)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   (Международно сътрудничество и развитие)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 (Информатика)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 (Образование и култура)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 (Икономически и финансови въпроси)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 (Хуманитарна помощ и гражданска защита)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 (Трудова заетост, социални въпроси и приобщаване)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 (Енергетика)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 (Околна среда)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 (Евростат)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 (Финансова стабилност, финансови услуги и съюз на капиталовите пазари)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   (Служба за инструментите в областта на външната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 xml:space="preserve">GROW (Вътрешен пазар, промишленост, предприемачество и МСП) </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   (Миграция и вътрешни работи)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   (Правосъдие и потребители)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MARE   (Морско дело и рибарство)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   (Мобилност и транспорт)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   (Политика за съседство и преговори за разширяване)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 (Европейска служба за борба с измамите)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   (Регионална и селищна политика)</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   (Научни изследвания и иновации)</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   (Здравеопазване и безопасност на храните)</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   (Генерален секретариат)</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   (Данъчно облагане и митнически съюз)</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 (Търговия)</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i/>
          <w:noProof/>
          <w:sz w:val="18"/>
          <w:szCs w:val="18"/>
        </w:rPr>
      </w:pPr>
      <w:r>
        <w:rPr>
          <w:rFonts w:ascii="Times New Roman" w:hAnsi="Times New Roman"/>
          <w:noProof/>
          <w:sz w:val="18"/>
        </w:rPr>
        <w:t>*</w:t>
      </w:r>
      <w:r>
        <w:rPr>
          <w:rFonts w:ascii="Times New Roman" w:hAnsi="Times New Roman"/>
          <w:i/>
          <w:noProof/>
          <w:sz w:val="18"/>
        </w:rPr>
        <w:t xml:space="preserve"> Включително апелативния комитет (за нуждите на регистъра на комитологията апелативният комитет е регистриран като комитет, за който отговорната служба е Генералният секретариат; на практика той се управлява от всички засегнати служби).</w:t>
      </w:r>
    </w:p>
    <w:p>
      <w:pPr>
        <w:spacing w:line="240" w:lineRule="auto"/>
        <w:jc w:val="both"/>
        <w:rPr>
          <w:rFonts w:ascii="Times New Roman" w:hAnsi="Times New Roman"/>
          <w:noProof/>
          <w:sz w:val="24"/>
          <w:szCs w:val="24"/>
        </w:rPr>
      </w:pPr>
      <w:r>
        <w:rPr>
          <w:rFonts w:ascii="Times New Roman" w:hAnsi="Times New Roman"/>
          <w:noProof/>
          <w:sz w:val="24"/>
        </w:rPr>
        <w:t>През 2015 г. комитетите по комитология можеха като цяло да се класифицират според вида на процедурата, по реда на която осъществяват дейността си (процедура по консултиране, процедура по разглеждане, процедура по регулиране с контрол — вж. таблица II). Някои комитети, които прилагаха повече от една процедура, бяха отделени от комитетите, извършващи дейност съгласно една-единствена процедура.</w:t>
      </w:r>
    </w:p>
    <w:p>
      <w:pPr>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u w:val="single"/>
        </w:rPr>
        <w:t xml:space="preserve">ТАБЛИЦА II — </w:t>
      </w:r>
      <w:r>
        <w:rPr>
          <w:rFonts w:ascii="Times New Roman" w:hAnsi="Times New Roman"/>
          <w:b/>
          <w:smallCaps/>
          <w:noProof/>
          <w:sz w:val="24"/>
          <w:u w:val="single"/>
        </w:rPr>
        <w:t>Брой на комитетите по процедури (2015 г.)</w:t>
      </w:r>
      <w:bookmarkEnd w:id="7"/>
    </w:p>
    <w:tbl>
      <w:tblPr>
        <w:tblW w:w="5000" w:type="pct"/>
        <w:tblLook w:val="0000" w:firstRow="0" w:lastRow="0" w:firstColumn="0" w:lastColumn="0" w:noHBand="0" w:noVBand="0"/>
      </w:tblPr>
      <w:tblGrid>
        <w:gridCol w:w="1101"/>
        <w:gridCol w:w="1634"/>
        <w:gridCol w:w="1637"/>
        <w:gridCol w:w="1637"/>
        <w:gridCol w:w="1642"/>
        <w:gridCol w:w="1637"/>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Вид на процедурата</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Консултиране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Разглеждане</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Регулиране с контрол</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Работи, следвайки няколко процедури</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ОБЩО:</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3</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98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137</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r>
    </w:tbl>
    <w:p>
      <w:pPr>
        <w:spacing w:line="240" w:lineRule="auto"/>
        <w:jc w:val="both"/>
        <w:rPr>
          <w:rFonts w:ascii="Times New Roman" w:hAnsi="Times New Roman"/>
          <w:noProof/>
          <w:sz w:val="18"/>
          <w:szCs w:val="18"/>
        </w:rPr>
      </w:pPr>
      <w:r>
        <w:rPr>
          <w:rFonts w:ascii="Times New Roman" w:hAnsi="Times New Roman"/>
          <w:i/>
          <w:noProof/>
          <w:sz w:val="18"/>
        </w:rPr>
        <w:t>* Включително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 xml:space="preserve">Броят на комитетите не е единственият показател за дейността на равнище комитология. </w:t>
      </w:r>
      <w:r>
        <w:rPr>
          <w:rFonts w:ascii="Times New Roman" w:hAnsi="Times New Roman"/>
          <w:i/>
          <w:noProof/>
          <w:sz w:val="24"/>
        </w:rPr>
        <w:t>Броят на заседанията</w:t>
      </w:r>
      <w:r>
        <w:rPr>
          <w:rFonts w:ascii="Times New Roman" w:hAnsi="Times New Roman"/>
          <w:noProof/>
          <w:sz w:val="24"/>
        </w:rPr>
        <w:t xml:space="preserve">, които са били проведени, както и </w:t>
      </w:r>
      <w:r>
        <w:rPr>
          <w:rFonts w:ascii="Times New Roman" w:hAnsi="Times New Roman"/>
          <w:i/>
          <w:noProof/>
          <w:sz w:val="24"/>
        </w:rPr>
        <w:t>броят на писмените процедури</w:t>
      </w:r>
      <w:r>
        <w:rPr>
          <w:rFonts w:ascii="Times New Roman" w:hAnsi="Times New Roman"/>
          <w:i/>
          <w:noProof/>
          <w:sz w:val="24"/>
          <w:vertAlign w:val="superscript"/>
        </w:rPr>
        <w:footnoteReference w:id="11"/>
      </w:r>
      <w:r>
        <w:rPr>
          <w:rFonts w:ascii="Times New Roman" w:hAnsi="Times New Roman"/>
          <w:noProof/>
          <w:sz w:val="24"/>
        </w:rPr>
        <w:t>, използвани през 2015 г., също отразяват интензивността на работата като цяло, както на секторно равнище, така и в отделните комитети (таблица III).</w:t>
      </w:r>
    </w:p>
    <w:p>
      <w:pPr>
        <w:rPr>
          <w:rFonts w:ascii="Times New Roman" w:hAnsi="Times New Roman"/>
          <w:b/>
          <w:noProof/>
          <w:sz w:val="24"/>
          <w:szCs w:val="24"/>
          <w:u w:val="single"/>
        </w:rPr>
      </w:pPr>
      <w:r>
        <w:rPr>
          <w:rFonts w:ascii="Times New Roman" w:hAnsi="Times New Roman"/>
          <w:b/>
          <w:noProof/>
          <w:sz w:val="24"/>
          <w:u w:val="single"/>
        </w:rPr>
        <w:t xml:space="preserve">ТАБЛИЦА III — </w:t>
      </w:r>
      <w:r>
        <w:rPr>
          <w:rFonts w:ascii="Times New Roman" w:hAnsi="Times New Roman"/>
          <w:b/>
          <w:smallCaps/>
          <w:noProof/>
          <w:sz w:val="24"/>
          <w:u w:val="single"/>
        </w:rPr>
        <w:t>Брой на заседанията и на писмените процедури</w:t>
      </w:r>
    </w:p>
    <w:tbl>
      <w:tblPr>
        <w:tblW w:w="5000" w:type="pct"/>
        <w:tblLook w:val="0000" w:firstRow="0" w:lastRow="0" w:firstColumn="0" w:lastColumn="0" w:noHBand="0" w:noVBand="0"/>
      </w:tblPr>
      <w:tblGrid>
        <w:gridCol w:w="1598"/>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 xml:space="preserve">Брой на комитетите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Заседания</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Писмени процедури</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506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437</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89</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25</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280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773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719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893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868</w:t>
            </w:r>
          </w:p>
        </w:tc>
      </w:tr>
    </w:tbl>
    <w:p>
      <w:pPr>
        <w:spacing w:line="240" w:lineRule="auto"/>
        <w:jc w:val="both"/>
        <w:rPr>
          <w:rFonts w:ascii="Times New Roman" w:hAnsi="Times New Roman"/>
          <w:i/>
          <w:noProof/>
          <w:sz w:val="18"/>
          <w:szCs w:val="18"/>
        </w:rPr>
      </w:pPr>
      <w:r>
        <w:rPr>
          <w:rFonts w:ascii="Times New Roman" w:hAnsi="Times New Roman"/>
          <w:i/>
          <w:noProof/>
          <w:sz w:val="18"/>
        </w:rPr>
        <w:t>* Включително 4 заседания на апелативния комитет.</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Брой на становищата и на актовете/мерките за изпълнение</w:t>
      </w:r>
    </w:p>
    <w:p>
      <w:pPr>
        <w:spacing w:line="240" w:lineRule="auto"/>
        <w:jc w:val="both"/>
        <w:rPr>
          <w:rFonts w:ascii="Times New Roman" w:hAnsi="Times New Roman"/>
          <w:noProof/>
          <w:sz w:val="24"/>
          <w:szCs w:val="24"/>
        </w:rPr>
      </w:pPr>
      <w:r>
        <w:rPr>
          <w:rFonts w:ascii="Times New Roman" w:hAnsi="Times New Roman"/>
          <w:noProof/>
          <w:sz w:val="24"/>
        </w:rPr>
        <w:t xml:space="preserve">Както винаги, в настоящия доклад се посочва общият брой на официалните </w:t>
      </w:r>
      <w:r>
        <w:rPr>
          <w:rFonts w:ascii="Times New Roman" w:hAnsi="Times New Roman"/>
          <w:i/>
          <w:noProof/>
          <w:sz w:val="24"/>
        </w:rPr>
        <w:t>становища</w:t>
      </w:r>
      <w:r>
        <w:rPr>
          <w:rFonts w:ascii="Times New Roman" w:hAnsi="Times New Roman"/>
          <w:noProof/>
          <w:sz w:val="24"/>
        </w:rPr>
        <w:t xml:space="preserve">, дадени от комитетите, и на последвалите </w:t>
      </w:r>
      <w:r>
        <w:rPr>
          <w:rFonts w:ascii="Times New Roman" w:hAnsi="Times New Roman"/>
          <w:i/>
          <w:noProof/>
          <w:sz w:val="24"/>
        </w:rPr>
        <w:t>актове/мерки за изпълнение</w:t>
      </w:r>
      <w:r>
        <w:rPr>
          <w:rFonts w:ascii="Times New Roman" w:hAnsi="Times New Roman"/>
          <w:noProof/>
          <w:sz w:val="24"/>
        </w:rPr>
        <w:t>, приети от Комисията</w:t>
      </w:r>
      <w:r>
        <w:rPr>
          <w:rFonts w:ascii="Times New Roman" w:hAnsi="Times New Roman"/>
          <w:noProof/>
          <w:sz w:val="24"/>
          <w:vertAlign w:val="superscript"/>
        </w:rPr>
        <w:footnoteReference w:id="12"/>
      </w:r>
      <w:r>
        <w:rPr>
          <w:rFonts w:ascii="Times New Roman" w:hAnsi="Times New Roman"/>
          <w:noProof/>
          <w:sz w:val="24"/>
        </w:rPr>
        <w:t xml:space="preserve">. Чрез тези данни се измерват количествено осезаемите „резултати“ от работата на комитетите (вж. </w:t>
      </w:r>
      <w:r>
        <w:rPr>
          <w:rFonts w:ascii="Times New Roman" w:hAnsi="Times New Roman"/>
          <w:noProof/>
          <w:sz w:val="24"/>
          <w:u w:val="single"/>
        </w:rPr>
        <w:t>таблица IV</w:t>
      </w:r>
      <w:r>
        <w:rPr>
          <w:rFonts w:ascii="Times New Roman" w:hAnsi="Times New Roman"/>
          <w:noProof/>
          <w:sz w:val="24"/>
        </w:rPr>
        <w:t>). От общия брой на проектите на актове за изпълнение, изпратени до комитетите през 2015 г., ЕП е приел 3 резолюции</w:t>
      </w:r>
      <w:r>
        <w:rPr>
          <w:rStyle w:val="FootnoteReference"/>
          <w:rFonts w:ascii="Times New Roman" w:hAnsi="Times New Roman"/>
          <w:noProof/>
          <w:sz w:val="24"/>
        </w:rPr>
        <w:footnoteReference w:id="13"/>
      </w:r>
      <w:r>
        <w:rPr>
          <w:rFonts w:ascii="Times New Roman" w:hAnsi="Times New Roman"/>
          <w:noProof/>
          <w:sz w:val="24"/>
        </w:rPr>
        <w:t xml:space="preserve"> въз основа на член 11 от Регламента за комитологията, а Съветът не е приел нито една такава резолюция.</w:t>
      </w:r>
    </w:p>
    <w:p>
      <w:pPr>
        <w:spacing w:line="240" w:lineRule="auto"/>
        <w:rPr>
          <w:rFonts w:ascii="Times New Roman" w:hAnsi="Times New Roman"/>
          <w:b/>
          <w:smallCaps/>
          <w:noProof/>
          <w:spacing w:val="-6"/>
          <w:sz w:val="24"/>
          <w:szCs w:val="24"/>
          <w:u w:val="single"/>
        </w:rPr>
      </w:pPr>
      <w:r>
        <w:rPr>
          <w:rFonts w:ascii="Times New Roman" w:hAnsi="Times New Roman"/>
          <w:b/>
          <w:noProof/>
          <w:spacing w:val="-6"/>
          <w:sz w:val="24"/>
          <w:u w:val="single"/>
        </w:rPr>
        <w:t xml:space="preserve">ТАБЛИЦА IV — </w:t>
      </w:r>
      <w:r>
        <w:rPr>
          <w:rFonts w:ascii="Times New Roman" w:hAnsi="Times New Roman"/>
          <w:b/>
          <w:smallCaps/>
          <w:noProof/>
          <w:spacing w:val="-6"/>
          <w:sz w:val="24"/>
          <w:u w:val="single"/>
        </w:rPr>
        <w:t>Брой на становищата и на приетите актове/мерки за изпълнение</w:t>
      </w:r>
    </w:p>
    <w:tbl>
      <w:tblPr>
        <w:tblW w:w="5000" w:type="pct"/>
        <w:tblLook w:val="0000" w:firstRow="0" w:lastRow="0" w:firstColumn="0" w:lastColumn="0" w:noHBand="0" w:noVBand="0"/>
      </w:tblPr>
      <w:tblGrid>
        <w:gridCol w:w="948"/>
        <w:gridCol w:w="1390"/>
        <w:gridCol w:w="1391"/>
        <w:gridCol w:w="1391"/>
        <w:gridCol w:w="1393"/>
        <w:gridCol w:w="1389"/>
        <w:gridCol w:w="1386"/>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2"/>
          <w:bookmarkEnd w:id="3"/>
          <w:bookmarkEnd w:id="4"/>
          <w:bookmarkEnd w:id="5"/>
          <w:bookmarkEnd w:id="6"/>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Становища</w:t>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 актове</w:t>
            </w:r>
            <w:r>
              <w:rPr>
                <w:rFonts w:ascii="Times New Roman" w:hAnsi="Times New Roman"/>
                <w:b/>
                <w:noProof/>
                <w:color w:val="000000"/>
                <w:sz w:val="18"/>
                <w:szCs w:val="18"/>
              </w:rPr>
              <w:br/>
            </w:r>
            <w:r>
              <w:rPr>
                <w:rFonts w:ascii="Times New Roman" w:hAnsi="Times New Roman"/>
                <w:b/>
                <w:noProof/>
                <w:color w:val="000000"/>
                <w:sz w:val="18"/>
              </w:rPr>
              <w:t>за изпълнение</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2014 г.</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2015 г.</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86</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28</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38</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54</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24</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45</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93</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46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32</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8</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152</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266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150</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736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695</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23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79</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74</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67</w:t>
            </w:r>
          </w:p>
        </w:tc>
        <w:tc>
          <w:tcPr>
            <w:tcW w:w="749"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63</w:t>
            </w:r>
          </w:p>
        </w:tc>
        <w:tc>
          <w:tcPr>
            <w:tcW w:w="75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58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746"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1 889</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1 726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1 563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1 506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165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r>
    </w:tbl>
    <w:p>
      <w:pPr>
        <w:spacing w:line="240" w:lineRule="auto"/>
        <w:jc w:val="both"/>
        <w:rPr>
          <w:rFonts w:ascii="Times New Roman" w:hAnsi="Times New Roman"/>
          <w:i/>
          <w:noProof/>
          <w:sz w:val="18"/>
          <w:szCs w:val="18"/>
        </w:rPr>
      </w:pPr>
      <w:r>
        <w:rPr>
          <w:rFonts w:ascii="Times New Roman" w:hAnsi="Times New Roman"/>
          <w:i/>
          <w:noProof/>
          <w:sz w:val="18"/>
        </w:rPr>
        <w:t>* Включително 10 становища, дадени от апелативния комитет, и 22 приети акта.</w:t>
      </w:r>
    </w:p>
    <w:p>
      <w:pPr>
        <w:spacing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Заседания на апелативния комитет</w:t>
      </w:r>
    </w:p>
    <w:p>
      <w:pPr>
        <w:spacing w:line="240" w:lineRule="auto"/>
        <w:jc w:val="both"/>
        <w:rPr>
          <w:rFonts w:ascii="Times New Roman" w:hAnsi="Times New Roman"/>
          <w:noProof/>
          <w:sz w:val="24"/>
          <w:szCs w:val="24"/>
        </w:rPr>
      </w:pPr>
      <w:r>
        <w:rPr>
          <w:rFonts w:ascii="Times New Roman" w:hAnsi="Times New Roman"/>
          <w:noProof/>
          <w:sz w:val="24"/>
        </w:rPr>
        <w:t>През 2015 г. апелативният комитет е заседавал 4 пъти и е разгледал 11 проекта на актове за изпълнение (в областите на здравеопазването и политиката за потребителите, мобилността и транспорта), за които е бил сезиран от Комисията. Апелативният комитет не е дал становище по 10 случая. Комисията реши да приеме всички тези 10 актове за изпълнение и да оттегли 1 акт.</w:t>
      </w:r>
    </w:p>
    <w:p>
      <w:pPr>
        <w:spacing w:line="240" w:lineRule="auto"/>
        <w:jc w:val="both"/>
        <w:rPr>
          <w:rFonts w:ascii="Times New Roman" w:hAnsi="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Използване на процедурата по регулиране с контрол (ПРК)</w:t>
      </w:r>
    </w:p>
    <w:p>
      <w:pPr>
        <w:spacing w:line="240" w:lineRule="auto"/>
        <w:jc w:val="both"/>
        <w:rPr>
          <w:rFonts w:ascii="Times New Roman" w:hAnsi="Times New Roman"/>
          <w:noProof/>
          <w:spacing w:val="-4"/>
          <w:sz w:val="24"/>
          <w:szCs w:val="24"/>
        </w:rPr>
      </w:pPr>
      <w:r>
        <w:rPr>
          <w:rFonts w:ascii="Times New Roman" w:hAnsi="Times New Roman"/>
          <w:noProof/>
          <w:spacing w:val="-4"/>
          <w:sz w:val="24"/>
        </w:rPr>
        <w:t xml:space="preserve">Както бе посочено в раздел 1, ПРК не беше засегната от реформата в областта на комитологията от 2011 г. Тази процедура не може повече да се използва в ново законодателство, но все още се среща в множество съществуващи основни актове и ще продължи да се прилага по силата на тези актове до привеждането им в съответствие. През 2015 г. съгласно ПРК бяха приети 129 мерки (вж. </w:t>
      </w:r>
      <w:r>
        <w:rPr>
          <w:rFonts w:ascii="Times New Roman" w:hAnsi="Times New Roman"/>
          <w:noProof/>
          <w:spacing w:val="-4"/>
          <w:sz w:val="24"/>
          <w:u w:val="single"/>
        </w:rPr>
        <w:t>таблица V</w:t>
      </w:r>
      <w:r>
        <w:rPr>
          <w:rFonts w:ascii="Times New Roman" w:hAnsi="Times New Roman"/>
          <w:noProof/>
          <w:spacing w:val="-4"/>
          <w:sz w:val="24"/>
        </w:rPr>
        <w:t>). Правото на възражение не е било използвано. За сравнение, през 2014 г. това право е било упражнено веднъж.</w:t>
      </w:r>
    </w:p>
    <w:p>
      <w:pPr>
        <w:spacing w:line="240" w:lineRule="auto"/>
        <w:rPr>
          <w:rFonts w:ascii="Times New Roman" w:hAnsi="Times New Roman"/>
          <w:b/>
          <w:smallCaps/>
          <w:noProof/>
          <w:sz w:val="24"/>
          <w:szCs w:val="24"/>
          <w:u w:val="single"/>
        </w:rPr>
      </w:pPr>
      <w:r>
        <w:rPr>
          <w:rFonts w:ascii="Times New Roman" w:hAnsi="Times New Roman"/>
          <w:b/>
          <w:noProof/>
          <w:sz w:val="24"/>
          <w:u w:val="single"/>
        </w:rPr>
        <w:t xml:space="preserve">ТАБЛИЦА V — </w:t>
      </w:r>
      <w:r>
        <w:rPr>
          <w:rFonts w:ascii="Times New Roman" w:hAnsi="Times New Roman"/>
          <w:b/>
          <w:smallCaps/>
          <w:noProof/>
          <w:sz w:val="24"/>
          <w:u w:val="single"/>
        </w:rPr>
        <w:t>Брой на мерките, приети съгласно процедурата по регулиране с контрол (ПРК) (2015 г.)</w:t>
      </w:r>
    </w:p>
    <w:tbl>
      <w:tblPr>
        <w:tblW w:w="5000" w:type="pct"/>
        <w:tblLook w:val="0000" w:firstRow="0" w:lastRow="0" w:firstColumn="0" w:lastColumn="0" w:noHBand="0" w:noVBand="0"/>
      </w:tblPr>
      <w:tblGrid>
        <w:gridCol w:w="1715"/>
        <w:gridCol w:w="2524"/>
        <w:gridCol w:w="2526"/>
        <w:gridCol w:w="2523"/>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rPr>
            </w:pPr>
            <w:r>
              <w:rPr>
                <w:rFonts w:ascii="Times New Roman" w:hAnsi="Times New Roman"/>
                <w:noProof/>
                <w:color w:val="000000"/>
                <w:sz w:val="18"/>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Приети</w:t>
            </w:r>
            <w:r>
              <w:rPr>
                <w:rFonts w:ascii="Times New Roman" w:hAnsi="Times New Roman"/>
                <w:b/>
                <w:noProof/>
                <w:color w:val="000000"/>
                <w:sz w:val="18"/>
                <w:szCs w:val="18"/>
              </w:rPr>
              <w:br/>
            </w:r>
            <w:r>
              <w:rPr>
                <w:rFonts w:ascii="Times New Roman" w:hAnsi="Times New Roman"/>
                <w:b/>
                <w:noProof/>
                <w:color w:val="000000"/>
                <w:sz w:val="18"/>
              </w:rPr>
              <w:t>мерки съгласно ПРК</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Противопоставяне от страна на ЕП на приемането на проекти на мерки по реда на ПРК</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rPr>
            </w:pPr>
            <w:r>
              <w:rPr>
                <w:rFonts w:ascii="Times New Roman" w:hAnsi="Times New Roman"/>
                <w:b/>
                <w:noProof/>
                <w:color w:val="000000"/>
                <w:sz w:val="18"/>
              </w:rPr>
              <w:t>Противопоставяне от страна на Съвета на приемането на проекти на мерки по реда на ПРК</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17</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rPr>
            </w:pPr>
            <w:r>
              <w:rPr>
                <w:rFonts w:ascii="Times New Roman" w:hAnsi="Times New Roman"/>
                <w:b/>
                <w:noProof/>
                <w:color w:val="000000"/>
                <w:sz w:val="18"/>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62</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rPr>
            </w:pPr>
            <w:r>
              <w:rPr>
                <w:rFonts w:ascii="Times New Roman" w:hAnsi="Times New Roman"/>
                <w:b/>
                <w:noProof/>
                <w:color w:val="000000"/>
                <w:sz w:val="18"/>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rPr>
            </w:pPr>
            <w:r>
              <w:rPr>
                <w:rFonts w:ascii="Times New Roman" w:hAnsi="Times New Roman"/>
                <w:noProof/>
                <w:color w:val="000000"/>
                <w:sz w:val="18"/>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rPr>
            </w:pPr>
            <w:r>
              <w:rPr>
                <w:rFonts w:ascii="Times New Roman" w:hAnsi="Times New Roman"/>
                <w:b/>
                <w:noProof/>
                <w:color w:val="000000"/>
                <w:sz w:val="18"/>
              </w:rPr>
              <w:t>ОБЩО</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129</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rPr>
            </w:pPr>
            <w:r>
              <w:rPr>
                <w:rFonts w:ascii="Times New Roman" w:hAnsi="Times New Roman"/>
                <w:b/>
                <w:noProof/>
                <w:color w:val="000000"/>
                <w:sz w:val="18"/>
              </w:rPr>
              <w:t>0</w:t>
            </w:r>
          </w:p>
        </w:tc>
      </w:tr>
    </w:tbl>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Подробна информация за дейностите на комитетите</w:t>
      </w:r>
    </w:p>
    <w:p>
      <w:pPr>
        <w:spacing w:line="240" w:lineRule="auto"/>
        <w:jc w:val="both"/>
        <w:rPr>
          <w:rFonts w:ascii="Times New Roman" w:hAnsi="Times New Roman"/>
          <w:noProof/>
          <w:sz w:val="24"/>
          <w:szCs w:val="24"/>
        </w:rPr>
      </w:pPr>
      <w:r>
        <w:rPr>
          <w:rFonts w:ascii="Times New Roman" w:hAnsi="Times New Roman"/>
          <w:noProof/>
          <w:sz w:val="24"/>
        </w:rPr>
        <w:t>В работния документ, придружаващ настоящия доклад, е представена подробна информация за работата на отделните комитети през 2015 г., с разбивка въз основа на съответните заинтересовани дирекции на Комисията.</w:t>
      </w:r>
      <w:bookmarkStart w:id="8" w:name="_CopyToNewDocument_"/>
      <w:bookmarkEnd w:id="8"/>
    </w:p>
    <w:p>
      <w:pPr>
        <w:spacing w:line="240" w:lineRule="auto"/>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rPr>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стр.13).</w:t>
      </w:r>
    </w:p>
  </w:footnote>
  <w:footnote w:id="2">
    <w:p>
      <w:pPr>
        <w:pStyle w:val="FootnoteText"/>
      </w:pPr>
      <w:r>
        <w:rPr>
          <w:rStyle w:val="FootnoteReference"/>
        </w:rPr>
        <w:footnoteRef/>
      </w:r>
      <w:r>
        <w:t xml:space="preserve"> </w:t>
      </w:r>
      <w:r>
        <w:tab/>
        <w:t>COM/2016/092 final.</w:t>
      </w:r>
    </w:p>
  </w:footnote>
  <w:footnote w:id="3">
    <w:p>
      <w:pPr>
        <w:pStyle w:val="FootnoteText"/>
      </w:pPr>
      <w:r>
        <w:rPr>
          <w:rStyle w:val="FootnoteReference"/>
        </w:rPr>
        <w:footnoteRef/>
      </w:r>
      <w:r>
        <w:tab/>
        <w:t>Доклад на Комисията за работата на комитетите през 2013 г., COM(2014)572 final.</w:t>
      </w:r>
    </w:p>
  </w:footnote>
  <w:footnote w:id="4">
    <w:p>
      <w:pPr>
        <w:pStyle w:val="FootnoteText"/>
      </w:pPr>
      <w:r>
        <w:rPr>
          <w:rStyle w:val="FootnoteReference"/>
        </w:rPr>
        <w:footnoteRef/>
      </w:r>
      <w:r>
        <w:tab/>
        <w:t>Решение 1999/468/ЕО на Съвета от 28 юни 1999 г. (ОВ L 184, 17.7.1999 г., стр. 23), изменено с Решение 2006/512/ЕО на Съвета (ОВ C 255, 21.10.2006 г., стр. 4).</w:t>
      </w:r>
    </w:p>
  </w:footnote>
  <w:footnote w:id="5">
    <w:p>
      <w:pPr>
        <w:pStyle w:val="FootnoteText"/>
      </w:pPr>
      <w:r>
        <w:rPr>
          <w:rStyle w:val="FootnoteReference"/>
        </w:rPr>
        <w:footnoteRef/>
      </w:r>
      <w:r>
        <w:tab/>
        <w:t>Това изявление беше публикувано в Официален вестник заедно с Регламент (ЕС) № 182/2011 (ОВ L 55, 28.2.2011 г., стр. 19).</w:t>
      </w:r>
    </w:p>
  </w:footnote>
  <w:footnote w:id="6">
    <w:p>
      <w:pPr>
        <w:pStyle w:val="FootnoteText"/>
      </w:pPr>
      <w:r>
        <w:rPr>
          <w:rStyle w:val="FootnoteReference"/>
        </w:rPr>
        <w:footnoteRef/>
      </w:r>
      <w:r>
        <w:tab/>
        <w:t>COM(2013) 451, 452 и 751.</w:t>
      </w:r>
    </w:p>
  </w:footnote>
  <w:footnote w:id="7">
    <w:p>
      <w:pPr>
        <w:pStyle w:val="FootnoteText"/>
      </w:pPr>
      <w:r>
        <w:rPr>
          <w:rStyle w:val="FootnoteReference"/>
        </w:rPr>
        <w:footnoteRef/>
      </w:r>
      <w:r>
        <w:t xml:space="preserve"> </w:t>
      </w:r>
      <w:r>
        <w:tab/>
        <w:t>ОВ C 80, 7.3.2015 г., стр. 17.</w:t>
      </w:r>
    </w:p>
  </w:footnote>
  <w:footnote w:id="8">
    <w:p>
      <w:pPr>
        <w:pStyle w:val="FootnoteText"/>
      </w:pPr>
      <w:r>
        <w:rPr>
          <w:rStyle w:val="FootnoteReference"/>
        </w:rPr>
        <w:footnoteRef/>
      </w:r>
      <w:r>
        <w:t xml:space="preserve"> </w:t>
      </w:r>
      <w:r>
        <w:tab/>
        <w:t>Глава V, точка 27.</w:t>
      </w:r>
    </w:p>
  </w:footnote>
  <w:footnote w:id="9">
    <w:p>
      <w:pPr>
        <w:pStyle w:val="FootnoteText"/>
      </w:pPr>
      <w:r>
        <w:rPr>
          <w:rStyle w:val="FootnoteReference"/>
        </w:rPr>
        <w:footnoteRef/>
      </w:r>
      <w:r>
        <w:t xml:space="preserve"> </w:t>
      </w:r>
      <w:r>
        <w:tab/>
        <w:t>SWD(2016) 400 final</w:t>
      </w:r>
    </w:p>
  </w:footnote>
  <w:footnote w:id="10">
    <w:p>
      <w:pPr>
        <w:pStyle w:val="FootnoteText"/>
      </w:pPr>
      <w:r>
        <w:rPr>
          <w:rStyle w:val="FootnoteReference"/>
        </w:rPr>
        <w:footnoteRef/>
      </w:r>
      <w:r>
        <w:tab/>
        <w:t xml:space="preserve">За повече подробности: </w:t>
      </w:r>
      <w:hyperlink r:id="rId1">
        <w:r>
          <w:rPr>
            <w:rStyle w:val="Hyperlink"/>
          </w:rPr>
          <w:t>http://ec.europa.eu/transparency/regexpert/index.cfm</w:t>
        </w:r>
      </w:hyperlink>
      <w:r>
        <w:t xml:space="preserve"> </w:t>
      </w:r>
    </w:p>
  </w:footnote>
  <w:footnote w:id="11">
    <w:p>
      <w:pPr>
        <w:pStyle w:val="FootnoteText"/>
      </w:pPr>
      <w:r>
        <w:rPr>
          <w:rStyle w:val="FootnoteReference"/>
        </w:rPr>
        <w:footnoteRef/>
      </w:r>
      <w:r>
        <w:tab/>
        <w:t>Гласуването в рамките на комитета може да стане на негово редовно заседание или, в надлежно обосновани случаи, по реда на писмена процедура, в съответствие с член 3, параграф 5 от Регламента относно комитологията.</w:t>
      </w:r>
    </w:p>
  </w:footnote>
  <w:footnote w:id="12">
    <w:p>
      <w:pPr>
        <w:pStyle w:val="FootnoteText"/>
      </w:pPr>
      <w:r>
        <w:rPr>
          <w:rStyle w:val="FootnoteReference"/>
        </w:rPr>
        <w:footnoteRef/>
      </w:r>
      <w:r>
        <w:tab/>
        <w:t>Следва да се отбележи, че е възможно да има несъответствия между броя на становищата и този на актовете/мерките за изпълнение през дадена година. Причините за това са обяснени във въведението на придружаващия доклада работен документ на службите на Комисията.</w:t>
      </w:r>
    </w:p>
  </w:footnote>
  <w:footnote w:id="13">
    <w:p>
      <w:pPr>
        <w:pStyle w:val="FootnoteText"/>
      </w:pPr>
      <w:r>
        <w:rPr>
          <w:rStyle w:val="FootnoteReference"/>
        </w:rPr>
        <w:footnoteRef/>
      </w:r>
      <w:r>
        <w:tab/>
        <w:t>Резолюция относно проекта на регламент за изпълнение на Комисията за приемане на списък на инвазивните чужди видове от значение за Съюза (2015/3010 (RSP); Резолюция относно Решение за изпълнение на Комисията (ЕС) № 2015/2279 за разрешаване на пускането на пазара на продукти, съдържащи, състоящи се или произведени от генетично модифицирана царевица NK603 × T25 (MON-ØØ6Ø3—6 × ACS-ZMØØ3—2) (2015/3006 (RSP); Резолюция относно проекта на решение за изпълнение на Комисията относно издаването на разрешение за използване на Бис (2-етилхексил) фталат (DEHP) съгласно Регламент (ЕО) № 1907/2006 на Европейския парламент и на Съвета (2015/2962 (RSP).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DC4E002482B4D1889180FD864B603D0"/>
    <w:docVar w:name="LW_CROSSREFERENCE" w:val="{SWD(2016) 425 final}"/>
    <w:docVar w:name="LW_DocType" w:val="NORMAL"/>
    <w:docVar w:name="LW_EMISSION" w:val="5.12.2016"/>
    <w:docVar w:name="LW_EMISSION_ISODATE" w:val="2016-12-05"/>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72"/>
    <w:docVar w:name="LW_REF.INTERNE" w:val="&lt;UNUSED&gt;"/>
    <w:docVar w:name="LW_SOUS.TITRE.OBJ.CP" w:val="&lt;UNUSED&gt;"/>
    <w:docVar w:name="LW_SUPERTITRE" w:val="&lt;UNUSED&gt;"/>
    <w:docVar w:name="LW_TITRE.OBJ.CP" w:val="\u1079?\u1072? \u1088?\u1072?\u1073?\u1086?\u1090?\u1072?\u1090?\u1072? \u1085?\u1072? \u1082?\u1086?\u1084?\u1080?\u1090?\u1077?\u1090?\u1080?\u1090?\u1077? \u1087?\u1088?\u1077?\u1079? 2015 \u1075?\u1086?\u1076?\u1080?\u1085?\u1072?"/>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semiHidden="0" w:uiPriority="0" w:unhideWhenUsed="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semiHidden/>
    <w:rPr>
      <w:rFonts w:ascii="Times New Roman" w:eastAsia="Times New Roman" w:hAnsi="Times New Roman"/>
      <w:b/>
      <w:bCs/>
      <w:iCs/>
      <w:sz w:val="24"/>
      <w:szCs w:val="28"/>
      <w:lang w:eastAsia="bg-BG"/>
    </w:rPr>
  </w:style>
  <w:style w:type="character" w:customStyle="1" w:styleId="Heading3Char">
    <w:name w:val="Heading 3 Char"/>
    <w:link w:val="Heading3"/>
    <w:semiHidden/>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semiHidden/>
    <w:rPr>
      <w:rFonts w:ascii="Times New Roman" w:eastAsia="Times New Roman" w:hAnsi="Times New Roman"/>
      <w:lang w:eastAsia="bg-BG"/>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styleId="Revision">
    <w:name w:val="Revision"/>
    <w:uiPriority w:val="99"/>
    <w:semiHidden/>
    <w:rPr>
      <w:rFonts w:ascii="Times New Roman" w:eastAsia="Times New Roman" w:hAnsi="Times New Roman"/>
      <w:sz w:val="24"/>
      <w:szCs w:val="24"/>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29"/>
      </w:numPr>
    </w:p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numPr>
        <w:ilvl w:val="1"/>
        <w:numId w:val="7"/>
      </w:numPr>
    </w:pPr>
  </w:style>
  <w:style w:type="paragraph" w:customStyle="1" w:styleId="ListNumber3Level2">
    <w:name w:val="List Number 3 (Level 2)"/>
    <w:basedOn w:val="Text3"/>
    <w:pPr>
      <w:numPr>
        <w:ilvl w:val="1"/>
        <w:numId w:val="8"/>
      </w:numPr>
    </w:pPr>
  </w:style>
  <w:style w:type="paragraph" w:customStyle="1" w:styleId="ListNumber4Level2">
    <w:name w:val="List Number 4 (Level 2)"/>
    <w:basedOn w:val="Text4"/>
    <w:pPr>
      <w:numPr>
        <w:ilvl w:val="1"/>
        <w:numId w:val="9"/>
      </w:numPr>
    </w:p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numPr>
        <w:ilvl w:val="2"/>
        <w:numId w:val="7"/>
      </w:numPr>
    </w:pPr>
  </w:style>
  <w:style w:type="paragraph" w:customStyle="1" w:styleId="ListNumber3Level3">
    <w:name w:val="List Number 3 (Level 3)"/>
    <w:basedOn w:val="Text3"/>
    <w:pPr>
      <w:numPr>
        <w:ilvl w:val="2"/>
        <w:numId w:val="8"/>
      </w:numPr>
    </w:pPr>
  </w:style>
  <w:style w:type="paragraph" w:customStyle="1" w:styleId="ListNumber4Level3">
    <w:name w:val="List Number 4 (Level 3)"/>
    <w:basedOn w:val="Text4"/>
    <w:pPr>
      <w:numPr>
        <w:ilvl w:val="2"/>
        <w:numId w:val="9"/>
      </w:numPr>
    </w:p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numPr>
        <w:ilvl w:val="3"/>
        <w:numId w:val="7"/>
      </w:numPr>
    </w:pPr>
  </w:style>
  <w:style w:type="paragraph" w:customStyle="1" w:styleId="ListNumber3Level4">
    <w:name w:val="List Number 3 (Level 4)"/>
    <w:basedOn w:val="Text3"/>
    <w:pPr>
      <w:numPr>
        <w:ilvl w:val="3"/>
        <w:numId w:val="8"/>
      </w:numPr>
    </w:pPr>
  </w:style>
  <w:style w:type="paragraph" w:customStyle="1" w:styleId="ListNumber4Level4">
    <w:name w:val="List Number 4 (Level 4)"/>
    <w:basedOn w:val="Text4"/>
    <w:pPr>
      <w:numPr>
        <w:ilvl w:val="3"/>
        <w:numId w:val="9"/>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Strong">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expert/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D42D-DB89-4ACF-99C9-441D2866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2513</Words>
  <Characters>11512</Characters>
  <Application>Microsoft Office Word</Application>
  <DocSecurity>0</DocSecurity>
  <Lines>1046</Lines>
  <Paragraphs>1001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13024</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26</cp:revision>
  <cp:lastPrinted>2016-09-28T15:28:00Z</cp:lastPrinted>
  <dcterms:created xsi:type="dcterms:W3CDTF">2016-11-10T13:34:00Z</dcterms:created>
  <dcterms:modified xsi:type="dcterms:W3CDTF">2016-11-28T13:19:00Z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