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C3AEE287C247CE8114F674D2CEF201" style="width:450.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RAPPORT DE LA COMMISSION</w:t>
      </w:r>
    </w:p>
    <w:p>
      <w:pPr>
        <w:spacing w:line="240" w:lineRule="auto"/>
        <w:jc w:val="center"/>
        <w:rPr>
          <w:rFonts w:ascii="Times New Roman" w:hAnsi="Times New Roman"/>
          <w:b/>
          <w:noProof/>
          <w:sz w:val="24"/>
          <w:szCs w:val="24"/>
        </w:rPr>
      </w:pPr>
      <w:r>
        <w:rPr>
          <w:rFonts w:ascii="Times New Roman" w:hAnsi="Times New Roman"/>
          <w:b/>
          <w:noProof/>
          <w:sz w:val="24"/>
        </w:rPr>
        <w:t>SUR LES TRAVAUX DES COMITÉS EN 2015</w:t>
      </w:r>
    </w:p>
    <w:p>
      <w:pPr>
        <w:spacing w:line="240" w:lineRule="auto"/>
        <w:jc w:val="center"/>
        <w:rPr>
          <w:rFonts w:ascii="Times New Roman" w:hAnsi="Times New Roman"/>
          <w:b/>
          <w:noProof/>
          <w:sz w:val="24"/>
          <w:szCs w:val="24"/>
        </w:rPr>
      </w:pPr>
    </w:p>
    <w:p>
      <w:pPr>
        <w:spacing w:line="240" w:lineRule="auto"/>
        <w:jc w:val="both"/>
        <w:rPr>
          <w:rFonts w:ascii="Times New Roman" w:hAnsi="Times New Roman"/>
          <w:noProof/>
          <w:sz w:val="24"/>
          <w:szCs w:val="24"/>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rPr>
        <w:t>Conformément à l'article 10, paragraphe 2, du règlement (UE) nº 182/2011 établissant les règles et principes généraux relatifs aux modalités de contrôle par les États membres de l’exercice des compétences d’exécution par la Commission</w:t>
      </w:r>
      <w:r>
        <w:rPr>
          <w:rFonts w:ascii="Times New Roman" w:hAnsi="Times New Roman"/>
          <w:noProof/>
          <w:sz w:val="24"/>
          <w:vertAlign w:val="superscript"/>
        </w:rPr>
        <w:footnoteReference w:id="1"/>
      </w:r>
      <w:r>
        <w:rPr>
          <w:rFonts w:ascii="Times New Roman" w:hAnsi="Times New Roman"/>
          <w:noProof/>
          <w:sz w:val="24"/>
        </w:rPr>
        <w:t xml:space="preserve"> (ci-après le «règlement de comitologie»), la Commission présente ci-après le rapport annuel sur les travaux des comités en 2015.</w:t>
      </w:r>
    </w:p>
    <w:p>
      <w:pPr>
        <w:spacing w:line="240" w:lineRule="auto"/>
        <w:jc w:val="both"/>
        <w:rPr>
          <w:rFonts w:ascii="Times New Roman" w:hAnsi="Times New Roman"/>
          <w:noProof/>
          <w:sz w:val="24"/>
          <w:szCs w:val="24"/>
        </w:rPr>
      </w:pPr>
      <w:r>
        <w:rPr>
          <w:rFonts w:ascii="Times New Roman" w:hAnsi="Times New Roman"/>
          <w:noProof/>
          <w:sz w:val="24"/>
        </w:rPr>
        <w:t>Le présent rapport fait un tour d’horizon de l’évolution du système de comitologie en 2015 et présente une synthèse des activités des comités. Il est accompagné d’un document de travail des services de la Commission contenant des statistiques détaillées sur les travaux des différents comités.</w:t>
      </w:r>
    </w:p>
    <w:p>
      <w:pPr>
        <w:spacing w:line="24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smallCaps/>
          <w:noProof/>
          <w:sz w:val="24"/>
        </w:rPr>
        <w:t>Aperçu de l'évolution du système de comitologie en 2015</w:t>
      </w:r>
    </w:p>
    <w:p>
      <w:pPr>
        <w:spacing w:line="240" w:lineRule="auto"/>
        <w:jc w:val="both"/>
        <w:rPr>
          <w:rFonts w:ascii="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Évolution générale</w:t>
      </w:r>
    </w:p>
    <w:p>
      <w:pPr>
        <w:spacing w:line="240" w:lineRule="auto"/>
        <w:jc w:val="both"/>
        <w:rPr>
          <w:rFonts w:ascii="Times New Roman" w:hAnsi="Times New Roman"/>
          <w:noProof/>
          <w:sz w:val="24"/>
          <w:szCs w:val="24"/>
        </w:rPr>
      </w:pPr>
      <w:r>
        <w:rPr>
          <w:rFonts w:ascii="Times New Roman" w:hAnsi="Times New Roman"/>
          <w:noProof/>
          <w:sz w:val="24"/>
        </w:rPr>
        <w:t>La Commission a examiné les cinq premières années de mise en œuvre du règlement (UE) nº 182/2011 dans un rapport adopté le 26 février 2016</w:t>
      </w:r>
      <w:r>
        <w:rPr>
          <w:rStyle w:val="FootnoteReference"/>
          <w:rFonts w:ascii="Times New Roman" w:hAnsi="Times New Roman"/>
          <w:noProof/>
          <w:sz w:val="24"/>
        </w:rPr>
        <w:footnoteReference w:id="2"/>
      </w:r>
      <w:r>
        <w:rPr>
          <w:rFonts w:ascii="Times New Roman" w:hAnsi="Times New Roman"/>
          <w:noProof/>
          <w:sz w:val="24"/>
        </w:rPr>
        <w:t>. Elle est parvenue à la conclusion que le règlement a permis, au cours des cinq dernières années, l’utilisation effective des compétences d’exécution par la Commission sous le contrôle des États membres et que le cadre existant permet une coopération efficiente et constructive entre la Commission et ces derniers.</w:t>
      </w:r>
    </w:p>
    <w:p>
      <w:pPr>
        <w:spacing w:line="240" w:lineRule="auto"/>
        <w:jc w:val="both"/>
        <w:rPr>
          <w:rFonts w:ascii="Times New Roman" w:hAnsi="Times New Roman"/>
          <w:b/>
          <w:noProof/>
          <w:sz w:val="24"/>
          <w:szCs w:val="24"/>
        </w:rPr>
      </w:pPr>
      <w:r>
        <w:rPr>
          <w:rFonts w:ascii="Times New Roman" w:hAnsi="Times New Roman"/>
          <w:noProof/>
          <w:sz w:val="24"/>
        </w:rPr>
        <w:t>Comme décrit dans le rapport annuel de 2013</w:t>
      </w:r>
      <w:r>
        <w:rPr>
          <w:rFonts w:ascii="Times New Roman" w:hAnsi="Times New Roman"/>
          <w:noProof/>
          <w:sz w:val="24"/>
          <w:vertAlign w:val="superscript"/>
        </w:rPr>
        <w:footnoteReference w:id="3"/>
      </w:r>
      <w:r>
        <w:rPr>
          <w:rFonts w:ascii="Times New Roman" w:hAnsi="Times New Roman"/>
          <w:noProof/>
          <w:sz w:val="24"/>
        </w:rPr>
        <w:t>, à l'exception de la procédure de réglementation avec contrôle (PRAC), toutes les procédures de comitologie prévues par l'«ancienne» décision de comitologie</w:t>
      </w:r>
      <w:r>
        <w:rPr>
          <w:rFonts w:ascii="Times New Roman" w:hAnsi="Times New Roman"/>
          <w:noProof/>
          <w:sz w:val="24"/>
          <w:vertAlign w:val="superscript"/>
        </w:rPr>
        <w:footnoteReference w:id="4"/>
      </w:r>
      <w:r>
        <w:rPr>
          <w:rFonts w:ascii="Times New Roman" w:hAnsi="Times New Roman"/>
          <w:noProof/>
          <w:sz w:val="24"/>
        </w:rPr>
        <w:t xml:space="preserve"> ont été automatiquement adaptées de façon à les aligner sur les nouvelles procédures de comitologie prévues par le règlement de comitologie [règlement (UE) nº 182/2011].</w:t>
      </w:r>
    </w:p>
    <w:p>
      <w:pPr>
        <w:spacing w:line="240" w:lineRule="auto"/>
        <w:jc w:val="both"/>
        <w:rPr>
          <w:rFonts w:ascii="Times New Roman" w:hAnsi="Times New Roman"/>
          <w:noProof/>
          <w:sz w:val="24"/>
          <w:szCs w:val="24"/>
        </w:rPr>
      </w:pPr>
      <w:r>
        <w:rPr>
          <w:rFonts w:ascii="Times New Roman" w:hAnsi="Times New Roman"/>
          <w:noProof/>
          <w:sz w:val="24"/>
        </w:rPr>
        <w:t>Par conséquent, en 2015, les comités de comitologie ont travaillé selon les procédures définies dans le règlement de comitologie, c'est-à-dire selon la procédure consultative (article 4) et la procédure d'examen (article 5), ainsi que la procédure de réglementation avec contrôle (PRAC) définie à l'article 5 </w:t>
      </w:r>
      <w:r>
        <w:rPr>
          <w:rFonts w:ascii="Times New Roman" w:hAnsi="Times New Roman"/>
          <w:i/>
          <w:noProof/>
          <w:sz w:val="24"/>
        </w:rPr>
        <w:t>bis</w:t>
      </w:r>
      <w:r>
        <w:rPr>
          <w:rFonts w:ascii="Times New Roman" w:hAnsi="Times New Roman"/>
          <w:noProof/>
          <w:sz w:val="24"/>
        </w:rPr>
        <w:t xml:space="preserve"> de la décision de comitologie.</w:t>
      </w:r>
    </w:p>
    <w:p>
      <w:pPr>
        <w:spacing w:line="240" w:lineRule="auto"/>
        <w:jc w:val="both"/>
        <w:rPr>
          <w:rFonts w:ascii="Times New Roman" w:hAnsi="Times New Roman"/>
          <w:noProof/>
          <w:sz w:val="24"/>
          <w:szCs w:val="24"/>
        </w:rPr>
      </w:pPr>
      <w:r>
        <w:rPr>
          <w:rFonts w:ascii="Times New Roman" w:hAnsi="Times New Roman"/>
          <w:noProof/>
          <w:sz w:val="24"/>
        </w:rPr>
        <w:t>Conformément à la déclaration</w:t>
      </w:r>
      <w:r>
        <w:rPr>
          <w:rFonts w:ascii="Times New Roman" w:hAnsi="Times New Roman"/>
          <w:noProof/>
          <w:sz w:val="24"/>
          <w:vertAlign w:val="superscript"/>
        </w:rPr>
        <w:footnoteReference w:id="5"/>
      </w:r>
      <w:r>
        <w:rPr>
          <w:rFonts w:ascii="Times New Roman" w:hAnsi="Times New Roman"/>
          <w:noProof/>
          <w:sz w:val="24"/>
        </w:rPr>
        <w:t xml:space="preserve"> faite lors de l'adoption du règlement de comitologie selon laquelle elle adapterait toutes les dispositions des actes de base existants relatives à la procédure de réglementation avec contrôle aux critères fixés par le traité, la Commission a adopté, en 2013, au terme d'un examen analytique préliminaire entamé en 2012, trois propositions</w:t>
      </w:r>
      <w:r>
        <w:rPr>
          <w:rFonts w:ascii="Times New Roman" w:hAnsi="Times New Roman"/>
          <w:noProof/>
          <w:sz w:val="24"/>
          <w:vertAlign w:val="superscript"/>
        </w:rPr>
        <w:footnoteReference w:id="6"/>
      </w:r>
      <w:r>
        <w:rPr>
          <w:rFonts w:ascii="Times New Roman" w:hAnsi="Times New Roman"/>
          <w:noProof/>
          <w:sz w:val="24"/>
        </w:rPr>
        <w:t xml:space="preserve"> concernant l'alignement d'un total de 200 actes de base sur les articles 290 et 291 du TFUE. En novembre 2014, la Commission, au début de son nouveau mandat, et dans le cadre de l’examen des propositions législatives en instance, a décidé de retirer ces propositions</w:t>
      </w:r>
      <w:r>
        <w:rPr>
          <w:rStyle w:val="FootnoteReference"/>
          <w:rFonts w:ascii="Times New Roman" w:hAnsi="Times New Roman"/>
          <w:noProof/>
          <w:sz w:val="24"/>
        </w:rPr>
        <w:footnoteReference w:id="7"/>
      </w:r>
      <w:r>
        <w:rPr>
          <w:rFonts w:ascii="Times New Roman" w:hAnsi="Times New Roman"/>
          <w:noProof/>
          <w:sz w:val="24"/>
        </w:rPr>
        <w:t xml:space="preserve"> en attendant l’issue des discussions à venir entre les institutions dans le cadre de l’accord interinstitutionnel «Mieux légiférer». Celles-ci ont abouti à un nouvel accord, signé officiellement le 13 avril 2016, qui rappelle la nécessité «d'accorder un niveau de priorité élevé à l'alignement rapide de tous les actes de base qui se réfèrent encore à la procédure de réglementation avec contrôle»</w:t>
      </w:r>
      <w:r>
        <w:rPr>
          <w:rStyle w:val="FootnoteReference"/>
          <w:rFonts w:ascii="Times New Roman" w:hAnsi="Times New Roman"/>
          <w:noProof/>
          <w:sz w:val="24"/>
        </w:rPr>
        <w:footnoteReference w:id="8"/>
      </w:r>
      <w:r>
        <w:rPr>
          <w:rFonts w:ascii="Times New Roman" w:hAnsi="Times New Roman"/>
          <w:noProof/>
          <w:sz w:val="24"/>
        </w:rPr>
        <w:t>.</w:t>
      </w:r>
    </w:p>
    <w:p>
      <w:pPr>
        <w:spacing w:line="240" w:lineRule="auto"/>
        <w:jc w:val="both"/>
        <w:rPr>
          <w:rFonts w:ascii="Times New Roman" w:hAnsi="Times New Roman"/>
          <w:noProof/>
          <w:sz w:val="24"/>
          <w:szCs w:val="24"/>
        </w:rPr>
      </w:pPr>
      <w:r>
        <w:rPr>
          <w:rFonts w:ascii="Times New Roman" w:hAnsi="Times New Roman"/>
          <w:noProof/>
          <w:sz w:val="24"/>
        </w:rPr>
        <w:t>Dans son programme de travail pour 2017</w:t>
      </w:r>
      <w:r>
        <w:rPr>
          <w:rStyle w:val="FootnoteReference"/>
          <w:rFonts w:ascii="Times New Roman" w:hAnsi="Times New Roman"/>
          <w:noProof/>
          <w:sz w:val="24"/>
        </w:rPr>
        <w:footnoteReference w:id="9"/>
      </w:r>
      <w:r>
        <w:rPr>
          <w:rFonts w:ascii="Times New Roman" w:hAnsi="Times New Roman"/>
          <w:noProof/>
          <w:sz w:val="24"/>
        </w:rPr>
        <w:t>, la Commission annonce donc qu’elle «proposera des dispositions législatives afin d'aligner les actes existants sur les dispositions du traité relatives aux actes délégués et d'exécution, supprimant ainsi progressivement la procédure de réglementation avec contrôle» et qu’elle s’attachera à «évaluer la légitimité démocratique des procédures actuelles d’adoption des actes délégués et d’exécution et examiner[a] les possibilités de modifier les procédures actuelles d’adoption de certains actes dérivés».</w:t>
      </w:r>
    </w:p>
    <w:p>
      <w:pPr>
        <w:spacing w:line="240" w:lineRule="auto"/>
        <w:ind w:left="720"/>
        <w:jc w:val="both"/>
        <w:rPr>
          <w:rFonts w:ascii="Times New Roman" w:hAnsi="Times New Roman"/>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Évolution de la jurisprudence</w:t>
      </w:r>
    </w:p>
    <w:p>
      <w:pPr>
        <w:spacing w:line="240" w:lineRule="auto"/>
        <w:jc w:val="both"/>
        <w:rPr>
          <w:rFonts w:ascii="Times New Roman" w:hAnsi="Times New Roman"/>
          <w:noProof/>
          <w:sz w:val="24"/>
          <w:szCs w:val="24"/>
        </w:rPr>
      </w:pPr>
      <w:r>
        <w:rPr>
          <w:rFonts w:ascii="Times New Roman" w:hAnsi="Times New Roman"/>
          <w:noProof/>
          <w:sz w:val="24"/>
        </w:rPr>
        <w:t>Avec son arrêt du 16 juillet 2015 dans l’affaire C-88/14, Commission/Parlement et Conseil (affaire «Mécanisme de réciprocité en matière de visas»), la Cour de justice s’est à nouveau penchée sur la question de la délimitation entre actes délégués et actes d’exécution. Par sa requête, la Commission européenne demandait l’annulation du mécanisme de réciprocité révisé, en tant que les dispositions en cause lui conféraient un pouvoir délégué au sens de l’article 290, paragraphe 1, du TFUE et non pas un pouvoir d’exécution au sens de l’article 291, paragraphe 2, du TFUE. Elle considérait ce dernier aurait été plus approprié en l'espèce, étant donné les tâches à accomplir (la modification d'une annexe à la suite de l'introduction d'une obligation de visa par un pays tiers). La Cour a rejeté le recours de la Commission et a indiqué que ni l’existence ni l’étendue du pouvoir d’appréciation conféré à la Commission par un acte législatif ne sont pertinentes aux fins de déterminer si l’acte à adopter par la Commission doit être un acte délégué ou un acte d'exécution.</w:t>
      </w:r>
    </w:p>
    <w:p>
      <w:pPr>
        <w:spacing w:line="240" w:lineRule="auto"/>
        <w:jc w:val="both"/>
        <w:rPr>
          <w:rFonts w:ascii="Times New Roman" w:hAnsi="Times New Roman"/>
          <w:noProof/>
          <w:sz w:val="24"/>
          <w:szCs w:val="24"/>
        </w:rPr>
      </w:pPr>
      <w:r>
        <w:rPr>
          <w:rFonts w:ascii="Times New Roman" w:hAnsi="Times New Roman"/>
          <w:noProof/>
          <w:sz w:val="24"/>
        </w:rPr>
        <w:t>Dans son arrêt du 23 septembre 2015 dans les affaires jointes T</w:t>
      </w:r>
      <w:r>
        <w:rPr>
          <w:noProof/>
        </w:rPr>
        <w:noBreakHyphen/>
      </w:r>
      <w:r>
        <w:rPr>
          <w:rFonts w:ascii="Times New Roman" w:hAnsi="Times New Roman"/>
          <w:noProof/>
          <w:sz w:val="24"/>
        </w:rPr>
        <w:t>261/13 et T</w:t>
      </w:r>
      <w:r>
        <w:rPr>
          <w:noProof/>
        </w:rPr>
        <w:noBreakHyphen/>
      </w:r>
      <w:r>
        <w:rPr>
          <w:rFonts w:ascii="Times New Roman" w:hAnsi="Times New Roman"/>
          <w:noProof/>
          <w:sz w:val="24"/>
        </w:rPr>
        <w:t>86/14, Pays-Bas/Commission (affaire «Eurostat»), le Tribunal a annulé des dispositions figurant dans des mesures d'exécution de la Commission adoptées selon la procédure de réglementation avec contrôle. Il a rappelé que les règles relatives à la formation de la volonté des institutions de l’Union sont établies par le traité et ne sont à la disposition ni des États membres ni des institutions elles</w:t>
      </w:r>
      <w:r>
        <w:rPr>
          <w:noProof/>
        </w:rPr>
        <w:noBreakHyphen/>
      </w:r>
      <w:r>
        <w:rPr>
          <w:rFonts w:ascii="Times New Roman" w:hAnsi="Times New Roman"/>
          <w:noProof/>
          <w:sz w:val="24"/>
        </w:rPr>
        <w:t>mêmes. Le Royaume des Pays-Bas avait fait valoir que le règlement (CE) nº 2494/95 imposait la PRAC pour l’adoption de mesures d’application de ce règlement ainsi que pour l’adoption de mesures mettant en œuvre ces mesures d’application, tandis que les mesures d'application de la Commission en question prévoyaient qu’Eurostat définirait les cadres méthodologiques et assurerait leur mise à jour sans obligation de suivre la PRAC. La Commission avançait quant à elle que les cadres méthodologiques n'étaient pas des actes juridiquement contraignants pour les États membres et ne constituaient pas eux-mêmes des mesures d’application au sens du règlement (CE) nº 2494/95. Le Tribunal a estimé que ces cadres méthodologiques constituaient des mesures d’application qui devaient être respectées pour donner aux règlements applicables leur effet utile et assurer la comparabilité des indices des prix à la consommation harmonisés. En tant que telles, les dispositions attaquées auraient dû prévoir l’application de la PRAC pour adopter les mesures d’exécution nécessaires, conformément à ce que prévoit le règlement (CE) nº 2494/95.</w:t>
      </w:r>
    </w:p>
    <w:p>
      <w:pPr>
        <w:spacing w:line="240" w:lineRule="auto"/>
        <w:jc w:val="both"/>
        <w:rPr>
          <w:rFonts w:ascii="Times New Roman" w:hAnsi="Times New Roman"/>
          <w:b/>
          <w:noProof/>
          <w:sz w:val="24"/>
          <w:szCs w:val="24"/>
        </w:rPr>
      </w:pPr>
      <w:r>
        <w:rPr>
          <w:noProof/>
        </w:rPr>
        <w:br w:type="page"/>
      </w:r>
      <w:r>
        <w:rPr>
          <w:rFonts w:ascii="Times New Roman" w:hAnsi="Times New Roman"/>
          <w:b/>
          <w:noProof/>
          <w:sz w:val="24"/>
        </w:rPr>
        <w:t>2.</w:t>
      </w:r>
      <w:r>
        <w:rPr>
          <w:noProof/>
        </w:rPr>
        <w:tab/>
      </w:r>
      <w:r>
        <w:rPr>
          <w:rFonts w:ascii="Times New Roman" w:hAnsi="Times New Roman"/>
          <w:b/>
          <w:smallCaps/>
          <w:noProof/>
          <w:sz w:val="24"/>
        </w:rPr>
        <w:t>Aperçu des activités</w:t>
      </w:r>
    </w:p>
    <w:p>
      <w:pPr>
        <w:spacing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Nombre de comités et de réunions</w:t>
      </w:r>
    </w:p>
    <w:p>
      <w:pPr>
        <w:spacing w:line="240" w:lineRule="auto"/>
        <w:jc w:val="both"/>
        <w:rPr>
          <w:rFonts w:ascii="Times New Roman" w:hAnsi="Times New Roman"/>
          <w:noProof/>
          <w:sz w:val="24"/>
          <w:szCs w:val="24"/>
        </w:rPr>
      </w:pPr>
      <w:r>
        <w:rPr>
          <w:rFonts w:ascii="Times New Roman" w:hAnsi="Times New Roman"/>
          <w:noProof/>
          <w:sz w:val="24"/>
        </w:rPr>
        <w:t>Il importe de distinguer les comités de comitologie des autres entités, en particulier des «groupes d'experts» créés par la Commission elle-même. Ces derniers mettent leurs connaissances spécialisées à la disposition de la Commission</w:t>
      </w:r>
      <w:r>
        <w:rPr>
          <w:rFonts w:ascii="Times New Roman" w:hAnsi="Times New Roman"/>
          <w:noProof/>
          <w:sz w:val="24"/>
          <w:vertAlign w:val="superscript"/>
        </w:rPr>
        <w:footnoteReference w:id="10"/>
      </w:r>
      <w:r>
        <w:rPr>
          <w:rFonts w:ascii="Times New Roman" w:hAnsi="Times New Roman"/>
          <w:noProof/>
          <w:sz w:val="24"/>
        </w:rPr>
        <w:t xml:space="preserve"> pour l'élaboration et la mise en œuvre des politiques ainsi que des actes délégués, tandis que les comités de comitologie assistent la Commission dans l’exercice des compétences d’exécution qui lui ont été conférées par des actes législatifs de base. Le présent rapport porte exclusivement sur les comités de comitologie. Le </w:t>
      </w:r>
      <w:r>
        <w:rPr>
          <w:rFonts w:ascii="Times New Roman" w:hAnsi="Times New Roman"/>
          <w:noProof/>
          <w:sz w:val="24"/>
          <w:u w:val="single"/>
        </w:rPr>
        <w:t>tableau I</w:t>
      </w:r>
      <w:r>
        <w:rPr>
          <w:rFonts w:ascii="Times New Roman" w:hAnsi="Times New Roman"/>
          <w:noProof/>
          <w:sz w:val="24"/>
        </w:rPr>
        <w:t xml:space="preserve"> ci-dessous présente le </w:t>
      </w:r>
      <w:r>
        <w:rPr>
          <w:rFonts w:ascii="Times New Roman" w:hAnsi="Times New Roman"/>
          <w:noProof/>
          <w:sz w:val="24"/>
          <w:u w:val="single"/>
        </w:rPr>
        <w:t>nombre de comités de comitologie actifs</w:t>
      </w:r>
      <w:r>
        <w:rPr>
          <w:rFonts w:ascii="Times New Roman" w:hAnsi="Times New Roman"/>
          <w:noProof/>
          <w:sz w:val="24"/>
        </w:rPr>
        <w:t xml:space="preserve"> par secteur d'activité pour la période comprise entre le 1</w:t>
      </w:r>
      <w:r>
        <w:rPr>
          <w:rFonts w:ascii="Times New Roman" w:hAnsi="Times New Roman"/>
          <w:noProof/>
          <w:sz w:val="24"/>
          <w:vertAlign w:val="superscript"/>
        </w:rPr>
        <w:t>er</w:t>
      </w:r>
      <w:r>
        <w:rPr>
          <w:rFonts w:ascii="Times New Roman" w:hAnsi="Times New Roman"/>
          <w:noProof/>
          <w:sz w:val="24"/>
        </w:rPr>
        <w:t> janvier et le 31 décembre 2015. Les chiffres relatifs à l'année antérieure (au 31 décembre 2014) sont également indiqués à titre de comparaison. Les sections et configurations ne sont pas comptées à part, car elles font partie d'un comité principal.</w:t>
      </w:r>
    </w:p>
    <w:p>
      <w:pPr>
        <w:spacing w:line="240" w:lineRule="auto"/>
        <w:rPr>
          <w:rFonts w:ascii="Times New Roman" w:hAnsi="Times New Roman"/>
          <w:b/>
          <w:noProof/>
          <w:sz w:val="24"/>
          <w:szCs w:val="24"/>
          <w:u w:val="single"/>
        </w:rPr>
      </w:pPr>
      <w:r>
        <w:rPr>
          <w:rFonts w:ascii="Times New Roman" w:hAnsi="Times New Roman"/>
          <w:b/>
          <w:noProof/>
          <w:sz w:val="24"/>
          <w:u w:val="single"/>
        </w:rPr>
        <w:t>TABLEAU I – Nombre total de comités</w:t>
      </w:r>
    </w:p>
    <w:tbl>
      <w:tblPr>
        <w:tblW w:w="5000" w:type="pct"/>
        <w:tblLook w:val="0000" w:firstRow="0" w:lastRow="0" w:firstColumn="0" w:lastColumn="0" w:noHBand="0" w:noVBand="0"/>
      </w:tblPr>
      <w:tblGrid>
        <w:gridCol w:w="6661"/>
        <w:gridCol w:w="1309"/>
        <w:gridCol w:w="1318"/>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Domaine d'action</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(Agriculture et développement rural)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(Budget)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(Action pour le climat)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(Réseaux de communication, contenu et technologies)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   (Coopération internationale et développement)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(Informatique)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(Éducation et culture)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(Affaires économiques et financières)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(Aide humanitaire et protection civile)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(Emploi, affaires sociales et inclusion)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(Énergie)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(Environnement)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(Eurostat)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(Stabilité financière, services financiers et union des marchés des capitaux)</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   (Service des instruments de politique étrangère)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   (Marché intérieur, industrie, entrepreneuriat et PME)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(Migration et affaires intérieures)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(Justice et consommateurs)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(Affaires maritimes et pêche)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(Mobilité et transports)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(Voisinage et négociations d'élargissement)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(Office européen de lutte antifraude)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(Politique régionale et urbaine)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(Recherche et innovation)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(Santé et sécurité alimentaire)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(Secrétariat général)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(Fiscalité et union douanière)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(Commerce)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y compris le comité d’appel (pour les besoins du registre de comitologie, le comité d’appel est pris en compte en tant que comité sous la responsabilité du SG; dans la pratique, il est géré par tous les services concernés).</w:t>
      </w:r>
    </w:p>
    <w:p>
      <w:pPr>
        <w:spacing w:line="240" w:lineRule="auto"/>
        <w:jc w:val="both"/>
        <w:rPr>
          <w:rFonts w:ascii="Times New Roman" w:hAnsi="Times New Roman"/>
          <w:noProof/>
          <w:sz w:val="24"/>
          <w:szCs w:val="24"/>
        </w:rPr>
      </w:pPr>
      <w:r>
        <w:rPr>
          <w:rFonts w:ascii="Times New Roman" w:hAnsi="Times New Roman"/>
          <w:noProof/>
          <w:sz w:val="24"/>
        </w:rPr>
        <w:t>En 2015, les comités de comitologie ont pu généralement être ventilés selon le type de procédure qui régit leur activité (procédure de consultation, procédure d'examen, procédure de réglementation avec contrôle – voir tableau II). Certains comités ayant appliqué des procédures multiples ont été séparés des comités opérant selon une procédure unique.</w:t>
      </w:r>
    </w:p>
    <w:p>
      <w:pPr>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u w:val="single"/>
        </w:rPr>
        <w:t>TABLEAU II – Nombre de comités par type de procédure (2015)</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Type de procédure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Consultation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Réglementation avec contrôle</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Opérant selon plusieurs procédures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137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y compris le comité d’appel.</w:t>
      </w:r>
    </w:p>
    <w:p>
      <w:pPr>
        <w:spacing w:line="240" w:lineRule="auto"/>
        <w:jc w:val="both"/>
        <w:rPr>
          <w:rFonts w:ascii="Times New Roman" w:hAnsi="Times New Roman"/>
          <w:noProof/>
          <w:sz w:val="24"/>
          <w:szCs w:val="24"/>
        </w:rPr>
      </w:pPr>
      <w:r>
        <w:rPr>
          <w:rFonts w:ascii="Times New Roman" w:hAnsi="Times New Roman"/>
          <w:noProof/>
          <w:sz w:val="24"/>
        </w:rPr>
        <w:t xml:space="preserve">Le nombre de comités n'est pas le seul indicateur de l'activité pour la comitologie. Le </w:t>
      </w:r>
      <w:r>
        <w:rPr>
          <w:rFonts w:ascii="Times New Roman" w:hAnsi="Times New Roman"/>
          <w:i/>
          <w:noProof/>
          <w:sz w:val="24"/>
        </w:rPr>
        <w:t>nombre de réunions</w:t>
      </w:r>
      <w:r>
        <w:rPr>
          <w:rFonts w:ascii="Times New Roman" w:hAnsi="Times New Roman"/>
          <w:noProof/>
          <w:sz w:val="24"/>
        </w:rPr>
        <w:t xml:space="preserve"> tenues ainsi que le </w:t>
      </w:r>
      <w:r>
        <w:rPr>
          <w:rFonts w:ascii="Times New Roman" w:hAnsi="Times New Roman"/>
          <w:i/>
          <w:noProof/>
          <w:sz w:val="24"/>
        </w:rPr>
        <w:t>nombre de procédures écrites</w:t>
      </w:r>
      <w:r>
        <w:rPr>
          <w:rFonts w:ascii="Times New Roman" w:hAnsi="Times New Roman"/>
          <w:i/>
          <w:noProof/>
          <w:sz w:val="24"/>
          <w:vertAlign w:val="superscript"/>
        </w:rPr>
        <w:footnoteReference w:id="11"/>
      </w:r>
      <w:r>
        <w:rPr>
          <w:rFonts w:ascii="Times New Roman" w:hAnsi="Times New Roman"/>
          <w:noProof/>
          <w:sz w:val="24"/>
        </w:rPr>
        <w:t xml:space="preserve"> utilisées en 2015 reflètent également l'intensité générale des travaux, à l'échelle des secteurs d'activité et au sein des différents comités (</w:t>
      </w:r>
      <w:r>
        <w:rPr>
          <w:rFonts w:ascii="Times New Roman" w:hAnsi="Times New Roman"/>
          <w:noProof/>
          <w:sz w:val="24"/>
          <w:u w:val="single"/>
        </w:rPr>
        <w:t>tableau III</w:t>
      </w:r>
      <w:r>
        <w:rPr>
          <w:rFonts w:ascii="Times New Roman" w:hAnsi="Times New Roman"/>
          <w:noProof/>
          <w:sz w:val="24"/>
        </w:rPr>
        <w:t>).</w:t>
      </w:r>
    </w:p>
    <w:p>
      <w:pPr>
        <w:rPr>
          <w:rFonts w:ascii="Times New Roman" w:hAnsi="Times New Roman"/>
          <w:b/>
          <w:noProof/>
          <w:sz w:val="24"/>
          <w:szCs w:val="24"/>
          <w:u w:val="single"/>
        </w:rPr>
      </w:pPr>
      <w:r>
        <w:rPr>
          <w:noProof/>
        </w:rPr>
        <w:br w:type="page"/>
      </w:r>
      <w:r>
        <w:rPr>
          <w:rFonts w:ascii="Times New Roman" w:hAnsi="Times New Roman"/>
          <w:b/>
          <w:noProof/>
          <w:sz w:val="24"/>
          <w:u w:val="single"/>
        </w:rPr>
        <w:t>TABLEAU III – Nombre de réunions et de procédures écrites</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Nombre de comités</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Réunions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Procédures écrites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773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893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868</w:t>
            </w:r>
          </w:p>
        </w:tc>
      </w:tr>
    </w:tbl>
    <w:p>
      <w:pPr>
        <w:spacing w:line="240" w:lineRule="auto"/>
        <w:jc w:val="both"/>
        <w:rPr>
          <w:rFonts w:ascii="Times New Roman" w:hAnsi="Times New Roman"/>
          <w:i/>
          <w:noProof/>
          <w:sz w:val="18"/>
          <w:szCs w:val="18"/>
        </w:rPr>
      </w:pPr>
      <w:r>
        <w:rPr>
          <w:rFonts w:ascii="Times New Roman" w:hAnsi="Times New Roman"/>
          <w:i/>
          <w:noProof/>
          <w:sz w:val="18"/>
        </w:rPr>
        <w:t>* y compris 4 réunions du comité d’appel.</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Nombre d'avis et de mesures/d'actes d’exécution</w:t>
      </w:r>
    </w:p>
    <w:p>
      <w:pPr>
        <w:spacing w:line="240" w:lineRule="auto"/>
        <w:jc w:val="both"/>
        <w:rPr>
          <w:rFonts w:ascii="Times New Roman" w:hAnsi="Times New Roman"/>
          <w:noProof/>
          <w:sz w:val="24"/>
          <w:szCs w:val="24"/>
        </w:rPr>
      </w:pPr>
      <w:r>
        <w:rPr>
          <w:rFonts w:ascii="Times New Roman" w:hAnsi="Times New Roman"/>
          <w:noProof/>
          <w:sz w:val="24"/>
        </w:rPr>
        <w:t xml:space="preserve">Comme chaque fois, le présent rapport fournit des chiffres globaux pour les </w:t>
      </w:r>
      <w:r>
        <w:rPr>
          <w:rFonts w:ascii="Times New Roman" w:hAnsi="Times New Roman"/>
          <w:i/>
          <w:noProof/>
          <w:sz w:val="24"/>
        </w:rPr>
        <w:t xml:space="preserve">avis </w:t>
      </w:r>
      <w:r>
        <w:rPr>
          <w:rFonts w:ascii="Times New Roman" w:hAnsi="Times New Roman"/>
          <w:noProof/>
          <w:sz w:val="24"/>
        </w:rPr>
        <w:t xml:space="preserve">formels émis par les comités et les </w:t>
      </w:r>
      <w:r>
        <w:rPr>
          <w:rFonts w:ascii="Times New Roman" w:hAnsi="Times New Roman"/>
          <w:i/>
          <w:noProof/>
          <w:sz w:val="24"/>
        </w:rPr>
        <w:t>mesures/actes d’exécution</w:t>
      </w:r>
      <w:r>
        <w:rPr>
          <w:rFonts w:ascii="Times New Roman" w:hAnsi="Times New Roman"/>
          <w:noProof/>
          <w:sz w:val="24"/>
        </w:rPr>
        <w:t xml:space="preserve"> correspondants adoptés par la Commission</w:t>
      </w:r>
      <w:r>
        <w:rPr>
          <w:rFonts w:ascii="Times New Roman" w:hAnsi="Times New Roman"/>
          <w:noProof/>
          <w:sz w:val="24"/>
          <w:vertAlign w:val="superscript"/>
        </w:rPr>
        <w:footnoteReference w:id="12"/>
      </w:r>
      <w:r>
        <w:rPr>
          <w:rFonts w:ascii="Times New Roman" w:hAnsi="Times New Roman"/>
          <w:noProof/>
          <w:sz w:val="24"/>
        </w:rPr>
        <w:t xml:space="preserve">. Ces chiffres quantifient le travail tangible fourni par les comités (voir le </w:t>
      </w:r>
      <w:r>
        <w:rPr>
          <w:rFonts w:ascii="Times New Roman" w:hAnsi="Times New Roman"/>
          <w:noProof/>
          <w:sz w:val="24"/>
          <w:u w:val="single"/>
        </w:rPr>
        <w:t>tableau IV</w:t>
      </w:r>
      <w:r>
        <w:rPr>
          <w:rFonts w:ascii="Times New Roman" w:hAnsi="Times New Roman"/>
          <w:noProof/>
          <w:sz w:val="24"/>
        </w:rPr>
        <w:t>). Sur l'ensemble des projets d'actes d'exécution présentés aux comités en 2015, le Parlement européen a adopté trois résolutions</w:t>
      </w:r>
      <w:r>
        <w:rPr>
          <w:rStyle w:val="FootnoteReference"/>
          <w:rFonts w:ascii="Times New Roman" w:hAnsi="Times New Roman"/>
          <w:noProof/>
          <w:sz w:val="24"/>
        </w:rPr>
        <w:footnoteReference w:id="13"/>
      </w:r>
      <w:r>
        <w:rPr>
          <w:rFonts w:ascii="Times New Roman" w:hAnsi="Times New Roman"/>
          <w:noProof/>
          <w:sz w:val="24"/>
        </w:rPr>
        <w:t xml:space="preserve"> sur la base de l'article 11 du règlement de comitologie, tandis que le Conseil n'en a adopté aucune.</w:t>
      </w:r>
    </w:p>
    <w:p>
      <w:pPr>
        <w:spacing w:line="240" w:lineRule="auto"/>
        <w:rPr>
          <w:rFonts w:ascii="Times New Roman" w:hAnsi="Times New Roman"/>
          <w:b/>
          <w:smallCaps/>
          <w:noProof/>
          <w:sz w:val="24"/>
          <w:szCs w:val="24"/>
          <w:u w:val="single"/>
        </w:rPr>
      </w:pPr>
      <w:r>
        <w:rPr>
          <w:rFonts w:ascii="Times New Roman" w:hAnsi="Times New Roman"/>
          <w:b/>
          <w:noProof/>
          <w:sz w:val="24"/>
          <w:u w:val="single"/>
        </w:rPr>
        <w:t>TABLEAU IV – Nombre d’avis et de mesures/d'actes d’exécution adoptés</w:t>
      </w:r>
    </w:p>
    <w:tbl>
      <w:tblPr>
        <w:tblW w:w="5000" w:type="pct"/>
        <w:tblLook w:val="0000" w:firstRow="0" w:lastRow="0" w:firstColumn="0" w:lastColumn="0" w:noHBand="0" w:noVBand="0"/>
      </w:tblPr>
      <w:tblGrid>
        <w:gridCol w:w="948"/>
        <w:gridCol w:w="1390"/>
        <w:gridCol w:w="1391"/>
        <w:gridCol w:w="1391"/>
        <w:gridCol w:w="1393"/>
        <w:gridCol w:w="1389"/>
        <w:gridCol w:w="1386"/>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Avis</w:t>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Actes d’exécution adoptés</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 PRAC adoptées</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93</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736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695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1 889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1 726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1 563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1 506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r>
    </w:tbl>
    <w:p>
      <w:pPr>
        <w:spacing w:line="240" w:lineRule="auto"/>
        <w:jc w:val="both"/>
        <w:rPr>
          <w:rFonts w:ascii="Times New Roman" w:hAnsi="Times New Roman"/>
          <w:i/>
          <w:noProof/>
          <w:sz w:val="18"/>
          <w:szCs w:val="18"/>
        </w:rPr>
      </w:pPr>
      <w:r>
        <w:rPr>
          <w:rFonts w:ascii="Times New Roman" w:hAnsi="Times New Roman"/>
          <w:i/>
          <w:noProof/>
          <w:sz w:val="18"/>
        </w:rPr>
        <w:t>* y compris 10 avis émis par le comité d’appel et 22 actes adoptés.</w:t>
      </w:r>
    </w:p>
    <w:p>
      <w:pPr>
        <w:spacing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Réunions du comité d’appel</w:t>
      </w:r>
    </w:p>
    <w:p>
      <w:pPr>
        <w:spacing w:line="240" w:lineRule="auto"/>
        <w:jc w:val="both"/>
        <w:rPr>
          <w:rFonts w:ascii="Times New Roman" w:hAnsi="Times New Roman"/>
          <w:noProof/>
          <w:sz w:val="24"/>
          <w:szCs w:val="24"/>
        </w:rPr>
      </w:pPr>
      <w:r>
        <w:rPr>
          <w:rFonts w:ascii="Times New Roman" w:hAnsi="Times New Roman"/>
          <w:noProof/>
          <w:sz w:val="24"/>
        </w:rPr>
        <w:t>Le comité d'appel s’est réuni quatre fois au cours de l'année 2015 pour examiner au total onze projets d'actes d'exécution (dans les domaines de la politique de la santé et des consommateurs, ainsi que de la mobilité et des transports), qui lui ont été soumis par la Commission. Dans dix cas, il n’a pas émis d’avis. La Commission a décidé d’adopter l’ensemble de ces dix actes d’exécution et de retirer le onzième.</w:t>
      </w:r>
    </w:p>
    <w:p>
      <w:pPr>
        <w:spacing w:line="240" w:lineRule="auto"/>
        <w:jc w:val="both"/>
        <w:rPr>
          <w:rFonts w:ascii="Times New Roman" w:hAnsi="Times New Roman"/>
          <w:b/>
          <w:noProof/>
          <w:sz w:val="24"/>
          <w:szCs w:val="24"/>
        </w:rPr>
      </w:pPr>
      <w:r>
        <w:rPr>
          <w:noProof/>
        </w:rPr>
        <w:br w:type="page"/>
      </w:r>
      <w:r>
        <w:rPr>
          <w:rFonts w:ascii="Times New Roman" w:hAnsi="Times New Roman"/>
          <w:b/>
          <w:noProof/>
          <w:sz w:val="24"/>
        </w:rPr>
        <w:t>2.4</w:t>
      </w:r>
      <w:r>
        <w:rPr>
          <w:noProof/>
        </w:rPr>
        <w:tab/>
      </w:r>
      <w:r>
        <w:rPr>
          <w:rFonts w:ascii="Times New Roman" w:hAnsi="Times New Roman"/>
          <w:b/>
          <w:noProof/>
          <w:sz w:val="24"/>
        </w:rPr>
        <w:t>Recours à la procédure de réglementation avec contrôle (PRAC)</w:t>
      </w:r>
    </w:p>
    <w:p>
      <w:pPr>
        <w:spacing w:line="240" w:lineRule="auto"/>
        <w:jc w:val="both"/>
        <w:rPr>
          <w:rFonts w:ascii="Times New Roman" w:hAnsi="Times New Roman"/>
          <w:noProof/>
          <w:sz w:val="24"/>
          <w:szCs w:val="24"/>
        </w:rPr>
      </w:pPr>
      <w:r>
        <w:rPr>
          <w:rFonts w:ascii="Times New Roman" w:hAnsi="Times New Roman"/>
          <w:noProof/>
          <w:sz w:val="24"/>
        </w:rPr>
        <w:t xml:space="preserve">Comme indiqué à la section 1, la procédure de réglementation avec contrôle n'a pas été concernée par la réforme de la comitologie en 2011. Cette procédure ne peut plus être utilisée dans la nouvelle législation, mais elle apparaît encore dans de nombreux actes de base existants et continuera de s’appliquer en vertu de ces actes jusqu'à ce que ceux-ci soient adaptés. En 2015, 129 mesures ont été adoptées selon la procédure de réglementation avec contrôle (voir </w:t>
      </w:r>
      <w:r>
        <w:rPr>
          <w:rFonts w:ascii="Times New Roman" w:hAnsi="Times New Roman"/>
          <w:noProof/>
          <w:sz w:val="24"/>
          <w:u w:val="single"/>
        </w:rPr>
        <w:t>tableau V</w:t>
      </w:r>
      <w:r>
        <w:rPr>
          <w:rFonts w:ascii="Times New Roman" w:hAnsi="Times New Roman"/>
          <w:noProof/>
          <w:sz w:val="24"/>
        </w:rPr>
        <w:t>). Le droit de veto n'a pas été utilisé. En 2014, à titre de comparaison, le droit de veto avait été utilisé une fois.</w:t>
      </w:r>
    </w:p>
    <w:p>
      <w:pPr>
        <w:spacing w:line="240" w:lineRule="auto"/>
        <w:rPr>
          <w:rFonts w:ascii="Times New Roman" w:hAnsi="Times New Roman"/>
          <w:b/>
          <w:smallCaps/>
          <w:noProof/>
          <w:sz w:val="24"/>
          <w:szCs w:val="24"/>
          <w:u w:val="single"/>
        </w:rPr>
      </w:pPr>
      <w:r>
        <w:rPr>
          <w:rFonts w:ascii="Times New Roman" w:hAnsi="Times New Roman"/>
          <w:b/>
          <w:noProof/>
          <w:sz w:val="24"/>
          <w:u w:val="single"/>
        </w:rPr>
        <w:t>TABLEAU V – Nombre de mesures adoptées selon la procédure de réglementation avec contrôle (PRAC) (2015)</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 PRAC adoptées</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Opposition du PE à l'adoption de projets de mesures PRAC</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Opposition du Conseil à l'adoption de projets de mesures PRAC</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r>
        <w:rPr>
          <w:rFonts w:ascii="Times New Roman" w:hAnsi="Times New Roman"/>
          <w:b/>
          <w:noProof/>
          <w:sz w:val="24"/>
          <w:szCs w:val="24"/>
        </w:rPr>
        <w:br/>
      </w:r>
    </w:p>
    <w:p>
      <w:pPr>
        <w:spacing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Informations détaillées sur les activités des comités</w:t>
      </w:r>
    </w:p>
    <w:p>
      <w:pPr>
        <w:spacing w:line="240" w:lineRule="auto"/>
        <w:jc w:val="both"/>
        <w:rPr>
          <w:rFonts w:ascii="Times New Roman" w:hAnsi="Times New Roman"/>
          <w:noProof/>
          <w:sz w:val="24"/>
          <w:szCs w:val="24"/>
        </w:rPr>
      </w:pPr>
      <w:r>
        <w:rPr>
          <w:rFonts w:ascii="Times New Roman" w:hAnsi="Times New Roman"/>
          <w:noProof/>
          <w:sz w:val="24"/>
        </w:rPr>
        <w:t>Le document de travail qui accompagne le présent rapport fournit des informations détaillées sur les activités de chaque comité en 2015, ventilées en fonction des différentes directions générales concernées.</w:t>
      </w:r>
      <w:bookmarkStart w:id="8" w:name="_CopyToNewDocument_"/>
      <w:bookmarkEnd w:id="8"/>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
    <w:p>
      <w:pPr>
        <w:pStyle w:val="FootnoteText"/>
      </w:pPr>
      <w:r>
        <w:rPr>
          <w:rStyle w:val="FootnoteReference"/>
        </w:rPr>
        <w:footnoteRef/>
      </w:r>
      <w:r>
        <w:t xml:space="preserve"> </w:t>
      </w:r>
      <w:r>
        <w:tab/>
        <w:t>COM(2016) 92 final.</w:t>
      </w:r>
    </w:p>
  </w:footnote>
  <w:footnote w:id="3">
    <w:p>
      <w:pPr>
        <w:pStyle w:val="FootnoteText"/>
      </w:pPr>
      <w:r>
        <w:rPr>
          <w:rStyle w:val="FootnoteReference"/>
        </w:rPr>
        <w:footnoteRef/>
      </w:r>
      <w:r>
        <w:tab/>
        <w:t>Rapport de la Commission sur les travaux des comités en 2013 [COM(2014) 572 final].</w:t>
      </w:r>
    </w:p>
  </w:footnote>
  <w:footnote w:id="4">
    <w:p>
      <w:pPr>
        <w:pStyle w:val="FootnoteText"/>
      </w:pPr>
      <w:r>
        <w:rPr>
          <w:rStyle w:val="FootnoteReference"/>
        </w:rPr>
        <w:footnoteRef/>
      </w:r>
      <w:r>
        <w:tab/>
        <w:t>Décision 1999/468/CE du Conseil du 28 juin 1999 (JO L 184 du 17.7.1999, p. 23), modifiée par la décision 2006/512/CE du Conseil (JO C 255 du 21.10.2006, p. 4).</w:t>
      </w:r>
    </w:p>
  </w:footnote>
  <w:footnote w:id="5">
    <w:p>
      <w:pPr>
        <w:pStyle w:val="FootnoteText"/>
      </w:pPr>
      <w:r>
        <w:rPr>
          <w:rStyle w:val="FootnoteReference"/>
        </w:rPr>
        <w:footnoteRef/>
      </w:r>
      <w:r>
        <w:tab/>
        <w:t>Cette déclaration a été publiée au Journal officiel en même temps que le règlement (UE) nº 182/2011 (JO L 55 du 28.2.2011, p. 19).</w:t>
      </w:r>
    </w:p>
  </w:footnote>
  <w:footnote w:id="6">
    <w:p>
      <w:pPr>
        <w:pStyle w:val="FootnoteText"/>
      </w:pPr>
      <w:r>
        <w:rPr>
          <w:rStyle w:val="FootnoteReference"/>
        </w:rPr>
        <w:footnoteRef/>
      </w:r>
      <w:r>
        <w:tab/>
        <w:t>COM(2013) 451, 452 et 751.</w:t>
      </w:r>
    </w:p>
  </w:footnote>
  <w:footnote w:id="7">
    <w:p>
      <w:pPr>
        <w:pStyle w:val="FootnoteText"/>
      </w:pPr>
      <w:r>
        <w:rPr>
          <w:rStyle w:val="FootnoteReference"/>
        </w:rPr>
        <w:footnoteRef/>
      </w:r>
      <w:r>
        <w:t xml:space="preserve"> </w:t>
      </w:r>
      <w:r>
        <w:tab/>
        <w:t>JO C 80 du 7.3.2015, p. 17.</w:t>
      </w:r>
    </w:p>
  </w:footnote>
  <w:footnote w:id="8">
    <w:p>
      <w:pPr>
        <w:pStyle w:val="FootnoteText"/>
      </w:pPr>
      <w:r>
        <w:rPr>
          <w:rStyle w:val="FootnoteReference"/>
        </w:rPr>
        <w:footnoteRef/>
      </w:r>
      <w:r>
        <w:t xml:space="preserve"> </w:t>
      </w:r>
      <w:r>
        <w:tab/>
        <w:t>Chapitre V, point 27.</w:t>
      </w:r>
    </w:p>
  </w:footnote>
  <w:footnote w:id="9">
    <w:p>
      <w:pPr>
        <w:pStyle w:val="FootnoteText"/>
      </w:pPr>
      <w:r>
        <w:rPr>
          <w:rStyle w:val="FootnoteReference"/>
        </w:rPr>
        <w:footnoteRef/>
      </w:r>
      <w:r>
        <w:t xml:space="preserve"> </w:t>
      </w:r>
      <w:r>
        <w:tab/>
        <w:t>SWD(2016) 400 final.</w:t>
      </w:r>
    </w:p>
  </w:footnote>
  <w:footnote w:id="10">
    <w:p>
      <w:pPr>
        <w:pStyle w:val="FootnoteText"/>
      </w:pPr>
      <w:r>
        <w:rPr>
          <w:rStyle w:val="FootnoteReference"/>
        </w:rPr>
        <w:footnoteRef/>
      </w:r>
      <w:r>
        <w:tab/>
        <w:t xml:space="preserve">Pour de plus amples informations, voir: </w:t>
      </w:r>
      <w:hyperlink r:id="rId1">
        <w:r>
          <w:rPr>
            <w:rStyle w:val="Hyperlink"/>
          </w:rPr>
          <w:t>http://ec.europa.eu/transparency/regexpert/index.cfm?Lang=FR</w:t>
        </w:r>
      </w:hyperlink>
      <w:r>
        <w:t xml:space="preserve"> </w:t>
      </w:r>
    </w:p>
  </w:footnote>
  <w:footnote w:id="11">
    <w:p>
      <w:pPr>
        <w:pStyle w:val="FootnoteText"/>
      </w:pPr>
      <w:r>
        <w:rPr>
          <w:rStyle w:val="FootnoteReference"/>
        </w:rPr>
        <w:footnoteRef/>
      </w:r>
      <w:r>
        <w:tab/>
        <w:t>Le vote du comité peut avoir lieu au cours d’une réunion ordinaire de celui-ci ou, dans des cas dûment justifiés, par procédure écrite, conformément à l'article 3, paragraphe 5, du règlement de comitologie.</w:t>
      </w:r>
    </w:p>
  </w:footnote>
  <w:footnote w:id="12">
    <w:p>
      <w:pPr>
        <w:pStyle w:val="FootnoteText"/>
      </w:pPr>
      <w:r>
        <w:rPr>
          <w:rStyle w:val="FootnoteReference"/>
        </w:rPr>
        <w:footnoteRef/>
      </w:r>
      <w:r>
        <w:tab/>
        <w:t>Il y a lieu de préciser que des écarts sont possibles entre le nombre d’avis et le nombre de mesures/d'actes d’exécution pour une année donnée. L’introduction du document de travail des services de la Commission qui accompagne le rapport en précise les raisons.</w:t>
      </w:r>
    </w:p>
  </w:footnote>
  <w:footnote w:id="13">
    <w:p>
      <w:pPr>
        <w:pStyle w:val="FootnoteText"/>
      </w:pPr>
      <w:r>
        <w:rPr>
          <w:rStyle w:val="FootnoteReference"/>
        </w:rPr>
        <w:footnoteRef/>
      </w:r>
      <w:r>
        <w:tab/>
        <w:t>Résolution sur le projet de règlement d'exécution de la Commission adoptant une liste des espèces exotiques envahissantes préoccupantes pour l'Union [2015/3010(RSP)]; résolution sur la décision d'exécution (UE) 2015/2279 de la Commission autorisant la mise sur le marché de produits contenant du maïs génétiquement modifié NK603 × T25 (MON-ØØ6Ø3-6 × ACS-ZMØØ3-2), consistant en ce maïs ou produits à partir de celui-ci [(2015/3006(RSP)]; résolution sur le projet de décision d'exécution de la Commission accordant une autorisation d'utilisations du bis(2-ethylhexhyl) phthalate (DEHP) en vertu du règlement (CE) nº 1907/2006 du Parlement européen et du Conseil [2015/2962(RSP)].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9C3AEE287C247CE8114F674D2CEF201"/>
    <w:docVar w:name="LW_CROSSREFERENCE" w:val="{SWD(2016) 425 final}"/>
    <w:docVar w:name="LW_DocType" w:val="NORMAL"/>
    <w:docVar w:name="LW_EMISSION" w:val="5.12.2016"/>
    <w:docVar w:name="LW_EMISSION_ISODATE" w:val="2016-12-05"/>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72"/>
    <w:docVar w:name="LW_REF.INTERNE" w:val="&lt;UNUSED&gt;"/>
    <w:docVar w:name="LW_SOUS.TITRE.OBJ.CP" w:val="&lt;UNUSED&gt;"/>
    <w:docVar w:name="LW_SUPERTITRE" w:val="&lt;UNUSED&gt;"/>
    <w:docVar w:name="LW_TITRE.OBJ.CP" w:val="sur les travaux des comités en 2015"/>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semiHidden/>
    <w:rPr>
      <w:rFonts w:ascii="Times New Roman" w:eastAsia="Times New Roman" w:hAnsi="Times New Roman"/>
      <w:b/>
      <w:bCs/>
      <w:iCs/>
      <w:sz w:val="24"/>
      <w:szCs w:val="28"/>
      <w:lang w:eastAsia="fr-FR"/>
    </w:rPr>
  </w:style>
  <w:style w:type="character" w:customStyle="1" w:styleId="Heading3Char">
    <w:name w:val="Heading 3 Char"/>
    <w:link w:val="Heading3"/>
    <w:semiHidden/>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expert/index.cfm?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004C-389A-482E-AE6E-D58C42D2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2604</Words>
  <Characters>11745</Characters>
  <Application>Microsoft Office Word</Application>
  <DocSecurity>0</DocSecurity>
  <Lines>978</Lines>
  <Paragraphs>956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13393</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2016-09-28T15:28:00Z</cp:lastPrinted>
  <dcterms:created xsi:type="dcterms:W3CDTF">2016-11-10T13:34:00Z</dcterms:created>
  <dcterms:modified xsi:type="dcterms:W3CDTF">2016-11-28T13:19:00Z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