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E1CED4487EE4991B154B486BF63AA60" style="width:450.75pt;height:307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СЪОБЩЕНИЕ НА КОМИСИЯТА ДО СЪВЕТА</w:t>
      </w:r>
    </w:p>
    <w:p>
      <w:pPr>
        <w:pStyle w:val="Titreobjet"/>
        <w:rPr>
          <w:noProof/>
        </w:rPr>
      </w:pPr>
      <w:r>
        <w:rPr>
          <w:noProof/>
        </w:rPr>
        <w:t>Европейски фонд за развитие (ЕФР): прогнози за поетите задължения, плащанията и вноските от държавите членки за 2016, 2017, 2018, 2019 и 2020 г.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Предговор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 7, параграф 3 от Вътрешното споразумение за 11-ия ЕФР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член 21, параграф 2 от Регламент (ЕС) 2015/323 на Съвета относно финансовия регламент, приложим за 11-ия Европейски фонд за развитие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 по-долу „Финансовият регламент за 11-ия ЕФР“), Комисията представя в настоящия документ прогнози за поетите задължения, плащанията и вноските за периода 2016—2018 г., като взема предвид прогнозите на Европейската инвестиционна банка (ЕИБ). </w:t>
      </w:r>
    </w:p>
    <w:p>
      <w:pPr>
        <w:pStyle w:val="Text1"/>
        <w:rPr>
          <w:noProof/>
        </w:rPr>
      </w:pPr>
      <w:r>
        <w:rPr>
          <w:noProof/>
        </w:rPr>
        <w:t>В настоящия документ са представени финансовото изпълнение на ЕФР (от 8-ия до 11-ия ЕФР) за 2015 г. и прогнозите за изпълнението от 2016 г. до 2018 г. Освен това в настоящия документ се прави необвързваща прогноза за вноските за ЕФР от държавите членки за 2019 г. и 2020 г.</w:t>
      </w:r>
    </w:p>
    <w:p>
      <w:pPr>
        <w:pStyle w:val="Text1"/>
        <w:rPr>
          <w:noProof/>
        </w:rPr>
      </w:pPr>
      <w:r>
        <w:rPr>
          <w:noProof/>
        </w:rPr>
        <w:t xml:space="preserve">Вноските за инструментите на 9-ия, 10-ия и 11-ия ЕФР, управлявани от Европейската инвестиционна банка (ЕИБ), се внасят директно от държавите членки в ЕИБ (инвестиционния механизъм и лихвените субсидии).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Въведение</w:t>
      </w:r>
    </w:p>
    <w:p>
      <w:pPr>
        <w:pStyle w:val="Text1"/>
        <w:rPr>
          <w:noProof/>
        </w:rPr>
      </w:pPr>
      <w:r>
        <w:rPr>
          <w:noProof/>
        </w:rPr>
        <w:t>Комисията и ЕИБ актуализираха прогнозите си за поетите задължения и за плащанията за 2016 г., 2017 г. и 2018 г. за всяка една от страните от АКТБ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ОСТ</w:t>
      </w:r>
      <w:r>
        <w:rPr>
          <w:rStyle w:val="FootnoteReference"/>
          <w:noProof/>
        </w:rPr>
        <w:footnoteReference w:id="4"/>
      </w:r>
      <w:r>
        <w:rPr>
          <w:noProof/>
        </w:rPr>
        <w:t>. Прогнозите за плащанията по-специално бяха изготвени с цел да се помогне на държавите членки да предвидят възможно най-точно сумите, които трябва да заделят в националните си бюджети, като същевременно се осигури наличността на достатъчно финансови ресурси за ЕФР, за да се избегнат проблеми с ликвидността.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 7 от Вътрешното споразумение за 11-ия ЕФР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член 21, параграф 2 от Финансовия регламент за 11-ия ЕФР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прогнозите, представени в настоящия документ, са актуализирани.</w:t>
      </w:r>
    </w:p>
    <w:p>
      <w:pPr>
        <w:pStyle w:val="Text1"/>
        <w:rPr>
          <w:noProof/>
        </w:rPr>
      </w:pPr>
      <w:r>
        <w:rPr>
          <w:noProof/>
        </w:rPr>
        <w:t>В графиката по-долу е представена общата тенденция на брутните поети задължения и плащания от 1999 г. до 2015 г., като са включени и прогнозите за периода 2016—2018 г. (кумулирани суми за Комисията и ЕИБ).</w:t>
      </w:r>
    </w:p>
    <w:p>
      <w:pPr>
        <w:pStyle w:val="Text1"/>
        <w:ind w:left="0"/>
        <w:rPr>
          <w:noProof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Брутни поети задължения и плащания: тенденция през периода 1999—2018 г. (млн. EUR)</w:t>
      </w:r>
    </w:p>
    <w:p>
      <w:pPr>
        <w:pStyle w:val="Text1"/>
        <w:ind w:left="0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1355" cy="34601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46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1"/>
        <w:ind w:left="0"/>
        <w:rPr>
          <w:noProof/>
        </w:rPr>
      </w:pPr>
      <w:r>
        <w:rPr>
          <w:noProof/>
        </w:rPr>
        <w:t>Забележка: Данни за изпълнението на Европейските фондове за развитие към 31 декември 2015 г. (поети задължения, плащания и финансова ситуация) и прогнози за 2016 г. и 2018 г.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Финансови прогнози за 2016—2018 г.</w:t>
      </w:r>
    </w:p>
    <w:p>
      <w:pPr>
        <w:pStyle w:val="Text1"/>
        <w:rPr>
          <w:noProof/>
        </w:rPr>
      </w:pPr>
      <w:r>
        <w:rPr>
          <w:noProof/>
        </w:rPr>
        <w:t>Таблицата по-долу съдържа актуализация на поетите задължения, плащанията и вноските въз основа на последните прогнози на Комисията.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1900"/>
        <w:gridCol w:w="1900"/>
        <w:gridCol w:w="1580"/>
        <w:gridCol w:w="1580"/>
        <w:gridCol w:w="1580"/>
      </w:tblGrid>
      <w:tr>
        <w:trPr>
          <w:trHeight w:val="24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Прогнози за 2016—2018 г.(*)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2016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2017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2018 г.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Поети задължения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5 325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4 550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905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6 180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5 543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5 455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Плащания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3 752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3 900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4 400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500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4 900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Вноски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3 450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3 850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4 550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250**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3 600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4 000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4 800</w:t>
            </w:r>
          </w:p>
        </w:tc>
      </w:tr>
    </w:tbl>
    <w:p>
      <w:pPr>
        <w:pStyle w:val="Text1"/>
        <w:ind w:left="0"/>
        <w:rPr>
          <w:noProof/>
          <w:sz w:val="20"/>
          <w:szCs w:val="20"/>
        </w:rPr>
      </w:pPr>
      <w:r>
        <w:rPr>
          <w:noProof/>
          <w:sz w:val="20"/>
        </w:rPr>
        <w:t>* Брутни суми, т.е. без да са приспаднати отменените бюджетни кредити или събиранията/възстановяванията. Този подход съответства на използвания за общия бюджет на Съюза.</w:t>
      </w:r>
    </w:p>
    <w:p>
      <w:pPr>
        <w:pStyle w:val="Text1"/>
        <w:ind w:left="0"/>
        <w:rPr>
          <w:noProof/>
          <w:sz w:val="20"/>
          <w:szCs w:val="20"/>
        </w:rPr>
      </w:pPr>
      <w:r>
        <w:rPr>
          <w:noProof/>
          <w:sz w:val="20"/>
        </w:rPr>
        <w:t>** Вж. обяснителната бележка на ЕИБ за информация от 17.11.2015 г., MD no: 151/15 ADD 1 ACP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Необвързваща прогноза за вноските за 2019—2020 г.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1900"/>
        <w:gridCol w:w="1900"/>
        <w:gridCol w:w="1580"/>
        <w:gridCol w:w="1580"/>
      </w:tblGrid>
      <w:tr>
        <w:trPr>
          <w:trHeight w:val="31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</w:tr>
      <w:tr>
        <w:trPr>
          <w:trHeight w:val="31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Прогнози за 2019—2020 г.(*)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2019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2020 г.</w:t>
            </w:r>
          </w:p>
        </w:tc>
      </w:tr>
      <w:tr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Вноски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4 500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300</w:t>
            </w:r>
          </w:p>
        </w:tc>
      </w:tr>
      <w:tr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4 800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</w:rPr>
              <w:t>4 800</w:t>
            </w:r>
          </w:p>
        </w:tc>
      </w:tr>
    </w:tbl>
    <w:p>
      <w:pPr>
        <w:pStyle w:val="Text1"/>
        <w:ind w:left="0"/>
        <w:rPr>
          <w:noProof/>
          <w:sz w:val="20"/>
          <w:szCs w:val="20"/>
        </w:rPr>
      </w:pPr>
      <w:r>
        <w:rPr>
          <w:noProof/>
          <w:sz w:val="20"/>
        </w:rPr>
        <w:t>* Член 21, параграф 2 от Финансовия регламент за 11-ия ЕФР (Регламент (EС) 2015/323): индикативна необвързваща прогноза, базирана на статистически подход, за очаквания годишен размер на вноските за години n + 3 и n + 4.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Прогнози за финансовото изпълнение за 2016 г., 2017 г. и 2018 г.</w:t>
      </w:r>
    </w:p>
    <w:p>
      <w:pPr>
        <w:pStyle w:val="Text1"/>
        <w:rPr>
          <w:noProof/>
        </w:rPr>
      </w:pPr>
      <w:r>
        <w:rPr>
          <w:noProof/>
        </w:rPr>
        <w:t>Актуализираните прогнози са представени в приложения 1—3.</w:t>
      </w:r>
    </w:p>
    <w:p>
      <w:pPr>
        <w:pStyle w:val="Text1"/>
        <w:rPr>
          <w:noProof/>
        </w:rPr>
      </w:pPr>
      <w:r>
        <w:rPr>
          <w:noProof/>
        </w:rPr>
        <w:t xml:space="preserve">Прогнозите за поетите задължения и за плащанията за 2016 г., които бяха посочени в съобщението от юни 2016 г., остават непроменени. Това е още един показател, че използваният понастоящем нов инструмент за прогнозиране предоставя надеждни прогнози. </w:t>
      </w:r>
    </w:p>
    <w:p>
      <w:pPr>
        <w:pStyle w:val="Text1"/>
        <w:rPr>
          <w:noProof/>
        </w:rPr>
      </w:pPr>
      <w:r>
        <w:rPr>
          <w:noProof/>
        </w:rPr>
        <w:t>През 2016 г. се очаква рекорден размер на поетите задължения и на плащанията по ЕФР. Следователно може да се очаква 11-ият ЕФР да бъде изпълнен напълно в края на периода на изпълнение, което свидетелства за капацитета на Комисията за изпълнение на ЕФР.</w:t>
      </w:r>
    </w:p>
    <w:p>
      <w:pPr>
        <w:pStyle w:val="Text1"/>
        <w:rPr>
          <w:noProof/>
        </w:rPr>
      </w:pPr>
      <w:r>
        <w:rPr>
          <w:noProof/>
        </w:rPr>
        <w:t>След постигнатите добри резултати по отношение на плащанията през 2015 г. очакваните рекордни плащания през 2016 г. ще упражнят допълнителен натиск върху вече ограничените парични средства, както е видно от приложение 3 (с отрицателно салдо към края на годината за Комисията).</w:t>
      </w:r>
    </w:p>
    <w:p>
      <w:pPr>
        <w:pStyle w:val="Text1"/>
        <w:rPr>
          <w:noProof/>
        </w:rPr>
      </w:pPr>
      <w:r>
        <w:rPr>
          <w:noProof/>
        </w:rPr>
        <w:t>Сега когато 11-ият ЕФР работи с нормален ритъм, дългосрочните прогнози за плащанията са по-малко нестабилни. Поради това за Комисията е по-лесно да предложи по-изравнени вноски на държавите членки през 2018 г. Това намаляване на разликите в размера на вноските („lissage“) е ключово искане на държавите членки.</w:t>
      </w:r>
    </w:p>
    <w:p>
      <w:pPr>
        <w:pStyle w:val="Text1"/>
        <w:rPr>
          <w:noProof/>
        </w:rPr>
      </w:pPr>
      <w:r>
        <w:rPr>
          <w:noProof/>
        </w:rPr>
        <w:t>Втората покана за вноски през юни 2017 г. се очаква да се състои от комбинация от вноските по линия на 10-ия и на 11-ия ЕФР. В резултат на това алгоритъмът за вноските за тази конкретна покана ще се различава от съответните алгоритми за10-ия и за 11-ия ЕФР. Във втората покана през 2017 г. ще бъдат включени първите вноски от Хърватия за ЕФР.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Приложения 1, 2 и 3 показват съответно действителните поети задължения, действителните плащания и финансовата ситуация, съпоставени с предишни прогнози за периода 2016—2018 г.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Приложения 4 и 5 показват съответно вноските за 2016 г. и 2017 г., разбити по части, на които ще се изплащат, и държави членки.</w:t>
      </w:r>
    </w:p>
    <w:p>
      <w:pPr>
        <w:spacing w:after="0"/>
        <w:rPr>
          <w:b/>
          <w:bCs/>
          <w:noProof/>
          <w:szCs w:val="26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20"/>
          <w:docGrid w:linePitch="299"/>
        </w:sectPr>
      </w:pPr>
    </w:p>
    <w:p>
      <w:pPr>
        <w:pStyle w:val="ManualHeading2"/>
        <w:rPr>
          <w:noProof/>
        </w:rPr>
      </w:pPr>
      <w:r>
        <w:t>5.1.</w:t>
      </w:r>
      <w:r>
        <w:tab/>
      </w:r>
      <w:r>
        <w:rPr>
          <w:noProof/>
        </w:rPr>
        <w:t>Приложение 1: прогнози за поетите задължения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за 2016 г., 2017 г. и 2018 г. (млн. EUR)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3040"/>
        <w:gridCol w:w="1119"/>
        <w:gridCol w:w="1080"/>
        <w:gridCol w:w="1200"/>
        <w:gridCol w:w="1200"/>
        <w:gridCol w:w="1240"/>
        <w:gridCol w:w="1240"/>
      </w:tblGrid>
      <w:tr>
        <w:trPr>
          <w:trHeight w:val="255"/>
        </w:trPr>
        <w:tc>
          <w:tcPr>
            <w:tcW w:w="304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2016 г.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 г.</w:t>
            </w:r>
          </w:p>
        </w:tc>
      </w:tr>
      <w:tr>
        <w:trPr>
          <w:trHeight w:val="510"/>
        </w:trPr>
        <w:tc>
          <w:tcPr>
            <w:tcW w:w="3040" w:type="dxa"/>
            <w:noWrap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о</w:t>
            </w:r>
            <w:r>
              <w:rPr>
                <w:rFonts w:ascii="Times New Roman" w:hAnsi="Times New Roman"/>
                <w:b/>
                <w:noProof/>
                <w:sz w:val="20"/>
              </w:rPr>
              <w:t>ктомври 2015 г.</w:t>
            </w:r>
            <w:r>
              <w:rPr>
                <w:noProof/>
              </w:rPr>
              <w:t xml:space="preserve"> 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ю</w:t>
            </w:r>
            <w:r>
              <w:rPr>
                <w:rFonts w:ascii="Times New Roman" w:hAnsi="Times New Roman"/>
                <w:b/>
                <w:noProof/>
                <w:sz w:val="20"/>
              </w:rPr>
              <w:t>ни 2016 г.</w:t>
            </w:r>
            <w:r>
              <w:rPr>
                <w:noProof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2016 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юни 2016 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2016 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2016 г.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1 776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1 776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Централна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1 139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1 139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Карибски басейн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басейн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Южна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2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Други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Инструмент за вода и енергия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Доверителен фонд (**)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Други (***)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2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4 550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825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 (****)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905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ЕК+ЕИБ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5 455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 xml:space="preserve">*Съгласно съобщение на Комисията до Съвета. </w:t>
      </w:r>
    </w:p>
    <w:p>
      <w:pPr>
        <w:pStyle w:val="Text1"/>
        <w:spacing w:before="0" w:after="0"/>
        <w:ind w:left="0"/>
        <w:jc w:val="left"/>
        <w:rPr>
          <w:noProof/>
          <w:sz w:val="20"/>
          <w:szCs w:val="20"/>
        </w:rPr>
      </w:pPr>
      <w:r>
        <w:rPr>
          <w:noProof/>
          <w:sz w:val="20"/>
        </w:rPr>
        <w:t>** Извънреден доверителен фонд на ЕС за стабилност и преодоляване на първопричините за незаконната миграция в Африка.</w:t>
      </w:r>
      <w:r>
        <w:rPr>
          <w:noProof/>
          <w:sz w:val="20"/>
          <w:szCs w:val="20"/>
        </w:rPr>
        <w:br/>
      </w:r>
      <w:r>
        <w:rPr>
          <w:noProof/>
          <w:sz w:val="20"/>
        </w:rPr>
        <w:t>*** Включва разходи за подпомагане (напр. за съвместни институции, за Секретариата на АКТБ), Генерална дирекция „Хуманитарна помощ и гражданска защита“, други генерални дирекции и агенции.</w:t>
      </w:r>
      <w:r>
        <w:rPr>
          <w:noProof/>
          <w:sz w:val="20"/>
          <w:szCs w:val="20"/>
        </w:rPr>
        <w:br/>
      </w:r>
      <w:r>
        <w:rPr>
          <w:noProof/>
          <w:sz w:val="20"/>
        </w:rPr>
        <w:t>****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5.2.</w:t>
      </w:r>
      <w:r>
        <w:tab/>
      </w:r>
      <w:r>
        <w:rPr>
          <w:noProof/>
        </w:rPr>
        <w:t>Приложение 2: Прогнози за плащанията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за 2016 г., 2017 г. и 2018 г. (млн. EUR)</w:t>
      </w:r>
    </w:p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2940"/>
        <w:gridCol w:w="1101"/>
        <w:gridCol w:w="1120"/>
        <w:gridCol w:w="1320"/>
        <w:gridCol w:w="1200"/>
        <w:gridCol w:w="1200"/>
        <w:gridCol w:w="1240"/>
      </w:tblGrid>
      <w:tr>
        <w:trPr>
          <w:trHeight w:val="255"/>
        </w:trPr>
        <w:tc>
          <w:tcPr>
            <w:tcW w:w="294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2016 г.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 г.</w:t>
            </w:r>
          </w:p>
        </w:tc>
      </w:tr>
      <w:tr>
        <w:trPr>
          <w:trHeight w:val="510"/>
        </w:trPr>
        <w:tc>
          <w:tcPr>
            <w:tcW w:w="2940" w:type="dxa"/>
            <w:noWrap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2015 г.*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юни 2016 г.*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2016 г.*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юни 2016 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2016 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октомври 2016 г.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Централна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Карибски басейн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басейн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Южна Африка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2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2 730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2 730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Други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Инструмент за мир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Инструмент за вода и енергия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Доверителен фонд (**)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200" w:firstLine="4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Други (****)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>
            <w:pPr>
              <w:spacing w:after="0"/>
              <w:ind w:firstLineChars="200" w:firstLine="402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1 022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1 022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4 400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ind w:firstLineChars="100" w:firstLine="2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 (****)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500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ЕК+ЕИБ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4 900</w:t>
            </w:r>
          </w:p>
        </w:tc>
      </w:tr>
    </w:tbl>
    <w:p>
      <w:pPr>
        <w:pStyle w:val="Text1"/>
        <w:spacing w:after="0"/>
        <w:ind w:left="0"/>
        <w:jc w:val="left"/>
        <w:rPr>
          <w:noProof/>
          <w:sz w:val="20"/>
          <w:szCs w:val="20"/>
        </w:rPr>
      </w:pPr>
      <w:r>
        <w:rPr>
          <w:noProof/>
          <w:sz w:val="20"/>
        </w:rPr>
        <w:t xml:space="preserve">*Съгласно съобщение на Комисията до Съвета. </w:t>
      </w:r>
    </w:p>
    <w:p>
      <w:pPr>
        <w:pStyle w:val="Text1"/>
        <w:spacing w:before="0"/>
        <w:ind w:left="0"/>
        <w:jc w:val="left"/>
        <w:rPr>
          <w:noProof/>
          <w:sz w:val="20"/>
          <w:szCs w:val="20"/>
        </w:rPr>
      </w:pPr>
      <w:r>
        <w:rPr>
          <w:noProof/>
          <w:sz w:val="20"/>
        </w:rPr>
        <w:t>** Извънреден доверителен фонд на ЕС за стабилност и преодоляване на първопричините за незаконната миграция в Африка.</w:t>
      </w:r>
      <w:r>
        <w:rPr>
          <w:noProof/>
          <w:sz w:val="20"/>
          <w:szCs w:val="20"/>
        </w:rPr>
        <w:br/>
      </w:r>
      <w:r>
        <w:rPr>
          <w:noProof/>
          <w:sz w:val="20"/>
        </w:rPr>
        <w:t>*** Включва разходи за подпомагане (напр. за съвместни институции, за Секретариата на АКТБ), Генерална дирекция „Хуманитарна помощ и гражданска защита“, други генерални дирекции и агенции.</w:t>
      </w:r>
      <w:r>
        <w:rPr>
          <w:noProof/>
          <w:sz w:val="20"/>
          <w:szCs w:val="20"/>
        </w:rPr>
        <w:br/>
      </w:r>
      <w:r>
        <w:rPr>
          <w:noProof/>
          <w:sz w:val="20"/>
        </w:rPr>
        <w:t>****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425" w:right="964" w:bottom="964" w:left="964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5.3.</w:t>
      </w:r>
      <w:r>
        <w:tab/>
      </w:r>
      <w:r>
        <w:rPr>
          <w:noProof/>
        </w:rPr>
        <w:t>Приложение 3: Финансово състояние за 2016 г., прогнози за 2017 и 2018 г. и необвързващи прогнози за 2019 и 2020 г. (млн. EUR):</w:t>
      </w:r>
    </w:p>
    <w:tbl>
      <w:tblPr>
        <w:tblpPr w:leftFromText="180" w:rightFromText="180" w:vertAnchor="text" w:tblpY="1"/>
        <w:tblOverlap w:val="never"/>
        <w:tblW w:w="11728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1025"/>
        <w:gridCol w:w="1120"/>
        <w:gridCol w:w="1120"/>
        <w:gridCol w:w="1440"/>
        <w:gridCol w:w="960"/>
        <w:gridCol w:w="960"/>
      </w:tblGrid>
      <w:tr>
        <w:trPr>
          <w:trHeight w:val="222"/>
        </w:trPr>
        <w:tc>
          <w:tcPr>
            <w:tcW w:w="851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Комисия юни 2016 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Комисия юни 2016 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1</w:t>
            </w:r>
          </w:p>
        </w:tc>
      </w:tr>
      <w:tr>
        <w:trPr>
          <w:trHeight w:val="222"/>
        </w:trPr>
        <w:tc>
          <w:tcPr>
            <w:tcW w:w="851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Комисия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ЕИБ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 xml:space="preserve">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Комисия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ЕИБ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Салдо към 31.12.2015 г. 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730</w:t>
            </w:r>
          </w:p>
        </w:tc>
      </w:tr>
      <w:tr>
        <w:trPr>
          <w:trHeight w:val="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2016 г.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2016 г.: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3,600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     1-ва част от вноската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1,750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     2-ра част от вноската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1,100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     3-та част от вноската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Обратни потоци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209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Вноски за 2016 г., получени през 2015 г.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10"/>
                <w:sz w:val="20"/>
                <w:szCs w:val="20"/>
              </w:rPr>
              <w:t>Вноски и корекции през 2016 г., получени през 2015 г.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-307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Възстановявания, лихви и други приходи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-3,752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-4,162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-3,752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-4,202</w:t>
            </w:r>
          </w:p>
        </w:tc>
      </w:tr>
      <w:tr>
        <w:trPr>
          <w:trHeight w:val="1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Салдо към 31.12.2016 г. 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110</w:t>
            </w:r>
          </w:p>
        </w:tc>
      </w:tr>
      <w:tr>
        <w:trPr>
          <w:trHeight w:val="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 г.</w:t>
            </w:r>
          </w:p>
        </w:tc>
        <w:tc>
          <w:tcPr>
            <w:tcW w:w="4394" w:type="dxa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2017 г.: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4,000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     1-ва част от вноската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1,800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     2-ра част от вноската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1,350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 xml:space="preserve">     3-та част от вноската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Обратни потоци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Вноски и корекции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Възстановявания, лихви и други приходи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-3,900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-4,360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-3,900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-4,370</w:t>
            </w:r>
          </w:p>
        </w:tc>
      </w:tr>
      <w:tr>
        <w:trPr>
          <w:trHeight w:val="1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Салдо към 31.12.2017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90</w:t>
            </w:r>
          </w:p>
        </w:tc>
      </w:tr>
      <w:tr>
        <w:trPr>
          <w:trHeight w:val="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 г.</w:t>
            </w:r>
          </w:p>
        </w:tc>
        <w:tc>
          <w:tcPr>
            <w:tcW w:w="4394" w:type="dxa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2018 г.: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4,800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Обратни потоци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Възстановявания, лихви и други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4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-4,900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Салдо към 31.12.2018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370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 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2019 г.</w:t>
            </w:r>
            <w:r>
              <w:rPr>
                <w:rFonts w:ascii="Times New Roman" w:hAnsi="Times New Roman"/>
                <w:noProof/>
                <w:color w:val="FF0000"/>
                <w:sz w:val="20"/>
                <w:vertAlign w:val="superscript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4,800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2020 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2020 г.</w:t>
            </w:r>
            <w:r>
              <w:rPr>
                <w:rFonts w:ascii="Times New Roman" w:hAnsi="Times New Roman"/>
                <w:noProof/>
                <w:color w:val="FF0000"/>
                <w:sz w:val="20"/>
                <w:vertAlign w:val="superscript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4,800</w:t>
            </w:r>
          </w:p>
        </w:tc>
      </w:tr>
    </w:tbl>
    <w:p>
      <w:pPr>
        <w:pStyle w:val="Text1"/>
        <w:spacing w:before="0" w:after="0"/>
        <w:ind w:left="851"/>
        <w:jc w:val="left"/>
        <w:rPr>
          <w:noProof/>
          <w:spacing w:val="-4"/>
          <w:sz w:val="14"/>
          <w:szCs w:val="14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  <w:sz w:val="14"/>
        </w:rPr>
        <w:t xml:space="preserve">1 </w:t>
      </w:r>
      <w:r>
        <w:rPr>
          <w:noProof/>
        </w:rPr>
        <w:tab/>
      </w:r>
      <w:r>
        <w:rPr>
          <w:noProof/>
          <w:sz w:val="14"/>
        </w:rPr>
        <w:t>Налични оперативни суми съгласно съобщение на Комисията до Съвета.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2</w:t>
      </w:r>
      <w:r>
        <w:rPr>
          <w:noProof/>
        </w:rPr>
        <w:tab/>
      </w:r>
      <w:r>
        <w:rPr>
          <w:noProof/>
          <w:sz w:val="14"/>
        </w:rPr>
        <w:t>Нето от такси за управление на ЕИБ.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3</w:t>
      </w:r>
      <w:r>
        <w:rPr>
          <w:noProof/>
        </w:rPr>
        <w:tab/>
      </w:r>
      <w:r>
        <w:rPr>
          <w:noProof/>
          <w:sz w:val="14"/>
        </w:rPr>
        <w:t>Включително лихвените субсидии, свързани с предишни ЕФР.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4</w:t>
      </w:r>
      <w:r>
        <w:rPr>
          <w:noProof/>
        </w:rPr>
        <w:tab/>
      </w:r>
      <w:r>
        <w:rPr>
          <w:noProof/>
          <w:spacing w:val="-6"/>
          <w:sz w:val="14"/>
        </w:rPr>
        <w:t>Тези салда не включват: i) съвместното финансиране, получено до 31.12.2015 г., ii) постъпленията в банки, които все още не са разпределени по съответен бюджетен ред на ЕФР, iii) специалния фонд за Демократична република Конго.</w:t>
      </w:r>
      <w:r>
        <w:rPr>
          <w:noProof/>
          <w:spacing w:val="-6"/>
          <w:sz w:val="14"/>
          <w:szCs w:val="14"/>
        </w:rPr>
        <w:br/>
      </w:r>
      <w:r>
        <w:rPr>
          <w:noProof/>
          <w:sz w:val="14"/>
        </w:rPr>
        <w:t>5</w:t>
      </w:r>
      <w:r>
        <w:rPr>
          <w:noProof/>
        </w:rPr>
        <w:tab/>
      </w:r>
      <w:r>
        <w:rPr>
          <w:noProof/>
          <w:sz w:val="14"/>
        </w:rPr>
        <w:t>Член 21, параграф 2, буква г) от Финансовия регламент: необвързваща прогноза, базирана на статистически подход, за очаквания годишен размер на вноските за години n + 3 и n + 4.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6</w:t>
      </w:r>
      <w:r>
        <w:rPr>
          <w:noProof/>
        </w:rPr>
        <w:tab/>
      </w:r>
      <w:r>
        <w:rPr>
          <w:noProof/>
          <w:spacing w:val="-4"/>
          <w:sz w:val="14"/>
        </w:rPr>
        <w:t>Съгласно член 21, параграф 1 поканите за вноски първо оползотворяват сумите, предвидени за предходни ЕФР един след друг. Поради това поканите в рамките на 11-ия ЕФР за финансиране на ПСОФ са допълнително отложени.</w:t>
      </w: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7-8</w:t>
      </w:r>
      <w:r>
        <w:rPr>
          <w:noProof/>
        </w:rPr>
        <w:tab/>
      </w:r>
      <w:r>
        <w:rPr>
          <w:noProof/>
          <w:sz w:val="14"/>
        </w:rPr>
        <w:t>Балансът на паричните средства на ЕФР никога не може да бъде отрицателен. Евентуалните отрицателни стойности в таблицата показват недостиг на бюджетни кредити за плащания.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* Искане на ЕИБ за вноски за 2018 г.: обяснителна бележка на ЕИБ за информация от 17.11.2015 г., MD no: 151/15 ADD 1 ACP</w:t>
      </w:r>
    </w:p>
    <w:p>
      <w:pPr>
        <w:rPr>
          <w:noProof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418" w:right="820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5.4.</w:t>
      </w:r>
      <w:r>
        <w:tab/>
      </w:r>
      <w:r>
        <w:rPr>
          <w:noProof/>
        </w:rPr>
        <w:t>Приложение 4: Вноски на държавите членки за 2016 г. (EUR)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1800"/>
        <w:gridCol w:w="934"/>
        <w:gridCol w:w="1034"/>
        <w:gridCol w:w="1444"/>
        <w:gridCol w:w="1291"/>
        <w:gridCol w:w="1371"/>
        <w:gridCol w:w="1171"/>
        <w:gridCol w:w="1269"/>
        <w:gridCol w:w="1260"/>
        <w:gridCol w:w="1380"/>
        <w:gridCol w:w="1480"/>
      </w:tblGrid>
      <w:tr>
        <w:trPr>
          <w:trHeight w:val="28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ДЪРЖАВИ ЧЛЕНКИ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Алгоритъм за вноските за 10-ия ЕФР в %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1-ва част от вноската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2-ра част от вноската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3-та част от вноската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ЕИБ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Комисия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за 2016 г.</w:t>
            </w:r>
          </w:p>
        </w:tc>
      </w:tr>
      <w:tr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Платена на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Платена на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Платена на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Платена 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Платена на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Платена 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</w:tr>
      <w:tr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ЕИБ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ЕИБ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ЕИБ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</w:tr>
      <w:tr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АВСТРИЯ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42 175 000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1 205 000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16 870 000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3 615 000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83 145 000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86 760 000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БЕЛГИЯ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61 775 000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3 530 000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35 300 000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1 765 000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24 710 000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121 785 000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127 080 000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БЪЛГАРИЯ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980 000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4 830 000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5 040 000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КИПЪР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3 105 000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3 240 000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ЧЕШКА РЕПУБЛИКА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8 925 000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17 595 000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18 360 000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35 000 000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2 000 000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20 000 000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1 000 000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14 000 000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3 000 000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69 000 000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72 000 000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ЕСТОНИЯ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ФИНЛАНДИЯ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25 725 000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50 715 000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52 920 000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ФРАНЦИЯ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342 125 000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195 500 000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9 775 000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136 850 000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29 325 000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674 475 000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703 800 000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ГЕРМАНИЯ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358 750 000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20 500 000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205 000 000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10 250 000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143 500 000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30 750 000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707 250 000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738 000 000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ГЪРЦИЯ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25 725 000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50 715 000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52 920 000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УНГАРИЯ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9 625 000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3 850 000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18 975 000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19 800 000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ИРЛАНДИЯ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15 925 000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6 370 000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31 395 000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32 760 000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ИТАЛИЯ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225 050 000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12 860 000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128 600 000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6 430 000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90 020 000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19 290 000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443 670 000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462 960 000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ЛАТВИЯ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2 520 000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ЛИТВА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2 100 000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840 000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4 140 000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4 320 000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ЛЮКСЕМБУРГ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4 725 000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1 890 000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9 315 000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9 720 000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МАЛТА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1 035 000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1 080 000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НИДЕРЛАНДИЯ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84 875 000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4 850 000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2 425 000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33 950 000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7 275 000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167 325 000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174 600 000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ПОЛША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22 750 000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1 300 000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13 000 000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650 000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9 100 000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1 950 000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44 850 000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46 800 000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ПОРТУГАЛИЯ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20 125 000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8 050 000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39 675 000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41 400 000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РУМЪНИЯ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6 475 000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2 590 000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12 765 000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13 320 000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СЛОВАКИЯ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7 245 000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7 560 000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1 800 000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1 260 000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6 210 000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6 480 000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ИСПАНИЯ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137 375 000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78 500 000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3 925 000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54 950 000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11 775 000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270 825 000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282 600 000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ШВЕЦИЯ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47 950 000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2 740 000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27 400 000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1 370 000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19 180 000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4 110 000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94 530 000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98 640 000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ОБЕДИНЕНОТО КРАЛСТВО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259 350 000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14 820 000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148 200 000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7 410 000</w:t>
            </w:r>
          </w:p>
        </w:tc>
        <w:tc>
          <w:tcPr>
            <w:tcW w:w="1269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103 740 000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22 230 000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511 290 000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533 520 000</w:t>
            </w:r>
          </w:p>
        </w:tc>
      </w:tr>
      <w:tr>
        <w:trPr>
          <w:trHeight w:val="28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ЕС-27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1 750 000 000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100 000 000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1 000 000 000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50 000 000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700 000 000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150 000 000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3 450 000 000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3 600 000 000</w:t>
            </w:r>
          </w:p>
        </w:tc>
      </w:tr>
    </w:tbl>
    <w:p>
      <w:pPr>
        <w:pStyle w:val="ManualHeading2"/>
        <w:rPr>
          <w:noProof/>
        </w:rPr>
      </w:pPr>
      <w:r>
        <w:t>5.5.</w:t>
      </w:r>
      <w:r>
        <w:tab/>
      </w:r>
      <w:r>
        <w:rPr>
          <w:noProof/>
        </w:rPr>
        <w:t>Приложение 5: Вноски на държавите членки за 2017 г. (EUR)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95"/>
        <w:gridCol w:w="700"/>
        <w:gridCol w:w="988"/>
        <w:gridCol w:w="1133"/>
        <w:gridCol w:w="1281"/>
        <w:gridCol w:w="1139"/>
        <w:gridCol w:w="1139"/>
        <w:gridCol w:w="1281"/>
        <w:gridCol w:w="572"/>
        <w:gridCol w:w="1138"/>
        <w:gridCol w:w="1137"/>
        <w:gridCol w:w="1278"/>
        <w:gridCol w:w="1276"/>
      </w:tblGrid>
      <w:tr>
        <w:trPr>
          <w:trHeight w:val="282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ДЪРЖАВИ ЧЛЕНКИ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Алгоритъм за вноските за 10-ия ЕФР в %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Алгоритъм за вноските за 11-ия ЕФР в %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1-ва част от вноската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2-ра част от вноската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3-та част от вноската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ЕИБ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</w:t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br/>
            </w: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за 2017 г.</w:t>
            </w:r>
          </w:p>
        </w:tc>
      </w:tr>
      <w:tr>
        <w:trPr>
          <w:trHeight w:val="2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ЕИБ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ЕИБ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ЕИБ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</w:tr>
      <w:tr>
        <w:trPr>
          <w:trHeight w:val="2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11-и ЕФР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10-и ЕФР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11-и ЕФР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АВСТРИЯ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40 970 000,00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1 205 000,00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1 765 782,01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29 411 735,32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20 379 345,00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3 615 000,00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92 526 862,33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96 141 862,33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БЕЛГИЯ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3 530 000,00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60 010 000,00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1 765 000,00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2 586 394,39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39 859 803,57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27 618 795,00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130 074 992,96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135 369 992,96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БЪЛГАРИЯ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2 380 000,00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102 576,55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2 680 775,34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1 857 505,00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7 020 856,88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7 230 856,88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КИПЪР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65 942,07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1 369 277,18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948 770,00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3 913 989,25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4 048 989,25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ЧЕШКА РЕПУБЛИКА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8 670 000,00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373 671,71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9 782 566,65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6 778 325,00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25 604 563,37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26 369 563,37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2 000 000,00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34 000 000,00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1 000 000,00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1 465 379,26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24 294 794,82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16 833 825,00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3 000 000,00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76 593 999,08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79 593 999,08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ЕСТОНИЯ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36 634,48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1 059 282,25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733 975,00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2 679 891,73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2 754 891,73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ФИНЛАНДИЯ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24 990 000,00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1 077 053,76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18 512 475,41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12 827 265,00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57 406 794,16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59 611 794,16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ФРАНЦИЯ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19 550 000,00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332 350 000,00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9 775 000,00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14 324 082,27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218 513 796,75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151 407 865,00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29 325 000,00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716 595 744,02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745 920 744,02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ГЕРМАНИЯ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20 500 000,00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348 500 000,00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15 020 137,42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252 458 793,95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174 928 300,00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30 750 000,00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790 907 231,37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821 657 231,37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ГЪРЦИЯ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24 990 000,00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1 077 053,76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18 491 130,29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12 812 475,00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57 370 659,04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59 575 659,04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УНГАРИЯ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9 350 000,00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402 979,30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7 538 998,26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5 223 760,00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22 515 737,56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23 340 737.56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ИРЛАНДИЯ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15 470 000,00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666 747,56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11 532 007,79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7 990 510,00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35 659 265,35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37 024 265,35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ИТАЛИЯ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12 860 000,00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218 620 000,00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6 430 000,00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9 422 388,64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153 710 502,99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106 505 765,00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19 290 000,00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488 258 656,64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507 548 656,64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ЛАТВИЯ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1 190 000,00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51 288,27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1 424 480,08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987 020,00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3 652 788,35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3 757 788,35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ЛИТВА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2 040 000,00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87 922,76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2 217 561,70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1 536 545,00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5 882 029,45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6 062 029,45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ЛЮКСЕМБУРГ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4 590 000,00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197 826,20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3 129 268,20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2 168 265,00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10 085 359,40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10 490 359,40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МАЛТА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21 980,69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466 280,47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323 085,00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1 321 346,16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1 366 346,16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НИДЕРЛАНДИЯ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4 850 000,00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82 450 000,00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2 425 000,00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3 553 544,71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58 598 242,83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40 602 630,00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7 275 000,00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185 204 417,53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192 479 417,53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ПОЛША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1 300 000,00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22 100 000,00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952 496,52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24 624 662,80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17 062 390,00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1 950 000,00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64 739 549,32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66 689 549,32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ПОРТУГАЛИЯ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1 150 000,00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842 593,07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14 681 394,38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10 172 715,00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45 246 702,45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46 971 702,45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РУМЪНИЯ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6 290 000,00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271 095,16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8 809 768,94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6 104 275,00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21 475 139,11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22 030 139,11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СЛОВАКИЯ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3 570 000,00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153 864,82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4 614 471,47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3 197 360,00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11 535 696,29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11 850 696,29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3 060 000,00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131 884,13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2 754 256,52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1 908 420,00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7 854 560,66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8 124 560,66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ИСПАНИЯ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7 850 000,00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133 450 000,00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3 925 000,00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5 751 613,60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97 310 194,16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67 426 080,00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11 775 000,00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303 937 887,76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315 712 887,76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ШВЕЦИЯ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2 740 000,00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46 580 000,00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1 370 000,00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2 007 569,59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36 054 974,58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24 982 435,00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4 110 000,00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109 624 979,17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113 734 979,17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ОБЕДИНЕНОТО КРАЛСТВО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14 820 000,00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251 940 000,00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7 410 000,00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10 858 460,32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180 067 187,34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124 768 270,00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22 230 000,00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567 633 917,66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589 863 917,66</w:t>
            </w:r>
          </w:p>
        </w:tc>
      </w:tr>
      <w:tr>
        <w:trPr>
          <w:trHeight w:val="25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Хърватия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ind w:firstLineChars="100" w:firstLine="14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2 762 352,95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1 914 030,00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4 676 382,95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4 676 382,95</w:t>
            </w:r>
          </w:p>
        </w:tc>
      </w:tr>
      <w:tr>
        <w:trPr>
          <w:trHeight w:val="282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ЕС-28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100 000 000,00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1 700 000 000,0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50 000 000,00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73 268 963,00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1 226 731 037,00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850 000 000,00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150 000 000,00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3 850 000 000,00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4 000 000 000,00</w:t>
            </w:r>
          </w:p>
        </w:tc>
      </w:tr>
    </w:tbl>
    <w:p>
      <w:pPr>
        <w:pStyle w:val="ManualHeading2"/>
        <w:rPr>
          <w:noProof/>
        </w:rPr>
      </w:pPr>
      <w:r>
        <w:rPr>
          <w:noProof/>
        </w:rPr>
        <w:br w:type="page"/>
      </w:r>
      <w:r>
        <w:t>5.6.</w:t>
      </w:r>
      <w:r>
        <w:tab/>
      </w:r>
      <w:r>
        <w:rPr>
          <w:noProof/>
        </w:rPr>
        <w:t>Приложение 6: Вноски на държавите членки за 2017—2020 г. (в евро)</w:t>
      </w:r>
    </w:p>
    <w:tbl>
      <w:tblPr>
        <w:tblW w:w="13800" w:type="dxa"/>
        <w:tblInd w:w="98" w:type="dxa"/>
        <w:tblLook w:val="04A0" w:firstRow="1" w:lastRow="0" w:firstColumn="1" w:lastColumn="0" w:noHBand="0" w:noVBand="1"/>
      </w:tblPr>
      <w:tblGrid>
        <w:gridCol w:w="1860"/>
        <w:gridCol w:w="934"/>
        <w:gridCol w:w="940"/>
        <w:gridCol w:w="1065"/>
        <w:gridCol w:w="1256"/>
        <w:gridCol w:w="1139"/>
        <w:gridCol w:w="1072"/>
        <w:gridCol w:w="1148"/>
        <w:gridCol w:w="1072"/>
        <w:gridCol w:w="1148"/>
        <w:gridCol w:w="1072"/>
        <w:gridCol w:w="1148"/>
      </w:tblGrid>
      <w:tr>
        <w:trPr>
          <w:trHeight w:val="255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ДЪРЖАВИ ЧЛЕНКИ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Алгоритъм за вноските за вноските за 10-ия ЕФР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Алгоритъм за вноските за вноските за 11-ия ЕФР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2017 г.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2018 г.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2019 г.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2020 г.</w:t>
            </w:r>
          </w:p>
        </w:tc>
      </w:tr>
      <w:tr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ЕФР %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ЕФР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 10-и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 10-и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EИБ 10-и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 10-и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EИБ 10-и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 10-и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EИБ 10-и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Комисия 10-и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EИБ 10-и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АВСТРИЯ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42 735 782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49 791 080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3 615 000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109 089 435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107 890 650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7 230 000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107 890 650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БЕЛГИЯ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62 596 394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67 478 599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147 841 785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8 825 000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146 217 150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10 590 000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146 217 150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10 590 000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БЪЛГАРИЯ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2 482 577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4 538 280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9 943 115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9 833 850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9 833 850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КИПЪР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1 595 942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2 318 047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5 078 710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5 022 900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5 022 900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ЧЕШКА РЕПУБЛИКА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9 043 672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16 560 892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36 283 975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35 885 250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35 885 250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ДАНИЯ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35 465 379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41 128 620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90 110 475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89 120 250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89 120 250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6 000 000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ЕСТОНИЯ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886 634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1 793 257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3 928 925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3 885 750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3 885 750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ФИНЛАНДИЯ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26 067 054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31 339 740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68 663 595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67 909 050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67 909 050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ФРАНЦИЯ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346 674 082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369 921 662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810 477 395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48 875 000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801 571 050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58 650 000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801 571 050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58 650 000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ГЕРМАНИЯ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363 520 137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427 387 094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30 750 000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936 380 900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51 250 000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926 091 000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61 500 000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926 091 000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61 500 000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ГЪРЦИЯ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26 067 054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31 303 605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68 584 425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67 830 750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67 830 750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УНГАРИЯ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9 752 979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12 762 758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27 962 480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27 655 200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1 650 000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27 655 200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1 650 000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ИРЛАНДИЯ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16 136 748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19 522 518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42 772 730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42 302 700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2 730 000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42 302 700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ИТАЛИЯ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228 042 389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260 216 268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19 290 000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570 119 095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32 150 000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563 854 050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38 580 000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563 854 050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38 580 000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ЛАТВИЯ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1 241 288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2 411 500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5 283 460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5 225 400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5 225 400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ЛИТВА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2 127 923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3 754 107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8 225 035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8 134 650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8 134 650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ЛЮКСЕМБУРГ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4 787 826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5 297 533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11 606 595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11 479 050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11 479 050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МАЛТА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531 981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789 365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1 729 455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1 710 450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1 710 450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НИДЕРЛАНДИЯ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86 003 545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99 200 873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217 343 490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12 125 000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214 955 100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14 550 000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214 955 100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14 550 000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ПОЛША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23 052 497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41 687 053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91 333 970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3 250 000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90 330 300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90 330 300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3 900 000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ПОРТУГАЛИЯ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20 392 593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24 854 109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54 453 945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2 875 000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53 855 550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3 450 000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53 855 550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3 450 000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РУМЪНИЯ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6 561 095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14 914 044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32 675 825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32 316 750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32 316 750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СЛОВАКИЯ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3 723 865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7 811 831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17 115 280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16 927 200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16 927 200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3 191 884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4 662 677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10 215 660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10 103 400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10 103 400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ИСПАНИЯ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139 201 614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164 736 274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360 927 840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19 625 000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356 961 600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23 550 000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356 961 600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23 550 000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ШВЕЦИЯ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48 587 570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61 037 410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133 729 505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6 850 000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132 259 950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132 259 950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ОБЕДИНЕНОТО КРАЛСТВО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262 798 460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304 835 457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22 230 000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667 877 210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37 050 000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660 537 900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44 460 000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660 537 900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44 460 000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/>
              <w:ind w:firstLineChars="100" w:firstLine="140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ХЪРВАТИЯ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4 676 383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10 245 690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10 133 100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10 133 100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ОБЩО ЕС-28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1 773 268 963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2 076 731 037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150 000 000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4 550 000 000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250 000 000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4 500 000 000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300 000 000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4 500 000 000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300 000 000</w:t>
            </w:r>
          </w:p>
        </w:tc>
      </w:tr>
      <w:tr>
        <w:trPr>
          <w:trHeight w:val="255"/>
        </w:trPr>
        <w:tc>
          <w:tcPr>
            <w:tcW w:w="1860" w:type="dxa"/>
            <w:shd w:val="clear" w:color="auto" w:fill="FFFFFF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880" w:type="dxa"/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940" w:type="dxa"/>
            <w:shd w:val="clear" w:color="auto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4 000 000 000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4 800 000 000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4 800 000 000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4 800 000 000</w:t>
            </w:r>
          </w:p>
        </w:tc>
      </w:tr>
    </w:tbl>
    <w:p>
      <w:pPr>
        <w:rPr>
          <w:noProof/>
        </w:rPr>
      </w:pPr>
    </w:p>
    <w:sectPr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53241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3070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2791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Вътрешно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 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 (ОВ L 210, 6.8.2013 г., стр. 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Cs w:val="24"/>
        </w:rPr>
        <w:t>OВ L 58, 3.3.2015 г., стр. 17–38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Държави от Африка, Карибите и Тихоокеанския басейн.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Отвъдморски страни и територии.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 210, 6.8.2013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OВ L 58, 3.3.2015 г., Регламент (ЕС) 2015/323 на Съвета от 2 март 2015 г. относно финансовия регламент, приложим за 11-ия Европейски фонд за развитие.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Брутни поети задължения, т.е. без да са приспаднати отменените бюджетни кредити.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Брутни плащания, т.е. без приспадане на събиранията.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22D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0623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8AE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E18D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509B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803C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6AF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3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3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4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  <w:lvlOverride w:ilvl="0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AE1CED4487EE4991B154B486BF63AA60"/>
    <w:docVar w:name="LW_CROSSREFERENCE" w:val="&lt;UNUSED&gt;"/>
    <w:docVar w:name="LW_DocType" w:val="NORMAL"/>
    <w:docVar w:name="LW_EMISSION" w:val="14.10.2016"/>
    <w:docVar w:name="LW_EMISSION_ISODATE" w:val="2016-10-14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652"/>
    <w:docVar w:name="LW_REF.INTERNE" w:val="&lt;UNUSED&gt;"/>
    <w:docVar w:name="LW_SOUS.TITRE.OBJ.CP" w:val="&lt;UNUSED&gt;"/>
    <w:docVar w:name="LW_SUPERTITRE" w:val="&lt;UNUSED&gt;"/>
    <w:docVar w:name="LW_TITRE.OBJ.CP" w:val="\u1045?\u1074?\u1088?\u1086?\u1087?\u1077?\u1081?\u1089?\u1082?\u1080? \u1092?\u1086?\u1085?\u1076? \u1079?\u1072? \u1088?\u1072?\u1079?\u1074?\u1080?\u1090?\u1080?\u1077? (\u1045?\u1060?\u1056?): \u1087?\u1088?\u1086?\u1075?\u1085?\u1086?\u1079?\u1080? \u1079?\u1072? \u1087?\u1086?\u1077?\u1090?\u1080?\u1090?\u1077? \u1079?\u1072?\u1076?\u1098?\u1083?\u1078?\u1077?\u1085?\u1080?\u1103?, \u1087?\u1083?\u1072?\u1097?\u1072?\u1085?\u1080?\u1103?\u1090?\u1072? \u1080? \u1074?\u1085?\u1086?\u1089?\u1082?\u1080?\u1090?\u1077? \u1086?\u1090? \u1076?\u1098?\u1088?\u1078?\u1072?\u1074?\u1080?\u1090?\u1077? \u1095?\u1083?\u1077?\u1085?\u1082?\u1080? \u1079?\u1072? 2016, 2017, 2018, 2019 \u1080? 2020 \u1075?.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">
    <w:name w:val="List Number"/>
    <w:basedOn w:val="Normal"/>
    <w:semiHidden/>
    <w:unhideWhenUsed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Sous-titreobjetPagedecouverture"/>
    <w:rPr>
      <w:rFonts w:eastAsia="Times New Roman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">
    <w:name w:val="List Number"/>
    <w:basedOn w:val="Normal"/>
    <w:semiHidden/>
    <w:unhideWhenUsed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Sous-titreobjetPagedecouverture"/>
    <w:rPr>
      <w:rFonts w:eastAsia="Times New Roman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F163-1DFF-42A8-8278-DF00CB70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4484</Words>
  <Characters>17760</Characters>
  <Application>Microsoft Office Word</Application>
  <DocSecurity>0</DocSecurity>
  <Lines>2220</Lines>
  <Paragraphs>1853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cp:lastPrinted>2016-10-12T07:15:00Z</cp:lastPrinted>
  <dcterms:created xsi:type="dcterms:W3CDTF">2016-10-04T11:54:00Z</dcterms:created>
  <dcterms:modified xsi:type="dcterms:W3CDTF">2016-10-13T10:39:00Z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