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A3B0FB1F3C24D7A819C35582895F016" style="width:450.8pt;height:436.3pt">
            <v:imagedata r:id="rId8" o:title=""/>
          </v:shape>
        </w:pict>
      </w:r>
    </w:p>
    <w:bookmarkEnd w:id="0"/>
    <w:p>
      <w:pPr>
        <w:rPr>
          <w:rFonts w:eastAsiaTheme="minorHAnsi"/>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26"/>
        </w:sectPr>
      </w:pPr>
    </w:p>
    <w:tbl>
      <w:tblPr>
        <w:tblStyle w:val="TableGrid"/>
        <w:tblW w:w="10188" w:type="dxa"/>
        <w:jc w:val="center"/>
        <w:tblLook w:val="01E0" w:firstRow="1" w:lastRow="1" w:firstColumn="1" w:lastColumn="1" w:noHBand="0" w:noVBand="0"/>
      </w:tblPr>
      <w:tblGrid>
        <w:gridCol w:w="10188"/>
      </w:tblGrid>
      <w:tr>
        <w:trPr>
          <w:jc w:val="center"/>
        </w:trPr>
        <w:tc>
          <w:tcPr>
            <w:tcW w:w="10188" w:type="dxa"/>
            <w:tcBorders>
              <w:bottom w:val="single" w:sz="4" w:space="0" w:color="auto"/>
            </w:tcBorders>
            <w:shd w:val="clear" w:color="auto" w:fill="CCCCCC"/>
          </w:tcPr>
          <w:p>
            <w:pPr>
              <w:spacing w:after="0"/>
              <w:jc w:val="left"/>
              <w:rPr>
                <w:rFonts w:eastAsiaTheme="minorHAnsi"/>
                <w:noProof/>
                <w:szCs w:val="22"/>
              </w:rPr>
            </w:pPr>
            <w:bookmarkStart w:id="1" w:name="_GoBack"/>
            <w:bookmarkEnd w:id="1"/>
            <w:r>
              <w:rPr>
                <w:rFonts w:ascii="Tahoma" w:eastAsiaTheme="minorHAnsi" w:hAnsi="Tahoma"/>
                <w:b/>
                <w:noProof/>
                <w:sz w:val="22"/>
              </w:rPr>
              <w:lastRenderedPageBreak/>
              <w:t>Обобщена оценка на въздействието</w:t>
            </w:r>
          </w:p>
        </w:tc>
      </w:tr>
      <w:tr>
        <w:trPr>
          <w:jc w:val="center"/>
        </w:trP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after="0"/>
              <w:jc w:val="left"/>
              <w:rPr>
                <w:noProof/>
                <w:szCs w:val="24"/>
              </w:rPr>
            </w:pPr>
            <w:r>
              <w:rPr>
                <w:noProof/>
              </w:rPr>
              <w:t>Оценка на въздействието относно модернизирането на ДДС за целите на трансграничната електронна търговия</w:t>
            </w:r>
          </w:p>
        </w:tc>
      </w:tr>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А. Потребност от действия</w:t>
            </w:r>
          </w:p>
        </w:tc>
      </w:tr>
      <w:tr>
        <w:trPr>
          <w:jc w:val="center"/>
        </w:trPr>
        <w:tc>
          <w:tcPr>
            <w:tcW w:w="10188" w:type="dxa"/>
            <w:tcBorders>
              <w:bottom w:val="single" w:sz="4" w:space="0" w:color="auto"/>
            </w:tcBorders>
            <w:shd w:val="clear" w:color="auto" w:fill="E0E0E0"/>
          </w:tcPr>
          <w:p>
            <w:pPr>
              <w:spacing w:before="60" w:after="60"/>
              <w:rPr>
                <w:rFonts w:ascii="Tahoma" w:hAnsi="Tahoma" w:cs="Tahoma"/>
                <w:noProof/>
                <w:sz w:val="20"/>
              </w:rPr>
            </w:pPr>
            <w:r>
              <w:rPr>
                <w:rFonts w:ascii="Tahoma" w:hAnsi="Tahoma"/>
                <w:b/>
                <w:noProof/>
                <w:sz w:val="20"/>
              </w:rPr>
              <w:t xml:space="preserve">Защо? Какъв е разглежданият проблем? </w:t>
            </w:r>
          </w:p>
        </w:tc>
      </w:tr>
      <w:tr>
        <w:trPr>
          <w:jc w:val="center"/>
        </w:trP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Налице са три несъмнени причини, поради които системата на ДДС за трансгранична електронна търговия трябва да бъде реформирана. Причините, които пораждат тези проблеми, са заложени в разпоредбите на действащата Директива за ДДС и поради това държавите членки не могат да се справят с тях без действие на равнището на ЕС.</w:t>
            </w:r>
          </w:p>
          <w:p>
            <w:pPr>
              <w:spacing w:after="0"/>
              <w:rPr>
                <w:rFonts w:ascii="Arial" w:hAnsi="Arial" w:cs="Arial"/>
                <w:noProof/>
                <w:sz w:val="20"/>
              </w:rPr>
            </w:pPr>
            <w:r>
              <w:rPr>
                <w:rFonts w:ascii="Arial" w:hAnsi="Arial"/>
                <w:noProof/>
                <w:sz w:val="20"/>
              </w:rPr>
              <w:t xml:space="preserve">На първо място, сложността на задълженията по ДДС винаги е била посочвана като една от основните причини дадено предприятие да не се насочва към трансгранична електронна търговия, а това следователно означава, че единният пазар не е достъпен за много предприятия. Изчислено е, че разходите за спазване на задълженията по ДДС са средно 8 000 EUR годишно за всяка държава членка, до която дадено предприятие извършва доставки. Това са значителни разходи за предприятията, в частност за МСП. </w:t>
            </w:r>
          </w:p>
          <w:p>
            <w:pPr>
              <w:spacing w:after="0"/>
              <w:rPr>
                <w:rFonts w:ascii="Arial" w:hAnsi="Arial" w:cs="Arial"/>
                <w:noProof/>
                <w:sz w:val="20"/>
              </w:rPr>
            </w:pPr>
            <w:r>
              <w:rPr>
                <w:rFonts w:ascii="Arial" w:hAnsi="Arial"/>
                <w:noProof/>
                <w:sz w:val="20"/>
              </w:rPr>
              <w:t xml:space="preserve">На второ място, настоящата система не е неутрална, тъй като предприятията от ЕС са в очевидно по-неблагоприятно положение от предприятията от държави извън ЕС, които могат законно или не да извършват освободени от ДДС доставки в ЕС. Като се има предвид, че ставките на ДДС може да достигнат 27 %, налице е значително изкривяване в полза на предприятията извън ЕС, ако ДДС не се прилага.  </w:t>
            </w:r>
          </w:p>
          <w:p>
            <w:pPr>
              <w:spacing w:after="0"/>
              <w:rPr>
                <w:rFonts w:ascii="Arial" w:hAnsi="Arial" w:cs="Arial"/>
                <w:noProof/>
                <w:sz w:val="20"/>
              </w:rPr>
            </w:pPr>
            <w:r>
              <w:rPr>
                <w:rFonts w:ascii="Arial" w:hAnsi="Arial"/>
                <w:noProof/>
                <w:sz w:val="20"/>
              </w:rPr>
              <w:t xml:space="preserve">На трето място, сложността на съществуващата система, както и настоящото освобождаване на вноса на малки пратки означава, че държавите членки губят ценни данъчни приходи. Изчислено е, че в резултат на несъбран ДДС и на неспазване на правилата за трансгранична електронна търговия тези загуби към момента са в размер на 5 милиарда евро годишно. </w:t>
            </w:r>
          </w:p>
        </w:tc>
      </w:tr>
      <w:tr>
        <w:trPr>
          <w:jc w:val="center"/>
        </w:trPr>
        <w:tc>
          <w:tcPr>
            <w:tcW w:w="10188" w:type="dxa"/>
            <w:tcBorders>
              <w:bottom w:val="single" w:sz="4" w:space="0" w:color="auto"/>
            </w:tcBorders>
            <w:shd w:val="clear" w:color="auto" w:fill="E6E6E6"/>
          </w:tcPr>
          <w:p>
            <w:pPr>
              <w:spacing w:before="60" w:after="60"/>
              <w:rPr>
                <w:rFonts w:ascii="Tahoma" w:hAnsi="Tahoma" w:cs="Tahoma"/>
                <w:noProof/>
                <w:sz w:val="20"/>
              </w:rPr>
            </w:pPr>
            <w:r>
              <w:rPr>
                <w:rFonts w:ascii="Tahoma" w:hAnsi="Tahoma"/>
                <w:b/>
                <w:noProof/>
                <w:sz w:val="20"/>
              </w:rPr>
              <w:t xml:space="preserve">Какво се очаква да бъде постигнато с настоящата инициатива? </w:t>
            </w:r>
          </w:p>
        </w:tc>
      </w:tr>
      <w:tr>
        <w:trPr>
          <w:jc w:val="center"/>
        </w:trP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Конкретните цели на инициативата са: i) да се сведат до минимум пречките пред трансграничната електронна търговия, произтичащи от различните режими за ДДС, които възпрепятстват търговията в рамките на ЕС и неоснователно ограничават избора на потребителите; ii) да се осигурят равнопоставени условия за предприятията от ЕС, независимо дали участват в традиционната икономика, или се занимават с вътрешна или с трансгранична електронна търговия; iii) да се улесни наблюдаването на спазването на изискванията и борбата с измамите от страна на органите на държавите членки; и iv) да се гарантира, че приходите от ДДС отиват в държавата членка по потребление.</w:t>
            </w:r>
          </w:p>
        </w:tc>
      </w:tr>
      <w:tr>
        <w:trPr>
          <w:jc w:val="center"/>
        </w:trPr>
        <w:tc>
          <w:tcPr>
            <w:tcW w:w="10188" w:type="dxa"/>
            <w:tcBorders>
              <w:bottom w:val="single" w:sz="4" w:space="0" w:color="auto"/>
            </w:tcBorders>
            <w:shd w:val="clear" w:color="auto" w:fill="E6E6E6"/>
          </w:tcPr>
          <w:p>
            <w:pPr>
              <w:spacing w:before="60" w:after="60"/>
              <w:rPr>
                <w:rFonts w:ascii="Tahoma" w:hAnsi="Tahoma" w:cs="Tahoma"/>
                <w:noProof/>
                <w:sz w:val="20"/>
              </w:rPr>
            </w:pPr>
            <w:r>
              <w:rPr>
                <w:rFonts w:ascii="Tahoma" w:hAnsi="Tahoma"/>
                <w:b/>
                <w:noProof/>
                <w:sz w:val="20"/>
              </w:rPr>
              <w:t>Какво предимство имат действията на равнището на ЕС?</w:t>
            </w:r>
            <w:r>
              <w:rPr>
                <w:rFonts w:ascii="Tahoma" w:hAnsi="Tahoma"/>
                <w:noProof/>
                <w:sz w:val="20"/>
              </w:rPr>
              <w:t xml:space="preserve"> </w:t>
            </w:r>
          </w:p>
        </w:tc>
      </w:tr>
      <w:tr>
        <w:trPr>
          <w:jc w:val="center"/>
        </w:trP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 xml:space="preserve">При липсата на съгласуван подход на равнището на ЕС действията на национално равнище сами по себе си няма да разрешат проблемите, посочени по-горе. Факторите в основата на неравнопоставените условия на конкуренция за предприятията от ЕС, като например освобождаването от ДДС на вноса на малки пратки и праговете за дистанционни продажби в ЕС, са заложени в Директивата за ДДС и следователно за да се разрешат тези въпроси, тя трябва да бъде изменена. Освен това начините за опростяване на трансграничните задължения по ДДС, като например разширяването на обхвата на режима за съкратено обслужване на едно гише и по-добрата координация между държавите членки за гарантиране на правилното данъчно облагане, могат да бъде постигнати само на равнището на ЕС. </w:t>
            </w:r>
          </w:p>
          <w:p>
            <w:pPr>
              <w:spacing w:after="0"/>
              <w:rPr>
                <w:rFonts w:ascii="Arial" w:hAnsi="Arial" w:cs="Arial"/>
                <w:noProof/>
                <w:sz w:val="20"/>
              </w:rPr>
            </w:pPr>
          </w:p>
        </w:tc>
      </w:tr>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rPr>
          <w:jc w:val="center"/>
        </w:trPr>
        <w:tc>
          <w:tcPr>
            <w:tcW w:w="10188" w:type="dxa"/>
            <w:tcBorders>
              <w:bottom w:val="single" w:sz="4" w:space="0" w:color="auto"/>
            </w:tcBorders>
            <w:shd w:val="clear" w:color="auto" w:fill="E6E6E6"/>
          </w:tcPr>
          <w:p>
            <w:pPr>
              <w:spacing w:before="60" w:after="0"/>
              <w:rPr>
                <w:rFonts w:ascii="Tahoma" w:hAnsi="Tahoma" w:cs="Tahoma"/>
                <w:noProof/>
                <w:sz w:val="20"/>
              </w:rPr>
            </w:pPr>
            <w:r>
              <w:rPr>
                <w:rFonts w:ascii="Tahoma" w:hAnsi="Tahoma"/>
                <w:b/>
                <w:noProof/>
                <w:sz w:val="20"/>
              </w:rPr>
              <w:t>Кои законодателни и незаконодателни варианти на политиката бяха разгледани?</w:t>
            </w:r>
            <w:r>
              <w:rPr>
                <w:rFonts w:ascii="Tahoma" w:hAnsi="Tahoma"/>
                <w:noProof/>
                <w:sz w:val="20"/>
              </w:rPr>
              <w:t xml:space="preserve"> </w:t>
            </w:r>
            <w:r>
              <w:rPr>
                <w:rFonts w:ascii="Tahoma" w:hAnsi="Tahoma"/>
                <w:b/>
                <w:noProof/>
                <w:sz w:val="20"/>
              </w:rPr>
              <w:t xml:space="preserve">Има ли предпочитан вариант? Защо? </w:t>
            </w:r>
          </w:p>
        </w:tc>
      </w:tr>
      <w:tr>
        <w:trPr>
          <w:jc w:val="center"/>
        </w:trP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 xml:space="preserve">Бяха разгледани шест варианта на политиката. Тези варианти бяха вдъхновени от доклада от 2014 г. на Експертната група на Комисията по данъчното облагане на цифровата икономика и бяха обсъдени при разговори с бизнеса, включително с МСП, с държавите членки и в междуведомствената работна група. Предвижда се вариантите да се допълват взаимно и да надграждат един върху друг, като преминават от минимална намеса за разрешаване на проблема с неутралността (вариант 2), през въвеждането на праг за решаване на трансграничните проблеми, с които се сблъскват микропредприятията и стартиращите предприятия, и стигат до по-задълбочена намеса, предложена при варианти 4, 5 и 6, изразена в разширяване на обхвата на режима за съкратено обслужване на едно гише, което да позволи на предприятията да отчитат по опростен начин дължимите в други държави членки данъци. Вариант 5 позволява на дадено предприятие да поеме същите задължения, както при сделките на национално равнище, вместо да трябва да прилага 28 различни правила в зависимост от държавата членка по потребление. Вариант 6 предлага хармонизирани правила за предприятията, които използват разширения режим за съкратено обслужване на едно гише за вътреобщностните сделки между предприятия и потребители. Предпочитаният вариант е вариант 5, с който някои опростявания ще бъдат въведени през 2018 г., като по-голямата част от реформите, по-специално разширяването на режима за съкратено обслужване на едно гише, ще влязат в сила през 2021 г. </w:t>
            </w:r>
          </w:p>
          <w:p>
            <w:pPr>
              <w:spacing w:after="0"/>
              <w:rPr>
                <w:rFonts w:ascii="Arial" w:hAnsi="Arial" w:cs="Arial"/>
                <w:noProof/>
                <w:sz w:val="20"/>
              </w:rPr>
            </w:pPr>
          </w:p>
          <w:p>
            <w:pPr>
              <w:spacing w:after="0"/>
              <w:rPr>
                <w:rFonts w:ascii="Arial" w:hAnsi="Arial" w:cs="Arial"/>
                <w:noProof/>
                <w:sz w:val="20"/>
              </w:rPr>
            </w:pPr>
            <w:r>
              <w:rPr>
                <w:rFonts w:ascii="Arial" w:hAnsi="Arial"/>
                <w:noProof/>
                <w:sz w:val="20"/>
              </w:rPr>
              <w:t>Като се има предвид, че ДДС е данък на равнището на ЕС, чиято обща законодателна рамка се определя от Директивата за ДДС (2006/ЕС/112), не може да се счита, че тези цели могат да бъдат постигнати без законодателно предложение за изменение на посочената директива и свързаните с нея регламенти.</w:t>
            </w:r>
          </w:p>
        </w:tc>
      </w:tr>
      <w:tr>
        <w:trPr>
          <w:jc w:val="center"/>
        </w:trPr>
        <w:tc>
          <w:tcPr>
            <w:tcW w:w="10188" w:type="dxa"/>
            <w:shd w:val="clear" w:color="auto" w:fill="CCCCCC"/>
          </w:tcPr>
          <w:p>
            <w:pPr>
              <w:spacing w:before="60" w:after="0"/>
              <w:rPr>
                <w:rFonts w:ascii="Tahoma" w:hAnsi="Tahoma" w:cs="Tahoma"/>
                <w:noProof/>
                <w:sz w:val="20"/>
              </w:rPr>
            </w:pPr>
            <w:r>
              <w:rPr>
                <w:rFonts w:ascii="Tahoma" w:hAnsi="Tahoma"/>
                <w:b/>
                <w:noProof/>
                <w:sz w:val="20"/>
              </w:rPr>
              <w:t xml:space="preserve">Кой подкрепя отделните варианти? </w:t>
            </w:r>
          </w:p>
        </w:tc>
      </w:tr>
      <w:tr>
        <w:trPr>
          <w:jc w:val="center"/>
        </w:trPr>
        <w:tc>
          <w:tcPr>
            <w:tcW w:w="10188" w:type="dxa"/>
            <w:shd w:val="clear" w:color="auto" w:fill="auto"/>
          </w:tcPr>
          <w:p>
            <w:pPr>
              <w:spacing w:after="0"/>
              <w:jc w:val="left"/>
              <w:rPr>
                <w:rFonts w:ascii="Arial" w:hAnsi="Arial" w:cs="Arial"/>
                <w:noProof/>
                <w:sz w:val="20"/>
              </w:rPr>
            </w:pPr>
            <w:r>
              <w:rPr>
                <w:rFonts w:ascii="Arial" w:hAnsi="Arial"/>
                <w:noProof/>
                <w:sz w:val="20"/>
              </w:rPr>
              <w:t xml:space="preserve">Най-общо казано стопанският сектор подкрепя варианти 4, 5 и 6, с предпочитание към вариант 5, тъй като той е насочен към премахване на изкривяванията и едновременно с това въвежда опростявания при събирането на данъка и свързаните с него задължения. МСП и стартиращите предприятия подкрепят силно въвеждането на вътрешен за ЕС праг, за да се сведе до минимум тежестта за тях — вариант 5 ще позволи на тези предприятия да се възползват от прага в началния етап от търговията в рамките на ЕС, като за тези предприятия ще бъдат налице значителни опростявания, когато прагът бъде надвишен. Пощенските оператори се опасяват от премахването на освобождаването за малки пратки поради трудностите, които очакват в краткосрочен план при събирането на данъци по вноса на значителен брой допълнителни колети. Ето защо вариант 5 предлага редица различни методи за опростяване, които конкретно да облекчат трудностите, с които ще се сблъскат тези оператори. Следва да се отбележи, че необлагането на такива пратки допринася за неравнопоставеността за предприятията от ЕС в допълнение към значителната загуба на данъчни приходи за държавите членки. Доставчиците на експресни куриерски услуги като цяло подкрепят варианти 4, 5 и 6, съгласно които вносителите на стоки, предназначени за крайните потребители, могат да се възползват от режима за съкратено обслужване на едно гише в рамките на митническия праг.  </w:t>
            </w:r>
          </w:p>
        </w:tc>
      </w:tr>
    </w:tbl>
    <w:p>
      <w:pPr>
        <w:spacing w:after="0"/>
        <w:jc w:val="left"/>
        <w:rPr>
          <w:rFonts w:ascii="Arial" w:hAnsi="Arial" w:cs="Arial"/>
          <w:noProof/>
          <w:sz w:val="12"/>
          <w:szCs w:val="12"/>
        </w:rPr>
      </w:pPr>
    </w:p>
    <w:tbl>
      <w:tblPr>
        <w:tblStyle w:val="TableGrid"/>
        <w:tblW w:w="10188" w:type="dxa"/>
        <w:jc w:val="center"/>
        <w:tblLook w:val="01E0" w:firstRow="1" w:lastRow="1" w:firstColumn="1" w:lastColumn="1" w:noHBand="0" w:noVBand="0"/>
      </w:tblPr>
      <w:tblGrid>
        <w:gridCol w:w="10188"/>
      </w:tblGrid>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предпочитания вариант</w:t>
            </w:r>
          </w:p>
        </w:tc>
      </w:tr>
      <w:tr>
        <w:trPr>
          <w:jc w:val="center"/>
        </w:trPr>
        <w:tc>
          <w:tcPr>
            <w:tcW w:w="10188" w:type="dxa"/>
            <w:tcBorders>
              <w:bottom w:val="single" w:sz="4" w:space="0" w:color="auto"/>
            </w:tcBorders>
            <w:shd w:val="clear" w:color="auto" w:fill="E6E6E6"/>
          </w:tcPr>
          <w:p>
            <w:pPr>
              <w:spacing w:before="60" w:after="60"/>
              <w:rPr>
                <w:rFonts w:ascii="Tahoma" w:hAnsi="Tahoma" w:cs="Tahoma"/>
                <w:noProof/>
                <w:sz w:val="20"/>
              </w:rPr>
            </w:pPr>
            <w:r>
              <w:rPr>
                <w:rFonts w:ascii="Tahoma" w:hAnsi="Tahoma"/>
                <w:b/>
                <w:noProof/>
                <w:sz w:val="20"/>
              </w:rPr>
              <w:t>Какви са ползите от предпочитания вариант (ако има такъв; в противен случай — от основните варианти)?</w:t>
            </w:r>
            <w:r>
              <w:rPr>
                <w:rFonts w:ascii="Tahoma" w:hAnsi="Tahoma"/>
                <w:noProof/>
                <w:sz w:val="20"/>
              </w:rPr>
              <w:t xml:space="preserve">                                      </w:t>
            </w:r>
          </w:p>
        </w:tc>
      </w:tr>
      <w:tr>
        <w:trPr>
          <w:jc w:val="center"/>
        </w:trP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 xml:space="preserve">Този вариант носи значителни ползи: 1) намалява общите разходи за привеждане в съответствие за предприятията с 55 % (или 2,3 милиарда евро) в сравнение с текущата ситуация, т.е. за предприятие, което желае да започне трансгранична търговия, разходите ще бъдат с 95 % по-ниски отколкото алтернативния вариант за пряка регистрация; 2) повишава конкурентоспособността на европейските предприятия в традиционната и в цифровата икономика чрез осигуряване на равнопоставени условия на конкуренция, тъй като доставчиците извън ЕС ще трябва да начисляват ДДС върху всички свои сделки в ЕС; 3) с тези мерки се разширява електронната търговия в рамките на ЕС; и 4) приходите от ДДС за държавите членки нарастват със 7 милиарда евро (считано от 2021 г.) годишно в резултат на по-строгото спазване на правилата и премахнатото освобождаване от ДДС на вноса на малки пратки. </w:t>
            </w:r>
          </w:p>
        </w:tc>
      </w:tr>
      <w:tr>
        <w:trPr>
          <w:jc w:val="center"/>
        </w:trPr>
        <w:tc>
          <w:tcPr>
            <w:tcW w:w="10188" w:type="dxa"/>
            <w:tcBorders>
              <w:bottom w:val="single" w:sz="4" w:space="0" w:color="auto"/>
            </w:tcBorders>
            <w:shd w:val="clear" w:color="auto" w:fill="E6E6E6"/>
          </w:tcPr>
          <w:p>
            <w:pPr>
              <w:spacing w:before="60" w:after="60"/>
              <w:rPr>
                <w:rFonts w:ascii="Tahoma" w:hAnsi="Tahoma" w:cs="Tahoma"/>
                <w:noProof/>
                <w:sz w:val="20"/>
              </w:rPr>
            </w:pPr>
            <w:r>
              <w:rPr>
                <w:rFonts w:ascii="Tahoma" w:hAnsi="Tahoma"/>
                <w:b/>
                <w:noProof/>
                <w:sz w:val="20"/>
              </w:rPr>
              <w:t>Какви са разходите за предпочитания вариант (ако има такъв; в противен случай — за основните варианти)?</w:t>
            </w:r>
            <w:r>
              <w:rPr>
                <w:rFonts w:ascii="Tahoma" w:hAnsi="Tahoma"/>
                <w:noProof/>
                <w:sz w:val="20"/>
              </w:rPr>
              <w:t xml:space="preserve">                                      </w:t>
            </w:r>
          </w:p>
        </w:tc>
      </w:tr>
      <w:tr>
        <w:trPr>
          <w:jc w:val="center"/>
        </w:trP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 xml:space="preserve">Що се отнася до разходите за държавите членки: много положителен аспект на този вариант е, че вече е налична инфраструктура (под формата на съществуващия режим за съкратено обслужване на едно гише) и поради това техническите предизвикателства пред разширяването на този режим, така че да обхване и материални стоки, би следвало да не са сериозни. </w:t>
            </w:r>
          </w:p>
        </w:tc>
      </w:tr>
      <w:tr>
        <w:trPr>
          <w:jc w:val="center"/>
        </w:trPr>
        <w:tc>
          <w:tcPr>
            <w:tcW w:w="10188" w:type="dxa"/>
            <w:tcBorders>
              <w:bottom w:val="single" w:sz="4" w:space="0" w:color="auto"/>
            </w:tcBorders>
            <w:shd w:val="clear" w:color="auto" w:fill="E6E6E6"/>
          </w:tcPr>
          <w:p>
            <w:pPr>
              <w:spacing w:before="60" w:after="60"/>
              <w:rPr>
                <w:rFonts w:ascii="Tahoma" w:hAnsi="Tahoma" w:cs="Tahoma"/>
                <w:noProof/>
                <w:sz w:val="20"/>
              </w:rPr>
            </w:pPr>
            <w:r>
              <w:rPr>
                <w:rFonts w:ascii="Tahoma" w:hAnsi="Tahoma"/>
                <w:b/>
                <w:noProof/>
                <w:sz w:val="20"/>
              </w:rPr>
              <w:t xml:space="preserve">Какви ще са последиците за предприятията, МСП и микропредприятията? </w:t>
            </w:r>
          </w:p>
        </w:tc>
      </w:tr>
      <w:tr>
        <w:trPr>
          <w:jc w:val="center"/>
        </w:trPr>
        <w:tc>
          <w:tcPr>
            <w:tcW w:w="10188" w:type="dxa"/>
            <w:tcBorders>
              <w:bottom w:val="single" w:sz="4" w:space="0" w:color="auto"/>
            </w:tcBorders>
            <w:shd w:val="clear" w:color="auto" w:fill="auto"/>
          </w:tcPr>
          <w:p>
            <w:pPr>
              <w:spacing w:before="60" w:after="60"/>
              <w:rPr>
                <w:rFonts w:ascii="Arial" w:hAnsi="Arial" w:cs="Arial"/>
                <w:noProof/>
                <w:sz w:val="20"/>
              </w:rPr>
            </w:pPr>
            <w:r>
              <w:rPr>
                <w:rFonts w:ascii="Arial" w:hAnsi="Arial"/>
                <w:noProof/>
                <w:sz w:val="20"/>
              </w:rPr>
              <w:t>Друго важно предимство е, че инициативата е благоприятна за МСП — въвеждането на праг за промените, предвидени за 2021 г., ще даде възможност на над 400 000 предприятия да търгуват отвъд граница, без да е необходимо да се регистрират по режима за съкратено обслужване на едно гише. Това ще им позволи да разширят трансграничните си дейности. С разрастването на дейността им и след надхвърляне на прага, те ще могат да продължат да прилагат правилата на държавата по произход, с изключение на ставките на ДДС, и ще могат да използват режима за съкратено обслужване на едно гише, за да декларират по опростен начин ДДС, дължим в други държави членки.  Микропредприятията ще имат полза от въвеждането през 2018 г. на нов европейски трансграничен праг за електронни услуги, както и на опростени изисквания, които да им позволят да идентифицират държавата членка на крайните потребители.</w:t>
            </w:r>
          </w:p>
          <w:p>
            <w:pPr>
              <w:spacing w:before="60" w:after="60"/>
              <w:rPr>
                <w:rFonts w:ascii="Arial" w:hAnsi="Arial" w:cs="Arial"/>
                <w:noProof/>
                <w:sz w:val="20"/>
              </w:rPr>
            </w:pPr>
            <w:r>
              <w:rPr>
                <w:rFonts w:ascii="Arial" w:hAnsi="Arial"/>
                <w:noProof/>
                <w:sz w:val="20"/>
              </w:rPr>
              <w:t>Заинтересовани страни като обществените пощенски оператори ще имат нужда от време, за да адаптират системите си към тези промени, по-специално защото всички търговски доставки за ЕС вече ще подлежат на облагане с ДДС. Продавачите извън ЕС ще могат да отчитат ДДС чрез режима за съкратено обслужване на едно гише, какъвто понастоящем е случаят с електронните услуги, което ще доведе до значително опростяване на процедурите за митническо оформяне на стоки, идващи от държави извън ЕС. Дори в случаите, когато режимът за съкратено обслужване на едно гише няма да се използва от продавачи извън ЕС, ще бъдат въведени опростени изисквания за събиране на ДДС при внос основно за да се отговори на специфичните нужди на пощенските оператори. Предлага се датата на въвеждане да бъде 2021 г. Това ще позволи на различните заинтересовани страни да се справят ефективно с всички предизвикателства, произтичащи от премахването на освобождаването при вноса на малки пратки.</w:t>
            </w:r>
          </w:p>
        </w:tc>
      </w:tr>
      <w:tr>
        <w:trPr>
          <w:jc w:val="center"/>
        </w:trPr>
        <w:tc>
          <w:tcPr>
            <w:tcW w:w="10188" w:type="dxa"/>
            <w:tcBorders>
              <w:bottom w:val="single" w:sz="4" w:space="0" w:color="auto"/>
            </w:tcBorders>
            <w:shd w:val="clear" w:color="auto" w:fill="E6E6E6"/>
          </w:tcPr>
          <w:p>
            <w:pPr>
              <w:spacing w:before="60" w:after="0"/>
              <w:rPr>
                <w:rFonts w:ascii="Tahoma" w:hAnsi="Tahoma" w:cs="Tahoma"/>
                <w:b/>
                <w:i/>
                <w:noProof/>
                <w:sz w:val="20"/>
              </w:rPr>
            </w:pPr>
            <w:r>
              <w:rPr>
                <w:rFonts w:ascii="Tahoma" w:hAnsi="Tahoma"/>
                <w:b/>
                <w:noProof/>
                <w:sz w:val="20"/>
              </w:rPr>
              <w:t>Ще има ли значително отражение върху националните бюджети и администрации?</w:t>
            </w:r>
            <w:r>
              <w:rPr>
                <w:rFonts w:ascii="Tahoma" w:hAnsi="Tahoma"/>
                <w:noProof/>
                <w:sz w:val="20"/>
              </w:rPr>
              <w:t xml:space="preserve"> </w:t>
            </w:r>
          </w:p>
        </w:tc>
      </w:tr>
      <w:tr>
        <w:trPr>
          <w:jc w:val="center"/>
        </w:trPr>
        <w:tc>
          <w:tcPr>
            <w:tcW w:w="10188" w:type="dxa"/>
            <w:shd w:val="clear" w:color="auto" w:fill="auto"/>
          </w:tcPr>
          <w:p>
            <w:pPr>
              <w:spacing w:after="0"/>
              <w:rPr>
                <w:rFonts w:ascii="Arial" w:hAnsi="Arial" w:cs="Arial"/>
                <w:noProof/>
                <w:sz w:val="20"/>
              </w:rPr>
            </w:pPr>
            <w:r>
              <w:rPr>
                <w:rFonts w:ascii="Arial" w:hAnsi="Arial"/>
                <w:noProof/>
                <w:sz w:val="20"/>
              </w:rPr>
              <w:t xml:space="preserve">Както е посочено по-горе, държавите членки ще увеличат своите приходи от данъци. Промените в процедурите по внос, по силата на които всички пратки ще бъдат облагани с ДДС, ще поставят някои предизвикателства пред митническите администрации, но те ще бъдат смекчени чрез инвестиции в информационно-технологични решения по програми на ЕС. Датата на въвеждане в сила — през 2021 г., ще спомогне за осигуряване на необходимото време за адаптация. </w:t>
            </w:r>
          </w:p>
        </w:tc>
      </w:tr>
      <w:tr>
        <w:trPr>
          <w:jc w:val="center"/>
        </w:trPr>
        <w:tc>
          <w:tcPr>
            <w:tcW w:w="10188" w:type="dxa"/>
            <w:tcBorders>
              <w:bottom w:val="single" w:sz="4" w:space="0" w:color="auto"/>
            </w:tcBorders>
            <w:shd w:val="clear" w:color="auto" w:fill="E6E6E6"/>
          </w:tcPr>
          <w:p>
            <w:pPr>
              <w:spacing w:before="60" w:after="0"/>
              <w:rPr>
                <w:rFonts w:ascii="Tahoma" w:hAnsi="Tahoma" w:cs="Tahoma"/>
                <w:noProof/>
                <w:sz w:val="20"/>
              </w:rPr>
            </w:pPr>
            <w:r>
              <w:rPr>
                <w:rFonts w:ascii="Tahoma" w:hAnsi="Tahoma"/>
                <w:b/>
                <w:noProof/>
                <w:sz w:val="20"/>
              </w:rPr>
              <w:t>Ще има ли други значими въздействия?</w:t>
            </w:r>
            <w:r>
              <w:rPr>
                <w:rFonts w:ascii="Tahoma" w:hAnsi="Tahoma"/>
                <w:noProof/>
                <w:sz w:val="20"/>
              </w:rPr>
              <w:t xml:space="preserve"> </w:t>
            </w:r>
          </w:p>
        </w:tc>
      </w:tr>
      <w:tr>
        <w:trPr>
          <w:jc w:val="center"/>
        </w:trP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 xml:space="preserve">Няма други значими въздействия. </w:t>
            </w:r>
          </w:p>
        </w:tc>
      </w:tr>
      <w:tr>
        <w:trPr>
          <w:jc w:val="center"/>
        </w:trP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действия</w:t>
            </w:r>
          </w:p>
        </w:tc>
      </w:tr>
      <w:tr>
        <w:trPr>
          <w:jc w:val="center"/>
        </w:trPr>
        <w:tc>
          <w:tcPr>
            <w:tcW w:w="10188" w:type="dxa"/>
            <w:tcBorders>
              <w:bottom w:val="single" w:sz="4" w:space="0" w:color="auto"/>
            </w:tcBorders>
            <w:shd w:val="clear" w:color="auto" w:fill="E6E6E6"/>
          </w:tcPr>
          <w:p>
            <w:pPr>
              <w:spacing w:before="60" w:after="0"/>
              <w:rPr>
                <w:rFonts w:ascii="Tahoma" w:hAnsi="Tahoma" w:cs="Tahoma"/>
                <w:noProof/>
                <w:sz w:val="20"/>
              </w:rPr>
            </w:pPr>
            <w:r>
              <w:rPr>
                <w:rFonts w:ascii="Tahoma" w:hAnsi="Tahoma"/>
                <w:b/>
                <w:noProof/>
                <w:sz w:val="20"/>
              </w:rPr>
              <w:t xml:space="preserve">Кога ще бъде следващото преразглеждане на политиката? </w:t>
            </w:r>
          </w:p>
        </w:tc>
      </w:tr>
      <w:tr>
        <w:trPr>
          <w:jc w:val="center"/>
        </w:trPr>
        <w:tc>
          <w:tcPr>
            <w:tcW w:w="10188" w:type="dxa"/>
            <w:tcBorders>
              <w:bottom w:val="single" w:sz="4" w:space="0" w:color="auto"/>
            </w:tcBorders>
            <w:shd w:val="clear" w:color="auto" w:fill="auto"/>
          </w:tcPr>
          <w:p>
            <w:pPr>
              <w:spacing w:after="0"/>
              <w:rPr>
                <w:rFonts w:ascii="Tahoma" w:hAnsi="Tahoma" w:cs="Tahoma"/>
                <w:noProof/>
                <w:sz w:val="20"/>
              </w:rPr>
            </w:pPr>
            <w:r>
              <w:rPr>
                <w:rFonts w:ascii="Tahoma" w:hAnsi="Tahoma"/>
                <w:noProof/>
                <w:sz w:val="20"/>
              </w:rPr>
              <w:t xml:space="preserve">Текущото прилагане ще бъде наблюдавано от Постоянния комитет по административно сътрудничество, по-специално показателите за приемането на политиката от бизнеса, постигането на съответствие и приходите от ДДС по режима за съкратено обслужване на едно гише.       </w:t>
            </w:r>
          </w:p>
        </w:tc>
      </w:tr>
    </w:tbl>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4898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9"/>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20"/>
  </w:num>
  <w:num w:numId="19">
    <w:abstractNumId w:val="8"/>
  </w:num>
  <w:num w:numId="20">
    <w:abstractNumId w:val="21"/>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EA3B0FB1F3C24D7A819C35582895F016"/>
    <w:docVar w:name="LW_CROSSREFERENCE" w:val="{COM(2016) 757 final}_x000b_{SWD(2016) 379 final}"/>
    <w:docVar w:name="LW_DocType" w:val="REP"/>
    <w:docVar w:name="LW_EMISSION" w:val="1.12.2016"/>
    <w:docVar w:name="LW_EMISSION_ISODATE" w:val="2016-12-01"/>
    <w:docVar w:name="LW_EMISSION_LOCATION" w:val="BRX"/>
    <w:docVar w:name="LW_EMISSION_PREFIX" w:val="Брюксел, "/>
    <w:docVar w:name="LW_EMISSION_SUFFIX" w:val=" \u1075?."/>
    <w:docVar w:name="LW_ID_DOCTYPE_NONLW" w:val="CP-027"/>
    <w:docVar w:name="LW_LANGUE" w:val="BG"/>
    <w:docVar w:name="LW_MARKING" w:val="&lt;UNUSED&gt;"/>
    <w:docVar w:name="LW_NOM.INST" w:val="\u1045?\u1042?\u1056?\u1054?\u1055?\u1045?\u1049?\u1057?\u1050?\u1040? \u1050?\u1054?\u1052?\u1048?\u1057?\u1048?\u1071?"/>
    <w:docVar w:name="LW_NOM.INST_JOINTDOC" w:val="&lt;EMPTY&gt;"/>
    <w:docVar w:name="LW_OBJETACTEPRINCIPAL.CP" w:val="\u1052?\u1086?\u1076?\u1077?\u1088?\u1085?\u1080?\u1079?\u1080?\u1088?\u1072?\u1085?\u1077? \u1085?\u1072? \u1044?\u1044?\u1057? \u1079?\u1072? \u1094?\u1077?\u1083?\u1080?\u1090?\u1077? \u1085?\u1072? \u1090?\u1088?\u1072?\u1085?\u1089?\u1075?\u1088?\u1072?\u1085?\u1080?\u1095?\u1085?\u1072?\u1090?\u1072? \u1077?\u1083?\u1077?\u1082?\u1090?\u1088?\u1086?\u1085?\u1085?\u1072? \u1090?\u1098?\u1088?\u1075?\u1086?\u1074?\u1080?\u1103? \u1084?\u1077?\u1078?\u1076?\u1091? \u1087?\u1088?\u1077?\u1076?\u1087?\u1088?\u1080?\u1103?\u1090?\u1080?\u1103? \u1080? \u1087?\u1086?\u1090?\u1088?\u1077?\u1073?\u1080?\u1090?\u1077?\u1083?\u1080?"/>
    <w:docVar w:name="LW_PART_NBR" w:val="1"/>
    <w:docVar w:name="LW_PART_NBR_TOTAL" w:val="1"/>
    <w:docVar w:name="LW_REF.INST.NEW" w:val="SWD"/>
    <w:docVar w:name="LW_REF.INST.NEW_ADOPTED" w:val="final"/>
    <w:docVar w:name="LW_REF.INST.NEW_TEXT" w:val="(2016) 382"/>
    <w:docVar w:name="LW_REF.INTERNE" w:val="&lt;UNUSED&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u1044?\u1080?\u1088?\u1077?\u1082?\u1090?\u1080?\u1074?\u1072? \u1085?\u1072? \u1057?\u1098?\u1074?\u1077?\u1090?\u1072?, \u1056?\u1077?\u1075?\u1083?\u1072?\u1084?\u1077?\u1085?\u1090? \u1079?\u1072? \u1080?\u1079?\u1087?\u1098?\u1083?\u1085?\u1077?\u1085?\u1080?\u1077? \u1085?\u1072? \u1057?\u1098?\u1074?\u1077?\u1090?\u1072? \u1080? \u1056?\u1077?\u1075?\u1083?\u1072?\u1084?\u1077?\u1085?\u1090? \u1085?\u1072? \u1057?\u1098?\u1074?\u1077?\u1090?\u1072? \u1086?\u1090?\u1085?\u1086?\u1089?\u1085?\u1086?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REP.DOTM</Template>
  <TotalTime>27</TotalTime>
  <Pages>4</Pages>
  <Words>1667</Words>
  <Characters>9354</Characters>
  <Application>Microsoft Office Word</Application>
  <DocSecurity>0</DocSecurity>
  <PresentationFormat>Microsoft Word 14.0</PresentationFormat>
  <Lines>139</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18</cp:revision>
  <cp:lastPrinted>2016-11-21T14:16:00Z</cp:lastPrinted>
  <dcterms:created xsi:type="dcterms:W3CDTF">2016-11-24T15:35:00Z</dcterms:created>
  <dcterms:modified xsi:type="dcterms:W3CDTF">2016-12-08T10:59:00Z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David O'Sullivan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