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65FE665FA0D4FF8B1074F383E9BA290" style="width:450.75pt;height:450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Настоящото предложение е част от пакета от законодателни мерки относно модернизирането на ДДС за целите на трансграничната електронна търговия между предприятия и потребители (B2C). Контекстът на пакета е изложен подробно в обяснителния меморандум към предложението за Директива на Съвета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 COM(2016) 757. При изготвянето на този пакет от предложения като част от програмата за по-добро регулиране, Комисията извърши проверка за регулаторна пригодност на съществуващия режим за съкратено обслужване на едно гише (MOSS), който се прилага за доставки между предприятия и потребители на далекосъобщителни услуги, услуги по радио- и телевизионно излъчване и услуги, извършвани по електронен път, както и на промените от 2015 г. по отношение на правилата за мястото на доставка на тези услуги. Регулаторната проверка за пригодност установи, че изискването като част от правилата от 2015 г. за използване на две доказателства за определяне на местоположението на клиентите е особено обременяващо за малките и средните предприятия и микропредприятията.</w:t>
      </w:r>
    </w:p>
    <w:p>
      <w:pPr>
        <w:rPr>
          <w:noProof/>
        </w:rPr>
      </w:pPr>
      <w:r>
        <w:rPr>
          <w:noProof/>
        </w:rPr>
        <w:t>Предложението за изменение на Регламент за изпълнение (ЕС) № 282/2011 на Съвета за установяване на мерки за прилагане на Директива 2006/112/ЕО относно общата система на данъка върху добавената стойност</w:t>
      </w:r>
      <w:r>
        <w:rPr>
          <w:rStyle w:val="FootnoteReference"/>
          <w:noProof/>
        </w:rPr>
        <w:footnoteReference w:id="1"/>
      </w:r>
      <w:r>
        <w:rPr>
          <w:noProof/>
        </w:rPr>
        <w:t xml:space="preserve"> има за цел да отстрани този недостатък, считано от 2018 г., като предвижда, че за предприятие с трансгранични вътреобщностни доставки на далекосъобщителни услуги, услуги по радио- и телевизионно излъчване и услуги, извършвани по електронен път, на стойност до 100 000 EUR ще е необходимо само едно доказателство.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szCs w:val="24"/>
          <w:u w:color="000000"/>
          <w:bdr w:val="nil"/>
        </w:rPr>
      </w:pPr>
      <w:r>
        <w:rPr>
          <w:noProof/>
        </w:rPr>
        <w:t>Предложението се основава на член 397 от Директива 2006/112/ЕО относно общата система на данъка върху добавената стойност</w:t>
      </w:r>
      <w:r>
        <w:rPr>
          <w:rStyle w:val="FootnoteReference"/>
          <w:noProof/>
          <w:u w:color="000000"/>
          <w:bdr w:val="nil"/>
        </w:rPr>
        <w:footnoteReference w:id="2"/>
      </w:r>
      <w:r>
        <w:rPr>
          <w:noProof/>
        </w:rPr>
        <w:t xml:space="preserve"> (наричана по-нататък „Директивата за ДДС“). Съгласно посочения член </w:t>
      </w:r>
      <w:r>
        <w:rPr>
          <w:noProof/>
          <w:color w:val="000000"/>
        </w:rPr>
        <w:t>Съветът, действащ с единодушие, по предложение на Комисията приема необходимите мерки за прилагане на Директивата за ДДС</w:t>
      </w:r>
      <w:r>
        <w:rPr>
          <w:noProof/>
        </w:rPr>
        <w:t>.</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tabs>
          <w:tab w:val="left" w:pos="2302"/>
        </w:tabs>
        <w:spacing w:before="0" w:after="240"/>
        <w:rPr>
          <w:rFonts w:eastAsia="Times New Roman"/>
          <w:noProof/>
          <w:szCs w:val="20"/>
        </w:rPr>
      </w:pPr>
      <w:r>
        <w:rPr>
          <w:noProof/>
        </w:rPr>
        <w:t>Предложението е в съответствие с принципа на субсидиарност, тъй като идентифицираният проблем (голяма административна тежест, по-специално за малките и средните предприятия) произтича от изискване, предвидено в съществуващия регламент. Предложението опростява това изискване и по този начин недвусмислено предлага добавена стойност, която надвишава това, което би могло да се постигне  на равнището на държавите членки.</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Предложението е в съответствие с принципа на пропорционалност, т.е. то не надхвърля необходимото за постигане на целите на Договора за функционирането на Европейския съюз, и особено безпрепятственото функциониране на единния пазар. Както и при проверката за спазване на принципа на субсидиарност, не е възможно за държавите членки да се справят с проблемите и с причините за възникването им без предложение за изменение на Директивата за ДДС и свързаните с нея актове. Въвеждането на настоящото предложение е пропорционално, тъй като с него се предлага значително опростяване за малките и средните предприятия и микропредприятията. Това опростяване обаче не създава ненужни рискове за приходите от ДДС за държавите членки, тъй като общият обем на продажбите за предприятията, които ще се възползват от това опростяване, се очаква да възлиза на едва 0,3 % от общите трансгранични продажби на въпросните услуги.</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С настоящото предложение се изменя Регламент за изпълнение (ЕС) № 282/2011 на Съвета.</w:t>
      </w:r>
    </w:p>
    <w:p>
      <w:pPr>
        <w:pStyle w:val="ManualHeading1"/>
        <w:rPr>
          <w:noProof/>
        </w:rPr>
      </w:pPr>
      <w:r>
        <w:rPr>
          <w:noProof/>
        </w:rPr>
        <w:t>3.</w:t>
      </w:r>
      <w:r>
        <w:rPr>
          <w:noProof/>
        </w:rPr>
        <w:tab/>
        <w:t>РЕЗУЛТАТИ ОТ ПОСЛЕДВАЩАТА ОЦЕНКА, ОТ КОНСУЛТАЦИЯТА СЪС ЗАИНТЕРЕСОВАНИТЕ СТРАНИ И ОТ ОЦЕНКАТА НА ВЪЗДЕЙСТВИЕТО</w:t>
      </w:r>
    </w:p>
    <w:p>
      <w:pPr>
        <w:rPr>
          <w:noProof/>
        </w:rPr>
      </w:pPr>
      <w:r>
        <w:rPr>
          <w:noProof/>
        </w:rPr>
        <w:t>Настоящото предложение е част от пакета от законодателни мерки относно модернизирането на ДДС за трансграничната електронна търговия между предприятия и потребители (B2C). Резултатите от последващата оценка, консултацията със заинтересованите страни и оценката на въздействието са изложени подробно в обяснителния меморандум към предложението за Директива на Съвета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 COM(2016) 757.</w:t>
      </w:r>
    </w:p>
    <w:p>
      <w:pPr>
        <w:rPr>
          <w:noProof/>
        </w:rPr>
      </w:pPr>
      <w:r>
        <w:rPr>
          <w:noProof/>
        </w:rPr>
        <w:t>Чрез консултацията със заинтересованите страни беше установено, че изискването, съдържащо се в промените от 2015 г., относно мястото на доставка на електронни услуги, за използване на две доказателства за определяне на местоположението на клиентите, е особено обременяващо за малките и средните предприятия и микропредприятията. То изисква разработването на системи и инвестиции в софтуер за търговията на дребно, които са непропорционални на размера на трансграничните продажби. Опростените изисквания по отношение на доказателствата допълват въвеждането на праг от 10 000 EUR за трансгранични продажби в предложението в рамките на този пакет за изменение на Директива 2006/112/ЕО на Съвета. В количествено отношение, в резултат на въвеждането на вътрешен за ЕС трансграничен праг през 2018 г. 6 500 предприятия ще напуснат настоящата MOSS система, което ще доведе до потенциални регулаторни икономии за тези предприятията в размер на 13 милиона евро. От въвеждането през 2018 г. на опростени изисквания по отношение на доказателствата ще се възползват още 1000 предприятия. Съгласно проучването в подкрепа на оценката на въздействието изискването за едно доказателство не представлява ненужен риск за приходите от ДДС за държавите членки.</w:t>
      </w:r>
    </w:p>
    <w:p>
      <w:pPr>
        <w:pStyle w:val="ManualHeading1"/>
        <w:rPr>
          <w:noProof/>
        </w:rPr>
      </w:pPr>
      <w:r>
        <w:rPr>
          <w:noProof/>
        </w:rPr>
        <w:t>4.</w:t>
      </w:r>
      <w:r>
        <w:rPr>
          <w:noProof/>
        </w:rPr>
        <w:tab/>
        <w:t>ОТРАЖЕНИЕ ВЪРХУ БЮДЖЕТА</w:t>
      </w:r>
    </w:p>
    <w:p>
      <w:pPr>
        <w:rPr>
          <w:noProof/>
        </w:rPr>
      </w:pPr>
      <w:r>
        <w:rPr>
          <w:noProof/>
        </w:rPr>
        <w:t>Настоящото предложение е част от пакета от законодателни мерки за предложението относно модернизирането на ДДС за целите на трансграничната електронна търговия между предприятия и потребители. Отражението върху бюджета на пакета като цяло е изложено подробно в обяснителния меморандум на предложението за изменение на Директивата за ДДС — COM(2016) 757. Това изменение не следва да доведе до разходи за данъчните администрации за адаптиране към новия праг и би могло да опрости сложността на одита на такива предприятия. Както бе посочено по-горе, тази промяна не би следвало да доведе до ненужен риск за общите приходи от ДДС, предвид факта, че те представляват 0,3 % от общия брой трансгранични продажби.</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Изискването по член 24б, буква г) от Регламент (ЕС) № 282/2011 доставчикът на далекосъобщителни услуги, услуги за радио- и телевизионно излъчване и услуги, извършвани по електронен път, за данъчно незадължени лица да представи две непротиворечащи си доказателства за мястото на установяване на своите клиенти е изключително обременяващо за предприятията, по-специално за малките и средните предприятия. Това е така, защото техните търговски потоци и обеми не са достатъчно големи, за да могат предприятията да инвестират в скъпи технологични решения, които им дават възможност да получат две доказателства за местоположението на клиента. Поради това настоящото предложение предвижда  едно-единствено доказателство да е достатъчно, когато общата годишна стойност на доставките, без ДДС, обхванати от член 24б, буква г), не надвишава 100 000 EUR. Това опростяване следва да влезе в сила още от 1 януари 2018 г., тъй като то не изисква промени в информационната система за регистриране и деклариране и плащане на ДДС (MOSS).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2016/0372 (NLE)</w:t>
      </w:r>
    </w:p>
    <w:p>
      <w:pPr>
        <w:pStyle w:val="Statut"/>
        <w:rPr>
          <w:noProof/>
        </w:rPr>
      </w:pPr>
      <w:r>
        <w:rPr>
          <w:noProof/>
        </w:rPr>
        <w:t>Предложение за</w:t>
      </w:r>
    </w:p>
    <w:p>
      <w:pPr>
        <w:pStyle w:val="Typedudocument"/>
        <w:rPr>
          <w:noProof/>
        </w:rPr>
      </w:pPr>
      <w:r>
        <w:rPr>
          <w:noProof/>
        </w:rPr>
        <w:t>РЕГЛАМЕНТ ЗА ИЗПЪЛНЕНИЕ НА СЪВЕТА</w:t>
      </w:r>
    </w:p>
    <w:p>
      <w:pPr>
        <w:pStyle w:val="Titreobjet"/>
        <w:rPr>
          <w:noProof/>
        </w:rPr>
      </w:pPr>
      <w:r>
        <w:rPr>
          <w:noProof/>
        </w:rPr>
        <w:t>за изменение на Регламент за изпълнение (ЕС) № 282/2011 за установяване на мерки за прилагане на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3"/>
      </w:r>
      <w:r>
        <w:rPr>
          <w:noProof/>
        </w:rPr>
        <w:t>, и по-специално член 397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 Регламент за изпълнение (ЕС) № 282/2011 на Съвета</w:t>
      </w:r>
      <w:r>
        <w:rPr>
          <w:rStyle w:val="FootnoteReference"/>
          <w:noProof/>
        </w:rPr>
        <w:footnoteReference w:id="4"/>
      </w:r>
      <w:r>
        <w:rPr>
          <w:noProof/>
        </w:rPr>
        <w:t xml:space="preserve"> се определят подробни разпоредби за презумпцията за местоположението на клиента за определянето на мястото на доставка на далекосъобщителни услуги, услуги за радио- и телевизионно излъчване или услуги, извършвани по електронен път, на данъчно незадължени лица.</w:t>
      </w:r>
    </w:p>
    <w:p>
      <w:pPr>
        <w:pStyle w:val="ManualConsidrant"/>
        <w:rPr>
          <w:noProof/>
        </w:rPr>
      </w:pPr>
      <w:r>
        <w:rPr>
          <w:noProof/>
        </w:rPr>
        <w:t>(2)</w:t>
      </w:r>
      <w:r>
        <w:rPr>
          <w:noProof/>
        </w:rPr>
        <w:tab/>
        <w:t>Оценката на изискванията за прилагането на тези презумпции показва, че за данъчно задълженото лице, установено в държава членка и предоставящо такива услуги на данъчно незадължено лице в други държави членки, е изключително тежко да получи при определени обстоятелства две непротиворечащи си доказателства за мястото, където неговият клиент е установен или има постоянен адрес или обичайно местоживеене.</w:t>
      </w:r>
    </w:p>
    <w:p>
      <w:pPr>
        <w:pStyle w:val="ManualConsidrant"/>
        <w:rPr>
          <w:noProof/>
        </w:rPr>
      </w:pPr>
      <w:r>
        <w:rPr>
          <w:noProof/>
        </w:rPr>
        <w:t>(3)</w:t>
      </w:r>
      <w:r>
        <w:rPr>
          <w:noProof/>
        </w:rPr>
        <w:tab/>
        <w:t>Задължението е особено обременително за малките и средни предприятия. Изискването за представяне на едно доказателство следва да опрости задълженията за такива дружества, чиито вътреобщностни доставки за клиенти от други държави членки са под определен праг.</w:t>
      </w:r>
    </w:p>
    <w:p>
      <w:pPr>
        <w:pStyle w:val="ManualConsidrant"/>
        <w:rPr>
          <w:noProof/>
        </w:rPr>
      </w:pPr>
      <w:r>
        <w:rPr>
          <w:noProof/>
        </w:rPr>
        <w:t>(4)</w:t>
      </w:r>
      <w:r>
        <w:rPr>
          <w:noProof/>
        </w:rPr>
        <w:tab/>
        <w:t>Опростяването на изискването да се докаже местоположението на клиента е в допълнение към измененията, въведени с член 1 от Директива на Съвета [...]/ЕС</w:t>
      </w:r>
      <w:r>
        <w:rPr>
          <w:rStyle w:val="FootnoteReference"/>
          <w:noProof/>
        </w:rPr>
        <w:footnoteReference w:id="5"/>
      </w:r>
      <w:r>
        <w:rPr>
          <w:noProof/>
        </w:rPr>
        <w:t xml:space="preserve"> в специалните режими, предвидени в дял XII, глава 6 от Директива 2006/112/ЕО, и затова следва да се прилага от същата дата.</w:t>
      </w:r>
    </w:p>
    <w:p>
      <w:pPr>
        <w:pStyle w:val="ManualConsidrant"/>
        <w:rPr>
          <w:noProof/>
        </w:rPr>
      </w:pPr>
      <w:r>
        <w:rPr>
          <w:noProof/>
        </w:rPr>
        <w:t>(5)</w:t>
      </w:r>
      <w:r>
        <w:rPr>
          <w:noProof/>
        </w:rPr>
        <w:tab/>
        <w:t>Поради това Регламент за изпълнение (ЕС) № 282/2011 следва да бъде съответно изменен,</w:t>
      </w:r>
    </w:p>
    <w:p>
      <w:pPr>
        <w:pStyle w:val="Formuledadoption"/>
        <w:rPr>
          <w:noProof/>
        </w:rPr>
      </w:pPr>
      <w:r>
        <w:rPr>
          <w:noProof/>
        </w:rPr>
        <w:t>ПРИЕ НАСТОЯЩИЯ РЕГЛАМЕНТ:</w:t>
      </w:r>
    </w:p>
    <w:p>
      <w:pPr>
        <w:pStyle w:val="Titrearticle"/>
        <w:rPr>
          <w:noProof/>
        </w:rPr>
      </w:pPr>
      <w:r>
        <w:rPr>
          <w:noProof/>
        </w:rPr>
        <w:t>Член 1</w:t>
      </w:r>
    </w:p>
    <w:p>
      <w:pPr>
        <w:rPr>
          <w:rFonts w:eastAsia="Calibri"/>
          <w:noProof/>
        </w:rPr>
      </w:pPr>
      <w:r>
        <w:rPr>
          <w:noProof/>
        </w:rPr>
        <w:t>В член 24б от Регламент за изпълнение (ЕС) № 282/2011 се добавят следните втора и трета алинея:</w:t>
      </w:r>
    </w:p>
    <w:p>
      <w:pPr>
        <w:rPr>
          <w:noProof/>
        </w:rPr>
      </w:pPr>
      <w:r>
        <w:rPr>
          <w:noProof/>
        </w:rPr>
        <w:t>„За доставки на услуги, попадащи в обхвата на буква г) от първата алинея, когато общата стойност на тези услуги, без ДДС, предоставени от данъчно задължено лице от неговото място на установяване на стопанска дейност или постоянен обект, намиращи се в държава членка, на лица, които са установени, имат постоянен адрес или обичайно местоживеене в други държави членки, не надвишава 100 000 EUR или равностойността им в национална валута през текущата и предходната календарна година, презумпцията е, че клиентът е установен, има постоянен адрес или обичайно местоживеене на мястото, определено като такова от доставчика въз основа на едно доказателство от изброените в член 24е.</w:t>
      </w:r>
    </w:p>
    <w:p>
      <w:pPr>
        <w:rPr>
          <w:rFonts w:eastAsia="Calibri"/>
          <w:noProof/>
        </w:rPr>
      </w:pPr>
      <w:r>
        <w:rPr>
          <w:noProof/>
        </w:rPr>
        <w:t>Когато през дадена календарна година е достигнат прагът, предвиден във втората алинея, този параграф не се прилага от този момент и до момента, в който условията, предвидени в посочената алинея, са изпълнени отново.“</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2018 г.</w:t>
      </w:r>
    </w:p>
    <w:p>
      <w:pPr>
        <w:pStyle w:val="Applicationdirecte"/>
        <w:spacing w:before="120"/>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ОВ L 77, 23.3.2011 г., стр. 1.</w:t>
      </w:r>
    </w:p>
  </w:footnote>
  <w:footnote w:id="2">
    <w:p>
      <w:pPr>
        <w:pStyle w:val="FootnoteText"/>
        <w:rPr>
          <w:lang w:val="ru-RU"/>
        </w:rPr>
      </w:pPr>
      <w:r>
        <w:rPr>
          <w:rStyle w:val="FootnoteReference"/>
        </w:rPr>
        <w:footnoteRef/>
      </w:r>
      <w:r>
        <w:tab/>
        <w:t>ОВ L 347, 11.12.2006 г., стр. 1.</w:t>
      </w:r>
    </w:p>
  </w:footnote>
  <w:footnote w:id="3">
    <w:p>
      <w:pPr>
        <w:pStyle w:val="FootnoteText"/>
        <w:rPr>
          <w:lang w:val="ru-RU"/>
        </w:rPr>
      </w:pPr>
      <w:r>
        <w:rPr>
          <w:rStyle w:val="FootnoteReference"/>
        </w:rPr>
        <w:footnoteRef/>
      </w:r>
      <w:r>
        <w:tab/>
        <w:t>ОВ L 347, 11.12.2006 г., стр. 1.</w:t>
      </w:r>
    </w:p>
  </w:footnote>
  <w:footnote w:id="4">
    <w:p>
      <w:pPr>
        <w:pStyle w:val="FootnoteText"/>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(ОВ L 77, 23.3.2011 г., стр. 1).</w:t>
      </w:r>
    </w:p>
  </w:footnote>
  <w:footnote w:id="5">
    <w:p>
      <w:pPr>
        <w:pStyle w:val="FootnoteText"/>
      </w:pPr>
      <w:r>
        <w:rPr>
          <w:rStyle w:val="FootnoteReference"/>
        </w:rPr>
        <w:footnoteRef/>
      </w:r>
      <w:r>
        <w:tab/>
        <w:t>Директива [...]/ЕС на Съвета от [...] година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C42D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D2BA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74445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BCE2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5C47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7AF4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C879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F1AA3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8 11:16: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65FE665FA0D4FF8B1074F383E9BA290"/>
    <w:docVar w:name="LW_CROSSREFERENCE" w:val="{SWD(2016) 379}_x000a_{SWD(2016) 382}"/>
    <w:docVar w:name="LW_DocType" w:val="COM"/>
    <w:docVar w:name="LW_EMISSION" w:val="1.12.2016"/>
    <w:docVar w:name="LW_EMISSION_ISODATE" w:val="2016-12-01"/>
    <w:docVar w:name="LW_EMISSION_LOCATION" w:val="BRX"/>
    <w:docVar w:name="LW_EMISSION_PREFIX" w:val="Брюксел, "/>
    <w:docVar w:name="LW_EMISSION_SUFFIX" w:val=" \u1075?."/>
    <w:docVar w:name="LW_ID_DOCMODEL" w:val="SJ-015"/>
    <w:docVar w:name="LW_ID_DOCSIGNATURE" w:val="SJ-015"/>
    <w:docVar w:name="LW_ID_DOCSTRUCTURE" w:val="COM/PL/ORG"/>
    <w:docVar w:name="LW_ID_DOCTYPE" w:val="SJ-015"/>
    <w:docVar w:name="LW_ID_STATUT" w:val="SJ-015"/>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72"/>
    <w:docVar w:name="LW_REF.II.NEW.CP_YEAR" w:val="2016"/>
    <w:docVar w:name="LW_REF.INST.NEW" w:val="COM"/>
    <w:docVar w:name="LW_REF.INST.NEW_ADOPTED" w:val="final"/>
    <w:docVar w:name="LW_REF.INST.NEW_TEXT" w:val="(2016) 756"/>
    <w:docVar w:name="LW_REF.INTERNE" w:val="&lt;UNUSED&gt;"/>
    <w:docVar w:name="LW_SOUS.TITRE.OBJ.CP" w:val="&lt;UNUSED&gt;"/>
    <w:docVar w:name="LW_STATUT.CP" w:val="\u1055?\u1088?\u1077?\u1076?\u1083?\u1086?\u1078?\u1077?\u1085?\u1080?\u1077? \u1079?\u1072?"/>
    <w:docVar w:name="LW_SUPERTITRE" w:val="\u1052?\u1086?\u1076?\u1077?\u1088?\u1085?\u1080?\u1079?\u1080?\u1088?\u1072?\u1085?\u1077? \u1085?\u1072? \u1044?\u1044?\u1057? \u1079?\u1072? \u1094?\u1077?\u1083?\u1080?\u1090?\u1077? \u1085?\u1072? \u1090?\u1088?\u1072?\u1085?\u1089?\u1075?\u1088?\u1072?\u1085?\u1080?\u1095?\u1085?\u1072?\u1090?\u1072? \u1077?\u1083?\u1077?\u1082?\u1090?\u1088?\u1086?\u1085?\u1085?\u1072? \u1090?\u1098?\u1088?\u1075?\u1086?\u1074?\u1080?\u1103? \u1084?\u1077?\u1078?\u1076?\u1091? \u1087?\u1088?\u1077?\u1076?\u1087?\u1088?\u1080?\u1103?\u1090?\u1080?\u1103? \u1080? \u1087?\u1086?\u1090?\u1088?\u1077?\u1073?\u1080?\u1090?\u1077?\u1083?\u1080?"/>
    <w:docVar w:name="LW_TITRE.OBJ.CP" w:val="\u1079?\u1072? \u1080?\u1079?\u1084?\u1077?\u1085?\u1077?\u1085?\u1080?\u1077? \u1085?\u1072? \u1056?\u1077?\u1075?\u1083?\u1072?\u1084?\u1077?\u1085?\u1090? \u1079?\u1072? \u1080?\u1079?\u1087?\u1098?\u1083?\u1085?\u1077?\u1085?\u1080?\u1077? (\u1045?\u1057?) \u8470? 282/2011 \u1079?\u1072? \u1091?\u1089?\u1090?\u1072?\u1085?\u1086?\u1074?\u1103?\u1074?\u1072?\u1085?\u1077? \u1085?\u1072? \u1084?\u1077?\u1088?\u1082?\u1080? \u1079?\u1072? \u1087?\u1088?\u1080?\u1083?\u1072?\u1075?\u1072?\u1085?\u1077? \u1085?\u1072?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43?\u1051?\u1040?\u1052?\u1045?\u1053?\u1058?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5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AF4C-FE92-49ED-BAA0-01A66A11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1555</Words>
  <Characters>9240</Characters>
  <Application>Microsoft Office Word</Application>
  <DocSecurity>0</DocSecurity>
  <Lines>168</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2016-10-31T08:56:00Z</cp:lastPrinted>
  <dcterms:created xsi:type="dcterms:W3CDTF">2016-12-01T14:42:00Z</dcterms:created>
  <dcterms:modified xsi:type="dcterms:W3CDTF">2016-12-08T10:16:00Z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SJ-015</vt:lpwstr>
  </property>
  <property fmtid="{D5CDD505-2E9C-101B-9397-08002B2CF9AE}" pid="10" name="DQCStatus">
    <vt:lpwstr>Green (DQC version 03)</vt:lpwstr>
  </property>
</Properties>
</file>