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E5" w:rsidRDefault="0095140A" w:rsidP="0095140A"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B9C11F15A49F4F4484D6B2069A1932A7" style="width:450.6pt;height:379.8pt">
            <v:imagedata r:id="rId7" o:title=""/>
          </v:shape>
        </w:pict>
      </w:r>
    </w:p>
    <w:bookmarkEnd w:id="0"/>
    <w:p w:rsidR="00066DE5" w:rsidRDefault="00066DE5">
      <w:pPr>
        <w:rPr>
          <w:noProof/>
        </w:rPr>
        <w:sectPr w:rsidR="00066DE5" w:rsidSect="009514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066DE5" w:rsidRDefault="0095140A">
      <w:pPr>
        <w:spacing w:after="0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bookmarkStart w:id="1" w:name="_GoBack"/>
      <w:bookmarkEnd w:id="1"/>
      <w:r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Scaling-up of funding under the Facility for Refugees in Turkey following the EU-Turkey Statement</w:t>
      </w:r>
    </w:p>
    <w:tbl>
      <w:tblPr>
        <w:tblStyle w:val="TableGrid"/>
        <w:tblW w:w="0" w:type="auto"/>
        <w:jc w:val="center"/>
        <w:tblInd w:w="-1025" w:type="dxa"/>
        <w:tblLook w:val="04A0" w:firstRow="1" w:lastRow="0" w:firstColumn="1" w:lastColumn="0" w:noHBand="0" w:noVBand="1"/>
      </w:tblPr>
      <w:tblGrid>
        <w:gridCol w:w="1407"/>
        <w:gridCol w:w="2552"/>
        <w:gridCol w:w="2551"/>
        <w:gridCol w:w="2410"/>
        <w:gridCol w:w="2410"/>
        <w:gridCol w:w="3915"/>
      </w:tblGrid>
      <w:tr w:rsidR="00066DE5">
        <w:trPr>
          <w:jc w:val="center"/>
        </w:trPr>
        <w:tc>
          <w:tcPr>
            <w:tcW w:w="1407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Funding Strand under the Fast-Track Approach</w:t>
            </w:r>
          </w:p>
        </w:tc>
        <w:tc>
          <w:tcPr>
            <w:tcW w:w="2552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Humanitarian Assistance</w:t>
            </w:r>
          </w:p>
        </w:tc>
        <w:tc>
          <w:tcPr>
            <w:tcW w:w="2551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Special Measure on Support to Returned Migrants</w:t>
            </w:r>
          </w:p>
        </w:tc>
        <w:tc>
          <w:tcPr>
            <w:tcW w:w="2410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Special Measure of July 2016 Education &amp; Health</w:t>
            </w:r>
          </w:p>
        </w:tc>
        <w:tc>
          <w:tcPr>
            <w:tcW w:w="2410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Special Measure of July 2016 Infrastructure &amp; Socio-Economic Support</w:t>
            </w:r>
          </w:p>
        </w:tc>
        <w:tc>
          <w:tcPr>
            <w:tcW w:w="3915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EU Regional Trust Fund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 xml:space="preserve"> in Response to the Syrian Crisis (EUTF)</w:t>
            </w:r>
          </w:p>
        </w:tc>
      </w:tr>
      <w:tr w:rsidR="00066DE5">
        <w:trPr>
          <w:jc w:val="center"/>
        </w:trPr>
        <w:tc>
          <w:tcPr>
            <w:tcW w:w="1407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Next steps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Since October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Roll-out of the Emergency Social Safety Net (ESSN) - started in October 2016 to reach as many as 1 million vulnerable refugees in 2017.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Since August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Implementation of the Special Measure on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support to returned migrants</w:t>
            </w:r>
          </w:p>
        </w:tc>
        <w:tc>
          <w:tcPr>
            <w:tcW w:w="2410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Since October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Implementation of the direct grants for education and health of EUR 300 million each</w:t>
            </w:r>
          </w:p>
          <w:p w:rsidR="00066DE5" w:rsidRDefault="00066DE5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Since August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Preparation of the remaining delegation agreements with International Financial Institutions (IFIs)</w:t>
            </w:r>
          </w:p>
        </w:tc>
        <w:tc>
          <w:tcPr>
            <w:tcW w:w="3915" w:type="dxa"/>
            <w:vMerge w:val="restart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End of Decemb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er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Two contracts are foreseen to be signed. The first, worth EUR 33 million, will involve the Danish Red Cross and the Turkish Red Crescent. The second, worth EUR 5 million, will be implemented by Spark, a Dutch NGO, in the area of higher education of vuln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erable Syrian youth.</w:t>
            </w:r>
          </w:p>
          <w:p w:rsidR="00066DE5" w:rsidRDefault="00066DE5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Since June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Preparation of projects in areas not covered by other strands: labour market access, community actions, smaller grant initiatives, other integration and soft measures. </w:t>
            </w:r>
          </w:p>
        </w:tc>
      </w:tr>
      <w:tr w:rsidR="00066DE5">
        <w:trPr>
          <w:trHeight w:val="1002"/>
          <w:jc w:val="center"/>
        </w:trPr>
        <w:tc>
          <w:tcPr>
            <w:tcW w:w="1407" w:type="dxa"/>
            <w:vMerge w:val="restart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Achievements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Early September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Signature of the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ESSN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contract for a value of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EUR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348 million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.</w:t>
            </w:r>
          </w:p>
          <w:p w:rsidR="00066DE5" w:rsidRDefault="00066DE5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31 July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Signature of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EUR 74 million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in the field of health, education, protection and winterisation.</w:t>
            </w:r>
          </w:p>
          <w:p w:rsidR="00066DE5" w:rsidRDefault="00066DE5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3 June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Publication of the Commission's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Humanitarian Implementation Plan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including the first allocation (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EUR 505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.65 million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)</w:t>
            </w:r>
          </w:p>
          <w:p w:rsidR="00066DE5" w:rsidRDefault="00066DE5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March/April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The Commission signs projects with 17 humanitarian partners worth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EUR 90 million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8 August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Direct agreement to implement the Special Measure on support to returned migrants signed by the Turkish authorities on 8 August 2016.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Advance of EUR 12 million paid on 18 August 2016.</w:t>
            </w:r>
          </w:p>
          <w:p w:rsidR="00066DE5" w:rsidRDefault="00066DE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19 April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The Special Measure of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EUR 60 million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committed to provide food, shelter and health care for returned migrants from Greece.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October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Payment of the advances worth EUR 270 million</w:t>
            </w:r>
          </w:p>
          <w:p w:rsidR="00066DE5" w:rsidRDefault="00066DE5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End September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Sig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nature of the direct grants for education and health of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EUR 300 million each.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28 November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Signature of a contract worth EUR 50 million with KfW to build and furnish new schools.</w:t>
            </w:r>
          </w:p>
        </w:tc>
        <w:tc>
          <w:tcPr>
            <w:tcW w:w="39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6DE5" w:rsidRDefault="00066DE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066DE5">
        <w:trPr>
          <w:trHeight w:val="601"/>
          <w:jc w:val="center"/>
        </w:trPr>
        <w:tc>
          <w:tcPr>
            <w:tcW w:w="1407" w:type="dxa"/>
            <w:vMerge/>
            <w:shd w:val="clear" w:color="auto" w:fill="auto"/>
          </w:tcPr>
          <w:p w:rsidR="00066DE5" w:rsidRDefault="00066DE5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66DE5" w:rsidRDefault="00066DE5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66DE5" w:rsidRDefault="00066DE5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87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28 July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Adoption of EUR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1.4 billion Special Measure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on education, health, municipal infrastructure and socio-economic support including a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top up of EUR 250 million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for EUTF funded bottom-up projects.</w:t>
            </w:r>
          </w:p>
        </w:tc>
      </w:tr>
      <w:tr w:rsidR="00066DE5">
        <w:trPr>
          <w:trHeight w:val="2650"/>
          <w:jc w:val="center"/>
        </w:trPr>
        <w:tc>
          <w:tcPr>
            <w:tcW w:w="1407" w:type="dxa"/>
            <w:vMerge/>
            <w:shd w:val="clear" w:color="auto" w:fill="auto"/>
          </w:tcPr>
          <w:p w:rsidR="00066DE5" w:rsidRDefault="00066DE5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66DE5" w:rsidRDefault="00066DE5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66DE5" w:rsidRDefault="00066DE5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66DE5" w:rsidRDefault="00066DE5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June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IFIs roundtables on 24 and 29 June discussed and endorsed the Special Measure</w:t>
            </w:r>
          </w:p>
          <w:p w:rsidR="00066DE5" w:rsidRDefault="00066DE5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 xml:space="preserve"> June </w:t>
            </w:r>
          </w:p>
          <w:p w:rsidR="00066DE5" w:rsidRDefault="0095140A">
            <w:pPr>
              <w:spacing w:after="6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An additional four bottom-up projects for a total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EUR 59 million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adopted by the EUTF Board in April and June to provide additional education support and infrastructure, higher education, skills training, social support.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 xml:space="preserve"> 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May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Four projects contracted for a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total EUR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 xml:space="preserve"> 60 million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including the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UNICEF regional contract with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EUR 37 million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component for Turkey signed on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4 March.</w:t>
            </w:r>
          </w:p>
        </w:tc>
      </w:tr>
      <w:tr w:rsidR="00066DE5">
        <w:trPr>
          <w:jc w:val="center"/>
        </w:trPr>
        <w:tc>
          <w:tcPr>
            <w:tcW w:w="15245" w:type="dxa"/>
            <w:gridSpan w:val="6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Facility Governance</w:t>
            </w:r>
          </w:p>
        </w:tc>
      </w:tr>
      <w:tr w:rsidR="00066DE5">
        <w:trPr>
          <w:jc w:val="center"/>
        </w:trPr>
        <w:tc>
          <w:tcPr>
            <w:tcW w:w="1407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Timeline since April:</w:t>
            </w:r>
          </w:p>
        </w:tc>
        <w:tc>
          <w:tcPr>
            <w:tcW w:w="2552" w:type="dxa"/>
            <w:shd w:val="clear" w:color="auto" w:fill="auto"/>
          </w:tcPr>
          <w:p w:rsidR="00066DE5" w:rsidRDefault="0095140A">
            <w:pPr>
              <w:tabs>
                <w:tab w:val="center" w:pos="1512"/>
              </w:tabs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ab/>
              <w:t>April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Fast-track approach presented to Turkey and further elaborated to become Strategic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Concept Note for the implementation of the Facility.</w:t>
            </w:r>
          </w:p>
          <w:p w:rsidR="00066DE5" w:rsidRDefault="00066DE5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066DE5" w:rsidRDefault="00066DE5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066DE5" w:rsidRDefault="0095140A">
            <w:pPr>
              <w:tabs>
                <w:tab w:val="left" w:pos="935"/>
              </w:tabs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12 May</w:t>
            </w:r>
          </w:p>
          <w:p w:rsidR="00066DE5" w:rsidRDefault="0095140A">
            <w:pPr>
              <w:tabs>
                <w:tab w:val="left" w:pos="4632"/>
              </w:tabs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Steering Committee endorsed Strategic Concept Note and received a presentation of the independent needs assessment. It agreed on six Facility priority areas: humanitarian assistance, migra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tion management, education, health, municipal infrastructure, and socio-economic support.</w:t>
            </w:r>
          </w:p>
        </w:tc>
        <w:tc>
          <w:tcPr>
            <w:tcW w:w="2410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13 June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All Member States' contribution certificates received</w:t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covering full amount of EUR 2 billion pledged for 2016-2017.</w:t>
            </w:r>
          </w:p>
        </w:tc>
        <w:tc>
          <w:tcPr>
            <w:tcW w:w="2410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30 June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Steering Committee reviewed implementation and discussed Special Measures on education, health, municipal and social infrastructure, and socio-economic support, prior to IPA Management approval of the Measure in July.</w:t>
            </w:r>
          </w:p>
        </w:tc>
        <w:tc>
          <w:tcPr>
            <w:tcW w:w="3915" w:type="dxa"/>
            <w:shd w:val="clear" w:color="auto" w:fill="auto"/>
          </w:tcPr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4 October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Steering Committee</w:t>
            </w:r>
          </w:p>
          <w:p w:rsidR="00066DE5" w:rsidRDefault="00066DE5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Con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tinuous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Reporting on implementation and communicating on results achieved including with interactive map</w:t>
            </w:r>
            <w:r>
              <w:rPr>
                <w:rStyle w:val="FootnoteReference"/>
                <w:rFonts w:ascii="Times New Roman" w:hAnsi="Times New Roman" w:cs="Times New Roman"/>
                <w:noProof/>
                <w:sz w:val="16"/>
                <w:szCs w:val="16"/>
              </w:rPr>
              <w:footnoteReference w:id="1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.</w:t>
            </w:r>
          </w:p>
          <w:p w:rsidR="00066DE5" w:rsidRDefault="00066DE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12 January 2017</w:t>
            </w:r>
          </w:p>
          <w:p w:rsidR="00066DE5" w:rsidRDefault="0095140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Steering Committee</w:t>
            </w:r>
          </w:p>
        </w:tc>
      </w:tr>
    </w:tbl>
    <w:p w:rsidR="00066DE5" w:rsidRDefault="00066DE5">
      <w:pPr>
        <w:rPr>
          <w:noProof/>
        </w:rPr>
      </w:pPr>
    </w:p>
    <w:sectPr w:rsidR="00066D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240" w:right="360" w:bottom="240" w:left="36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DE5" w:rsidRDefault="0095140A">
      <w:pPr>
        <w:spacing w:after="0" w:line="240" w:lineRule="auto"/>
      </w:pPr>
      <w:r>
        <w:separator/>
      </w:r>
    </w:p>
  </w:endnote>
  <w:endnote w:type="continuationSeparator" w:id="0">
    <w:p w:rsidR="00066DE5" w:rsidRDefault="0095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0A" w:rsidRPr="0095140A" w:rsidRDefault="0095140A" w:rsidP="009514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0A" w:rsidRPr="0095140A" w:rsidRDefault="0095140A" w:rsidP="0095140A">
    <w:pPr>
      <w:pStyle w:val="FooterCoverPage"/>
      <w:rPr>
        <w:rFonts w:ascii="Arial" w:hAnsi="Arial" w:cs="Arial"/>
        <w:b/>
        <w:sz w:val="48"/>
      </w:rPr>
    </w:pPr>
    <w:r w:rsidRPr="0095140A">
      <w:rPr>
        <w:rFonts w:ascii="Arial" w:hAnsi="Arial" w:cs="Arial"/>
        <w:b/>
        <w:sz w:val="48"/>
      </w:rPr>
      <w:t>EN</w:t>
    </w:r>
    <w:r w:rsidRPr="0095140A">
      <w:rPr>
        <w:rFonts w:ascii="Arial" w:hAnsi="Arial" w:cs="Arial"/>
        <w:b/>
        <w:sz w:val="48"/>
      </w:rPr>
      <w:tab/>
    </w:r>
    <w:r w:rsidRPr="0095140A"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 w:rsidRPr="0095140A">
      <w:tab/>
    </w:r>
    <w:proofErr w:type="spellStart"/>
    <w:r w:rsidRPr="0095140A">
      <w:rPr>
        <w:rFonts w:ascii="Arial" w:hAnsi="Arial" w:cs="Arial"/>
        <w:b/>
        <w:sz w:val="48"/>
      </w:rPr>
      <w:t>EN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0A" w:rsidRPr="0095140A" w:rsidRDefault="0095140A" w:rsidP="0095140A"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E5" w:rsidRDefault="00066DE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185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6DE5" w:rsidRDefault="009514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6DE5" w:rsidRDefault="00066DE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E5" w:rsidRDefault="00066D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DE5" w:rsidRDefault="0095140A">
      <w:pPr>
        <w:spacing w:after="0" w:line="240" w:lineRule="auto"/>
      </w:pPr>
      <w:r>
        <w:separator/>
      </w:r>
    </w:p>
  </w:footnote>
  <w:footnote w:type="continuationSeparator" w:id="0">
    <w:p w:rsidR="00066DE5" w:rsidRDefault="0095140A">
      <w:pPr>
        <w:spacing w:after="0" w:line="240" w:lineRule="auto"/>
      </w:pPr>
      <w:r>
        <w:continuationSeparator/>
      </w:r>
    </w:p>
  </w:footnote>
  <w:footnote w:id="1">
    <w:p w:rsidR="00066DE5" w:rsidRDefault="0095140A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</w:rPr>
        <w:t xml:space="preserve">For further information on how the facility works and a detailed overview of projects funded: </w:t>
      </w:r>
      <w:hyperlink r:id="rId1" w:history="1">
        <w:r>
          <w:rPr>
            <w:rStyle w:val="Hyperlink"/>
            <w:rFonts w:ascii="Times New Roman" w:hAnsi="Times New Roman" w:cs="Times New Roman"/>
          </w:rPr>
          <w:t>http://ec.europa.eu/enlargement/news_corner/migration/index_en.htm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0A" w:rsidRPr="0095140A" w:rsidRDefault="0095140A" w:rsidP="009514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0A" w:rsidRPr="0095140A" w:rsidRDefault="0095140A" w:rsidP="0095140A"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0A" w:rsidRPr="0095140A" w:rsidRDefault="0095140A" w:rsidP="0095140A"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E5" w:rsidRDefault="00066DE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E5" w:rsidRDefault="00066DE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E5" w:rsidRDefault="00066D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to the "/>
    <w:docVar w:name="LW_ANNEX_NBR_FIRST" w:val="2"/>
    <w:docVar w:name="LW_ANNEX_NBR_LAST" w:val="2"/>
    <w:docVar w:name="LW_CONFIDENCE" w:val=" "/>
    <w:docVar w:name="LW_CONST_RESTREINT_UE" w:val="RESTREINT UE/EU RESTRICTED"/>
    <w:docVar w:name="LW_CORRIGENDUM" w:val="&lt;UNUSED&gt;"/>
    <w:docVar w:name="LW_COVERPAGE_GUID" w:val="B9C11F15A49F4F4484D6B2069A1932A7"/>
    <w:docVar w:name="LW_CROSSREFERENCE" w:val="&lt;UNUSED&gt;"/>
    <w:docVar w:name="LW_DocType" w:val="NORMAL"/>
    <w:docVar w:name="LW_EMISSION" w:val="8.12.2016"/>
    <w:docVar w:name="LW_EMISSION_ISODATE" w:val="2016-12-08"/>
    <w:docVar w:name="LW_EMISSION_LOCATION" w:val="BRX"/>
    <w:docVar w:name="LW_EMISSION_PREFIX" w:val="Brussels, "/>
    <w:docVar w:name="LW_EMISSION_SUFFIX" w:val=" "/>
    <w:docVar w:name="LW_ID_DOCTYPE_NONLW" w:val="CP-039"/>
    <w:docVar w:name="LW_LANGUE" w:val="EN"/>
    <w:docVar w:name="LW_MARKING" w:val="&lt;UNUSED&gt;"/>
    <w:docVar w:name="LW_NOM.INST" w:val="EUROPEAN COMMISSION"/>
    <w:docVar w:name="LW_NOM.INST_JOINTDOC" w:val="&lt;EMPTY&gt;"/>
    <w:docVar w:name="LW_OBJETACTEPRINCIPAL.CP" w:val="Fourth Report on the Progress made in the implementation of the EU-Turkey Statement"/>
    <w:docVar w:name="LW_PART_NBR" w:val="1"/>
    <w:docVar w:name="LW_PART_NBR_TOTAL" w:val="1"/>
    <w:docVar w:name="LW_REF.INST.NEW" w:val="COM"/>
    <w:docVar w:name="LW_REF.INST.NEW_ADOPTED" w:val="final"/>
    <w:docVar w:name="LW_REF.INST.NEW_TEXT" w:val="(2016) 792"/>
    <w:docVar w:name="LW_REF.INTERNE" w:val="&lt;UNUSED&gt;"/>
    <w:docVar w:name="LW_SUPERTITRE" w:val="&lt;UNUSED&gt;"/>
    <w:docVar w:name="LW_TITRE.OBJ.CP" w:val="&lt;UNUSED&gt;"/>
    <w:docVar w:name="LW_TYPE.DOC.CP" w:val="ANNEX_x000b_"/>
    <w:docVar w:name="LW_TYPEACTEPRINCIPAL.CP" w:val="COMMUNICATION FROM THE COMMISSION TO THE EUROPEAN PARLIAMENT, THE EUROPEAN COUNCIL AND THE COUNCIL "/>
  </w:docVars>
  <w:rsids>
    <w:rsidRoot w:val="00066DE5"/>
    <w:rsid w:val="00066DE5"/>
    <w:rsid w:val="0095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,BVI fnr,footnote ref,4_G"/>
    <w:basedOn w:val="DefaultParagraphFont"/>
    <w:link w:val="BVIfnrChar1CharCharChar"/>
    <w:uiPriority w:val="99"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VIfnrChar1CharCharChar">
    <w:name w:val="BVI fnr Char1 Char Char Char"/>
    <w:aliases w:val="BVI fnr Car Car Char1 Char Char Char,BVI fnr Car Char1 Char Char Char,BVI fnr Car Car Car Car Char Char1 Char Char"/>
    <w:basedOn w:val="Normal"/>
    <w:link w:val="FootnoteReference"/>
    <w:uiPriority w:val="99"/>
    <w:pPr>
      <w:spacing w:after="160" w:line="240" w:lineRule="exact"/>
    </w:pPr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,BVI fnr,footnote ref,4_G"/>
    <w:basedOn w:val="DefaultParagraphFont"/>
    <w:link w:val="BVIfnrChar1CharCharChar"/>
    <w:uiPriority w:val="99"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VIfnrChar1CharCharChar">
    <w:name w:val="BVI fnr Char1 Char Char Char"/>
    <w:aliases w:val="BVI fnr Car Car Char1 Char Char Char,BVI fnr Car Char1 Char Char Char,BVI fnr Car Car Car Car Char Char1 Char Char"/>
    <w:basedOn w:val="Normal"/>
    <w:link w:val="FootnoteReference"/>
    <w:uiPriority w:val="99"/>
    <w:pPr>
      <w:spacing w:after="160" w:line="240" w:lineRule="exact"/>
    </w:pPr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largement/news_corner/migration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3381</Characters>
  <Application>Microsoft Office Word</Application>
  <DocSecurity>0</DocSecurity>
  <Lines>163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BARTKIEWICZ Ligia (SG)</dc:creator>
  <cp:lastModifiedBy>DOMINGUEZ AGUIRRE Ana (SG)</cp:lastModifiedBy>
  <cp:revision>8</cp:revision>
  <cp:lastPrinted>2016-11-29T16:33:00Z</cp:lastPrinted>
  <dcterms:created xsi:type="dcterms:W3CDTF">2016-12-06T15:04:00Z</dcterms:created>
  <dcterms:modified xsi:type="dcterms:W3CDTF">2016-12-08T09:02:00Z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2</vt:lpwstr>
  </property>
  <property fmtid="{D5CDD505-2E9C-101B-9397-08002B2CF9AE}" pid="3" name="Last annex">
    <vt:lpwstr>2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Classification">
    <vt:lpwstr> </vt:lpwstr>
  </property>
  <property fmtid="{D5CDD505-2E9C-101B-9397-08002B2CF9AE}" pid="7" name="DocStatus">
    <vt:lpwstr>Green</vt:lpwstr>
  </property>
</Properties>
</file>