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F3" w:rsidRDefault="005E6E73" w:rsidP="005E6E73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F93657A12AF844EBB61C104DDD451E73" style="width:450.6pt;height:393pt">
            <v:imagedata r:id="rId7" o:title=""/>
          </v:shape>
        </w:pict>
      </w:r>
    </w:p>
    <w:bookmarkEnd w:id="0"/>
    <w:p w:rsidR="003741F3" w:rsidRDefault="003741F3">
      <w:pPr>
        <w:rPr>
          <w:noProof/>
        </w:rPr>
        <w:sectPr w:rsidR="003741F3" w:rsidSect="005E6E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3741F3" w:rsidRDefault="005E6E73">
      <w:pPr>
        <w:spacing w:after="0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0"/>
        </w:rPr>
        <w:lastRenderedPageBreak/>
        <w:t xml:space="preserve">Extension du financement au titre de la facilité en faveur des réfugiés en Turquie à la suite de la </w:t>
      </w:r>
      <w:r>
        <w:rPr>
          <w:rFonts w:ascii="Times New Roman" w:hAnsi="Times New Roman"/>
          <w:b/>
          <w:noProof/>
          <w:sz w:val="20"/>
        </w:rPr>
        <w:t>déclaration UE-Turquie</w:t>
      </w:r>
    </w:p>
    <w:tbl>
      <w:tblPr>
        <w:tblStyle w:val="TableGrid"/>
        <w:tblW w:w="0" w:type="auto"/>
        <w:jc w:val="center"/>
        <w:tblInd w:w="-1025" w:type="dxa"/>
        <w:tblLook w:val="04A0" w:firstRow="1" w:lastRow="0" w:firstColumn="1" w:lastColumn="0" w:noHBand="0" w:noVBand="1"/>
      </w:tblPr>
      <w:tblGrid>
        <w:gridCol w:w="1407"/>
        <w:gridCol w:w="2552"/>
        <w:gridCol w:w="2551"/>
        <w:gridCol w:w="2410"/>
        <w:gridCol w:w="2410"/>
        <w:gridCol w:w="3915"/>
      </w:tblGrid>
      <w:tr w:rsidR="003741F3">
        <w:trPr>
          <w:jc w:val="center"/>
        </w:trPr>
        <w:tc>
          <w:tcPr>
            <w:tcW w:w="1407" w:type="dxa"/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Volet de financement dans le cadre de l'approche accélérée</w:t>
            </w:r>
          </w:p>
        </w:tc>
        <w:tc>
          <w:tcPr>
            <w:tcW w:w="2552" w:type="dxa"/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Aide humanitaire</w:t>
            </w:r>
          </w:p>
        </w:tc>
        <w:tc>
          <w:tcPr>
            <w:tcW w:w="2551" w:type="dxa"/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Mesure spéciale en faveur des migrants renvoyés</w:t>
            </w:r>
          </w:p>
        </w:tc>
        <w:tc>
          <w:tcPr>
            <w:tcW w:w="2410" w:type="dxa"/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Mesure spéciale de juillet 2016 en faveur de l'éducation et de la santé</w:t>
            </w:r>
          </w:p>
        </w:tc>
        <w:tc>
          <w:tcPr>
            <w:tcW w:w="2410" w:type="dxa"/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Mesure spéciale de juillet 2016 en fa</w:t>
            </w:r>
            <w:r>
              <w:rPr>
                <w:rFonts w:ascii="Times New Roman" w:hAnsi="Times New Roman"/>
                <w:b/>
                <w:noProof/>
                <w:sz w:val="16"/>
              </w:rPr>
              <w:t>veur des infrastructures et du soutien socio-économique</w:t>
            </w:r>
          </w:p>
        </w:tc>
        <w:tc>
          <w:tcPr>
            <w:tcW w:w="3915" w:type="dxa"/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Fonds fiduciaire régional de l’Union européenne en réponse à la crise syrienne</w:t>
            </w:r>
          </w:p>
        </w:tc>
      </w:tr>
      <w:tr w:rsidR="003741F3">
        <w:trPr>
          <w:jc w:val="center"/>
        </w:trPr>
        <w:tc>
          <w:tcPr>
            <w:tcW w:w="1407" w:type="dxa"/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Prochaines étapes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Depuis octobre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Mise en place du filet de sécurité sociale d’urgence - a débuté en octobre 2016 pour </w:t>
            </w:r>
            <w:r>
              <w:rPr>
                <w:rFonts w:ascii="Times New Roman" w:hAnsi="Times New Roman"/>
                <w:noProof/>
                <w:sz w:val="16"/>
              </w:rPr>
              <w:t>aider au moins un million de réfugiés vulnérables en 2017.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Depuis août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Mise en œuvre de la mesure spéciale en faveur des migrants renvoyés</w:t>
            </w:r>
          </w:p>
        </w:tc>
        <w:tc>
          <w:tcPr>
            <w:tcW w:w="2410" w:type="dxa"/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Depuis octobre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Mise en œuvre des subventions directes pour l'éducation et la santé d'un montant de 300 000 000 EUR </w:t>
            </w:r>
            <w:r>
              <w:rPr>
                <w:rFonts w:ascii="Times New Roman" w:hAnsi="Times New Roman"/>
                <w:noProof/>
                <w:sz w:val="16"/>
              </w:rPr>
              <w:t>chacune</w:t>
            </w:r>
          </w:p>
          <w:p w:rsidR="003741F3" w:rsidRDefault="003741F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Depuis août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Préparation des conventions de délégation restantes avec les institutions financières internationales</w:t>
            </w:r>
          </w:p>
        </w:tc>
        <w:tc>
          <w:tcPr>
            <w:tcW w:w="3915" w:type="dxa"/>
            <w:vMerge w:val="restart"/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Fin décembre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Deux contrats devraient être signés. Le premier, d’une valeur de 33 000 000 EUR, impliquera la Croix-Rouge danoise et le</w:t>
            </w:r>
            <w:r>
              <w:rPr>
                <w:rFonts w:ascii="Times New Roman" w:hAnsi="Times New Roman"/>
                <w:noProof/>
                <w:sz w:val="16"/>
              </w:rPr>
              <w:t xml:space="preserve"> Croissant-Rouge turc. Le second, d’un montant de 5 000 000 EUR, sera mis en œuvre par Spark, une ONG néerlandaise, et permettra à des jeunes Syriens vulnérables d'avoir accès à l’enseignement supérieur.</w:t>
            </w:r>
          </w:p>
          <w:p w:rsidR="003741F3" w:rsidRDefault="003741F3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Depuis juin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Préparation de projets dans des domaines non couverts par d'autres volets: accès au marché du travail, actions locales, subventions de moindre montant, autres mesures d’intégration et non juridiquement contraignantes. </w:t>
            </w:r>
          </w:p>
        </w:tc>
      </w:tr>
      <w:tr w:rsidR="003741F3">
        <w:trPr>
          <w:trHeight w:val="1002"/>
          <w:jc w:val="center"/>
        </w:trPr>
        <w:tc>
          <w:tcPr>
            <w:tcW w:w="1407" w:type="dxa"/>
            <w:vMerge w:val="restart"/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Résultats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Début septembre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Signature </w:t>
            </w:r>
            <w:r>
              <w:rPr>
                <w:rFonts w:ascii="Times New Roman" w:hAnsi="Times New Roman"/>
                <w:noProof/>
                <w:sz w:val="16"/>
              </w:rPr>
              <w:t xml:space="preserve">du contrat relatif au </w:t>
            </w:r>
            <w:r>
              <w:rPr>
                <w:rFonts w:ascii="Times New Roman" w:hAnsi="Times New Roman"/>
                <w:b/>
                <w:noProof/>
                <w:sz w:val="16"/>
              </w:rPr>
              <w:t>filet de sécurité sociale d’urgence</w:t>
            </w:r>
            <w:r>
              <w:rPr>
                <w:rFonts w:ascii="Times New Roman" w:hAnsi="Times New Roman"/>
                <w:noProof/>
                <w:sz w:val="16"/>
              </w:rPr>
              <w:t xml:space="preserve"> d'un montant de </w:t>
            </w:r>
            <w:r>
              <w:rPr>
                <w:rFonts w:ascii="Times New Roman" w:hAnsi="Times New Roman"/>
                <w:b/>
                <w:noProof/>
                <w:sz w:val="16"/>
              </w:rPr>
              <w:t>348 000 000 EUR</w:t>
            </w:r>
            <w:r>
              <w:rPr>
                <w:rFonts w:ascii="Times New Roman" w:hAnsi="Times New Roman"/>
                <w:noProof/>
                <w:sz w:val="16"/>
              </w:rPr>
              <w:t>.</w:t>
            </w:r>
          </w:p>
          <w:p w:rsidR="003741F3" w:rsidRDefault="003741F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31 juillet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Signature d'un contrat de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74 000 000 EUR</w:t>
            </w:r>
            <w:r>
              <w:rPr>
                <w:rFonts w:ascii="Times New Roman" w:hAnsi="Times New Roman"/>
                <w:noProof/>
                <w:sz w:val="16"/>
              </w:rPr>
              <w:t xml:space="preserve"> dans le domaine de la santé, de l'éducation, de la protection et de la préparation à l'hiver.</w:t>
            </w:r>
          </w:p>
          <w:p w:rsidR="003741F3" w:rsidRDefault="003741F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3 juin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Publicatio</w:t>
            </w:r>
            <w:r>
              <w:rPr>
                <w:rFonts w:ascii="Times New Roman" w:hAnsi="Times New Roman"/>
                <w:noProof/>
                <w:sz w:val="16"/>
              </w:rPr>
              <w:t xml:space="preserve">n du </w:t>
            </w:r>
            <w:r>
              <w:rPr>
                <w:rFonts w:ascii="Times New Roman" w:hAnsi="Times New Roman"/>
                <w:b/>
                <w:noProof/>
                <w:sz w:val="16"/>
              </w:rPr>
              <w:t>plan de mise en œuvre de l'action humanitaire</w:t>
            </w:r>
            <w:r>
              <w:rPr>
                <w:rFonts w:ascii="Times New Roman" w:hAnsi="Times New Roman"/>
                <w:noProof/>
                <w:sz w:val="16"/>
              </w:rPr>
              <w:t xml:space="preserve"> de la Commission, qui couvre notamment la première dotation (</w:t>
            </w:r>
            <w:r>
              <w:rPr>
                <w:rFonts w:ascii="Times New Roman" w:hAnsi="Times New Roman"/>
                <w:b/>
                <w:noProof/>
                <w:sz w:val="16"/>
              </w:rPr>
              <w:t>505 650 000 EUR</w:t>
            </w:r>
            <w:r>
              <w:rPr>
                <w:rFonts w:ascii="Times New Roman" w:hAnsi="Times New Roman"/>
                <w:noProof/>
                <w:sz w:val="16"/>
              </w:rPr>
              <w:t>).</w:t>
            </w:r>
          </w:p>
          <w:p w:rsidR="003741F3" w:rsidRDefault="003741F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Mars-avril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Signature entre la Commission et 17 partenaires humanitaires de projets d'un montant de </w:t>
            </w:r>
            <w:r>
              <w:rPr>
                <w:rFonts w:ascii="Times New Roman" w:hAnsi="Times New Roman"/>
                <w:b/>
                <w:noProof/>
                <w:sz w:val="16"/>
              </w:rPr>
              <w:t>90 000 000 EUR</w:t>
            </w:r>
            <w:r>
              <w:rPr>
                <w:rFonts w:ascii="Times New Roman" w:hAnsi="Times New Roman"/>
                <w:noProof/>
                <w:sz w:val="16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8 août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Signature, le 8 août 2016, par les autorités turques d'un accord direct visant à mettre en œuvre la mesure spéciale en faveur des migrants renvoyés.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Versement d'une avance de 12 000 000 EUR le 18 août 2016.</w:t>
            </w:r>
          </w:p>
          <w:p w:rsidR="003741F3" w:rsidRDefault="003741F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19 avril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Mesure spéciale de </w:t>
            </w:r>
            <w:r>
              <w:rPr>
                <w:rFonts w:ascii="Times New Roman" w:hAnsi="Times New Roman"/>
                <w:b/>
                <w:noProof/>
                <w:sz w:val="16"/>
              </w:rPr>
              <w:t>60 000 000 EUR</w:t>
            </w:r>
            <w:r>
              <w:rPr>
                <w:rFonts w:ascii="Times New Roman" w:hAnsi="Times New Roman"/>
                <w:noProof/>
                <w:sz w:val="16"/>
              </w:rPr>
              <w:t xml:space="preserve"> affec</w:t>
            </w:r>
            <w:r>
              <w:rPr>
                <w:rFonts w:ascii="Times New Roman" w:hAnsi="Times New Roman"/>
                <w:noProof/>
                <w:sz w:val="16"/>
              </w:rPr>
              <w:t>tée à la fourniture de nourriture, d'un hébergement et de soins de santé aux migrants renvoyés de Grèce.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Octobre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Paiement des avances d’un montant de 270 000 000 EUR</w:t>
            </w:r>
          </w:p>
          <w:p w:rsidR="003741F3" w:rsidRDefault="003741F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Fin septembre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Signature des subventions directes pour l'éducation et la santé d'un montan</w:t>
            </w:r>
            <w:r>
              <w:rPr>
                <w:rFonts w:ascii="Times New Roman" w:hAnsi="Times New Roman"/>
                <w:noProof/>
                <w:sz w:val="16"/>
              </w:rPr>
              <w:t xml:space="preserve">t de </w:t>
            </w:r>
            <w:r>
              <w:rPr>
                <w:rFonts w:ascii="Times New Roman" w:hAnsi="Times New Roman"/>
                <w:b/>
                <w:noProof/>
                <w:sz w:val="16"/>
              </w:rPr>
              <w:t>300 000 000 EUR chacune</w:t>
            </w:r>
            <w:r>
              <w:rPr>
                <w:rFonts w:ascii="Times New Roman" w:hAnsi="Times New Roman"/>
                <w:noProof/>
                <w:sz w:val="16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28 novembre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Signature d’un contrat d’une valeur de 50 000 000 EUR avec la KfW pour construire et équiper de nouvelles écoles.</w:t>
            </w:r>
          </w:p>
        </w:tc>
        <w:tc>
          <w:tcPr>
            <w:tcW w:w="39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41F3" w:rsidRDefault="003741F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3741F3">
        <w:trPr>
          <w:trHeight w:val="601"/>
          <w:jc w:val="center"/>
        </w:trPr>
        <w:tc>
          <w:tcPr>
            <w:tcW w:w="1407" w:type="dxa"/>
            <w:vMerge/>
            <w:shd w:val="clear" w:color="auto" w:fill="auto"/>
          </w:tcPr>
          <w:p w:rsidR="003741F3" w:rsidRDefault="003741F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741F3" w:rsidRDefault="003741F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741F3" w:rsidRDefault="003741F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87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28 juillet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Adoption d'une </w:t>
            </w:r>
            <w:r>
              <w:rPr>
                <w:rFonts w:ascii="Times New Roman" w:hAnsi="Times New Roman"/>
                <w:b/>
                <w:noProof/>
                <w:sz w:val="16"/>
              </w:rPr>
              <w:t>mesure spéciale</w:t>
            </w:r>
            <w:r>
              <w:rPr>
                <w:rFonts w:ascii="Times New Roman" w:hAnsi="Times New Roman"/>
                <w:noProof/>
                <w:sz w:val="16"/>
              </w:rPr>
              <w:t xml:space="preserve"> d'un montant de </w:t>
            </w:r>
            <w:r>
              <w:rPr>
                <w:rFonts w:ascii="Times New Roman" w:hAnsi="Times New Roman"/>
                <w:b/>
                <w:noProof/>
                <w:sz w:val="16"/>
              </w:rPr>
              <w:t>1 400 000 000 EUR</w:t>
            </w:r>
            <w:r>
              <w:rPr>
                <w:rFonts w:ascii="Times New Roman" w:hAnsi="Times New Roman"/>
                <w:noProof/>
                <w:sz w:val="16"/>
              </w:rPr>
              <w:t xml:space="preserve"> en faveur de l'éducation, de la santé, des infrastructures municipales et du soutien socio-économique, comprenant une </w:t>
            </w:r>
            <w:r>
              <w:rPr>
                <w:rFonts w:ascii="Times New Roman" w:hAnsi="Times New Roman"/>
                <w:b/>
                <w:noProof/>
                <w:sz w:val="16"/>
              </w:rPr>
              <w:t>dotation supplémentaire de 250 000 000 EUR</w:t>
            </w:r>
            <w:r>
              <w:rPr>
                <w:rFonts w:ascii="Times New Roman" w:hAnsi="Times New Roman"/>
                <w:noProof/>
                <w:sz w:val="16"/>
              </w:rPr>
              <w:t xml:space="preserve"> destinée à des projets fondés sur une approche ascendante financés par le fonds fiduciaire de </w:t>
            </w:r>
            <w:r>
              <w:rPr>
                <w:rFonts w:ascii="Times New Roman" w:hAnsi="Times New Roman"/>
                <w:noProof/>
                <w:sz w:val="16"/>
              </w:rPr>
              <w:t>l’Union européenne en réponse à la crise syrienne.</w:t>
            </w:r>
          </w:p>
        </w:tc>
      </w:tr>
      <w:tr w:rsidR="003741F3">
        <w:trPr>
          <w:trHeight w:val="2650"/>
          <w:jc w:val="center"/>
        </w:trPr>
        <w:tc>
          <w:tcPr>
            <w:tcW w:w="1407" w:type="dxa"/>
            <w:vMerge/>
            <w:shd w:val="clear" w:color="auto" w:fill="auto"/>
          </w:tcPr>
          <w:p w:rsidR="003741F3" w:rsidRDefault="003741F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741F3" w:rsidRDefault="003741F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741F3" w:rsidRDefault="003741F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3741F3" w:rsidRDefault="003741F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Juin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Discussion et approbation de la mesure spéciale lors des tables rondes des institutions financières internationales des 24 et 29 juin.</w:t>
            </w:r>
          </w:p>
          <w:p w:rsidR="003741F3" w:rsidRDefault="003741F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 Juin </w:t>
            </w:r>
          </w:p>
          <w:p w:rsidR="003741F3" w:rsidRDefault="005E6E73">
            <w:pPr>
              <w:spacing w:after="6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Adoption de quatre autres projets fondés sur une approche ascendante, d'un montant total de </w:t>
            </w:r>
            <w:r>
              <w:rPr>
                <w:rFonts w:ascii="Times New Roman" w:hAnsi="Times New Roman"/>
                <w:b/>
                <w:noProof/>
                <w:sz w:val="16"/>
              </w:rPr>
              <w:t>59 000 000 EUR</w:t>
            </w:r>
            <w:r>
              <w:rPr>
                <w:rFonts w:ascii="Times New Roman" w:hAnsi="Times New Roman"/>
                <w:noProof/>
                <w:sz w:val="16"/>
              </w:rPr>
              <w:t>, par le Conseil du fonds fiduciaire de l'Union en réponse à la crise syrienne en avril et en juin, dans le but de fournir un soutien supplémentaire à</w:t>
            </w:r>
            <w:r>
              <w:rPr>
                <w:rFonts w:ascii="Times New Roman" w:hAnsi="Times New Roman"/>
                <w:noProof/>
                <w:sz w:val="16"/>
              </w:rPr>
              <w:t xml:space="preserve"> l'éducation, aux infrastructures, à l'enseignement supérieur et à la formation professionnelle ainsi qu'un soutien social renforcé. 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Mai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Signature de contrats pour quatre projets d'un montant total de </w:t>
            </w:r>
            <w:r>
              <w:rPr>
                <w:rFonts w:ascii="Times New Roman" w:hAnsi="Times New Roman"/>
                <w:b/>
                <w:noProof/>
                <w:sz w:val="16"/>
              </w:rPr>
              <w:t>60 000 000 EUR</w:t>
            </w:r>
            <w:r>
              <w:rPr>
                <w:rFonts w:ascii="Times New Roman" w:hAnsi="Times New Roman"/>
                <w:noProof/>
                <w:sz w:val="16"/>
              </w:rPr>
              <w:t xml:space="preserve">, notamment d'un contrat régional avec </w:t>
            </w:r>
            <w:r>
              <w:rPr>
                <w:rFonts w:ascii="Times New Roman" w:hAnsi="Times New Roman"/>
                <w:noProof/>
                <w:sz w:val="16"/>
              </w:rPr>
              <w:t xml:space="preserve">l'UNICEF comprenant un volet de </w:t>
            </w:r>
            <w:r>
              <w:rPr>
                <w:rFonts w:ascii="Times New Roman" w:hAnsi="Times New Roman"/>
                <w:b/>
                <w:noProof/>
                <w:sz w:val="16"/>
              </w:rPr>
              <w:t>37 000 000 EUR</w:t>
            </w:r>
            <w:r>
              <w:rPr>
                <w:rFonts w:ascii="Times New Roman" w:hAnsi="Times New Roman"/>
                <w:noProof/>
                <w:sz w:val="16"/>
              </w:rPr>
              <w:t xml:space="preserve"> pour la Turquie, le </w:t>
            </w:r>
            <w:r>
              <w:rPr>
                <w:rFonts w:ascii="Times New Roman" w:hAnsi="Times New Roman"/>
                <w:b/>
                <w:noProof/>
                <w:sz w:val="16"/>
              </w:rPr>
              <w:t>4 mars</w:t>
            </w:r>
            <w:r>
              <w:rPr>
                <w:rFonts w:ascii="Times New Roman" w:hAnsi="Times New Roman"/>
                <w:noProof/>
                <w:sz w:val="16"/>
              </w:rPr>
              <w:t>.</w:t>
            </w:r>
          </w:p>
        </w:tc>
      </w:tr>
      <w:tr w:rsidR="003741F3">
        <w:trPr>
          <w:jc w:val="center"/>
        </w:trPr>
        <w:tc>
          <w:tcPr>
            <w:tcW w:w="15245" w:type="dxa"/>
            <w:gridSpan w:val="6"/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Gouvernance de la facilité</w:t>
            </w:r>
          </w:p>
        </w:tc>
      </w:tr>
      <w:tr w:rsidR="003741F3">
        <w:trPr>
          <w:jc w:val="center"/>
        </w:trPr>
        <w:tc>
          <w:tcPr>
            <w:tcW w:w="1407" w:type="dxa"/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Chronologie depuis avril:</w:t>
            </w:r>
          </w:p>
        </w:tc>
        <w:tc>
          <w:tcPr>
            <w:tcW w:w="2552" w:type="dxa"/>
            <w:shd w:val="clear" w:color="auto" w:fill="auto"/>
          </w:tcPr>
          <w:p w:rsidR="003741F3" w:rsidRDefault="005E6E73">
            <w:pPr>
              <w:tabs>
                <w:tab w:val="center" w:pos="1512"/>
              </w:tabs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noProof/>
              </w:rPr>
              <w:tab/>
            </w:r>
            <w:r>
              <w:rPr>
                <w:rFonts w:ascii="Times New Roman" w:hAnsi="Times New Roman"/>
                <w:b/>
                <w:noProof/>
                <w:sz w:val="16"/>
              </w:rPr>
              <w:t>Avril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Présentation à la Turquie de l'approche accélérée développée ensuite pour former la note conceptuelle stratégique </w:t>
            </w:r>
            <w:r>
              <w:rPr>
                <w:rFonts w:ascii="Times New Roman" w:hAnsi="Times New Roman"/>
                <w:noProof/>
                <w:sz w:val="16"/>
              </w:rPr>
              <w:t>relative à la mise en œuvre de la facilité.</w:t>
            </w:r>
          </w:p>
          <w:p w:rsidR="003741F3" w:rsidRDefault="003741F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3741F3" w:rsidRDefault="003741F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3741F3" w:rsidRDefault="005E6E73">
            <w:pPr>
              <w:tabs>
                <w:tab w:val="left" w:pos="935"/>
              </w:tabs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noProof/>
              </w:rPr>
              <w:lastRenderedPageBreak/>
              <w:tab/>
            </w:r>
          </w:p>
        </w:tc>
        <w:tc>
          <w:tcPr>
            <w:tcW w:w="2551" w:type="dxa"/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lastRenderedPageBreak/>
              <w:t>12 mai</w:t>
            </w:r>
          </w:p>
          <w:p w:rsidR="003741F3" w:rsidRDefault="005E6E73">
            <w:pPr>
              <w:tabs>
                <w:tab w:val="left" w:pos="4632"/>
              </w:tabs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Approbation de la note conceptuelle stratégique par le comité de pilotage lors de sa deuxième réunion et présentation à cette occasion de l'évaluation indépendante des besoins. Approbation de six domai</w:t>
            </w:r>
            <w:r>
              <w:rPr>
                <w:rFonts w:ascii="Times New Roman" w:hAnsi="Times New Roman"/>
                <w:noProof/>
                <w:sz w:val="16"/>
              </w:rPr>
              <w:t xml:space="preserve">nes prioritaires pour la </w:t>
            </w:r>
            <w:r>
              <w:rPr>
                <w:rFonts w:ascii="Times New Roman" w:hAnsi="Times New Roman"/>
                <w:noProof/>
                <w:sz w:val="16"/>
              </w:rPr>
              <w:lastRenderedPageBreak/>
              <w:t>facilité: aide humanitaire, gestion des migrations, éducation, santé, infrastructures municipales et soutien socio-économique.</w:t>
            </w:r>
          </w:p>
        </w:tc>
        <w:tc>
          <w:tcPr>
            <w:tcW w:w="2410" w:type="dxa"/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lastRenderedPageBreak/>
              <w:t>13 juin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Les certificats de contribution de tous les États membres ont été reçus; le montant de 2 000 000</w:t>
            </w:r>
            <w:r>
              <w:rPr>
                <w:rFonts w:ascii="Times New Roman" w:hAnsi="Times New Roman"/>
                <w:noProof/>
                <w:sz w:val="16"/>
              </w:rPr>
              <w:t xml:space="preserve"> 000 EUR promis pour 2016-2017 est couvert dans son intégralité.</w:t>
            </w:r>
          </w:p>
        </w:tc>
        <w:tc>
          <w:tcPr>
            <w:tcW w:w="2410" w:type="dxa"/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30 juin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Révision de la mise en œuvre et examen des mesures spéciales en faveur de l'éducation, de la santé, des infrastructures municipales et sociales et du soutien socioéconomique par le co</w:t>
            </w:r>
            <w:r>
              <w:rPr>
                <w:rFonts w:ascii="Times New Roman" w:hAnsi="Times New Roman"/>
                <w:noProof/>
                <w:sz w:val="16"/>
              </w:rPr>
              <w:t xml:space="preserve">mité de pilotage lors de sa troisième </w:t>
            </w:r>
            <w:r>
              <w:rPr>
                <w:rFonts w:ascii="Times New Roman" w:hAnsi="Times New Roman"/>
                <w:noProof/>
                <w:sz w:val="16"/>
              </w:rPr>
              <w:lastRenderedPageBreak/>
              <w:t>réunion, avant l'approbation de la mesure par le comité de gestion de l'IAP en juillet.</w:t>
            </w:r>
          </w:p>
        </w:tc>
        <w:tc>
          <w:tcPr>
            <w:tcW w:w="3915" w:type="dxa"/>
            <w:shd w:val="clear" w:color="auto" w:fill="auto"/>
          </w:tcPr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lastRenderedPageBreak/>
              <w:t>4 octobre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Quatrième réunion du comité de pilotage</w:t>
            </w:r>
          </w:p>
          <w:p w:rsidR="003741F3" w:rsidRDefault="003741F3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En continu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Rapport sur la mise en œuvre et communication des résultats obtenus,</w:t>
            </w:r>
            <w:r>
              <w:rPr>
                <w:rFonts w:ascii="Times New Roman" w:hAnsi="Times New Roman"/>
                <w:noProof/>
                <w:sz w:val="16"/>
              </w:rPr>
              <w:t xml:space="preserve"> notamment grâce à la carte interactive</w:t>
            </w:r>
            <w:r>
              <w:rPr>
                <w:rStyle w:val="FootnoteReference"/>
                <w:rFonts w:ascii="Times New Roman" w:hAnsi="Times New Roman"/>
                <w:noProof/>
                <w:sz w:val="16"/>
              </w:rPr>
              <w:footnoteReference w:id="1"/>
            </w:r>
            <w:r>
              <w:rPr>
                <w:rFonts w:ascii="Times New Roman" w:hAnsi="Times New Roman"/>
                <w:noProof/>
                <w:sz w:val="16"/>
              </w:rPr>
              <w:t>.</w:t>
            </w:r>
          </w:p>
          <w:p w:rsidR="003741F3" w:rsidRDefault="003741F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12 janvier 2017</w:t>
            </w:r>
          </w:p>
          <w:p w:rsidR="003741F3" w:rsidRDefault="005E6E73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lastRenderedPageBreak/>
              <w:t>Cinquième réunion du comité de pilotage</w:t>
            </w:r>
          </w:p>
        </w:tc>
      </w:tr>
    </w:tbl>
    <w:p w:rsidR="003741F3" w:rsidRDefault="003741F3">
      <w:pPr>
        <w:rPr>
          <w:noProof/>
        </w:rPr>
      </w:pPr>
    </w:p>
    <w:sectPr w:rsidR="003741F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240" w:right="360" w:bottom="240" w:left="3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1F3" w:rsidRDefault="005E6E73">
      <w:pPr>
        <w:spacing w:after="0" w:line="240" w:lineRule="auto"/>
      </w:pPr>
      <w:r>
        <w:separator/>
      </w:r>
    </w:p>
  </w:endnote>
  <w:endnote w:type="continuationSeparator" w:id="0">
    <w:p w:rsidR="003741F3" w:rsidRDefault="005E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E73" w:rsidRPr="005E6E73" w:rsidRDefault="005E6E73" w:rsidP="005E6E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E73" w:rsidRPr="005E6E73" w:rsidRDefault="005E6E73" w:rsidP="005E6E73">
    <w:pPr>
      <w:pStyle w:val="FooterCoverPage"/>
      <w:rPr>
        <w:rFonts w:ascii="Arial" w:hAnsi="Arial" w:cs="Arial"/>
        <w:b/>
        <w:sz w:val="48"/>
      </w:rPr>
    </w:pPr>
    <w:r w:rsidRPr="005E6E73">
      <w:rPr>
        <w:rFonts w:ascii="Arial" w:hAnsi="Arial" w:cs="Arial"/>
        <w:b/>
        <w:sz w:val="48"/>
      </w:rPr>
      <w:t>FR</w:t>
    </w:r>
    <w:r w:rsidRPr="005E6E73">
      <w:rPr>
        <w:rFonts w:ascii="Arial" w:hAnsi="Arial" w:cs="Arial"/>
        <w:b/>
        <w:sz w:val="48"/>
      </w:rPr>
      <w:tab/>
    </w:r>
    <w:r w:rsidRPr="005E6E73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5E6E73">
      <w:tab/>
    </w:r>
    <w:proofErr w:type="spellStart"/>
    <w:r w:rsidRPr="005E6E73"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E73" w:rsidRPr="005E6E73" w:rsidRDefault="005E6E73" w:rsidP="005E6E73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F3" w:rsidRDefault="003741F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185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1F3" w:rsidRDefault="005E6E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41F3" w:rsidRDefault="003741F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F3" w:rsidRDefault="00374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1F3" w:rsidRDefault="005E6E73">
      <w:pPr>
        <w:spacing w:after="0" w:line="240" w:lineRule="auto"/>
      </w:pPr>
      <w:r>
        <w:separator/>
      </w:r>
    </w:p>
  </w:footnote>
  <w:footnote w:type="continuationSeparator" w:id="0">
    <w:p w:rsidR="003741F3" w:rsidRDefault="005E6E73">
      <w:pPr>
        <w:spacing w:after="0" w:line="240" w:lineRule="auto"/>
      </w:pPr>
      <w:r>
        <w:continuationSeparator/>
      </w:r>
    </w:p>
  </w:footnote>
  <w:footnote w:id="1">
    <w:p w:rsidR="003741F3" w:rsidRDefault="005E6E73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Pour obtenir davantage d'informations sur le fonctionnement de la facilité et une présentation détaillée des projets financés, voir </w:t>
      </w:r>
      <w:hyperlink r:id="rId1">
        <w:r>
          <w:rPr>
            <w:rStyle w:val="Hyperlink"/>
            <w:rFonts w:ascii="Times New Roman" w:hAnsi="Times New Roman"/>
          </w:rPr>
          <w:t>http://ec.europa.eu/enlargement/news_c</w:t>
        </w:r>
        <w:r>
          <w:rPr>
            <w:rStyle w:val="Hyperlink"/>
            <w:rFonts w:ascii="Times New Roman" w:hAnsi="Times New Roman"/>
          </w:rPr>
          <w:t>orner/migration/index_en.htm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E73" w:rsidRPr="005E6E73" w:rsidRDefault="005E6E73" w:rsidP="005E6E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E73" w:rsidRPr="005E6E73" w:rsidRDefault="005E6E73" w:rsidP="005E6E73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E73" w:rsidRPr="005E6E73" w:rsidRDefault="005E6E73" w:rsidP="005E6E73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F3" w:rsidRDefault="003741F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F3" w:rsidRDefault="003741F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F3" w:rsidRDefault="003741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"/>
    <w:docVar w:name="LW_ANNEX_NBR_FIRST" w:val="2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F93657A12AF844EBB61C104DDD451E73"/>
    <w:docVar w:name="LW_CROSSREFERENCE" w:val="&lt;UNUSED&gt;"/>
    <w:docVar w:name="LW_DocType" w:val="NORMAL"/>
    <w:docVar w:name="LW_EMISSION" w:val="8.12.2016"/>
    <w:docVar w:name="LW_EMISSION_ISODATE" w:val="2016-12-08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Quatrième rapport sur les progrès réalisés dans la mise en \u339?uvre de la déclaration UE-Turquie"/>
    <w:docVar w:name="LW_PART_NBR" w:val="1"/>
    <w:docVar w:name="LW_PART_NBR_TOTAL" w:val="1"/>
    <w:docVar w:name="LW_REF.INST.NEW" w:val="COM"/>
    <w:docVar w:name="LW_REF.INST.NEW_ADOPTED" w:val="final"/>
    <w:docVar w:name="LW_REF.INST.NEW_TEXT" w:val="(2016) 792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 EUROPÉEN ET AU CONSEIL"/>
  </w:docVars>
  <w:rsids>
    <w:rsidRoot w:val="003741F3"/>
    <w:rsid w:val="003741F3"/>
    <w:rsid w:val="005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,BVI fnr,footnote ref,4_G"/>
    <w:basedOn w:val="DefaultParagraphFont"/>
    <w:link w:val="BVIfnrChar1CharCharChar"/>
    <w:uiPriority w:val="99"/>
    <w:unhideWhenUsed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VIfnrChar1CharCharChar">
    <w:name w:val="BVI fnr Char1 Char Char Char"/>
    <w:aliases w:val="BVI fnr Car Car Char1 Char Char Char,BVI fnr Car Char1 Char Char Char,BVI fnr Car Car Car Car Char Char1 Char Char"/>
    <w:basedOn w:val="Normal"/>
    <w:link w:val="FootnoteReference"/>
    <w:uiPriority w:val="99"/>
    <w:pPr>
      <w:spacing w:after="160" w:line="240" w:lineRule="exact"/>
    </w:pPr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,BVI fnr,footnote ref,4_G"/>
    <w:basedOn w:val="DefaultParagraphFont"/>
    <w:link w:val="BVIfnrChar1CharCharChar"/>
    <w:uiPriority w:val="99"/>
    <w:unhideWhenUsed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VIfnrChar1CharCharChar">
    <w:name w:val="BVI fnr Char1 Char Char Char"/>
    <w:aliases w:val="BVI fnr Car Car Char1 Char Char Char,BVI fnr Car Char1 Char Char Char,BVI fnr Car Car Car Car Char Char1 Char Char"/>
    <w:basedOn w:val="Normal"/>
    <w:link w:val="FootnoteReference"/>
    <w:uiPriority w:val="99"/>
    <w:pPr>
      <w:spacing w:after="160" w:line="240" w:lineRule="exact"/>
    </w:pPr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nlargement/news_corner/migration/index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833</Words>
  <Characters>4368</Characters>
  <Application>Microsoft Office Word</Application>
  <DocSecurity>0</DocSecurity>
  <Lines>198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BARTKIEWICZ Ligia (SG)</dc:creator>
  <cp:lastModifiedBy>DOMINGUEZ AGUIRRE Ana (SG)</cp:lastModifiedBy>
  <cp:revision>11</cp:revision>
  <cp:lastPrinted>2016-11-29T16:33:00Z</cp:lastPrinted>
  <dcterms:created xsi:type="dcterms:W3CDTF">2016-12-06T13:52:00Z</dcterms:created>
  <dcterms:modified xsi:type="dcterms:W3CDTF">2016-12-08T09:03:00Z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