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8DBE49F315D4DBE9FAE5C3DB40A2563"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За да се осигури задоволително и непрекъснато снабдяване с някои селскостопански и промишлени продукти, които се произвеждат в недостатъчни количества или въобще не се произвеждат в Съюза, и за да се избегнат смущенията на пазара на тези продукти, с Регламент (ЕС) № 1387/2013 на Съвета (наричан по-долу „Регламента“) бяха частично или изцяло суспендирани някои автономни мита по Общата митническа тарифа.</w:t>
      </w:r>
    </w:p>
    <w:p>
      <w:pPr>
        <w:rPr>
          <w:noProof/>
        </w:rPr>
      </w:pPr>
      <w:r>
        <w:rPr>
          <w:noProof/>
        </w:rPr>
        <w:t>Регламентът се актуализира на всеки семестър, за да отговаря на нуждите на промишлеността на ЕС. Подпомагана от Групата по икономически тарифни въпроси (ГИТВ), Комисията разгледа всички искания за временно суспендиране на автономни мита по Общата митническа тарифа, които ѝ бяха представени от държавите членки.</w:t>
      </w:r>
    </w:p>
    <w:p>
      <w:pPr>
        <w:rPr>
          <w:noProof/>
        </w:rPr>
      </w:pPr>
      <w:r>
        <w:rPr>
          <w:noProof/>
        </w:rPr>
        <w:t>След разглеждането Комисията смята, че суспендирането на митата е обосновано за някои нови продукти, които понастоящем не са посочени в приложението към Регламента. По отношение на някои други продукти е необходимо да се променят условията във връзка с: описанието на продукта, неговото класиране, митническите ставки или изискванията за специфична употреба. Крайните дати за мерките бяха изменени в съответствие с правилата, уреждащи удължаването на сроковете.  Предлага се да се заличат от приложението продуктите, за които суспендирането на митата повече не отговаря на икономическите интереси на Съюза.</w:t>
      </w:r>
    </w:p>
    <w:p>
      <w:pPr>
        <w:rPr>
          <w:noProof/>
        </w:rPr>
      </w:pPr>
      <w:r>
        <w:rPr>
          <w:noProof/>
        </w:rPr>
        <w:t>За по-голяма яснота е целесъобразно да се публикува консолидирана версия на приложението към Регламент (ЕС) № </w:t>
      </w:r>
      <w:r>
        <w:rPr>
          <w:rStyle w:val="highlight"/>
          <w:noProof/>
        </w:rPr>
        <w:t>1387/2013</w:t>
      </w:r>
      <w:r>
        <w:rPr>
          <w:noProof/>
        </w:rPr>
        <w:t xml:space="preserve"> на Съвета, което ще замени предишното приложение.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областта на политиката</w:t>
      </w:r>
    </w:p>
    <w:p>
      <w:pPr>
        <w:rPr>
          <w:noProof/>
        </w:rPr>
      </w:pPr>
      <w:r>
        <w:rPr>
          <w:noProof/>
        </w:rPr>
        <w:t>Настоящото предложение не е за сметка на държавите, ползващи се с преференциални търговски споразумения с ЕС, държавите кандидатки и потенциалните държави кандидатки за преференциални споразумения (напр. Общата система за преференции, режима на Споразумението за партньорство със страните от Африка, Карибите и Тихоокеанския басейн, споразуменията за свободна търговия).</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Предложението е в съответствие с политиката на Съюза в областта на селското стопанство, търговията, предприятията, развитието и външните отношения.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Предложението е от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С това предложение се спазва принципът на пропорционалността, тъй като предвидените мерки съответстват на установените принципи за опростяване на процедурите за икономическите оператори с предмет на дейност във външната търговия съгласно посоченото в Съобщението на Комисията относно суспендирането на автономни мита и относно автономните тарифни квоти</w:t>
      </w:r>
      <w:r>
        <w:rPr>
          <w:rStyle w:val="FootnoteReference"/>
          <w:noProof/>
        </w:rPr>
        <w:footnoteReference w:id="1"/>
      </w:r>
      <w:r>
        <w:rPr>
          <w:noProof/>
        </w:rPr>
        <w:t>.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 (ДЕС).</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По силата на член 31 от ДФЕС „</w:t>
      </w:r>
      <w:r>
        <w:rPr>
          <w:i/>
          <w:noProof/>
        </w:rPr>
        <w:t>митата от Общата митническа тарифа се определят от Съвета, по предложение на Комисията</w:t>
      </w:r>
      <w:r>
        <w:rPr>
          <w:noProof/>
        </w:rPr>
        <w:t>“. По тази причина подходящият инструмент е регламент.</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Цялата схема на суспендиране на автономните мита беше предмет на оценка, проведена през 2013 г. При нея се заключи, че основната причина за съществуването на схемата е все още валидна. Предприятията от ЕС, внасящи стоки по схемата, могат да спестят значителни средства, които на свой ред е възможно да доведат до ползи в по-широк контекст (като по-голяма конкурентоспособност, по-ефективни производствени методи, създаване или запазване на работните места в ЕС и др.) в зависимост от съответния продукт, дружество и сектор.</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Настоящото предложение беше изготвено с помощта на ГИТВ, която се състои от делегации от всичките държави членки и от Турция. Тя проведе три заседания преди да се постигне договореност относно промените, посочени в настоящото предложение.</w:t>
      </w:r>
    </w:p>
    <w:p>
      <w:pPr>
        <w:rPr>
          <w:noProof/>
        </w:rPr>
      </w:pPr>
      <w:r>
        <w:rPr>
          <w:noProof/>
        </w:rPr>
        <w:t xml:space="preserve">ГИТВ оцени задълбочено всяко искане (ново или изменено). При разглеждането на всеки отделен случай особено внимание бе обърнато на необходимостта от предотвратяване на всякаква вреда за производителите от ЕС и укрепването и консолидирането на конкурентоспособността на производството на ЕС. </w:t>
      </w:r>
    </w:p>
    <w:p>
      <w:pPr>
        <w:rPr>
          <w:noProof/>
        </w:rPr>
      </w:pPr>
      <w:r>
        <w:rPr>
          <w:noProof/>
        </w:rPr>
        <w:t>Всички посочени суспендирания са съобразени със споразуменията или компромисите, постигнати по време на обсъждането в ГИТВ. Не бяха откроени потенциално сериозни рискове с необратими последици.</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Предложеното изменение е от техническо естество и касае само обхвата на суспендиранията, посочени в приложението към Регламент (ЕС) № 1387/2013 на Съвета. Поради това не беше извършена оценка на въздействието за настоящото предложение.</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няма отражение върху основните права.</w:t>
      </w:r>
    </w:p>
    <w:p>
      <w:pPr>
        <w:pStyle w:val="ManualHeading1"/>
        <w:rPr>
          <w:noProof/>
        </w:rPr>
      </w:pPr>
      <w:r>
        <w:rPr>
          <w:noProof/>
        </w:rPr>
        <w:t>4.</w:t>
      </w:r>
      <w:r>
        <w:rPr>
          <w:noProof/>
        </w:rPr>
        <w:tab/>
        <w:t>ОТРАЖЕНИЕ ВЪРХУ БЮДЖЕТА</w:t>
      </w:r>
    </w:p>
    <w:p>
      <w:pPr>
        <w:rPr>
          <w:noProof/>
        </w:rPr>
      </w:pPr>
      <w:r>
        <w:rPr>
          <w:noProof/>
        </w:rPr>
        <w:t>Предложението няма финансово отражение върху разходите, но има финансово отражение върху приходите. Общата приблизителна стойност на несъбраните мита е 10,4 милиона евро годишно. Отражението върху традиционните собствени ресурси в бюджета възлиза на 8,3 милиона евро годишно (80 % от 10,4 милиона евро годишно). В законодателната финансова обосновка се съдържа повече информация за отражението върху бюджета, което ще окаже предложението.</w:t>
      </w:r>
    </w:p>
    <w:p>
      <w:pPr>
        <w:rPr>
          <w:noProof/>
        </w:rPr>
      </w:pPr>
      <w:r>
        <w:rPr>
          <w:noProof/>
        </w:rPr>
        <w:t>Загубата на приходи от традиционните собствени ресурси се компенсира от вноските на държавите членки въз основа на БНД.</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Предложените мерки се разглеждат в рамките на ТАРИК (Интегрираната тарифа на Европейския съюз) и се прилагат от митническите администрации на държавите членки.</w:t>
      </w:r>
    </w:p>
    <w:p>
      <w:pPr>
        <w:rPr>
          <w:noProof/>
        </w:rPr>
      </w:pPr>
      <w:r>
        <w:rPr>
          <w:noProof/>
        </w:rPr>
        <w:t>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2016/0387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Производството на Съюза на 110 селскостопански и промишлени продукти, които към момента не са изброени в приложението към Регламент (ЕС) № 1387/2013 на Съвета</w:t>
      </w:r>
      <w:r>
        <w:rPr>
          <w:rStyle w:val="FootnoteReference"/>
          <w:noProof/>
        </w:rPr>
        <w:footnoteReference w:id="2"/>
      </w:r>
      <w:r>
        <w:rPr>
          <w:noProof/>
        </w:rPr>
        <w:t>, е понастоящем недостатъчно или несъществуващо. Затова в интерес на Съюза е да суспендира изцяло автономните мита по Общата митническа тарифа за тези продукти.</w:t>
      </w:r>
    </w:p>
    <w:p>
      <w:pPr>
        <w:pStyle w:val="ManualConsidrant"/>
        <w:rPr>
          <w:noProof/>
        </w:rPr>
      </w:pPr>
      <w:r>
        <w:t>(2)</w:t>
      </w:r>
      <w:r>
        <w:tab/>
      </w:r>
      <w:r>
        <w:rPr>
          <w:noProof/>
        </w:rPr>
        <w:t>Необходимо е да се направят промени в условията за 38 суспендирания на автономните мита по Общата митническа тарифа, включени към момента в приложението към Регламент (ЕС) № 1387/2013, за да се отчетат техническите промени в продуктите и икономическите тенденции на пазара. Във връзка с някои текущи мерки класирането беше адаптирано, за да се даде възможност на промишлеността да се възползва напълно от действащите суспендирания. Освен това приложението бе актуализирано, за да се вземе предвид необходимостта от уеднаквяване или изясняване на текстове в някои случаи.  Изменените условия се отнасят до промени в описанието на продукта, неговото класиране, митническите ставки или изискванията за специфична употреба. Освен това, в контекста на Споразумението под формата на Декларация относно разширяването на търговията с продукти на информационните технологии</w:t>
      </w:r>
      <w:r>
        <w:rPr>
          <w:rStyle w:val="FootnoteReference"/>
          <w:noProof/>
        </w:rPr>
        <w:footnoteReference w:id="3"/>
      </w:r>
      <w:r>
        <w:rPr>
          <w:noProof/>
        </w:rPr>
        <w:t xml:space="preserve"> и на предстоящите промени в Комбинираната номенклатура, считано от 1 януари 2017 г.</w:t>
      </w:r>
      <w:r>
        <w:rPr>
          <w:rStyle w:val="FootnoteReference"/>
          <w:noProof/>
        </w:rPr>
        <w:footnoteReference w:id="4"/>
      </w:r>
      <w:r>
        <w:rPr>
          <w:noProof/>
        </w:rPr>
        <w:t>, следва да бъдат изменени 441 позиции. Суспендиранията, за които са необходими изменения, следва да се заличат от списъка на суспендиранията в приложението към Регламент (ЕС) № 1387/2013, а изменените суспендирания следва да бъдат включени в същия списък.</w:t>
      </w:r>
    </w:p>
    <w:p>
      <w:pPr>
        <w:pStyle w:val="ManualConsidrant"/>
        <w:rPr>
          <w:noProof/>
        </w:rPr>
      </w:pPr>
      <w:r>
        <w:t>(3)</w:t>
      </w:r>
      <w:r>
        <w:tab/>
      </w:r>
      <w:r>
        <w:rPr>
          <w:noProof/>
        </w:rPr>
        <w:t>В интерес на Съюза е необходимо също така да се промени крайната дата за задължителното преглеждане във връзка с 206 продукта, които понастоящем са посочени в приложението към Регламент (ЕС) № </w:t>
      </w:r>
      <w:r>
        <w:rPr>
          <w:rStyle w:val="highlight"/>
          <w:noProof/>
        </w:rPr>
        <w:t>1387/2013</w:t>
      </w:r>
      <w:r>
        <w:rPr>
          <w:noProof/>
        </w:rPr>
        <w:t>, за да се позволи безмитният им внос след тази дата. Суспендирането на автономните мита по Общата митническа тарифа за тези продукти бе преразгледано и следва да се определят нови, променени дати за следващото им задължително преразглеждане.</w:t>
      </w:r>
    </w:p>
    <w:p>
      <w:pPr>
        <w:pStyle w:val="ManualConsidrant"/>
        <w:rPr>
          <w:noProof/>
        </w:rPr>
      </w:pPr>
      <w:r>
        <w:t>(4)</w:t>
      </w:r>
      <w:r>
        <w:tab/>
      </w:r>
      <w:r>
        <w:rPr>
          <w:noProof/>
        </w:rPr>
        <w:t>Съюзът вече няма интерес да поддържа суспендирането на автономните мита по Общата митническа тарифа за 18 от продуктите, които понастоящем са изброени в приложението към Регламент (ЕС) № 1387/2013. Нещо повече, съгласно Съобщението на Комисията размерът на несъбраните мита не може да бъде по-малък от 15 000 евро годишно. В резултат на задължителното преразглеждане на съществуващите суспендирания стана ясно, че вносът по отношение на 71 суспендирания не достига така установения праг. Поради това те също следва да бъдат заличени от посоченото приложение. Освен това 27 суспендирания следва да бъдат заличени от същото приложение в резултат на Споразумението под формата на Декларация относно разширяването на търговията с продукти на информационните технологии, с което митническата ставка по отношение на съответните продукти бе намалена до нула.</w:t>
      </w:r>
    </w:p>
    <w:p>
      <w:pPr>
        <w:pStyle w:val="ManualConsidrant"/>
        <w:rPr>
          <w:noProof/>
        </w:rPr>
      </w:pPr>
      <w:r>
        <w:t>(5)</w:t>
      </w:r>
      <w:r>
        <w:tab/>
      </w:r>
      <w:r>
        <w:rPr>
          <w:noProof/>
        </w:rPr>
        <w:t>С оглед постигането на яснота и предвид броя на измененията, приложението към Регламент (ЕС) № 1387/2013 следва да се замени изцяло.</w:t>
      </w:r>
    </w:p>
    <w:p>
      <w:pPr>
        <w:pStyle w:val="ManualConsidrant"/>
        <w:rPr>
          <w:noProof/>
        </w:rPr>
      </w:pPr>
      <w:r>
        <w:t>(6)</w:t>
      </w:r>
      <w:r>
        <w:tab/>
      </w:r>
      <w:r>
        <w:rPr>
          <w:noProof/>
        </w:rPr>
        <w:t>Поради това Регламент (ЕС) № 1387/2013 следва съответно да се измени.</w:t>
      </w:r>
    </w:p>
    <w:p>
      <w:pPr>
        <w:pStyle w:val="ManualConsidrant"/>
        <w:rPr>
          <w:noProof/>
        </w:rPr>
      </w:pPr>
      <w:r>
        <w:t>(7)</w:t>
      </w:r>
      <w:r>
        <w:tab/>
      </w:r>
      <w:r>
        <w:rPr>
          <w:noProof/>
        </w:rPr>
        <w:t>За да се избегне евентуално прекъсване на прилагането на схема за суспендиране и за да са съобразени с правилата, определени в Съобщението на Комисията, промените относно суспендиранията за засегнатите продукти, предвидени в настоящия регламент, трябва да се прилагат от 1 януари 2017 г. Поради това настоящият регламент следва спешно да влезе в сила.</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Приложението към Регламент (ЕС) № 1387/2013 се заменя с текста, който се съдържа в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 xml:space="preserve">. </w:t>
      </w:r>
    </w:p>
    <w:p>
      <w:pPr>
        <w:rPr>
          <w:noProof/>
        </w:rPr>
      </w:pPr>
      <w:r>
        <w:rPr>
          <w:noProof/>
        </w:rPr>
        <w:t>Той се прилага от 1 януари 2017 г.</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bCs/>
          <w:noProof/>
          <w:szCs w:val="24"/>
        </w:rPr>
      </w:pPr>
      <w:r>
        <w:t>1.</w:t>
      </w:r>
      <w:r>
        <w:tab/>
      </w:r>
      <w:r>
        <w:rPr>
          <w:noProof/>
        </w:rPr>
        <w:t>1. НАИМЕНОВАНИЕ НА ПРЕДЛОЖЕНИЕТО</w:t>
      </w:r>
    </w:p>
    <w:p>
      <w:pPr>
        <w:pStyle w:val="Text1"/>
        <w:rPr>
          <w:noProof/>
        </w:rPr>
      </w:pPr>
      <w:r>
        <w:rPr>
          <w:noProof/>
        </w:rPr>
        <w:t>Регламент на Съвета 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ManualHeading1"/>
        <w:rPr>
          <w:noProof/>
          <w:szCs w:val="24"/>
        </w:rPr>
      </w:pPr>
      <w:r>
        <w:t>2.</w:t>
      </w:r>
      <w:r>
        <w:tab/>
      </w:r>
      <w:r>
        <w:rPr>
          <w:noProof/>
        </w:rPr>
        <w:t>БЮДЖЕТНИ РЕДОВЕ</w:t>
      </w:r>
    </w:p>
    <w:p>
      <w:pPr>
        <w:pStyle w:val="Text1"/>
        <w:rPr>
          <w:noProof/>
        </w:rPr>
      </w:pPr>
      <w:r>
        <w:rPr>
          <w:noProof/>
        </w:rPr>
        <w:t xml:space="preserve">Глава и статия: глава 12, статия 120  </w:t>
      </w:r>
    </w:p>
    <w:p>
      <w:pPr>
        <w:pStyle w:val="Text1"/>
        <w:rPr>
          <w:noProof/>
        </w:rPr>
      </w:pPr>
      <w:r>
        <w:rPr>
          <w:noProof/>
        </w:rPr>
        <w:t>Сума, предвидена в бюджета за 2017 г.: 20 000 500 000 EUR (бюджет 2017 г.)</w:t>
      </w:r>
    </w:p>
    <w:p>
      <w:pPr>
        <w:pStyle w:val="ManualHeading1"/>
        <w:rPr>
          <w:bCs/>
          <w:noProof/>
          <w:szCs w:val="24"/>
        </w:rPr>
      </w:pPr>
      <w:r>
        <w:t>3.</w:t>
      </w:r>
      <w:r>
        <w:tab/>
      </w:r>
      <w:r>
        <w:rPr>
          <w:noProof/>
        </w:rPr>
        <w:t>ФИНАНСОВО ОТРАЖЕНИЕ</w:t>
      </w:r>
    </w:p>
    <w:p>
      <w:pPr>
        <w:pStyle w:val="Text1"/>
        <w:rPr>
          <w:noProof/>
        </w:rPr>
      </w:pPr>
      <w:r>
        <w:rPr>
          <w:noProof/>
        </w:rPr>
        <w:sym w:font="Wingdings" w:char="F0A8"/>
      </w:r>
      <w:r>
        <w:rPr>
          <w:noProof/>
        </w:rPr>
        <w:t>Предложението няма финансово отражение</w:t>
      </w:r>
    </w:p>
    <w:p>
      <w:pPr>
        <w:pStyle w:val="Text1"/>
        <w:rPr>
          <w:noProof/>
        </w:rPr>
      </w:pPr>
      <w:r>
        <w:rPr>
          <w:noProof/>
        </w:rPr>
        <w:t>X Предложението няма финансово отражение върху разходите, но има такова върху приходите – ефектът е, както следва:</w:t>
      </w:r>
    </w:p>
    <w:p>
      <w:pPr>
        <w:jc w:val="right"/>
        <w:rPr>
          <w:noProof/>
        </w:rPr>
      </w:pPr>
      <w:r>
        <w:rPr>
          <w:noProof/>
        </w:rPr>
        <w:t>(в милиони евро до един знак след десетичната запетая</w:t>
      </w:r>
      <w:r>
        <w:rPr>
          <w:rStyle w:val="FootnoteReference"/>
          <w:noProof/>
        </w:rPr>
        <w:footnoteReference w:id="5"/>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Бюджетен ред</w:t>
            </w:r>
          </w:p>
        </w:tc>
        <w:tc>
          <w:tcPr>
            <w:tcW w:w="2880" w:type="dxa"/>
          </w:tcPr>
          <w:p>
            <w:pPr>
              <w:spacing w:before="0" w:after="0"/>
              <w:jc w:val="center"/>
              <w:rPr>
                <w:noProof/>
                <w:snapToGrid w:val="0"/>
              </w:rPr>
            </w:pPr>
            <w:r>
              <w:rPr>
                <w:noProof/>
                <w:sz w:val="22"/>
              </w:rPr>
              <w:t>Приходи</w:t>
            </w:r>
            <w:r>
              <w:rPr>
                <w:rStyle w:val="FootnoteReference"/>
                <w:noProof/>
                <w:snapToGrid w:val="0"/>
                <w:sz w:val="22"/>
              </w:rPr>
              <w:footnoteReference w:id="6"/>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12-месечен период, считано от дд/мм/гггг</w:t>
            </w:r>
          </w:p>
        </w:tc>
        <w:tc>
          <w:tcPr>
            <w:tcW w:w="2070" w:type="dxa"/>
            <w:shd w:val="clear" w:color="auto" w:fill="auto"/>
          </w:tcPr>
          <w:p>
            <w:pPr>
              <w:spacing w:before="0" w:after="0"/>
              <w:jc w:val="center"/>
              <w:rPr>
                <w:noProof/>
                <w:snapToGrid w:val="0"/>
              </w:rPr>
            </w:pPr>
            <w:r>
              <w:rPr>
                <w:noProof/>
                <w:sz w:val="22"/>
              </w:rPr>
              <w:t>[Година: 2017]</w:t>
            </w:r>
          </w:p>
        </w:tc>
      </w:tr>
      <w:tr>
        <w:trPr>
          <w:cantSplit/>
        </w:trPr>
        <w:tc>
          <w:tcPr>
            <w:tcW w:w="1322" w:type="dxa"/>
            <w:shd w:val="clear" w:color="auto" w:fill="auto"/>
          </w:tcPr>
          <w:p>
            <w:pPr>
              <w:spacing w:before="0" w:after="0"/>
              <w:jc w:val="left"/>
              <w:rPr>
                <w:noProof/>
              </w:rPr>
            </w:pPr>
            <w:r>
              <w:rPr>
                <w:noProof/>
                <w:sz w:val="22"/>
              </w:rPr>
              <w:t xml:space="preserve">Член 120 </w:t>
            </w:r>
          </w:p>
          <w:p>
            <w:pPr>
              <w:spacing w:before="0" w:after="0"/>
              <w:jc w:val="left"/>
              <w:rPr>
                <w:noProof/>
                <w:snapToGrid w:val="0"/>
              </w:rPr>
            </w:pPr>
          </w:p>
        </w:tc>
        <w:tc>
          <w:tcPr>
            <w:tcW w:w="2880" w:type="dxa"/>
          </w:tcPr>
          <w:p>
            <w:pPr>
              <w:spacing w:before="0" w:after="0"/>
              <w:jc w:val="left"/>
              <w:rPr>
                <w:i/>
                <w:noProof/>
                <w:snapToGrid w:val="0"/>
              </w:rPr>
            </w:pPr>
            <w:r>
              <w:rPr>
                <w:i/>
                <w:noProof/>
                <w:sz w:val="22"/>
              </w:rPr>
              <w:t>Отражение върху собствените ресурси</w:t>
            </w:r>
          </w:p>
        </w:tc>
        <w:tc>
          <w:tcPr>
            <w:tcW w:w="2070" w:type="dxa"/>
            <w:shd w:val="clear" w:color="auto" w:fill="auto"/>
          </w:tcPr>
          <w:p>
            <w:pPr>
              <w:spacing w:before="0" w:after="0"/>
              <w:jc w:val="left"/>
              <w:rPr>
                <w:noProof/>
                <w:snapToGrid w:val="0"/>
              </w:rPr>
            </w:pPr>
            <w:r>
              <w:rPr>
                <w:noProof/>
                <w:snapToGrid w:val="0"/>
                <w:sz w:val="22"/>
              </w:rPr>
              <w:t xml:space="preserve">      1.1.2017 г.</w:t>
            </w:r>
          </w:p>
        </w:tc>
        <w:tc>
          <w:tcPr>
            <w:tcW w:w="2070" w:type="dxa"/>
            <w:shd w:val="clear" w:color="auto" w:fill="auto"/>
          </w:tcPr>
          <w:p>
            <w:pPr>
              <w:spacing w:before="0" w:after="0"/>
              <w:jc w:val="left"/>
              <w:rPr>
                <w:noProof/>
                <w:snapToGrid w:val="0"/>
              </w:rPr>
            </w:pPr>
            <w:r>
              <w:rPr>
                <w:noProof/>
                <w:snapToGrid w:val="0"/>
                <w:sz w:val="22"/>
              </w:rPr>
              <w:t xml:space="preserve">           -8,3</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Положение след действието</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[2017 — 2021 г.]</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rPr>
              <w:t>Статия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-8,3 годишно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Настоящото приложение включва 110 нови продукта. Несъбраните мита, съответстващи на тези суспендирания, изчислени на база на прогнозите на подалите искания държави членки за периода 2017—2021 г., възлизат на 11,9 милиона евро годишно.</w:t>
      </w:r>
    </w:p>
    <w:p>
      <w:pPr>
        <w:pStyle w:val="Text1"/>
        <w:rPr>
          <w:noProof/>
        </w:rPr>
      </w:pPr>
      <w:r>
        <w:rPr>
          <w:noProof/>
        </w:rPr>
        <w:t>Въпреки това, въз основа на съществуващите статистически данни за предходните години изглежда, че тази сума трябва да се увеличи, като се умножи със среден коефициент, изчислен на 1,8, за да се отчете вносът в други държави членки, които прилагат същите суспендирания. Това означава несъбрани мита на стойност около 21,4 милиона евро годишно.</w:t>
      </w:r>
    </w:p>
    <w:p>
      <w:pPr>
        <w:pStyle w:val="Text1"/>
        <w:rPr>
          <w:noProof/>
        </w:rPr>
      </w:pPr>
      <w:r>
        <w:rPr>
          <w:noProof/>
        </w:rPr>
        <w:t>От настоящото приложение са заличени 18 продукта, тъй като върху тях отново са наложени мита. Това представлява увеличение на събраните мита с 11 милиона евро, изчислено въз основа на статистическите данни за 2015 г.</w:t>
      </w:r>
    </w:p>
    <w:p>
      <w:pPr>
        <w:pStyle w:val="Text1"/>
        <w:rPr>
          <w:noProof/>
        </w:rPr>
      </w:pPr>
      <w:r>
        <w:rPr>
          <w:noProof/>
        </w:rPr>
        <w:t>Въз основа на гореизложеното отражението на настоящия регламент върху загубата на приходи за бюджета на ЕС се изчислява, както следва: 21,4 – 11 = 10,4 млн. EUR (брутна сума, включително разходите по събирането) x 0,8 = 8,3 млн. EUR годишно за периода 1.1.2017 г. — 31.12.2021 г.</w:t>
      </w:r>
    </w:p>
    <w:p>
      <w:pPr>
        <w:pStyle w:val="ManualHeading1"/>
        <w:rPr>
          <w:bCs/>
          <w:noProof/>
          <w:szCs w:val="24"/>
        </w:rPr>
      </w:pPr>
      <w:r>
        <w:t>4.</w:t>
      </w:r>
      <w:r>
        <w:tab/>
      </w:r>
      <w:r>
        <w:rPr>
          <w:noProof/>
        </w:rPr>
        <w:t>МЕРКИ ЗА БОРБА С ИЗМАМИТЕ</w:t>
      </w:r>
    </w:p>
    <w:p>
      <w:pPr>
        <w:pStyle w:val="Text1"/>
        <w:rPr>
          <w:noProof/>
        </w:rPr>
      </w:pPr>
      <w:r>
        <w:rPr>
          <w:noProof/>
        </w:rPr>
        <w:t>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w:t>
      </w:r>
    </w:p>
    <w:p>
      <w:pPr>
        <w:pStyle w:val="ManualHeading1"/>
        <w:rPr>
          <w:noProof/>
          <w:kern w:val="32"/>
          <w:szCs w:val="24"/>
        </w:rPr>
      </w:pPr>
      <w:r>
        <w:t>5.</w:t>
      </w:r>
      <w:r>
        <w:tab/>
      </w:r>
      <w:r>
        <w:rPr>
          <w:noProof/>
        </w:rPr>
        <w:t>ДРУГИ ЗАБЕЛЕЖКИ</w:t>
      </w:r>
    </w:p>
    <w:p>
      <w:pPr>
        <w:pStyle w:val="Text1"/>
        <w:rPr>
          <w:noProof/>
        </w:rPr>
      </w:pPr>
      <w:r>
        <w:rPr>
          <w:noProof/>
        </w:rPr>
        <w:t>Загубата на приходи от традиционните собствени ресурси се компенсира от вноските на държавите членки въз основа на БНД.</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C 363, 13.12.2011 г., стр. 6.</w:t>
      </w:r>
    </w:p>
  </w:footnote>
  <w:footnote w:id="2">
    <w:p>
      <w:pPr>
        <w:pStyle w:val="FootnoteText"/>
      </w:pPr>
      <w:r>
        <w:rPr>
          <w:rStyle w:val="FootnoteReference"/>
        </w:rPr>
        <w:footnoteRef/>
      </w:r>
      <w:r>
        <w:tab/>
        <w:t>Регламент (ЕС) № 1387/2013 на Съвета от 17 декември 2013 г. за суспендиране на автономните мита по Общата митническа тарифа за определени селскостопански и промишлени продукти и за отмяна на Регламент (ЕС) № 1344/2011 (ОВ L 354, 28.12.2013 г., стр. 201).</w:t>
      </w:r>
    </w:p>
    <w:p>
      <w:pPr>
        <w:pStyle w:val="FootnoteText"/>
      </w:pPr>
    </w:p>
  </w:footnote>
  <w:footnote w:id="3">
    <w:p>
      <w:pPr>
        <w:pStyle w:val="FootnoteText"/>
      </w:pPr>
      <w:r>
        <w:rPr>
          <w:rStyle w:val="FootnoteReference"/>
        </w:rPr>
        <w:footnoteRef/>
      </w:r>
      <w:r>
        <w:tab/>
        <w:t>Решение (ЕС) 2016/971 на Съвета от 17 юни 2016 г. за сключване, от името на Европейския съюз, на Споразумение под формата на Декларация относно разширяването на търговията с продукти на информационните технологии (СИТ) (ОВ L 161, 18.6.2016 г., стр. 2).</w:t>
      </w:r>
    </w:p>
    <w:p>
      <w:pPr>
        <w:pStyle w:val="FootnoteText"/>
      </w:pPr>
    </w:p>
  </w:footnote>
  <w:footnote w:id="4">
    <w:p>
      <w:pPr>
        <w:pStyle w:val="FootnoteText"/>
      </w:pPr>
      <w:r>
        <w:rPr>
          <w:rStyle w:val="FootnoteReference"/>
        </w:rPr>
        <w:footnoteRef/>
      </w:r>
      <w:r>
        <w:tab/>
        <w:t>Регламент за изпълнение (ЕС) 2016/1821 на Комисията от 6 октомври 2016 г. за изменение на приложение I към Регламент (ЕИО) № 2658/87 на Съвета относно тарифната и статистическа номенклатура и Общата митническа тарифа (ОВ L 294, 28.10.2016 г., стр. 1).</w:t>
      </w:r>
    </w:p>
  </w:footnote>
  <w:footnote w:id="5">
    <w:p>
      <w:pPr>
        <w:pStyle w:val="FootnoteText"/>
        <w:rPr>
          <w:lang w:val="cs-CZ"/>
        </w:rPr>
      </w:pPr>
      <w:r>
        <w:rPr>
          <w:rStyle w:val="FootnoteReference"/>
        </w:rPr>
        <w:footnoteRef/>
      </w:r>
      <w:r>
        <w:tab/>
        <w:t>Годишните суми се прогнозират въз основа на формулата в раздел 5, като това се указва в бележка под линия, напр. „ориентировъчна сума въз основа на договорената формула“. За началната година годишната сума обикновено се изплаща без да се прилага намаление или пропорционално плащане.</w:t>
      </w:r>
    </w:p>
  </w:footnote>
  <w:footnote w:id="6">
    <w:p>
      <w:pPr>
        <w:pStyle w:val="FootnoteText"/>
      </w:pPr>
      <w:r>
        <w:rPr>
          <w:rStyle w:val="FootnoteReference"/>
        </w:rPr>
        <w:footnoteRef/>
      </w:r>
      <w:r>
        <w:tab/>
        <w:t>По отношение на традиционните собствени ресурси (селскостопански мита, налози върху захарта, мита) посочените суми трябва да бъдат нетни, т.е. след приспадането от брутните суми на 25 % разходи по събирането.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05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D24B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165F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 w:numId="11">
    <w:abstractNumId w:val="24"/>
    <w:lvlOverride w:ilvl="0">
      <w:startOverride w:val="1"/>
    </w:lvlOverride>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9 13:03: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8DBE49F315D4DBE9FAE5C3DB40A2563"/>
    <w:docVar w:name="LW_CROSSREFERENCE" w:val="&lt;UNUSED&gt;"/>
    <w:docVar w:name="LW_DocType" w:val="COM"/>
    <w:docVar w:name="LW_EMISSION" w:val="9.12.2016"/>
    <w:docVar w:name="LW_EMISSION_ISODATE" w:val="2016-12-09"/>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87"/>
    <w:docVar w:name="LW_REF.II.NEW.CP_YEAR" w:val="2016"/>
    <w:docVar w:name="LW_REF.INST.NEW" w:val="COM"/>
    <w:docVar w:name="LW_REF.INST.NEW_ADOPTED" w:val="final"/>
    <w:docVar w:name="LW_REF.INST.NEW_TEXT" w:val="(2016) 783"/>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610">
      <w:bodyDiv w:val="1"/>
      <w:marLeft w:val="0"/>
      <w:marRight w:val="0"/>
      <w:marTop w:val="0"/>
      <w:marBottom w:val="0"/>
      <w:divBdr>
        <w:top w:val="none" w:sz="0" w:space="0" w:color="auto"/>
        <w:left w:val="none" w:sz="0" w:space="0" w:color="auto"/>
        <w:bottom w:val="none" w:sz="0" w:space="0" w:color="auto"/>
        <w:right w:val="none" w:sz="0" w:space="0" w:color="auto"/>
      </w:divBdr>
      <w:divsChild>
        <w:div w:id="870608553">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sChild>
                <w:div w:id="348458442">
                  <w:marLeft w:val="0"/>
                  <w:marRight w:val="0"/>
                  <w:marTop w:val="0"/>
                  <w:marBottom w:val="0"/>
                  <w:divBdr>
                    <w:top w:val="none" w:sz="0" w:space="0" w:color="auto"/>
                    <w:left w:val="none" w:sz="0" w:space="0" w:color="auto"/>
                    <w:bottom w:val="none" w:sz="0" w:space="0" w:color="auto"/>
                    <w:right w:val="none" w:sz="0" w:space="0" w:color="auto"/>
                  </w:divBdr>
                  <w:divsChild>
                    <w:div w:id="1439835553">
                      <w:marLeft w:val="1"/>
                      <w:marRight w:val="1"/>
                      <w:marTop w:val="0"/>
                      <w:marBottom w:val="0"/>
                      <w:divBdr>
                        <w:top w:val="none" w:sz="0" w:space="0" w:color="auto"/>
                        <w:left w:val="none" w:sz="0" w:space="0" w:color="auto"/>
                        <w:bottom w:val="none" w:sz="0" w:space="0" w:color="auto"/>
                        <w:right w:val="none" w:sz="0" w:space="0" w:color="auto"/>
                      </w:divBdr>
                      <w:divsChild>
                        <w:div w:id="1596787558">
                          <w:marLeft w:val="0"/>
                          <w:marRight w:val="0"/>
                          <w:marTop w:val="0"/>
                          <w:marBottom w:val="0"/>
                          <w:divBdr>
                            <w:top w:val="none" w:sz="0" w:space="0" w:color="auto"/>
                            <w:left w:val="none" w:sz="0" w:space="0" w:color="auto"/>
                            <w:bottom w:val="none" w:sz="0" w:space="0" w:color="auto"/>
                            <w:right w:val="none" w:sz="0" w:space="0" w:color="auto"/>
                          </w:divBdr>
                          <w:divsChild>
                            <w:div w:id="1005090943">
                              <w:marLeft w:val="0"/>
                              <w:marRight w:val="0"/>
                              <w:marTop w:val="0"/>
                              <w:marBottom w:val="36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sChild>
                                    <w:div w:id="992880060">
                                      <w:marLeft w:val="0"/>
                                      <w:marRight w:val="0"/>
                                      <w:marTop w:val="0"/>
                                      <w:marBottom w:val="0"/>
                                      <w:divBdr>
                                        <w:top w:val="none" w:sz="0" w:space="0" w:color="auto"/>
                                        <w:left w:val="none" w:sz="0" w:space="0" w:color="auto"/>
                                        <w:bottom w:val="none" w:sz="0" w:space="0" w:color="auto"/>
                                        <w:right w:val="none" w:sz="0" w:space="0" w:color="auto"/>
                                      </w:divBdr>
                                      <w:divsChild>
                                        <w:div w:id="1032998542">
                                          <w:marLeft w:val="0"/>
                                          <w:marRight w:val="0"/>
                                          <w:marTop w:val="0"/>
                                          <w:marBottom w:val="0"/>
                                          <w:divBdr>
                                            <w:top w:val="none" w:sz="0" w:space="0" w:color="auto"/>
                                            <w:left w:val="none" w:sz="0" w:space="0" w:color="auto"/>
                                            <w:bottom w:val="none" w:sz="0" w:space="0" w:color="auto"/>
                                            <w:right w:val="none" w:sz="0" w:space="0" w:color="auto"/>
                                          </w:divBdr>
                                          <w:divsChild>
                                            <w:div w:id="567107782">
                                              <w:marLeft w:val="0"/>
                                              <w:marRight w:val="0"/>
                                              <w:marTop w:val="0"/>
                                              <w:marBottom w:val="0"/>
                                              <w:divBdr>
                                                <w:top w:val="none" w:sz="0" w:space="0" w:color="auto"/>
                                                <w:left w:val="none" w:sz="0" w:space="0" w:color="auto"/>
                                                <w:bottom w:val="none" w:sz="0" w:space="0" w:color="auto"/>
                                                <w:right w:val="none" w:sz="0" w:space="0" w:color="auto"/>
                                              </w:divBdr>
                                              <w:divsChild>
                                                <w:div w:id="65037580">
                                                  <w:marLeft w:val="0"/>
                                                  <w:marRight w:val="0"/>
                                                  <w:marTop w:val="0"/>
                                                  <w:marBottom w:val="0"/>
                                                  <w:divBdr>
                                                    <w:top w:val="none" w:sz="0" w:space="0" w:color="auto"/>
                                                    <w:left w:val="none" w:sz="0" w:space="0" w:color="auto"/>
                                                    <w:bottom w:val="none" w:sz="0" w:space="0" w:color="auto"/>
                                                    <w:right w:val="none" w:sz="0" w:space="0" w:color="auto"/>
                                                  </w:divBdr>
                                                  <w:divsChild>
                                                    <w:div w:id="616373303">
                                                      <w:marLeft w:val="0"/>
                                                      <w:marRight w:val="0"/>
                                                      <w:marTop w:val="0"/>
                                                      <w:marBottom w:val="0"/>
                                                      <w:divBdr>
                                                        <w:top w:val="none" w:sz="0" w:space="0" w:color="auto"/>
                                                        <w:left w:val="none" w:sz="0" w:space="0" w:color="auto"/>
                                                        <w:bottom w:val="none" w:sz="0" w:space="0" w:color="auto"/>
                                                        <w:right w:val="none" w:sz="0" w:space="0" w:color="auto"/>
                                                      </w:divBdr>
                                                      <w:divsChild>
                                                        <w:div w:id="1683358307">
                                                          <w:marLeft w:val="0"/>
                                                          <w:marRight w:val="0"/>
                                                          <w:marTop w:val="0"/>
                                                          <w:marBottom w:val="0"/>
                                                          <w:divBdr>
                                                            <w:top w:val="none" w:sz="0" w:space="0" w:color="auto"/>
                                                            <w:left w:val="none" w:sz="0" w:space="0" w:color="auto"/>
                                                            <w:bottom w:val="none" w:sz="0" w:space="0" w:color="auto"/>
                                                            <w:right w:val="none" w:sz="0" w:space="0" w:color="auto"/>
                                                          </w:divBdr>
                                                          <w:divsChild>
                                                            <w:div w:id="1570731546">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40443003">
      <w:bodyDiv w:val="1"/>
      <w:marLeft w:val="0"/>
      <w:marRight w:val="0"/>
      <w:marTop w:val="0"/>
      <w:marBottom w:val="0"/>
      <w:divBdr>
        <w:top w:val="none" w:sz="0" w:space="0" w:color="auto"/>
        <w:left w:val="none" w:sz="0" w:space="0" w:color="auto"/>
        <w:bottom w:val="none" w:sz="0" w:space="0" w:color="auto"/>
        <w:right w:val="none" w:sz="0" w:space="0" w:color="auto"/>
      </w:divBdr>
      <w:divsChild>
        <w:div w:id="123617481">
          <w:marLeft w:val="0"/>
          <w:marRight w:val="0"/>
          <w:marTop w:val="0"/>
          <w:marBottom w:val="0"/>
          <w:divBdr>
            <w:top w:val="none" w:sz="0" w:space="0" w:color="auto"/>
            <w:left w:val="none" w:sz="0" w:space="0" w:color="auto"/>
            <w:bottom w:val="none" w:sz="0" w:space="0" w:color="auto"/>
            <w:right w:val="none" w:sz="0" w:space="0" w:color="auto"/>
          </w:divBdr>
          <w:divsChild>
            <w:div w:id="1642466502">
              <w:marLeft w:val="0"/>
              <w:marRight w:val="0"/>
              <w:marTop w:val="0"/>
              <w:marBottom w:val="0"/>
              <w:divBdr>
                <w:top w:val="none" w:sz="0" w:space="0" w:color="auto"/>
                <w:left w:val="none" w:sz="0" w:space="0" w:color="auto"/>
                <w:bottom w:val="none" w:sz="0" w:space="0" w:color="auto"/>
                <w:right w:val="none" w:sz="0" w:space="0" w:color="auto"/>
              </w:divBdr>
              <w:divsChild>
                <w:div w:id="207497411">
                  <w:marLeft w:val="0"/>
                  <w:marRight w:val="0"/>
                  <w:marTop w:val="0"/>
                  <w:marBottom w:val="0"/>
                  <w:divBdr>
                    <w:top w:val="none" w:sz="0" w:space="0" w:color="auto"/>
                    <w:left w:val="none" w:sz="0" w:space="0" w:color="auto"/>
                    <w:bottom w:val="none" w:sz="0" w:space="0" w:color="auto"/>
                    <w:right w:val="none" w:sz="0" w:space="0" w:color="auto"/>
                  </w:divBdr>
                  <w:divsChild>
                    <w:div w:id="1970740336">
                      <w:marLeft w:val="1"/>
                      <w:marRight w:val="1"/>
                      <w:marTop w:val="0"/>
                      <w:marBottom w:val="0"/>
                      <w:divBdr>
                        <w:top w:val="none" w:sz="0" w:space="0" w:color="auto"/>
                        <w:left w:val="none" w:sz="0" w:space="0" w:color="auto"/>
                        <w:bottom w:val="none" w:sz="0" w:space="0" w:color="auto"/>
                        <w:right w:val="none" w:sz="0" w:space="0" w:color="auto"/>
                      </w:divBdr>
                      <w:divsChild>
                        <w:div w:id="1484588182">
                          <w:marLeft w:val="0"/>
                          <w:marRight w:val="0"/>
                          <w:marTop w:val="0"/>
                          <w:marBottom w:val="0"/>
                          <w:divBdr>
                            <w:top w:val="none" w:sz="0" w:space="0" w:color="auto"/>
                            <w:left w:val="none" w:sz="0" w:space="0" w:color="auto"/>
                            <w:bottom w:val="none" w:sz="0" w:space="0" w:color="auto"/>
                            <w:right w:val="none" w:sz="0" w:space="0" w:color="auto"/>
                          </w:divBdr>
                          <w:divsChild>
                            <w:div w:id="1671788007">
                              <w:marLeft w:val="0"/>
                              <w:marRight w:val="0"/>
                              <w:marTop w:val="0"/>
                              <w:marBottom w:val="360"/>
                              <w:divBdr>
                                <w:top w:val="none" w:sz="0" w:space="0" w:color="auto"/>
                                <w:left w:val="none" w:sz="0" w:space="0" w:color="auto"/>
                                <w:bottom w:val="none" w:sz="0" w:space="0" w:color="auto"/>
                                <w:right w:val="none" w:sz="0" w:space="0" w:color="auto"/>
                              </w:divBdr>
                              <w:divsChild>
                                <w:div w:id="1934238648">
                                  <w:marLeft w:val="0"/>
                                  <w:marRight w:val="0"/>
                                  <w:marTop w:val="0"/>
                                  <w:marBottom w:val="0"/>
                                  <w:divBdr>
                                    <w:top w:val="none" w:sz="0" w:space="0" w:color="auto"/>
                                    <w:left w:val="none" w:sz="0" w:space="0" w:color="auto"/>
                                    <w:bottom w:val="none" w:sz="0" w:space="0" w:color="auto"/>
                                    <w:right w:val="none" w:sz="0" w:space="0" w:color="auto"/>
                                  </w:divBdr>
                                  <w:divsChild>
                                    <w:div w:id="840438064">
                                      <w:marLeft w:val="0"/>
                                      <w:marRight w:val="0"/>
                                      <w:marTop w:val="0"/>
                                      <w:marBottom w:val="0"/>
                                      <w:divBdr>
                                        <w:top w:val="none" w:sz="0" w:space="0" w:color="auto"/>
                                        <w:left w:val="none" w:sz="0" w:space="0" w:color="auto"/>
                                        <w:bottom w:val="none" w:sz="0" w:space="0" w:color="auto"/>
                                        <w:right w:val="none" w:sz="0" w:space="0" w:color="auto"/>
                                      </w:divBdr>
                                      <w:divsChild>
                                        <w:div w:id="279192780">
                                          <w:marLeft w:val="0"/>
                                          <w:marRight w:val="0"/>
                                          <w:marTop w:val="0"/>
                                          <w:marBottom w:val="0"/>
                                          <w:divBdr>
                                            <w:top w:val="none" w:sz="0" w:space="0" w:color="auto"/>
                                            <w:left w:val="none" w:sz="0" w:space="0" w:color="auto"/>
                                            <w:bottom w:val="none" w:sz="0" w:space="0" w:color="auto"/>
                                            <w:right w:val="none" w:sz="0" w:space="0" w:color="auto"/>
                                          </w:divBdr>
                                          <w:divsChild>
                                            <w:div w:id="951741341">
                                              <w:marLeft w:val="0"/>
                                              <w:marRight w:val="0"/>
                                              <w:marTop w:val="0"/>
                                              <w:marBottom w:val="0"/>
                                              <w:divBdr>
                                                <w:top w:val="none" w:sz="0" w:space="0" w:color="auto"/>
                                                <w:left w:val="none" w:sz="0" w:space="0" w:color="auto"/>
                                                <w:bottom w:val="none" w:sz="0" w:space="0" w:color="auto"/>
                                                <w:right w:val="none" w:sz="0" w:space="0" w:color="auto"/>
                                              </w:divBdr>
                                              <w:divsChild>
                                                <w:div w:id="1320186085">
                                                  <w:marLeft w:val="0"/>
                                                  <w:marRight w:val="0"/>
                                                  <w:marTop w:val="0"/>
                                                  <w:marBottom w:val="0"/>
                                                  <w:divBdr>
                                                    <w:top w:val="none" w:sz="0" w:space="0" w:color="auto"/>
                                                    <w:left w:val="none" w:sz="0" w:space="0" w:color="auto"/>
                                                    <w:bottom w:val="none" w:sz="0" w:space="0" w:color="auto"/>
                                                    <w:right w:val="none" w:sz="0" w:space="0" w:color="auto"/>
                                                  </w:divBdr>
                                                  <w:divsChild>
                                                    <w:div w:id="292829287">
                                                      <w:marLeft w:val="0"/>
                                                      <w:marRight w:val="0"/>
                                                      <w:marTop w:val="0"/>
                                                      <w:marBottom w:val="0"/>
                                                      <w:divBdr>
                                                        <w:top w:val="none" w:sz="0" w:space="0" w:color="auto"/>
                                                        <w:left w:val="none" w:sz="0" w:space="0" w:color="auto"/>
                                                        <w:bottom w:val="none" w:sz="0" w:space="0" w:color="auto"/>
                                                        <w:right w:val="none" w:sz="0" w:space="0" w:color="auto"/>
                                                      </w:divBdr>
                                                      <w:divsChild>
                                                        <w:div w:id="1982688315">
                                                          <w:marLeft w:val="0"/>
                                                          <w:marRight w:val="0"/>
                                                          <w:marTop w:val="0"/>
                                                          <w:marBottom w:val="0"/>
                                                          <w:divBdr>
                                                            <w:top w:val="none" w:sz="0" w:space="0" w:color="auto"/>
                                                            <w:left w:val="none" w:sz="0" w:space="0" w:color="auto"/>
                                                            <w:bottom w:val="none" w:sz="0" w:space="0" w:color="auto"/>
                                                            <w:right w:val="none" w:sz="0" w:space="0" w:color="auto"/>
                                                          </w:divBdr>
                                                        </w:div>
                                                        <w:div w:id="757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11197">
      <w:bodyDiv w:val="1"/>
      <w:marLeft w:val="0"/>
      <w:marRight w:val="0"/>
      <w:marTop w:val="0"/>
      <w:marBottom w:val="0"/>
      <w:divBdr>
        <w:top w:val="none" w:sz="0" w:space="0" w:color="auto"/>
        <w:left w:val="none" w:sz="0" w:space="0" w:color="auto"/>
        <w:bottom w:val="none" w:sz="0" w:space="0" w:color="auto"/>
        <w:right w:val="none" w:sz="0" w:space="0" w:color="auto"/>
      </w:divBdr>
      <w:divsChild>
        <w:div w:id="1594318115">
          <w:marLeft w:val="0"/>
          <w:marRight w:val="0"/>
          <w:marTop w:val="0"/>
          <w:marBottom w:val="0"/>
          <w:divBdr>
            <w:top w:val="none" w:sz="0" w:space="0" w:color="auto"/>
            <w:left w:val="none" w:sz="0" w:space="0" w:color="auto"/>
            <w:bottom w:val="none" w:sz="0" w:space="0" w:color="auto"/>
            <w:right w:val="none" w:sz="0" w:space="0" w:color="auto"/>
          </w:divBdr>
          <w:divsChild>
            <w:div w:id="541328176">
              <w:marLeft w:val="0"/>
              <w:marRight w:val="0"/>
              <w:marTop w:val="0"/>
              <w:marBottom w:val="0"/>
              <w:divBdr>
                <w:top w:val="none" w:sz="0" w:space="0" w:color="auto"/>
                <w:left w:val="none" w:sz="0" w:space="0" w:color="auto"/>
                <w:bottom w:val="none" w:sz="0" w:space="0" w:color="auto"/>
                <w:right w:val="none" w:sz="0" w:space="0" w:color="auto"/>
              </w:divBdr>
              <w:divsChild>
                <w:div w:id="588656507">
                  <w:marLeft w:val="0"/>
                  <w:marRight w:val="0"/>
                  <w:marTop w:val="0"/>
                  <w:marBottom w:val="0"/>
                  <w:divBdr>
                    <w:top w:val="none" w:sz="0" w:space="0" w:color="auto"/>
                    <w:left w:val="none" w:sz="0" w:space="0" w:color="auto"/>
                    <w:bottom w:val="none" w:sz="0" w:space="0" w:color="auto"/>
                    <w:right w:val="none" w:sz="0" w:space="0" w:color="auto"/>
                  </w:divBdr>
                  <w:divsChild>
                    <w:div w:id="290136567">
                      <w:marLeft w:val="1"/>
                      <w:marRight w:val="1"/>
                      <w:marTop w:val="0"/>
                      <w:marBottom w:val="0"/>
                      <w:divBdr>
                        <w:top w:val="none" w:sz="0" w:space="0" w:color="auto"/>
                        <w:left w:val="none" w:sz="0" w:space="0" w:color="auto"/>
                        <w:bottom w:val="none" w:sz="0" w:space="0" w:color="auto"/>
                        <w:right w:val="none" w:sz="0" w:space="0" w:color="auto"/>
                      </w:divBdr>
                      <w:divsChild>
                        <w:div w:id="1376393091">
                          <w:marLeft w:val="0"/>
                          <w:marRight w:val="0"/>
                          <w:marTop w:val="0"/>
                          <w:marBottom w:val="0"/>
                          <w:divBdr>
                            <w:top w:val="none" w:sz="0" w:space="0" w:color="auto"/>
                            <w:left w:val="none" w:sz="0" w:space="0" w:color="auto"/>
                            <w:bottom w:val="none" w:sz="0" w:space="0" w:color="auto"/>
                            <w:right w:val="none" w:sz="0" w:space="0" w:color="auto"/>
                          </w:divBdr>
                          <w:divsChild>
                            <w:div w:id="208995554">
                              <w:marLeft w:val="0"/>
                              <w:marRight w:val="0"/>
                              <w:marTop w:val="0"/>
                              <w:marBottom w:val="360"/>
                              <w:divBdr>
                                <w:top w:val="none" w:sz="0" w:space="0" w:color="auto"/>
                                <w:left w:val="none" w:sz="0" w:space="0" w:color="auto"/>
                                <w:bottom w:val="none" w:sz="0" w:space="0" w:color="auto"/>
                                <w:right w:val="none" w:sz="0" w:space="0" w:color="auto"/>
                              </w:divBdr>
                              <w:divsChild>
                                <w:div w:id="1794209277">
                                  <w:marLeft w:val="0"/>
                                  <w:marRight w:val="0"/>
                                  <w:marTop w:val="0"/>
                                  <w:marBottom w:val="0"/>
                                  <w:divBdr>
                                    <w:top w:val="none" w:sz="0" w:space="0" w:color="auto"/>
                                    <w:left w:val="none" w:sz="0" w:space="0" w:color="auto"/>
                                    <w:bottom w:val="none" w:sz="0" w:space="0" w:color="auto"/>
                                    <w:right w:val="none" w:sz="0" w:space="0" w:color="auto"/>
                                  </w:divBdr>
                                  <w:divsChild>
                                    <w:div w:id="1839879867">
                                      <w:marLeft w:val="0"/>
                                      <w:marRight w:val="0"/>
                                      <w:marTop w:val="0"/>
                                      <w:marBottom w:val="0"/>
                                      <w:divBdr>
                                        <w:top w:val="none" w:sz="0" w:space="0" w:color="auto"/>
                                        <w:left w:val="none" w:sz="0" w:space="0" w:color="auto"/>
                                        <w:bottom w:val="none" w:sz="0" w:space="0" w:color="auto"/>
                                        <w:right w:val="none" w:sz="0" w:space="0" w:color="auto"/>
                                      </w:divBdr>
                                      <w:divsChild>
                                        <w:div w:id="1242986911">
                                          <w:marLeft w:val="0"/>
                                          <w:marRight w:val="0"/>
                                          <w:marTop w:val="0"/>
                                          <w:marBottom w:val="0"/>
                                          <w:divBdr>
                                            <w:top w:val="none" w:sz="0" w:space="0" w:color="auto"/>
                                            <w:left w:val="none" w:sz="0" w:space="0" w:color="auto"/>
                                            <w:bottom w:val="none" w:sz="0" w:space="0" w:color="auto"/>
                                            <w:right w:val="none" w:sz="0" w:space="0" w:color="auto"/>
                                          </w:divBdr>
                                          <w:divsChild>
                                            <w:div w:id="1938635632">
                                              <w:marLeft w:val="0"/>
                                              <w:marRight w:val="0"/>
                                              <w:marTop w:val="0"/>
                                              <w:marBottom w:val="0"/>
                                              <w:divBdr>
                                                <w:top w:val="none" w:sz="0" w:space="0" w:color="auto"/>
                                                <w:left w:val="none" w:sz="0" w:space="0" w:color="auto"/>
                                                <w:bottom w:val="none" w:sz="0" w:space="0" w:color="auto"/>
                                                <w:right w:val="none" w:sz="0" w:space="0" w:color="auto"/>
                                              </w:divBdr>
                                              <w:divsChild>
                                                <w:div w:id="125902049">
                                                  <w:marLeft w:val="0"/>
                                                  <w:marRight w:val="0"/>
                                                  <w:marTop w:val="0"/>
                                                  <w:marBottom w:val="0"/>
                                                  <w:divBdr>
                                                    <w:top w:val="none" w:sz="0" w:space="0" w:color="auto"/>
                                                    <w:left w:val="none" w:sz="0" w:space="0" w:color="auto"/>
                                                    <w:bottom w:val="none" w:sz="0" w:space="0" w:color="auto"/>
                                                    <w:right w:val="none" w:sz="0" w:space="0" w:color="auto"/>
                                                  </w:divBdr>
                                                  <w:divsChild>
                                                    <w:div w:id="2111121257">
                                                      <w:marLeft w:val="0"/>
                                                      <w:marRight w:val="0"/>
                                                      <w:marTop w:val="0"/>
                                                      <w:marBottom w:val="0"/>
                                                      <w:divBdr>
                                                        <w:top w:val="none" w:sz="0" w:space="0" w:color="auto"/>
                                                        <w:left w:val="none" w:sz="0" w:space="0" w:color="auto"/>
                                                        <w:bottom w:val="none" w:sz="0" w:space="0" w:color="auto"/>
                                                        <w:right w:val="none" w:sz="0" w:space="0" w:color="auto"/>
                                                      </w:divBdr>
                                                      <w:divsChild>
                                                        <w:div w:id="162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665751">
      <w:bodyDiv w:val="1"/>
      <w:marLeft w:val="0"/>
      <w:marRight w:val="0"/>
      <w:marTop w:val="0"/>
      <w:marBottom w:val="0"/>
      <w:divBdr>
        <w:top w:val="none" w:sz="0" w:space="0" w:color="auto"/>
        <w:left w:val="none" w:sz="0" w:space="0" w:color="auto"/>
        <w:bottom w:val="none" w:sz="0" w:space="0" w:color="auto"/>
        <w:right w:val="none" w:sz="0" w:space="0" w:color="auto"/>
      </w:divBdr>
    </w:div>
    <w:div w:id="969091523">
      <w:bodyDiv w:val="1"/>
      <w:marLeft w:val="0"/>
      <w:marRight w:val="0"/>
      <w:marTop w:val="0"/>
      <w:marBottom w:val="0"/>
      <w:divBdr>
        <w:top w:val="none" w:sz="0" w:space="0" w:color="auto"/>
        <w:left w:val="none" w:sz="0" w:space="0" w:color="auto"/>
        <w:bottom w:val="none" w:sz="0" w:space="0" w:color="auto"/>
        <w:right w:val="none" w:sz="0" w:space="0" w:color="auto"/>
      </w:divBdr>
      <w:divsChild>
        <w:div w:id="168251472">
          <w:marLeft w:val="0"/>
          <w:marRight w:val="0"/>
          <w:marTop w:val="0"/>
          <w:marBottom w:val="0"/>
          <w:divBdr>
            <w:top w:val="none" w:sz="0" w:space="0" w:color="auto"/>
            <w:left w:val="none" w:sz="0" w:space="0" w:color="auto"/>
            <w:bottom w:val="none" w:sz="0" w:space="0" w:color="auto"/>
            <w:right w:val="none" w:sz="0" w:space="0" w:color="auto"/>
          </w:divBdr>
          <w:divsChild>
            <w:div w:id="1723669543">
              <w:marLeft w:val="0"/>
              <w:marRight w:val="0"/>
              <w:marTop w:val="0"/>
              <w:marBottom w:val="0"/>
              <w:divBdr>
                <w:top w:val="none" w:sz="0" w:space="0" w:color="auto"/>
                <w:left w:val="none" w:sz="0" w:space="0" w:color="auto"/>
                <w:bottom w:val="none" w:sz="0" w:space="0" w:color="auto"/>
                <w:right w:val="none" w:sz="0" w:space="0" w:color="auto"/>
              </w:divBdr>
              <w:divsChild>
                <w:div w:id="1787581652">
                  <w:marLeft w:val="0"/>
                  <w:marRight w:val="0"/>
                  <w:marTop w:val="0"/>
                  <w:marBottom w:val="0"/>
                  <w:divBdr>
                    <w:top w:val="none" w:sz="0" w:space="0" w:color="auto"/>
                    <w:left w:val="none" w:sz="0" w:space="0" w:color="auto"/>
                    <w:bottom w:val="none" w:sz="0" w:space="0" w:color="auto"/>
                    <w:right w:val="none" w:sz="0" w:space="0" w:color="auto"/>
                  </w:divBdr>
                  <w:divsChild>
                    <w:div w:id="1250848091">
                      <w:marLeft w:val="1"/>
                      <w:marRight w:val="1"/>
                      <w:marTop w:val="0"/>
                      <w:marBottom w:val="0"/>
                      <w:divBdr>
                        <w:top w:val="none" w:sz="0" w:space="0" w:color="auto"/>
                        <w:left w:val="none" w:sz="0" w:space="0" w:color="auto"/>
                        <w:bottom w:val="none" w:sz="0" w:space="0" w:color="auto"/>
                        <w:right w:val="none" w:sz="0" w:space="0" w:color="auto"/>
                      </w:divBdr>
                      <w:divsChild>
                        <w:div w:id="606159388">
                          <w:marLeft w:val="0"/>
                          <w:marRight w:val="0"/>
                          <w:marTop w:val="0"/>
                          <w:marBottom w:val="0"/>
                          <w:divBdr>
                            <w:top w:val="none" w:sz="0" w:space="0" w:color="auto"/>
                            <w:left w:val="none" w:sz="0" w:space="0" w:color="auto"/>
                            <w:bottom w:val="none" w:sz="0" w:space="0" w:color="auto"/>
                            <w:right w:val="none" w:sz="0" w:space="0" w:color="auto"/>
                          </w:divBdr>
                          <w:divsChild>
                            <w:div w:id="2077899324">
                              <w:marLeft w:val="0"/>
                              <w:marRight w:val="0"/>
                              <w:marTop w:val="0"/>
                              <w:marBottom w:val="360"/>
                              <w:divBdr>
                                <w:top w:val="none" w:sz="0" w:space="0" w:color="auto"/>
                                <w:left w:val="none" w:sz="0" w:space="0" w:color="auto"/>
                                <w:bottom w:val="none" w:sz="0" w:space="0" w:color="auto"/>
                                <w:right w:val="none" w:sz="0" w:space="0" w:color="auto"/>
                              </w:divBdr>
                              <w:divsChild>
                                <w:div w:id="440538560">
                                  <w:marLeft w:val="0"/>
                                  <w:marRight w:val="0"/>
                                  <w:marTop w:val="0"/>
                                  <w:marBottom w:val="0"/>
                                  <w:divBdr>
                                    <w:top w:val="none" w:sz="0" w:space="0" w:color="auto"/>
                                    <w:left w:val="none" w:sz="0" w:space="0" w:color="auto"/>
                                    <w:bottom w:val="none" w:sz="0" w:space="0" w:color="auto"/>
                                    <w:right w:val="none" w:sz="0" w:space="0" w:color="auto"/>
                                  </w:divBdr>
                                  <w:divsChild>
                                    <w:div w:id="739254575">
                                      <w:marLeft w:val="0"/>
                                      <w:marRight w:val="0"/>
                                      <w:marTop w:val="0"/>
                                      <w:marBottom w:val="0"/>
                                      <w:divBdr>
                                        <w:top w:val="none" w:sz="0" w:space="0" w:color="auto"/>
                                        <w:left w:val="none" w:sz="0" w:space="0" w:color="auto"/>
                                        <w:bottom w:val="none" w:sz="0" w:space="0" w:color="auto"/>
                                        <w:right w:val="none" w:sz="0" w:space="0" w:color="auto"/>
                                      </w:divBdr>
                                      <w:divsChild>
                                        <w:div w:id="394551911">
                                          <w:marLeft w:val="0"/>
                                          <w:marRight w:val="0"/>
                                          <w:marTop w:val="0"/>
                                          <w:marBottom w:val="0"/>
                                          <w:divBdr>
                                            <w:top w:val="none" w:sz="0" w:space="0" w:color="auto"/>
                                            <w:left w:val="none" w:sz="0" w:space="0" w:color="auto"/>
                                            <w:bottom w:val="none" w:sz="0" w:space="0" w:color="auto"/>
                                            <w:right w:val="none" w:sz="0" w:space="0" w:color="auto"/>
                                          </w:divBdr>
                                          <w:divsChild>
                                            <w:div w:id="1748187547">
                                              <w:marLeft w:val="0"/>
                                              <w:marRight w:val="0"/>
                                              <w:marTop w:val="0"/>
                                              <w:marBottom w:val="0"/>
                                              <w:divBdr>
                                                <w:top w:val="none" w:sz="0" w:space="0" w:color="auto"/>
                                                <w:left w:val="none" w:sz="0" w:space="0" w:color="auto"/>
                                                <w:bottom w:val="none" w:sz="0" w:space="0" w:color="auto"/>
                                                <w:right w:val="none" w:sz="0" w:space="0" w:color="auto"/>
                                              </w:divBdr>
                                              <w:divsChild>
                                                <w:div w:id="31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48975">
      <w:bodyDiv w:val="1"/>
      <w:marLeft w:val="0"/>
      <w:marRight w:val="0"/>
      <w:marTop w:val="0"/>
      <w:marBottom w:val="0"/>
      <w:divBdr>
        <w:top w:val="none" w:sz="0" w:space="0" w:color="auto"/>
        <w:left w:val="none" w:sz="0" w:space="0" w:color="auto"/>
        <w:bottom w:val="none" w:sz="0" w:space="0" w:color="auto"/>
        <w:right w:val="none" w:sz="0" w:space="0" w:color="auto"/>
      </w:divBdr>
      <w:divsChild>
        <w:div w:id="254285967">
          <w:marLeft w:val="0"/>
          <w:marRight w:val="0"/>
          <w:marTop w:val="0"/>
          <w:marBottom w:val="0"/>
          <w:divBdr>
            <w:top w:val="none" w:sz="0" w:space="0" w:color="auto"/>
            <w:left w:val="none" w:sz="0" w:space="0" w:color="auto"/>
            <w:bottom w:val="none" w:sz="0" w:space="0" w:color="auto"/>
            <w:right w:val="none" w:sz="0" w:space="0" w:color="auto"/>
          </w:divBdr>
          <w:divsChild>
            <w:div w:id="1206211674">
              <w:marLeft w:val="0"/>
              <w:marRight w:val="0"/>
              <w:marTop w:val="0"/>
              <w:marBottom w:val="0"/>
              <w:divBdr>
                <w:top w:val="none" w:sz="0" w:space="0" w:color="auto"/>
                <w:left w:val="none" w:sz="0" w:space="0" w:color="auto"/>
                <w:bottom w:val="none" w:sz="0" w:space="0" w:color="auto"/>
                <w:right w:val="none" w:sz="0" w:space="0" w:color="auto"/>
              </w:divBdr>
              <w:divsChild>
                <w:div w:id="1609387115">
                  <w:marLeft w:val="0"/>
                  <w:marRight w:val="0"/>
                  <w:marTop w:val="0"/>
                  <w:marBottom w:val="0"/>
                  <w:divBdr>
                    <w:top w:val="none" w:sz="0" w:space="0" w:color="auto"/>
                    <w:left w:val="none" w:sz="0" w:space="0" w:color="auto"/>
                    <w:bottom w:val="none" w:sz="0" w:space="0" w:color="auto"/>
                    <w:right w:val="none" w:sz="0" w:space="0" w:color="auto"/>
                  </w:divBdr>
                  <w:divsChild>
                    <w:div w:id="171997608">
                      <w:marLeft w:val="1"/>
                      <w:marRight w:val="1"/>
                      <w:marTop w:val="0"/>
                      <w:marBottom w:val="0"/>
                      <w:divBdr>
                        <w:top w:val="none" w:sz="0" w:space="0" w:color="auto"/>
                        <w:left w:val="none" w:sz="0" w:space="0" w:color="auto"/>
                        <w:bottom w:val="none" w:sz="0" w:space="0" w:color="auto"/>
                        <w:right w:val="none" w:sz="0" w:space="0" w:color="auto"/>
                      </w:divBdr>
                      <w:divsChild>
                        <w:div w:id="1060447748">
                          <w:marLeft w:val="0"/>
                          <w:marRight w:val="0"/>
                          <w:marTop w:val="0"/>
                          <w:marBottom w:val="0"/>
                          <w:divBdr>
                            <w:top w:val="none" w:sz="0" w:space="0" w:color="auto"/>
                            <w:left w:val="none" w:sz="0" w:space="0" w:color="auto"/>
                            <w:bottom w:val="none" w:sz="0" w:space="0" w:color="auto"/>
                            <w:right w:val="none" w:sz="0" w:space="0" w:color="auto"/>
                          </w:divBdr>
                          <w:divsChild>
                            <w:div w:id="744298422">
                              <w:marLeft w:val="0"/>
                              <w:marRight w:val="0"/>
                              <w:marTop w:val="0"/>
                              <w:marBottom w:val="360"/>
                              <w:divBdr>
                                <w:top w:val="none" w:sz="0" w:space="0" w:color="auto"/>
                                <w:left w:val="none" w:sz="0" w:space="0" w:color="auto"/>
                                <w:bottom w:val="none" w:sz="0" w:space="0" w:color="auto"/>
                                <w:right w:val="none" w:sz="0" w:space="0" w:color="auto"/>
                              </w:divBdr>
                              <w:divsChild>
                                <w:div w:id="1258366132">
                                  <w:marLeft w:val="0"/>
                                  <w:marRight w:val="0"/>
                                  <w:marTop w:val="0"/>
                                  <w:marBottom w:val="0"/>
                                  <w:divBdr>
                                    <w:top w:val="none" w:sz="0" w:space="0" w:color="auto"/>
                                    <w:left w:val="none" w:sz="0" w:space="0" w:color="auto"/>
                                    <w:bottom w:val="none" w:sz="0" w:space="0" w:color="auto"/>
                                    <w:right w:val="none" w:sz="0" w:space="0" w:color="auto"/>
                                  </w:divBdr>
                                  <w:divsChild>
                                    <w:div w:id="1764496030">
                                      <w:marLeft w:val="0"/>
                                      <w:marRight w:val="0"/>
                                      <w:marTop w:val="0"/>
                                      <w:marBottom w:val="0"/>
                                      <w:divBdr>
                                        <w:top w:val="none" w:sz="0" w:space="0" w:color="auto"/>
                                        <w:left w:val="none" w:sz="0" w:space="0" w:color="auto"/>
                                        <w:bottom w:val="none" w:sz="0" w:space="0" w:color="auto"/>
                                        <w:right w:val="none" w:sz="0" w:space="0" w:color="auto"/>
                                      </w:divBdr>
                                      <w:divsChild>
                                        <w:div w:id="545410360">
                                          <w:marLeft w:val="0"/>
                                          <w:marRight w:val="0"/>
                                          <w:marTop w:val="0"/>
                                          <w:marBottom w:val="0"/>
                                          <w:divBdr>
                                            <w:top w:val="none" w:sz="0" w:space="0" w:color="auto"/>
                                            <w:left w:val="none" w:sz="0" w:space="0" w:color="auto"/>
                                            <w:bottom w:val="none" w:sz="0" w:space="0" w:color="auto"/>
                                            <w:right w:val="none" w:sz="0" w:space="0" w:color="auto"/>
                                          </w:divBdr>
                                          <w:divsChild>
                                            <w:div w:id="323552574">
                                              <w:marLeft w:val="0"/>
                                              <w:marRight w:val="0"/>
                                              <w:marTop w:val="0"/>
                                              <w:marBottom w:val="0"/>
                                              <w:divBdr>
                                                <w:top w:val="none" w:sz="0" w:space="0" w:color="auto"/>
                                                <w:left w:val="none" w:sz="0" w:space="0" w:color="auto"/>
                                                <w:bottom w:val="none" w:sz="0" w:space="0" w:color="auto"/>
                                                <w:right w:val="none" w:sz="0" w:space="0" w:color="auto"/>
                                              </w:divBdr>
                                              <w:divsChild>
                                                <w:div w:id="1083189108">
                                                  <w:marLeft w:val="0"/>
                                                  <w:marRight w:val="0"/>
                                                  <w:marTop w:val="0"/>
                                                  <w:marBottom w:val="0"/>
                                                  <w:divBdr>
                                                    <w:top w:val="none" w:sz="0" w:space="0" w:color="auto"/>
                                                    <w:left w:val="none" w:sz="0" w:space="0" w:color="auto"/>
                                                    <w:bottom w:val="none" w:sz="0" w:space="0" w:color="auto"/>
                                                    <w:right w:val="none" w:sz="0" w:space="0" w:color="auto"/>
                                                  </w:divBdr>
                                                  <w:divsChild>
                                                    <w:div w:id="1162626214">
                                                      <w:marLeft w:val="0"/>
                                                      <w:marRight w:val="0"/>
                                                      <w:marTop w:val="0"/>
                                                      <w:marBottom w:val="0"/>
                                                      <w:divBdr>
                                                        <w:top w:val="none" w:sz="0" w:space="0" w:color="auto"/>
                                                        <w:left w:val="none" w:sz="0" w:space="0" w:color="auto"/>
                                                        <w:bottom w:val="none" w:sz="0" w:space="0" w:color="auto"/>
                                                        <w:right w:val="none" w:sz="0" w:space="0" w:color="auto"/>
                                                      </w:divBdr>
                                                      <w:divsChild>
                                                        <w:div w:id="7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217148">
      <w:bodyDiv w:val="1"/>
      <w:marLeft w:val="0"/>
      <w:marRight w:val="0"/>
      <w:marTop w:val="0"/>
      <w:marBottom w:val="0"/>
      <w:divBdr>
        <w:top w:val="none" w:sz="0" w:space="0" w:color="auto"/>
        <w:left w:val="none" w:sz="0" w:space="0" w:color="auto"/>
        <w:bottom w:val="none" w:sz="0" w:space="0" w:color="auto"/>
        <w:right w:val="none" w:sz="0" w:space="0" w:color="auto"/>
      </w:divBdr>
      <w:divsChild>
        <w:div w:id="1907296558">
          <w:marLeft w:val="0"/>
          <w:marRight w:val="0"/>
          <w:marTop w:val="0"/>
          <w:marBottom w:val="0"/>
          <w:divBdr>
            <w:top w:val="none" w:sz="0" w:space="0" w:color="auto"/>
            <w:left w:val="none" w:sz="0" w:space="0" w:color="auto"/>
            <w:bottom w:val="none" w:sz="0" w:space="0" w:color="auto"/>
            <w:right w:val="none" w:sz="0" w:space="0" w:color="auto"/>
          </w:divBdr>
          <w:divsChild>
            <w:div w:id="1762604526">
              <w:marLeft w:val="0"/>
              <w:marRight w:val="0"/>
              <w:marTop w:val="0"/>
              <w:marBottom w:val="0"/>
              <w:divBdr>
                <w:top w:val="none" w:sz="0" w:space="0" w:color="auto"/>
                <w:left w:val="none" w:sz="0" w:space="0" w:color="auto"/>
                <w:bottom w:val="none" w:sz="0" w:space="0" w:color="auto"/>
                <w:right w:val="none" w:sz="0" w:space="0" w:color="auto"/>
              </w:divBdr>
              <w:divsChild>
                <w:div w:id="1087845476">
                  <w:marLeft w:val="0"/>
                  <w:marRight w:val="0"/>
                  <w:marTop w:val="0"/>
                  <w:marBottom w:val="0"/>
                  <w:divBdr>
                    <w:top w:val="none" w:sz="0" w:space="0" w:color="auto"/>
                    <w:left w:val="none" w:sz="0" w:space="0" w:color="auto"/>
                    <w:bottom w:val="none" w:sz="0" w:space="0" w:color="auto"/>
                    <w:right w:val="none" w:sz="0" w:space="0" w:color="auto"/>
                  </w:divBdr>
                  <w:divsChild>
                    <w:div w:id="503516936">
                      <w:marLeft w:val="1"/>
                      <w:marRight w:val="1"/>
                      <w:marTop w:val="0"/>
                      <w:marBottom w:val="0"/>
                      <w:divBdr>
                        <w:top w:val="none" w:sz="0" w:space="0" w:color="auto"/>
                        <w:left w:val="none" w:sz="0" w:space="0" w:color="auto"/>
                        <w:bottom w:val="none" w:sz="0" w:space="0" w:color="auto"/>
                        <w:right w:val="none" w:sz="0" w:space="0" w:color="auto"/>
                      </w:divBdr>
                      <w:divsChild>
                        <w:div w:id="832333528">
                          <w:marLeft w:val="0"/>
                          <w:marRight w:val="0"/>
                          <w:marTop w:val="0"/>
                          <w:marBottom w:val="0"/>
                          <w:divBdr>
                            <w:top w:val="none" w:sz="0" w:space="0" w:color="auto"/>
                            <w:left w:val="none" w:sz="0" w:space="0" w:color="auto"/>
                            <w:bottom w:val="none" w:sz="0" w:space="0" w:color="auto"/>
                            <w:right w:val="none" w:sz="0" w:space="0" w:color="auto"/>
                          </w:divBdr>
                          <w:divsChild>
                            <w:div w:id="1070156503">
                              <w:marLeft w:val="0"/>
                              <w:marRight w:val="0"/>
                              <w:marTop w:val="0"/>
                              <w:marBottom w:val="360"/>
                              <w:divBdr>
                                <w:top w:val="none" w:sz="0" w:space="0" w:color="auto"/>
                                <w:left w:val="none" w:sz="0" w:space="0" w:color="auto"/>
                                <w:bottom w:val="none" w:sz="0" w:space="0" w:color="auto"/>
                                <w:right w:val="none" w:sz="0" w:space="0" w:color="auto"/>
                              </w:divBdr>
                              <w:divsChild>
                                <w:div w:id="372073370">
                                  <w:marLeft w:val="0"/>
                                  <w:marRight w:val="0"/>
                                  <w:marTop w:val="0"/>
                                  <w:marBottom w:val="0"/>
                                  <w:divBdr>
                                    <w:top w:val="none" w:sz="0" w:space="0" w:color="auto"/>
                                    <w:left w:val="none" w:sz="0" w:space="0" w:color="auto"/>
                                    <w:bottom w:val="none" w:sz="0" w:space="0" w:color="auto"/>
                                    <w:right w:val="none" w:sz="0" w:space="0" w:color="auto"/>
                                  </w:divBdr>
                                  <w:divsChild>
                                    <w:div w:id="114369295">
                                      <w:marLeft w:val="0"/>
                                      <w:marRight w:val="0"/>
                                      <w:marTop w:val="0"/>
                                      <w:marBottom w:val="0"/>
                                      <w:divBdr>
                                        <w:top w:val="none" w:sz="0" w:space="0" w:color="auto"/>
                                        <w:left w:val="none" w:sz="0" w:space="0" w:color="auto"/>
                                        <w:bottom w:val="none" w:sz="0" w:space="0" w:color="auto"/>
                                        <w:right w:val="none" w:sz="0" w:space="0" w:color="auto"/>
                                      </w:divBdr>
                                      <w:divsChild>
                                        <w:div w:id="933124376">
                                          <w:marLeft w:val="0"/>
                                          <w:marRight w:val="0"/>
                                          <w:marTop w:val="0"/>
                                          <w:marBottom w:val="0"/>
                                          <w:divBdr>
                                            <w:top w:val="none" w:sz="0" w:space="0" w:color="auto"/>
                                            <w:left w:val="none" w:sz="0" w:space="0" w:color="auto"/>
                                            <w:bottom w:val="none" w:sz="0" w:space="0" w:color="auto"/>
                                            <w:right w:val="none" w:sz="0" w:space="0" w:color="auto"/>
                                          </w:divBdr>
                                          <w:divsChild>
                                            <w:div w:id="385877351">
                                              <w:marLeft w:val="0"/>
                                              <w:marRight w:val="0"/>
                                              <w:marTop w:val="0"/>
                                              <w:marBottom w:val="0"/>
                                              <w:divBdr>
                                                <w:top w:val="none" w:sz="0" w:space="0" w:color="auto"/>
                                                <w:left w:val="none" w:sz="0" w:space="0" w:color="auto"/>
                                                <w:bottom w:val="none" w:sz="0" w:space="0" w:color="auto"/>
                                                <w:right w:val="none" w:sz="0" w:space="0" w:color="auto"/>
                                              </w:divBdr>
                                              <w:divsChild>
                                                <w:div w:id="1780100480">
                                                  <w:marLeft w:val="0"/>
                                                  <w:marRight w:val="0"/>
                                                  <w:marTop w:val="0"/>
                                                  <w:marBottom w:val="0"/>
                                                  <w:divBdr>
                                                    <w:top w:val="none" w:sz="0" w:space="0" w:color="auto"/>
                                                    <w:left w:val="none" w:sz="0" w:space="0" w:color="auto"/>
                                                    <w:bottom w:val="none" w:sz="0" w:space="0" w:color="auto"/>
                                                    <w:right w:val="none" w:sz="0" w:space="0" w:color="auto"/>
                                                  </w:divBdr>
                                                  <w:divsChild>
                                                    <w:div w:id="1626043079">
                                                      <w:marLeft w:val="0"/>
                                                      <w:marRight w:val="0"/>
                                                      <w:marTop w:val="0"/>
                                                      <w:marBottom w:val="0"/>
                                                      <w:divBdr>
                                                        <w:top w:val="none" w:sz="0" w:space="0" w:color="auto"/>
                                                        <w:left w:val="none" w:sz="0" w:space="0" w:color="auto"/>
                                                        <w:bottom w:val="none" w:sz="0" w:space="0" w:color="auto"/>
                                                        <w:right w:val="none" w:sz="0" w:space="0" w:color="auto"/>
                                                      </w:divBdr>
                                                      <w:divsChild>
                                                        <w:div w:id="2105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34229">
      <w:bodyDiv w:val="1"/>
      <w:marLeft w:val="0"/>
      <w:marRight w:val="0"/>
      <w:marTop w:val="0"/>
      <w:marBottom w:val="0"/>
      <w:divBdr>
        <w:top w:val="none" w:sz="0" w:space="0" w:color="auto"/>
        <w:left w:val="none" w:sz="0" w:space="0" w:color="auto"/>
        <w:bottom w:val="none" w:sz="0" w:space="0" w:color="auto"/>
        <w:right w:val="none" w:sz="0" w:space="0" w:color="auto"/>
      </w:divBdr>
      <w:divsChild>
        <w:div w:id="1815953444">
          <w:marLeft w:val="0"/>
          <w:marRight w:val="0"/>
          <w:marTop w:val="0"/>
          <w:marBottom w:val="0"/>
          <w:divBdr>
            <w:top w:val="none" w:sz="0" w:space="0" w:color="auto"/>
            <w:left w:val="none" w:sz="0" w:space="0" w:color="auto"/>
            <w:bottom w:val="none" w:sz="0" w:space="0" w:color="auto"/>
            <w:right w:val="none" w:sz="0" w:space="0" w:color="auto"/>
          </w:divBdr>
          <w:divsChild>
            <w:div w:id="393628660">
              <w:marLeft w:val="0"/>
              <w:marRight w:val="0"/>
              <w:marTop w:val="0"/>
              <w:marBottom w:val="0"/>
              <w:divBdr>
                <w:top w:val="none" w:sz="0" w:space="0" w:color="auto"/>
                <w:left w:val="none" w:sz="0" w:space="0" w:color="auto"/>
                <w:bottom w:val="none" w:sz="0" w:space="0" w:color="auto"/>
                <w:right w:val="none" w:sz="0" w:space="0" w:color="auto"/>
              </w:divBdr>
              <w:divsChild>
                <w:div w:id="790367907">
                  <w:marLeft w:val="0"/>
                  <w:marRight w:val="0"/>
                  <w:marTop w:val="0"/>
                  <w:marBottom w:val="0"/>
                  <w:divBdr>
                    <w:top w:val="none" w:sz="0" w:space="0" w:color="auto"/>
                    <w:left w:val="none" w:sz="0" w:space="0" w:color="auto"/>
                    <w:bottom w:val="none" w:sz="0" w:space="0" w:color="auto"/>
                    <w:right w:val="none" w:sz="0" w:space="0" w:color="auto"/>
                  </w:divBdr>
                  <w:divsChild>
                    <w:div w:id="2028746587">
                      <w:marLeft w:val="1"/>
                      <w:marRight w:val="1"/>
                      <w:marTop w:val="0"/>
                      <w:marBottom w:val="0"/>
                      <w:divBdr>
                        <w:top w:val="none" w:sz="0" w:space="0" w:color="auto"/>
                        <w:left w:val="none" w:sz="0" w:space="0" w:color="auto"/>
                        <w:bottom w:val="none" w:sz="0" w:space="0" w:color="auto"/>
                        <w:right w:val="none" w:sz="0" w:space="0" w:color="auto"/>
                      </w:divBdr>
                      <w:divsChild>
                        <w:div w:id="1943026622">
                          <w:marLeft w:val="0"/>
                          <w:marRight w:val="0"/>
                          <w:marTop w:val="0"/>
                          <w:marBottom w:val="0"/>
                          <w:divBdr>
                            <w:top w:val="none" w:sz="0" w:space="0" w:color="auto"/>
                            <w:left w:val="none" w:sz="0" w:space="0" w:color="auto"/>
                            <w:bottom w:val="none" w:sz="0" w:space="0" w:color="auto"/>
                            <w:right w:val="none" w:sz="0" w:space="0" w:color="auto"/>
                          </w:divBdr>
                          <w:divsChild>
                            <w:div w:id="1064567548">
                              <w:marLeft w:val="0"/>
                              <w:marRight w:val="0"/>
                              <w:marTop w:val="0"/>
                              <w:marBottom w:val="360"/>
                              <w:divBdr>
                                <w:top w:val="none" w:sz="0" w:space="0" w:color="auto"/>
                                <w:left w:val="none" w:sz="0" w:space="0" w:color="auto"/>
                                <w:bottom w:val="none" w:sz="0" w:space="0" w:color="auto"/>
                                <w:right w:val="none" w:sz="0" w:space="0" w:color="auto"/>
                              </w:divBdr>
                              <w:divsChild>
                                <w:div w:id="157156434">
                                  <w:marLeft w:val="0"/>
                                  <w:marRight w:val="0"/>
                                  <w:marTop w:val="0"/>
                                  <w:marBottom w:val="0"/>
                                  <w:divBdr>
                                    <w:top w:val="none" w:sz="0" w:space="0" w:color="auto"/>
                                    <w:left w:val="none" w:sz="0" w:space="0" w:color="auto"/>
                                    <w:bottom w:val="none" w:sz="0" w:space="0" w:color="auto"/>
                                    <w:right w:val="none" w:sz="0" w:space="0" w:color="auto"/>
                                  </w:divBdr>
                                  <w:divsChild>
                                    <w:div w:id="435444672">
                                      <w:marLeft w:val="0"/>
                                      <w:marRight w:val="0"/>
                                      <w:marTop w:val="0"/>
                                      <w:marBottom w:val="0"/>
                                      <w:divBdr>
                                        <w:top w:val="none" w:sz="0" w:space="0" w:color="auto"/>
                                        <w:left w:val="none" w:sz="0" w:space="0" w:color="auto"/>
                                        <w:bottom w:val="none" w:sz="0" w:space="0" w:color="auto"/>
                                        <w:right w:val="none" w:sz="0" w:space="0" w:color="auto"/>
                                      </w:divBdr>
                                      <w:divsChild>
                                        <w:div w:id="795222139">
                                          <w:marLeft w:val="0"/>
                                          <w:marRight w:val="0"/>
                                          <w:marTop w:val="0"/>
                                          <w:marBottom w:val="0"/>
                                          <w:divBdr>
                                            <w:top w:val="none" w:sz="0" w:space="0" w:color="auto"/>
                                            <w:left w:val="none" w:sz="0" w:space="0" w:color="auto"/>
                                            <w:bottom w:val="none" w:sz="0" w:space="0" w:color="auto"/>
                                            <w:right w:val="none" w:sz="0" w:space="0" w:color="auto"/>
                                          </w:divBdr>
                                          <w:divsChild>
                                            <w:div w:id="1972976895">
                                              <w:marLeft w:val="0"/>
                                              <w:marRight w:val="0"/>
                                              <w:marTop w:val="0"/>
                                              <w:marBottom w:val="0"/>
                                              <w:divBdr>
                                                <w:top w:val="none" w:sz="0" w:space="0" w:color="auto"/>
                                                <w:left w:val="none" w:sz="0" w:space="0" w:color="auto"/>
                                                <w:bottom w:val="none" w:sz="0" w:space="0" w:color="auto"/>
                                                <w:right w:val="none" w:sz="0" w:space="0" w:color="auto"/>
                                              </w:divBdr>
                                              <w:divsChild>
                                                <w:div w:id="611674012">
                                                  <w:marLeft w:val="0"/>
                                                  <w:marRight w:val="0"/>
                                                  <w:marTop w:val="0"/>
                                                  <w:marBottom w:val="0"/>
                                                  <w:divBdr>
                                                    <w:top w:val="none" w:sz="0" w:space="0" w:color="auto"/>
                                                    <w:left w:val="none" w:sz="0" w:space="0" w:color="auto"/>
                                                    <w:bottom w:val="none" w:sz="0" w:space="0" w:color="auto"/>
                                                    <w:right w:val="none" w:sz="0" w:space="0" w:color="auto"/>
                                                  </w:divBdr>
                                                  <w:divsChild>
                                                    <w:div w:id="1592591127">
                                                      <w:marLeft w:val="0"/>
                                                      <w:marRight w:val="0"/>
                                                      <w:marTop w:val="0"/>
                                                      <w:marBottom w:val="0"/>
                                                      <w:divBdr>
                                                        <w:top w:val="none" w:sz="0" w:space="0" w:color="auto"/>
                                                        <w:left w:val="none" w:sz="0" w:space="0" w:color="auto"/>
                                                        <w:bottom w:val="none" w:sz="0" w:space="0" w:color="auto"/>
                                                        <w:right w:val="none" w:sz="0" w:space="0" w:color="auto"/>
                                                      </w:divBdr>
                                                      <w:divsChild>
                                                        <w:div w:id="491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019174">
      <w:bodyDiv w:val="1"/>
      <w:marLeft w:val="0"/>
      <w:marRight w:val="0"/>
      <w:marTop w:val="0"/>
      <w:marBottom w:val="0"/>
      <w:divBdr>
        <w:top w:val="none" w:sz="0" w:space="0" w:color="auto"/>
        <w:left w:val="none" w:sz="0" w:space="0" w:color="auto"/>
        <w:bottom w:val="none" w:sz="0" w:space="0" w:color="auto"/>
        <w:right w:val="none" w:sz="0" w:space="0" w:color="auto"/>
      </w:divBdr>
      <w:divsChild>
        <w:div w:id="1942182550">
          <w:marLeft w:val="0"/>
          <w:marRight w:val="0"/>
          <w:marTop w:val="0"/>
          <w:marBottom w:val="0"/>
          <w:divBdr>
            <w:top w:val="none" w:sz="0" w:space="0" w:color="auto"/>
            <w:left w:val="none" w:sz="0" w:space="0" w:color="auto"/>
            <w:bottom w:val="none" w:sz="0" w:space="0" w:color="auto"/>
            <w:right w:val="none" w:sz="0" w:space="0" w:color="auto"/>
          </w:divBdr>
          <w:divsChild>
            <w:div w:id="1114133176">
              <w:marLeft w:val="0"/>
              <w:marRight w:val="0"/>
              <w:marTop w:val="0"/>
              <w:marBottom w:val="0"/>
              <w:divBdr>
                <w:top w:val="none" w:sz="0" w:space="0" w:color="auto"/>
                <w:left w:val="none" w:sz="0" w:space="0" w:color="auto"/>
                <w:bottom w:val="none" w:sz="0" w:space="0" w:color="auto"/>
                <w:right w:val="none" w:sz="0" w:space="0" w:color="auto"/>
              </w:divBdr>
              <w:divsChild>
                <w:div w:id="300577785">
                  <w:marLeft w:val="0"/>
                  <w:marRight w:val="0"/>
                  <w:marTop w:val="0"/>
                  <w:marBottom w:val="0"/>
                  <w:divBdr>
                    <w:top w:val="none" w:sz="0" w:space="0" w:color="auto"/>
                    <w:left w:val="none" w:sz="0" w:space="0" w:color="auto"/>
                    <w:bottom w:val="none" w:sz="0" w:space="0" w:color="auto"/>
                    <w:right w:val="none" w:sz="0" w:space="0" w:color="auto"/>
                  </w:divBdr>
                  <w:divsChild>
                    <w:div w:id="1280407581">
                      <w:marLeft w:val="1"/>
                      <w:marRight w:val="1"/>
                      <w:marTop w:val="0"/>
                      <w:marBottom w:val="0"/>
                      <w:divBdr>
                        <w:top w:val="none" w:sz="0" w:space="0" w:color="auto"/>
                        <w:left w:val="none" w:sz="0" w:space="0" w:color="auto"/>
                        <w:bottom w:val="none" w:sz="0" w:space="0" w:color="auto"/>
                        <w:right w:val="none" w:sz="0" w:space="0" w:color="auto"/>
                      </w:divBdr>
                      <w:divsChild>
                        <w:div w:id="207761447">
                          <w:marLeft w:val="0"/>
                          <w:marRight w:val="0"/>
                          <w:marTop w:val="0"/>
                          <w:marBottom w:val="0"/>
                          <w:divBdr>
                            <w:top w:val="none" w:sz="0" w:space="0" w:color="auto"/>
                            <w:left w:val="none" w:sz="0" w:space="0" w:color="auto"/>
                            <w:bottom w:val="none" w:sz="0" w:space="0" w:color="auto"/>
                            <w:right w:val="none" w:sz="0" w:space="0" w:color="auto"/>
                          </w:divBdr>
                          <w:divsChild>
                            <w:div w:id="835345138">
                              <w:marLeft w:val="0"/>
                              <w:marRight w:val="0"/>
                              <w:marTop w:val="0"/>
                              <w:marBottom w:val="360"/>
                              <w:divBdr>
                                <w:top w:val="none" w:sz="0" w:space="0" w:color="auto"/>
                                <w:left w:val="none" w:sz="0" w:space="0" w:color="auto"/>
                                <w:bottom w:val="none" w:sz="0" w:space="0" w:color="auto"/>
                                <w:right w:val="none" w:sz="0" w:space="0" w:color="auto"/>
                              </w:divBdr>
                              <w:divsChild>
                                <w:div w:id="1452892388">
                                  <w:marLeft w:val="0"/>
                                  <w:marRight w:val="0"/>
                                  <w:marTop w:val="0"/>
                                  <w:marBottom w:val="0"/>
                                  <w:divBdr>
                                    <w:top w:val="none" w:sz="0" w:space="0" w:color="auto"/>
                                    <w:left w:val="none" w:sz="0" w:space="0" w:color="auto"/>
                                    <w:bottom w:val="none" w:sz="0" w:space="0" w:color="auto"/>
                                    <w:right w:val="none" w:sz="0" w:space="0" w:color="auto"/>
                                  </w:divBdr>
                                  <w:divsChild>
                                    <w:div w:id="1229880104">
                                      <w:marLeft w:val="0"/>
                                      <w:marRight w:val="0"/>
                                      <w:marTop w:val="0"/>
                                      <w:marBottom w:val="0"/>
                                      <w:divBdr>
                                        <w:top w:val="none" w:sz="0" w:space="0" w:color="auto"/>
                                        <w:left w:val="none" w:sz="0" w:space="0" w:color="auto"/>
                                        <w:bottom w:val="none" w:sz="0" w:space="0" w:color="auto"/>
                                        <w:right w:val="none" w:sz="0" w:space="0" w:color="auto"/>
                                      </w:divBdr>
                                      <w:divsChild>
                                        <w:div w:id="1827167674">
                                          <w:marLeft w:val="0"/>
                                          <w:marRight w:val="0"/>
                                          <w:marTop w:val="0"/>
                                          <w:marBottom w:val="0"/>
                                          <w:divBdr>
                                            <w:top w:val="none" w:sz="0" w:space="0" w:color="auto"/>
                                            <w:left w:val="none" w:sz="0" w:space="0" w:color="auto"/>
                                            <w:bottom w:val="none" w:sz="0" w:space="0" w:color="auto"/>
                                            <w:right w:val="none" w:sz="0" w:space="0" w:color="auto"/>
                                          </w:divBdr>
                                          <w:divsChild>
                                            <w:div w:id="664895173">
                                              <w:marLeft w:val="0"/>
                                              <w:marRight w:val="0"/>
                                              <w:marTop w:val="0"/>
                                              <w:marBottom w:val="0"/>
                                              <w:divBdr>
                                                <w:top w:val="none" w:sz="0" w:space="0" w:color="auto"/>
                                                <w:left w:val="none" w:sz="0" w:space="0" w:color="auto"/>
                                                <w:bottom w:val="none" w:sz="0" w:space="0" w:color="auto"/>
                                                <w:right w:val="none" w:sz="0" w:space="0" w:color="auto"/>
                                              </w:divBdr>
                                              <w:divsChild>
                                                <w:div w:id="1352414840">
                                                  <w:marLeft w:val="0"/>
                                                  <w:marRight w:val="0"/>
                                                  <w:marTop w:val="0"/>
                                                  <w:marBottom w:val="0"/>
                                                  <w:divBdr>
                                                    <w:top w:val="none" w:sz="0" w:space="0" w:color="auto"/>
                                                    <w:left w:val="none" w:sz="0" w:space="0" w:color="auto"/>
                                                    <w:bottom w:val="none" w:sz="0" w:space="0" w:color="auto"/>
                                                    <w:right w:val="none" w:sz="0" w:space="0" w:color="auto"/>
                                                  </w:divBdr>
                                                  <w:divsChild>
                                                    <w:div w:id="401487734">
                                                      <w:marLeft w:val="0"/>
                                                      <w:marRight w:val="0"/>
                                                      <w:marTop w:val="0"/>
                                                      <w:marBottom w:val="0"/>
                                                      <w:divBdr>
                                                        <w:top w:val="none" w:sz="0" w:space="0" w:color="auto"/>
                                                        <w:left w:val="none" w:sz="0" w:space="0" w:color="auto"/>
                                                        <w:bottom w:val="none" w:sz="0" w:space="0" w:color="auto"/>
                                                        <w:right w:val="none" w:sz="0" w:space="0" w:color="auto"/>
                                                      </w:divBdr>
                                                      <w:divsChild>
                                                        <w:div w:id="1789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7420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2027097901">
              <w:marLeft w:val="0"/>
              <w:marRight w:val="0"/>
              <w:marTop w:val="0"/>
              <w:marBottom w:val="0"/>
              <w:divBdr>
                <w:top w:val="none" w:sz="0" w:space="0" w:color="auto"/>
                <w:left w:val="none" w:sz="0" w:space="0" w:color="auto"/>
                <w:bottom w:val="none" w:sz="0" w:space="0" w:color="auto"/>
                <w:right w:val="none" w:sz="0" w:space="0" w:color="auto"/>
              </w:divBdr>
              <w:divsChild>
                <w:div w:id="1169826678">
                  <w:marLeft w:val="0"/>
                  <w:marRight w:val="0"/>
                  <w:marTop w:val="0"/>
                  <w:marBottom w:val="0"/>
                  <w:divBdr>
                    <w:top w:val="none" w:sz="0" w:space="0" w:color="auto"/>
                    <w:left w:val="none" w:sz="0" w:space="0" w:color="auto"/>
                    <w:bottom w:val="none" w:sz="0" w:space="0" w:color="auto"/>
                    <w:right w:val="none" w:sz="0" w:space="0" w:color="auto"/>
                  </w:divBdr>
                  <w:divsChild>
                    <w:div w:id="1819683194">
                      <w:marLeft w:val="1"/>
                      <w:marRight w:val="1"/>
                      <w:marTop w:val="0"/>
                      <w:marBottom w:val="0"/>
                      <w:divBdr>
                        <w:top w:val="none" w:sz="0" w:space="0" w:color="auto"/>
                        <w:left w:val="none" w:sz="0" w:space="0" w:color="auto"/>
                        <w:bottom w:val="none" w:sz="0" w:space="0" w:color="auto"/>
                        <w:right w:val="none" w:sz="0" w:space="0" w:color="auto"/>
                      </w:divBdr>
                      <w:divsChild>
                        <w:div w:id="314258545">
                          <w:marLeft w:val="0"/>
                          <w:marRight w:val="0"/>
                          <w:marTop w:val="0"/>
                          <w:marBottom w:val="0"/>
                          <w:divBdr>
                            <w:top w:val="none" w:sz="0" w:space="0" w:color="auto"/>
                            <w:left w:val="none" w:sz="0" w:space="0" w:color="auto"/>
                            <w:bottom w:val="none" w:sz="0" w:space="0" w:color="auto"/>
                            <w:right w:val="none" w:sz="0" w:space="0" w:color="auto"/>
                          </w:divBdr>
                          <w:divsChild>
                            <w:div w:id="792138010">
                              <w:marLeft w:val="0"/>
                              <w:marRight w:val="0"/>
                              <w:marTop w:val="0"/>
                              <w:marBottom w:val="360"/>
                              <w:divBdr>
                                <w:top w:val="none" w:sz="0" w:space="0" w:color="auto"/>
                                <w:left w:val="none" w:sz="0" w:space="0" w:color="auto"/>
                                <w:bottom w:val="none" w:sz="0" w:space="0" w:color="auto"/>
                                <w:right w:val="none" w:sz="0" w:space="0" w:color="auto"/>
                              </w:divBdr>
                              <w:divsChild>
                                <w:div w:id="1871062947">
                                  <w:marLeft w:val="0"/>
                                  <w:marRight w:val="0"/>
                                  <w:marTop w:val="0"/>
                                  <w:marBottom w:val="0"/>
                                  <w:divBdr>
                                    <w:top w:val="none" w:sz="0" w:space="0" w:color="auto"/>
                                    <w:left w:val="none" w:sz="0" w:space="0" w:color="auto"/>
                                    <w:bottom w:val="none" w:sz="0" w:space="0" w:color="auto"/>
                                    <w:right w:val="none" w:sz="0" w:space="0" w:color="auto"/>
                                  </w:divBdr>
                                  <w:divsChild>
                                    <w:div w:id="1840002608">
                                      <w:marLeft w:val="0"/>
                                      <w:marRight w:val="0"/>
                                      <w:marTop w:val="0"/>
                                      <w:marBottom w:val="0"/>
                                      <w:divBdr>
                                        <w:top w:val="none" w:sz="0" w:space="0" w:color="auto"/>
                                        <w:left w:val="none" w:sz="0" w:space="0" w:color="auto"/>
                                        <w:bottom w:val="none" w:sz="0" w:space="0" w:color="auto"/>
                                        <w:right w:val="none" w:sz="0" w:space="0" w:color="auto"/>
                                      </w:divBdr>
                                      <w:divsChild>
                                        <w:div w:id="539128182">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723287426">
                                                  <w:marLeft w:val="0"/>
                                                  <w:marRight w:val="0"/>
                                                  <w:marTop w:val="0"/>
                                                  <w:marBottom w:val="0"/>
                                                  <w:divBdr>
                                                    <w:top w:val="none" w:sz="0" w:space="0" w:color="auto"/>
                                                    <w:left w:val="none" w:sz="0" w:space="0" w:color="auto"/>
                                                    <w:bottom w:val="none" w:sz="0" w:space="0" w:color="auto"/>
                                                    <w:right w:val="none" w:sz="0" w:space="0" w:color="auto"/>
                                                  </w:divBdr>
                                                  <w:divsChild>
                                                    <w:div w:id="2110814943">
                                                      <w:marLeft w:val="0"/>
                                                      <w:marRight w:val="0"/>
                                                      <w:marTop w:val="0"/>
                                                      <w:marBottom w:val="0"/>
                                                      <w:divBdr>
                                                        <w:top w:val="none" w:sz="0" w:space="0" w:color="auto"/>
                                                        <w:left w:val="none" w:sz="0" w:space="0" w:color="auto"/>
                                                        <w:bottom w:val="none" w:sz="0" w:space="0" w:color="auto"/>
                                                        <w:right w:val="none" w:sz="0" w:space="0" w:color="auto"/>
                                                      </w:divBdr>
                                                      <w:divsChild>
                                                        <w:div w:id="740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1737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990">
          <w:marLeft w:val="0"/>
          <w:marRight w:val="0"/>
          <w:marTop w:val="0"/>
          <w:marBottom w:val="0"/>
          <w:divBdr>
            <w:top w:val="none" w:sz="0" w:space="0" w:color="auto"/>
            <w:left w:val="none" w:sz="0" w:space="0" w:color="auto"/>
            <w:bottom w:val="none" w:sz="0" w:space="0" w:color="auto"/>
            <w:right w:val="none" w:sz="0" w:space="0" w:color="auto"/>
          </w:divBdr>
          <w:divsChild>
            <w:div w:id="700284331">
              <w:marLeft w:val="0"/>
              <w:marRight w:val="0"/>
              <w:marTop w:val="0"/>
              <w:marBottom w:val="0"/>
              <w:divBdr>
                <w:top w:val="none" w:sz="0" w:space="0" w:color="auto"/>
                <w:left w:val="none" w:sz="0" w:space="0" w:color="auto"/>
                <w:bottom w:val="none" w:sz="0" w:space="0" w:color="auto"/>
                <w:right w:val="none" w:sz="0" w:space="0" w:color="auto"/>
              </w:divBdr>
              <w:divsChild>
                <w:div w:id="421415695">
                  <w:marLeft w:val="0"/>
                  <w:marRight w:val="0"/>
                  <w:marTop w:val="0"/>
                  <w:marBottom w:val="0"/>
                  <w:divBdr>
                    <w:top w:val="none" w:sz="0" w:space="0" w:color="auto"/>
                    <w:left w:val="none" w:sz="0" w:space="0" w:color="auto"/>
                    <w:bottom w:val="none" w:sz="0" w:space="0" w:color="auto"/>
                    <w:right w:val="none" w:sz="0" w:space="0" w:color="auto"/>
                  </w:divBdr>
                  <w:divsChild>
                    <w:div w:id="1660693377">
                      <w:marLeft w:val="1"/>
                      <w:marRight w:val="1"/>
                      <w:marTop w:val="0"/>
                      <w:marBottom w:val="0"/>
                      <w:divBdr>
                        <w:top w:val="none" w:sz="0" w:space="0" w:color="auto"/>
                        <w:left w:val="none" w:sz="0" w:space="0" w:color="auto"/>
                        <w:bottom w:val="none" w:sz="0" w:space="0" w:color="auto"/>
                        <w:right w:val="none" w:sz="0" w:space="0" w:color="auto"/>
                      </w:divBdr>
                      <w:divsChild>
                        <w:div w:id="1751808465">
                          <w:marLeft w:val="0"/>
                          <w:marRight w:val="0"/>
                          <w:marTop w:val="0"/>
                          <w:marBottom w:val="0"/>
                          <w:divBdr>
                            <w:top w:val="none" w:sz="0" w:space="0" w:color="auto"/>
                            <w:left w:val="none" w:sz="0" w:space="0" w:color="auto"/>
                            <w:bottom w:val="none" w:sz="0" w:space="0" w:color="auto"/>
                            <w:right w:val="none" w:sz="0" w:space="0" w:color="auto"/>
                          </w:divBdr>
                          <w:divsChild>
                            <w:div w:id="809635790">
                              <w:marLeft w:val="0"/>
                              <w:marRight w:val="0"/>
                              <w:marTop w:val="0"/>
                              <w:marBottom w:val="360"/>
                              <w:divBdr>
                                <w:top w:val="none" w:sz="0" w:space="0" w:color="auto"/>
                                <w:left w:val="none" w:sz="0" w:space="0" w:color="auto"/>
                                <w:bottom w:val="none" w:sz="0" w:space="0" w:color="auto"/>
                                <w:right w:val="none" w:sz="0" w:space="0" w:color="auto"/>
                              </w:divBdr>
                              <w:divsChild>
                                <w:div w:id="1484545962">
                                  <w:marLeft w:val="0"/>
                                  <w:marRight w:val="0"/>
                                  <w:marTop w:val="0"/>
                                  <w:marBottom w:val="0"/>
                                  <w:divBdr>
                                    <w:top w:val="none" w:sz="0" w:space="0" w:color="auto"/>
                                    <w:left w:val="none" w:sz="0" w:space="0" w:color="auto"/>
                                    <w:bottom w:val="none" w:sz="0" w:space="0" w:color="auto"/>
                                    <w:right w:val="none" w:sz="0" w:space="0" w:color="auto"/>
                                  </w:divBdr>
                                  <w:divsChild>
                                    <w:div w:id="2032800188">
                                      <w:marLeft w:val="0"/>
                                      <w:marRight w:val="0"/>
                                      <w:marTop w:val="0"/>
                                      <w:marBottom w:val="0"/>
                                      <w:divBdr>
                                        <w:top w:val="none" w:sz="0" w:space="0" w:color="auto"/>
                                        <w:left w:val="none" w:sz="0" w:space="0" w:color="auto"/>
                                        <w:bottom w:val="none" w:sz="0" w:space="0" w:color="auto"/>
                                        <w:right w:val="none" w:sz="0" w:space="0" w:color="auto"/>
                                      </w:divBdr>
                                      <w:divsChild>
                                        <w:div w:id="358553051">
                                          <w:marLeft w:val="0"/>
                                          <w:marRight w:val="0"/>
                                          <w:marTop w:val="0"/>
                                          <w:marBottom w:val="0"/>
                                          <w:divBdr>
                                            <w:top w:val="none" w:sz="0" w:space="0" w:color="auto"/>
                                            <w:left w:val="none" w:sz="0" w:space="0" w:color="auto"/>
                                            <w:bottom w:val="none" w:sz="0" w:space="0" w:color="auto"/>
                                            <w:right w:val="none" w:sz="0" w:space="0" w:color="auto"/>
                                          </w:divBdr>
                                          <w:divsChild>
                                            <w:div w:id="749621478">
                                              <w:marLeft w:val="0"/>
                                              <w:marRight w:val="0"/>
                                              <w:marTop w:val="0"/>
                                              <w:marBottom w:val="0"/>
                                              <w:divBdr>
                                                <w:top w:val="none" w:sz="0" w:space="0" w:color="auto"/>
                                                <w:left w:val="none" w:sz="0" w:space="0" w:color="auto"/>
                                                <w:bottom w:val="none" w:sz="0" w:space="0" w:color="auto"/>
                                                <w:right w:val="none" w:sz="0" w:space="0" w:color="auto"/>
                                              </w:divBdr>
                                              <w:divsChild>
                                                <w:div w:id="1164591346">
                                                  <w:marLeft w:val="0"/>
                                                  <w:marRight w:val="0"/>
                                                  <w:marTop w:val="0"/>
                                                  <w:marBottom w:val="0"/>
                                                  <w:divBdr>
                                                    <w:top w:val="none" w:sz="0" w:space="0" w:color="auto"/>
                                                    <w:left w:val="none" w:sz="0" w:space="0" w:color="auto"/>
                                                    <w:bottom w:val="none" w:sz="0" w:space="0" w:color="auto"/>
                                                    <w:right w:val="none" w:sz="0" w:space="0" w:color="auto"/>
                                                  </w:divBdr>
                                                  <w:divsChild>
                                                    <w:div w:id="999382448">
                                                      <w:marLeft w:val="0"/>
                                                      <w:marRight w:val="0"/>
                                                      <w:marTop w:val="0"/>
                                                      <w:marBottom w:val="0"/>
                                                      <w:divBdr>
                                                        <w:top w:val="none" w:sz="0" w:space="0" w:color="auto"/>
                                                        <w:left w:val="none" w:sz="0" w:space="0" w:color="auto"/>
                                                        <w:bottom w:val="none" w:sz="0" w:space="0" w:color="auto"/>
                                                        <w:right w:val="none" w:sz="0" w:space="0" w:color="auto"/>
                                                      </w:divBdr>
                                                      <w:divsChild>
                                                        <w:div w:id="65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54701">
      <w:bodyDiv w:val="1"/>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sChild>
            <w:div w:id="1841431340">
              <w:marLeft w:val="0"/>
              <w:marRight w:val="0"/>
              <w:marTop w:val="0"/>
              <w:marBottom w:val="0"/>
              <w:divBdr>
                <w:top w:val="none" w:sz="0" w:space="0" w:color="auto"/>
                <w:left w:val="none" w:sz="0" w:space="0" w:color="auto"/>
                <w:bottom w:val="none" w:sz="0" w:space="0" w:color="auto"/>
                <w:right w:val="none" w:sz="0" w:space="0" w:color="auto"/>
              </w:divBdr>
              <w:divsChild>
                <w:div w:id="576743454">
                  <w:marLeft w:val="0"/>
                  <w:marRight w:val="0"/>
                  <w:marTop w:val="0"/>
                  <w:marBottom w:val="0"/>
                  <w:divBdr>
                    <w:top w:val="none" w:sz="0" w:space="0" w:color="auto"/>
                    <w:left w:val="none" w:sz="0" w:space="0" w:color="auto"/>
                    <w:bottom w:val="none" w:sz="0" w:space="0" w:color="auto"/>
                    <w:right w:val="none" w:sz="0" w:space="0" w:color="auto"/>
                  </w:divBdr>
                  <w:divsChild>
                    <w:div w:id="1719041073">
                      <w:marLeft w:val="1"/>
                      <w:marRight w:val="1"/>
                      <w:marTop w:val="0"/>
                      <w:marBottom w:val="0"/>
                      <w:divBdr>
                        <w:top w:val="none" w:sz="0" w:space="0" w:color="auto"/>
                        <w:left w:val="none" w:sz="0" w:space="0" w:color="auto"/>
                        <w:bottom w:val="none" w:sz="0" w:space="0" w:color="auto"/>
                        <w:right w:val="none" w:sz="0" w:space="0" w:color="auto"/>
                      </w:divBdr>
                      <w:divsChild>
                        <w:div w:id="1667316910">
                          <w:marLeft w:val="0"/>
                          <w:marRight w:val="0"/>
                          <w:marTop w:val="0"/>
                          <w:marBottom w:val="0"/>
                          <w:divBdr>
                            <w:top w:val="none" w:sz="0" w:space="0" w:color="auto"/>
                            <w:left w:val="none" w:sz="0" w:space="0" w:color="auto"/>
                            <w:bottom w:val="none" w:sz="0" w:space="0" w:color="auto"/>
                            <w:right w:val="none" w:sz="0" w:space="0" w:color="auto"/>
                          </w:divBdr>
                          <w:divsChild>
                            <w:div w:id="1460369492">
                              <w:marLeft w:val="0"/>
                              <w:marRight w:val="0"/>
                              <w:marTop w:val="0"/>
                              <w:marBottom w:val="360"/>
                              <w:divBdr>
                                <w:top w:val="none" w:sz="0" w:space="0" w:color="auto"/>
                                <w:left w:val="none" w:sz="0" w:space="0" w:color="auto"/>
                                <w:bottom w:val="none" w:sz="0" w:space="0" w:color="auto"/>
                                <w:right w:val="none" w:sz="0" w:space="0" w:color="auto"/>
                              </w:divBdr>
                              <w:divsChild>
                                <w:div w:id="866407942">
                                  <w:marLeft w:val="0"/>
                                  <w:marRight w:val="0"/>
                                  <w:marTop w:val="0"/>
                                  <w:marBottom w:val="0"/>
                                  <w:divBdr>
                                    <w:top w:val="none" w:sz="0" w:space="0" w:color="auto"/>
                                    <w:left w:val="none" w:sz="0" w:space="0" w:color="auto"/>
                                    <w:bottom w:val="none" w:sz="0" w:space="0" w:color="auto"/>
                                    <w:right w:val="none" w:sz="0" w:space="0" w:color="auto"/>
                                  </w:divBdr>
                                  <w:divsChild>
                                    <w:div w:id="516312978">
                                      <w:marLeft w:val="0"/>
                                      <w:marRight w:val="0"/>
                                      <w:marTop w:val="0"/>
                                      <w:marBottom w:val="0"/>
                                      <w:divBdr>
                                        <w:top w:val="none" w:sz="0" w:space="0" w:color="auto"/>
                                        <w:left w:val="none" w:sz="0" w:space="0" w:color="auto"/>
                                        <w:bottom w:val="none" w:sz="0" w:space="0" w:color="auto"/>
                                        <w:right w:val="none" w:sz="0" w:space="0" w:color="auto"/>
                                      </w:divBdr>
                                      <w:divsChild>
                                        <w:div w:id="360322527">
                                          <w:marLeft w:val="0"/>
                                          <w:marRight w:val="0"/>
                                          <w:marTop w:val="0"/>
                                          <w:marBottom w:val="0"/>
                                          <w:divBdr>
                                            <w:top w:val="none" w:sz="0" w:space="0" w:color="auto"/>
                                            <w:left w:val="none" w:sz="0" w:space="0" w:color="auto"/>
                                            <w:bottom w:val="none" w:sz="0" w:space="0" w:color="auto"/>
                                            <w:right w:val="none" w:sz="0" w:space="0" w:color="auto"/>
                                          </w:divBdr>
                                          <w:divsChild>
                                            <w:div w:id="2070881850">
                                              <w:marLeft w:val="0"/>
                                              <w:marRight w:val="0"/>
                                              <w:marTop w:val="0"/>
                                              <w:marBottom w:val="0"/>
                                              <w:divBdr>
                                                <w:top w:val="none" w:sz="0" w:space="0" w:color="auto"/>
                                                <w:left w:val="none" w:sz="0" w:space="0" w:color="auto"/>
                                                <w:bottom w:val="none" w:sz="0" w:space="0" w:color="auto"/>
                                                <w:right w:val="none" w:sz="0" w:space="0" w:color="auto"/>
                                              </w:divBdr>
                                              <w:divsChild>
                                                <w:div w:id="2009090260">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sChild>
                                                        <w:div w:id="1152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63174">
      <w:bodyDiv w:val="1"/>
      <w:marLeft w:val="0"/>
      <w:marRight w:val="0"/>
      <w:marTop w:val="0"/>
      <w:marBottom w:val="0"/>
      <w:divBdr>
        <w:top w:val="none" w:sz="0" w:space="0" w:color="auto"/>
        <w:left w:val="none" w:sz="0" w:space="0" w:color="auto"/>
        <w:bottom w:val="none" w:sz="0" w:space="0" w:color="auto"/>
        <w:right w:val="none" w:sz="0" w:space="0" w:color="auto"/>
      </w:divBdr>
      <w:divsChild>
        <w:div w:id="2055150944">
          <w:marLeft w:val="0"/>
          <w:marRight w:val="0"/>
          <w:marTop w:val="0"/>
          <w:marBottom w:val="0"/>
          <w:divBdr>
            <w:top w:val="none" w:sz="0" w:space="0" w:color="auto"/>
            <w:left w:val="none" w:sz="0" w:space="0" w:color="auto"/>
            <w:bottom w:val="none" w:sz="0" w:space="0" w:color="auto"/>
            <w:right w:val="none" w:sz="0" w:space="0" w:color="auto"/>
          </w:divBdr>
          <w:divsChild>
            <w:div w:id="1303386100">
              <w:marLeft w:val="0"/>
              <w:marRight w:val="0"/>
              <w:marTop w:val="0"/>
              <w:marBottom w:val="0"/>
              <w:divBdr>
                <w:top w:val="none" w:sz="0" w:space="0" w:color="auto"/>
                <w:left w:val="none" w:sz="0" w:space="0" w:color="auto"/>
                <w:bottom w:val="none" w:sz="0" w:space="0" w:color="auto"/>
                <w:right w:val="none" w:sz="0" w:space="0" w:color="auto"/>
              </w:divBdr>
              <w:divsChild>
                <w:div w:id="382677421">
                  <w:marLeft w:val="0"/>
                  <w:marRight w:val="0"/>
                  <w:marTop w:val="0"/>
                  <w:marBottom w:val="0"/>
                  <w:divBdr>
                    <w:top w:val="none" w:sz="0" w:space="0" w:color="auto"/>
                    <w:left w:val="none" w:sz="0" w:space="0" w:color="auto"/>
                    <w:bottom w:val="none" w:sz="0" w:space="0" w:color="auto"/>
                    <w:right w:val="none" w:sz="0" w:space="0" w:color="auto"/>
                  </w:divBdr>
                  <w:divsChild>
                    <w:div w:id="1218400849">
                      <w:marLeft w:val="1"/>
                      <w:marRight w:val="1"/>
                      <w:marTop w:val="0"/>
                      <w:marBottom w:val="0"/>
                      <w:divBdr>
                        <w:top w:val="none" w:sz="0" w:space="0" w:color="auto"/>
                        <w:left w:val="none" w:sz="0" w:space="0" w:color="auto"/>
                        <w:bottom w:val="none" w:sz="0" w:space="0" w:color="auto"/>
                        <w:right w:val="none" w:sz="0" w:space="0" w:color="auto"/>
                      </w:divBdr>
                      <w:divsChild>
                        <w:div w:id="2138837792">
                          <w:marLeft w:val="0"/>
                          <w:marRight w:val="0"/>
                          <w:marTop w:val="0"/>
                          <w:marBottom w:val="0"/>
                          <w:divBdr>
                            <w:top w:val="none" w:sz="0" w:space="0" w:color="auto"/>
                            <w:left w:val="none" w:sz="0" w:space="0" w:color="auto"/>
                            <w:bottom w:val="none" w:sz="0" w:space="0" w:color="auto"/>
                            <w:right w:val="none" w:sz="0" w:space="0" w:color="auto"/>
                          </w:divBdr>
                          <w:divsChild>
                            <w:div w:id="150174959">
                              <w:marLeft w:val="0"/>
                              <w:marRight w:val="0"/>
                              <w:marTop w:val="0"/>
                              <w:marBottom w:val="360"/>
                              <w:divBdr>
                                <w:top w:val="none" w:sz="0" w:space="0" w:color="auto"/>
                                <w:left w:val="none" w:sz="0" w:space="0" w:color="auto"/>
                                <w:bottom w:val="none" w:sz="0" w:space="0" w:color="auto"/>
                                <w:right w:val="none" w:sz="0" w:space="0" w:color="auto"/>
                              </w:divBdr>
                              <w:divsChild>
                                <w:div w:id="1422407177">
                                  <w:marLeft w:val="0"/>
                                  <w:marRight w:val="0"/>
                                  <w:marTop w:val="0"/>
                                  <w:marBottom w:val="0"/>
                                  <w:divBdr>
                                    <w:top w:val="none" w:sz="0" w:space="0" w:color="auto"/>
                                    <w:left w:val="none" w:sz="0" w:space="0" w:color="auto"/>
                                    <w:bottom w:val="none" w:sz="0" w:space="0" w:color="auto"/>
                                    <w:right w:val="none" w:sz="0" w:space="0" w:color="auto"/>
                                  </w:divBdr>
                                  <w:divsChild>
                                    <w:div w:id="1641613261">
                                      <w:marLeft w:val="0"/>
                                      <w:marRight w:val="0"/>
                                      <w:marTop w:val="0"/>
                                      <w:marBottom w:val="0"/>
                                      <w:divBdr>
                                        <w:top w:val="none" w:sz="0" w:space="0" w:color="auto"/>
                                        <w:left w:val="none" w:sz="0" w:space="0" w:color="auto"/>
                                        <w:bottom w:val="none" w:sz="0" w:space="0" w:color="auto"/>
                                        <w:right w:val="none" w:sz="0" w:space="0" w:color="auto"/>
                                      </w:divBdr>
                                      <w:divsChild>
                                        <w:div w:id="2128116600">
                                          <w:marLeft w:val="0"/>
                                          <w:marRight w:val="0"/>
                                          <w:marTop w:val="0"/>
                                          <w:marBottom w:val="0"/>
                                          <w:divBdr>
                                            <w:top w:val="none" w:sz="0" w:space="0" w:color="auto"/>
                                            <w:left w:val="none" w:sz="0" w:space="0" w:color="auto"/>
                                            <w:bottom w:val="none" w:sz="0" w:space="0" w:color="auto"/>
                                            <w:right w:val="none" w:sz="0" w:space="0" w:color="auto"/>
                                          </w:divBdr>
                                          <w:divsChild>
                                            <w:div w:id="416748202">
                                              <w:marLeft w:val="0"/>
                                              <w:marRight w:val="0"/>
                                              <w:marTop w:val="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sChild>
                                                    <w:div w:id="613098428">
                                                      <w:marLeft w:val="0"/>
                                                      <w:marRight w:val="0"/>
                                                      <w:marTop w:val="0"/>
                                                      <w:marBottom w:val="0"/>
                                                      <w:divBdr>
                                                        <w:top w:val="none" w:sz="0" w:space="0" w:color="auto"/>
                                                        <w:left w:val="none" w:sz="0" w:space="0" w:color="auto"/>
                                                        <w:bottom w:val="none" w:sz="0" w:space="0" w:color="auto"/>
                                                        <w:right w:val="none" w:sz="0" w:space="0" w:color="auto"/>
                                                      </w:divBdr>
                                                      <w:divsChild>
                                                        <w:div w:id="6800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92EC-4B82-4B97-88B7-22022E13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1855</Words>
  <Characters>11004</Characters>
  <Application>Microsoft Office Word</Application>
  <DocSecurity>0</DocSecurity>
  <Lines>239</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2016-11-17T08:40:00Z</cp:lastPrinted>
  <dcterms:created xsi:type="dcterms:W3CDTF">2016-12-06T15:01:00Z</dcterms:created>
  <dcterms:modified xsi:type="dcterms:W3CDTF">2016-12-09T12:03:00Z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