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58DF5D319FE549BCB0BC6EC7228F46BF" style="width:451.25pt;height:411.0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ПРИЛОЖЕНИЯ</w:t>
      </w:r>
    </w:p>
    <w:p>
      <w:pPr>
        <w:pStyle w:val="Accompagnant"/>
        <w:rPr>
          <w:noProof/>
        </w:rPr>
      </w:pPr>
      <w:r>
        <w:rPr>
          <w:noProof/>
        </w:rPr>
        <w:t>към предложение за</w:t>
      </w:r>
    </w:p>
    <w:p>
      <w:pPr>
        <w:pStyle w:val="Typeacteprincipal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интегрираната статистика за земеделските стопанства и за отмяна на регламенти (ЕО) № 1166/2008 и (ЕС) № 1337/2011</w:t>
      </w:r>
    </w:p>
    <w:p>
      <w:pPr>
        <w:rPr>
          <w:b/>
          <w:noProof/>
          <w:sz w:val="28"/>
          <w:szCs w:val="28"/>
        </w:rPr>
      </w:pPr>
      <w:r>
        <w:rPr>
          <w:b/>
          <w:noProof/>
          <w:sz w:val="28"/>
        </w:rPr>
        <w:t>ПРИЛОЖЕНИЕ I — Коефициенти по животински единици</w:t>
      </w:r>
    </w:p>
    <w:p>
      <w:pPr>
        <w:pStyle w:val="Default"/>
        <w:rPr>
          <w:rFonts w:cstheme="minorHAnsi"/>
          <w:b/>
          <w:bCs/>
          <w:noProof/>
          <w:sz w:val="17"/>
          <w:szCs w:val="17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4383"/>
        <w:gridCol w:w="2217"/>
      </w:tblGrid>
      <w:tr>
        <w:trPr>
          <w:trHeight w:val="218"/>
        </w:trPr>
        <w:tc>
          <w:tcPr>
            <w:tcW w:w="2388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i/>
                <w:noProof/>
                <w:color w:val="000000"/>
                <w:szCs w:val="24"/>
              </w:rPr>
            </w:pPr>
            <w:r>
              <w:rPr>
                <w:b/>
                <w:i/>
                <w:noProof/>
                <w:color w:val="000000"/>
              </w:rPr>
              <w:t>Вид животно</w:t>
            </w: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i/>
                <w:noProof/>
                <w:color w:val="000000"/>
                <w:szCs w:val="24"/>
              </w:rPr>
            </w:pPr>
            <w:r>
              <w:rPr>
                <w:b/>
                <w:i/>
                <w:noProof/>
                <w:color w:val="000000"/>
              </w:rPr>
              <w:t>Характеристика на животното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b/>
                <w:i/>
                <w:noProof/>
                <w:color w:val="000000"/>
                <w:szCs w:val="24"/>
              </w:rPr>
            </w:pPr>
            <w:r>
              <w:rPr>
                <w:b/>
                <w:i/>
                <w:noProof/>
                <w:color w:val="000000"/>
              </w:rPr>
              <w:t>Коефициент</w:t>
            </w:r>
          </w:p>
        </w:tc>
      </w:tr>
      <w:tr>
        <w:trPr>
          <w:trHeight w:val="218"/>
        </w:trPr>
        <w:tc>
          <w:tcPr>
            <w:tcW w:w="2388" w:type="dxa"/>
            <w:vMerge w:val="restart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Животни от рода на едрия рогат добитък</w:t>
            </w: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Под едногодишна възраст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0,400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На възраст между една и ненавършени две години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0,700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Мъжки, на възраст две и повече години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Юници, на възраст две и повече години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0,800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Млекодайни крави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1,000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Немлекодайни крави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0,800</w:t>
            </w:r>
          </w:p>
        </w:tc>
      </w:tr>
      <w:tr>
        <w:trPr>
          <w:trHeight w:val="103"/>
        </w:trPr>
        <w:tc>
          <w:tcPr>
            <w:tcW w:w="6771" w:type="dxa"/>
            <w:gridSpan w:val="2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Овце и кози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0,100</w:t>
            </w:r>
          </w:p>
        </w:tc>
      </w:tr>
      <w:tr>
        <w:trPr>
          <w:trHeight w:val="103"/>
        </w:trPr>
        <w:tc>
          <w:tcPr>
            <w:tcW w:w="2388" w:type="dxa"/>
            <w:vMerge w:val="restart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Свине</w:t>
            </w: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Прасета с живо тегло под 20 килограма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0,027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Свине за разплод с живо тегло 50 килограма и повече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0,500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Други свине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0,300</w:t>
            </w:r>
          </w:p>
        </w:tc>
      </w:tr>
      <w:tr>
        <w:trPr>
          <w:trHeight w:val="103"/>
        </w:trPr>
        <w:tc>
          <w:tcPr>
            <w:tcW w:w="2388" w:type="dxa"/>
            <w:vMerge w:val="restart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Домашни птици</w:t>
            </w: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Бройлери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0,007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Кокошки носачки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0,014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Други домашни птици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Пуйки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0,030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Патици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0,010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Гъски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0,020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Щрауси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0,350</w:t>
            </w:r>
          </w:p>
        </w:tc>
      </w:tr>
      <w:tr>
        <w:trPr>
          <w:trHeight w:val="103"/>
        </w:trPr>
        <w:tc>
          <w:tcPr>
            <w:tcW w:w="2388" w:type="dxa"/>
            <w:vMerge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b/>
                <w:noProof/>
                <w:color w:val="000000"/>
                <w:szCs w:val="24"/>
              </w:rPr>
            </w:pPr>
          </w:p>
        </w:tc>
        <w:tc>
          <w:tcPr>
            <w:tcW w:w="4383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Други домашни птици, некласифицирани другаде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0,001</w:t>
            </w:r>
          </w:p>
        </w:tc>
      </w:tr>
      <w:tr>
        <w:trPr>
          <w:trHeight w:val="296"/>
        </w:trPr>
        <w:tc>
          <w:tcPr>
            <w:tcW w:w="6771" w:type="dxa"/>
            <w:gridSpan w:val="2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rPr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Зайци, женски за разплод</w:t>
            </w:r>
          </w:p>
        </w:tc>
        <w:tc>
          <w:tcPr>
            <w:tcW w:w="2217" w:type="dxa"/>
          </w:tcPr>
          <w:p>
            <w:pPr>
              <w:autoSpaceDE w:val="0"/>
              <w:autoSpaceDN w:val="0"/>
              <w:adjustRightInd w:val="0"/>
              <w:spacing w:before="0" w:after="100" w:afterAutospacing="1"/>
              <w:jc w:val="center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0,020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tabs>
          <w:tab w:val="left" w:pos="5625"/>
        </w:tabs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</w:rPr>
        <w:lastRenderedPageBreak/>
        <w:t>Приложение II — Списък на физическите прагове</w:t>
      </w:r>
      <w:r>
        <w:rPr>
          <w:rStyle w:val="FootnoteReference"/>
          <w:rFonts w:cstheme="minorHAnsi"/>
          <w:b/>
          <w:noProof/>
          <w:sz w:val="28"/>
        </w:rPr>
        <w:footnoteReference w:id="1"/>
      </w:r>
    </w:p>
    <w:p>
      <w:pPr>
        <w:tabs>
          <w:tab w:val="left" w:pos="5625"/>
        </w:tabs>
        <w:rPr>
          <w:rFonts w:cstheme="minorHAnsi"/>
          <w:b/>
          <w:noProof/>
          <w:sz w:val="28"/>
          <w:szCs w:val="28"/>
        </w:rPr>
      </w:pPr>
      <w:r>
        <w:rPr>
          <w:noProof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268"/>
      </w:tblGrid>
      <w:tr>
        <w:tc>
          <w:tcPr>
            <w:tcW w:w="6062" w:type="dxa"/>
          </w:tcPr>
          <w:p>
            <w:pPr>
              <w:spacing w:before="0" w:after="0"/>
              <w:rPr>
                <w:b/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Позиция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b/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Праг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Използвана земеделска площ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5 хектара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Обработваема земя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2 хектара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Картофи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0,5 хектара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Пресни зеленчуци и ягоди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0,5 хектара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Ароматни растения, медицински растения и растения за подправки, цветя и декоративни растения, семена и посадъчен материал, разсадници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0,2 хектара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Плодни дървета, ягодоплодни, черупкови дървета, цитрусови дървета, други трайни насаждения с изключение на разсади, лозя и маслинови дървета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0,3 хектара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Лозя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0,1 хектара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Маслинови насаждения 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0,3 хектара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Оранжерии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100 м</w:t>
            </w:r>
            <w:r>
              <w:rPr>
                <w:noProof/>
                <w:vertAlign w:val="superscript"/>
              </w:rPr>
              <w:t>2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Култивирани гъби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100 м</w:t>
            </w:r>
            <w:r>
              <w:rPr>
                <w:noProof/>
                <w:vertAlign w:val="superscript"/>
              </w:rPr>
              <w:t>2</w:t>
            </w:r>
          </w:p>
        </w:tc>
      </w:tr>
      <w:tr>
        <w:tc>
          <w:tcPr>
            <w:tcW w:w="6062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Селскостопански животни </w:t>
            </w:r>
          </w:p>
        </w:tc>
        <w:tc>
          <w:tcPr>
            <w:tcW w:w="2268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1,5 животински единици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rPr>
          <w:b/>
          <w:noProof/>
          <w:sz w:val="28"/>
          <w:szCs w:val="28"/>
        </w:rPr>
      </w:pPr>
      <w:r>
        <w:rPr>
          <w:b/>
          <w:noProof/>
          <w:sz w:val="28"/>
        </w:rPr>
        <w:lastRenderedPageBreak/>
        <w:t>Приложение ІІІ – Основни данни: Информация, която следва да се предостави</w:t>
      </w:r>
    </w:p>
    <w:tbl>
      <w:tblPr>
        <w:tblStyle w:val="TableGrid1"/>
        <w:tblW w:w="889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5310"/>
        <w:gridCol w:w="2483"/>
      </w:tblGrid>
      <w:tr>
        <w:trPr>
          <w:tblHeader/>
        </w:trPr>
        <w:tc>
          <w:tcPr>
            <w:tcW w:w="6411" w:type="dxa"/>
            <w:gridSpan w:val="3"/>
          </w:tcPr>
          <w:p>
            <w:pPr>
              <w:spacing w:before="0" w:after="0"/>
              <w:rPr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Общи характеристики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Единици/Категории</w:t>
            </w:r>
          </w:p>
        </w:tc>
      </w:tr>
      <w:tr>
        <w:tc>
          <w:tcPr>
            <w:tcW w:w="6411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Информация за изследването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Идентификатор на земеделското стопанство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Идентификатор на стопанство</w:t>
            </w:r>
          </w:p>
        </w:tc>
      </w:tr>
      <w:tr>
        <w:tc>
          <w:tcPr>
            <w:tcW w:w="6411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Местоположение на стопанството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Географско местоположение 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Код на клетката от координатна мрежа от клетки с площ, равняваща се на 1 km (INSPIRE)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Регион по NUTS 3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Код по NUTS 3</w:t>
            </w:r>
          </w:p>
        </w:tc>
      </w:tr>
      <w:tr>
        <w:trPr>
          <w:trHeight w:val="475"/>
        </w:trPr>
        <w:tc>
          <w:tcPr>
            <w:tcW w:w="534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Стопанството има площи, определени като райони с природни ограничения съгласно Регламент № 1305/2013. 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L/M/O/N</w:t>
            </w:r>
            <w:r>
              <w:rPr>
                <w:rStyle w:val="FootnoteReference"/>
                <w:noProof/>
              </w:rPr>
              <w:footnoteReference w:id="2"/>
            </w:r>
          </w:p>
        </w:tc>
      </w:tr>
      <w:tr>
        <w:tc>
          <w:tcPr>
            <w:tcW w:w="6411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Правосубектност на стопанството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Юридическата и икономическата отговорност за стопанството се поема от: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Физическо лице, което е едноличен стопанин на отделно стопанство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310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Ако отговорът е „да“, стопанинът ли е и управител на стопанството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310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Ако отговорът е „не“, управителят член ли е на семейството на стопанина?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310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Ако отговорът е „да“, управителят съпруг/съпруга ли е на стопанина?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Едно или повече физически лица, което(които) е(са) съдружник(ци), когато стопанството се стопанисва съвместно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Юридическо лице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Стопанството е върху земя за общо ползване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6411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Стопанинът е получател на подпомагане от ЕС за земя или животни в стопанството, поради което е включен в ИСАК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6411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Управител на стопанството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Година на раждане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година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Пол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мъжки/женски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Селскостопанска работа в земеделското стопанство </w:t>
            </w:r>
            <w:r>
              <w:rPr>
                <w:noProof/>
              </w:rPr>
              <w:lastRenderedPageBreak/>
              <w:t>(различна от домакинската)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Групи ГРЕ</w:t>
            </w:r>
            <w:r>
              <w:rPr>
                <w:rStyle w:val="FootnoteReference"/>
                <w:noProof/>
              </w:rPr>
              <w:footnoteReference w:id="3"/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Селскостопанска квалификация на управителя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кодове на квалификация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Професионално обучение, започнато от управителя през последните 12 месеца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6411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Вид стопанисване на използваната земеделска площ (по отношение на стопанина)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Обработка на собствена земя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Обработка на земя под аренда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Съвместна обработка на земя или други начини на стопанисване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53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Земя за общо ползване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6411" w:type="dxa"/>
            <w:gridSpan w:val="3"/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Биологично земеделие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534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Общ размер на използваната земеделска площ на стопанството, в което се прилагат производствени методи за биологично земеделие, сертифицирани съгласно националните норми или нормите на Европейския съюз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534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Общ размер на използваната земеделска площ на стопанството, което е в процес на преминаване към производствени методи за биологично земеделие, които следва да бъдат сертифицирани съгласно националните норми или нормите на Европейския съюз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6411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Участие в други схеми за сертифициране на екологичните практики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</w:tr>
      <w:tr>
        <w:tc>
          <w:tcPr>
            <w:tcW w:w="6411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Значимост на другите доходоносни дейности, пряко свързани със стопанството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534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877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Процент на крайната икономическа продукция на стопанството</w:t>
            </w:r>
          </w:p>
        </w:tc>
        <w:tc>
          <w:tcPr>
            <w:tcW w:w="248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% групи</w:t>
            </w:r>
            <w:r>
              <w:rPr>
                <w:rStyle w:val="FootnoteReference"/>
                <w:noProof/>
              </w:rPr>
              <w:footnoteReference w:id="4"/>
            </w:r>
          </w:p>
        </w:tc>
      </w:tr>
    </w:tbl>
    <w:p>
      <w:pPr>
        <w:rPr>
          <w:noProof/>
          <w:sz w:val="20"/>
        </w:rPr>
      </w:pPr>
      <w:r>
        <w:rPr>
          <w:noProof/>
        </w:rPr>
        <w:br w:type="page"/>
      </w:r>
    </w:p>
    <w:tbl>
      <w:tblPr>
        <w:tblStyle w:val="TableGrid1"/>
        <w:tblW w:w="889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"/>
        <w:gridCol w:w="391"/>
        <w:gridCol w:w="363"/>
        <w:gridCol w:w="384"/>
        <w:gridCol w:w="4071"/>
        <w:gridCol w:w="1363"/>
        <w:gridCol w:w="1949"/>
      </w:tblGrid>
      <w:tr>
        <w:trPr>
          <w:tblHeader/>
        </w:trPr>
        <w:tc>
          <w:tcPr>
            <w:tcW w:w="6378" w:type="dxa"/>
            <w:gridSpan w:val="5"/>
            <w:vAlign w:val="center"/>
          </w:tcPr>
          <w:p>
            <w:pPr>
              <w:spacing w:before="0" w:after="0"/>
              <w:rPr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lastRenderedPageBreak/>
              <w:t>Характеристики на земята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b/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Общ размер на основните площи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b/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от които сертифицирани за биологично земеделие и/или в процес на преминаване към биологично земеделие</w:t>
            </w:r>
          </w:p>
        </w:tc>
      </w:tr>
      <w:tr>
        <w:tc>
          <w:tcPr>
            <w:tcW w:w="6378" w:type="dxa"/>
            <w:gridSpan w:val="5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Използвана земеделска площ (ИЗП)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Обработваема земя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Зърнено-житни култури за зърнопроизводство (включително семена)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Обикновена пшеница и лимец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Твърда пшеница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Ръж и смеси от зимни зърнено-житни култури (смес от ръж и пшеница)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Ечемик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Овес и смеси от пролетни зърнено-житни култури (смес от зърнени култури, различна от смес от ръж и пшеница)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Царевица за зърно и смес от зърно и кочани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Тритикале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Сорго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зърнено-житни култури, некласифицирани другаде (елда, просо, канарено семе и т.н.)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Ориз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Зърнено-бобови култури и протеинови култури за зърнопроизводство (включително семена и смеси от житни и бобови култури)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Фуражен грах — зърно, фасул и сладка лупина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Кореноплодни култури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Картофи (включително картофи за семе)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Захарно цвекло (с изключение на семената)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кореноплодни култури, некласифицирани другаде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Технически култури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Маслодайни семена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Семена от рапица и репица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Слънчогледово семе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Соя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Ленено семе (маслодаен лен)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маслодайни култури, некласифицирани другаде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Влакнодайни растения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Лен (влакнодаен)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Коноп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Памук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влакнодайни култури, некласифицирани другаде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Тютюневи изделия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Хмел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Ароматни растения, медицински растения и растения за подправки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Енергийни растителни култури, некласифицирани другаде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технически култури, некласифицирани другаде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Фуражни култури от обработваема земя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Временни треви и пасища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Бобови култури, прибирани в неузряло състояние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Силажна царевица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rPr>
          <w:trHeight w:val="163"/>
        </w:trP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зърнено-житни култури, прибирани в неузряло състояние (с изключение на силажна царевица)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rPr>
          <w:trHeight w:val="163"/>
        </w:trP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Други фуражни култури от обработваема земя, некласифицирани другаде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Пресни зеленчуци (включително дини и пъпеши) и ягоди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Пресни зеленчуци (включително дини и пъпеши) и ягоди, отглеждани в ротация </w:t>
            </w:r>
            <w:r>
              <w:rPr>
                <w:noProof/>
              </w:rPr>
              <w:lastRenderedPageBreak/>
              <w:t>с градински култури (градински зеленчуци)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2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Пресни зеленчуци (включително дини и пъпеши) и ягоди, отглеждани в ротация с неградински култури (полски зеленчуци) 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Цветя и декоративни растения (с изключение на тези от разсадници)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Семена и посадъчен материал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култури от обработваема земя, некласифицирани другаде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Угари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Постоянно затревени площи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Пасища и ливади, с изключение на диви пасища 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Диви пасища 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Постоянно затревени площи, неизползвани повече за производство и подлежащи на субсидиране 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rPr>
          <w:cantSplit/>
        </w:trPr>
        <w:tc>
          <w:tcPr>
            <w:tcW w:w="39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keepLines/>
              <w:spacing w:before="0" w:after="0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Трайни насаждения (включително млади и временно изоставени насаждения, с изключение на площите, произвеждащи само за собствена консумация)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Плодове, ягодоплодни култури и черупкови (с изключение на цитрусови плодове, грозде и ягоди)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Семкови плодове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Костилкови плодове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Плодове от субтропичния и тропичния климатичен пояс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Ягодоплодни култури (с изключение на ягоди)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Черупкови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Цитрусови плодове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Грозде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Грозде за вина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Грозде за вина със защитено наименование за произход (ЗНП)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Грозде за вина със защитено географско указание (ЗГУ)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14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75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Грозде за други вина, некласифицирани другаде (без ЗНП/ЗГУ)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Десертно грозде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Грозде за стафиди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Маслини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Разсадници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трайни насаждения, включително други трайни насаждения за консумация от човека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386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1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Коледни елхи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Семейни зеленчукови градини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378" w:type="dxa"/>
            <w:gridSpan w:val="5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Друга селскостопанска земя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Неизползвани земеделски земи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Горски площи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3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556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Дървесни култури с кратък цикъл на ротация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земи (земи, заети от постройки, стопански дворове, пътища, езера и други неплодородни земи)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378" w:type="dxa"/>
            <w:gridSpan w:val="5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Площи за специални стопанства 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Култивирани гъби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378" w:type="dxa"/>
            <w:gridSpan w:val="5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Използвана земеделска площ под стъклено или високо достъпно покритие</w:t>
            </w:r>
            <w:r>
              <w:rPr>
                <w:noProof/>
              </w:rPr>
              <w:t xml:space="preserve"> (вече включена в посочения по-горе общ размер на основните площи) 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Зеленчуци, включително дини, пъпеши и ягоди под стъклено или високо достъпно покритие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Цветя и декоративни растения (с изключение на тези от разсадници) под стъклено или високо </w:t>
            </w:r>
            <w:r>
              <w:rPr>
                <w:noProof/>
              </w:rPr>
              <w:lastRenderedPageBreak/>
              <w:t>достъпно покритие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Други култури от обработваема земя под стъклено или високо достъпно покритие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Трайни насаждения под стъклено или високо достъпно покритие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Друга ИЗП под стъклено или високо достъпно покритие, некласифицирана другаде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378" w:type="dxa"/>
            <w:gridSpan w:val="5"/>
          </w:tcPr>
          <w:p>
            <w:pPr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Напояване на обработваеми площи на открито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9" w:type="dxa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979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Общо поливни площи</w:t>
            </w:r>
          </w:p>
        </w:tc>
        <w:tc>
          <w:tcPr>
            <w:tcW w:w="937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хектара</w:t>
            </w:r>
          </w:p>
        </w:tc>
        <w:tc>
          <w:tcPr>
            <w:tcW w:w="1579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</w:p>
    <w:tbl>
      <w:tblPr>
        <w:tblStyle w:val="TableGrid1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"/>
        <w:gridCol w:w="411"/>
        <w:gridCol w:w="412"/>
        <w:gridCol w:w="4876"/>
        <w:gridCol w:w="1259"/>
        <w:gridCol w:w="1949"/>
      </w:tblGrid>
      <w:tr>
        <w:trPr>
          <w:tblHeader/>
        </w:trPr>
        <w:tc>
          <w:tcPr>
            <w:tcW w:w="6487" w:type="dxa"/>
            <w:gridSpan w:val="4"/>
            <w:vAlign w:val="center"/>
          </w:tcPr>
          <w:p>
            <w:pPr>
              <w:spacing w:before="0" w:after="0"/>
              <w:rPr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Характеристики на селскостопанските животни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Общ брой животни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от които сертифицирани за биологично земеделие и/или в процес на преминаване към биологично земеделие</w:t>
            </w:r>
          </w:p>
        </w:tc>
      </w:tr>
      <w:tr>
        <w:tc>
          <w:tcPr>
            <w:tcW w:w="6487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Животни от рода на едрия рогат добитък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Животни от рода на едрия рогат добитък под едногодишна възраст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Животни от рода на едрия рогат добитък на възраст между една и ненавършени две години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Мъжки животни от рода на едрия рогат добитък на възраст между една и ненавършени две години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Юници на възраст между една и ненавършени две години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Мъжки животни от рода на едрия рогат добитък на възраст две и повече години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Женски животни от рода на едрия рогат добитък на възраст две и повече години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Юници на възраст две и повече години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Крави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245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Млекодайни крави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245" w:type="dxa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Немлекодайни крави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487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Овце и кози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Овце (всички възрасти)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Женски за разплод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овце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Кози (всички възрасти)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Женски за разплод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кози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487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Свине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Прасета с живо тегло под 20 килограма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Свине за разплод с тегло 50 килограма и повече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свине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487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Домашни птици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Бройлери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Кокошки носачки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Кокошки носачки, произвеждащи яйца за консумация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кокошки носачки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домашни птици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Пуйки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Патици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Гъски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Щрауси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5670" w:type="dxa"/>
            <w:gridSpan w:val="2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Други домашни птици, некласифицирани другаде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487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Зайци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39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6095" w:type="dxa"/>
            <w:gridSpan w:val="3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Женски за разплод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глави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487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Пчели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кошери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487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 xml:space="preserve">Елени 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487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Животни, отглеждани за кожа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6487" w:type="dxa"/>
            <w:gridSpan w:val="4"/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Селскостопански животни, некласифицирани другаде</w:t>
            </w:r>
          </w:p>
        </w:tc>
        <w:tc>
          <w:tcPr>
            <w:tcW w:w="888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да/не</w:t>
            </w:r>
          </w:p>
        </w:tc>
        <w:tc>
          <w:tcPr>
            <w:tcW w:w="1522" w:type="dxa"/>
            <w:vAlign w:val="center"/>
          </w:tcPr>
          <w:p>
            <w:pPr>
              <w:spacing w:before="0" w:after="0"/>
              <w:jc w:val="center"/>
              <w:rPr>
                <w:noProof/>
                <w:szCs w:val="24"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p>
      <w:pPr>
        <w:pStyle w:val="Header"/>
        <w:rPr>
          <w:b/>
          <w:noProof/>
          <w:sz w:val="28"/>
        </w:rPr>
      </w:pPr>
      <w:r>
        <w:rPr>
          <w:b/>
          <w:noProof/>
          <w:sz w:val="28"/>
        </w:rPr>
        <w:lastRenderedPageBreak/>
        <w:t>Приложение IV — Теми и подтеми в рамките на модулните данни</w:t>
      </w:r>
    </w:p>
    <w:p>
      <w:pPr>
        <w:rPr>
          <w:b/>
          <w:i/>
          <w:noProof/>
        </w:rPr>
      </w:pPr>
    </w:p>
    <w:tbl>
      <w:tblPr>
        <w:tblStyle w:val="TableGrid2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08"/>
        <w:gridCol w:w="3108"/>
      </w:tblGrid>
      <w:tr>
        <w:trPr>
          <w:tblHeader/>
        </w:trPr>
        <w:tc>
          <w:tcPr>
            <w:tcW w:w="3106" w:type="dxa"/>
            <w:tcBorders>
              <w:bottom w:val="single" w:sz="6" w:space="0" w:color="auto"/>
            </w:tcBorders>
          </w:tcPr>
          <w:p>
            <w:pPr>
              <w:keepNext/>
              <w:spacing w:before="0" w:after="0"/>
              <w:rPr>
                <w:b/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Модул</w:t>
            </w:r>
          </w:p>
        </w:tc>
        <w:tc>
          <w:tcPr>
            <w:tcW w:w="3108" w:type="dxa"/>
            <w:tcBorders>
              <w:bottom w:val="single" w:sz="6" w:space="0" w:color="auto"/>
            </w:tcBorders>
          </w:tcPr>
          <w:p>
            <w:pPr>
              <w:keepNext/>
              <w:spacing w:before="0" w:after="0"/>
              <w:rPr>
                <w:b/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Тема</w:t>
            </w:r>
          </w:p>
        </w:tc>
        <w:tc>
          <w:tcPr>
            <w:tcW w:w="3108" w:type="dxa"/>
            <w:tcBorders>
              <w:bottom w:val="single" w:sz="6" w:space="0" w:color="auto"/>
            </w:tcBorders>
          </w:tcPr>
          <w:p>
            <w:pPr>
              <w:keepNext/>
              <w:spacing w:before="0" w:after="0"/>
              <w:rPr>
                <w:b/>
                <w:i/>
                <w:noProof/>
                <w:szCs w:val="24"/>
              </w:rPr>
            </w:pPr>
            <w:r>
              <w:rPr>
                <w:b/>
                <w:i/>
                <w:noProof/>
              </w:rPr>
              <w:t>Подтема</w:t>
            </w:r>
          </w:p>
        </w:tc>
      </w:tr>
      <w:tr>
        <w:tc>
          <w:tcPr>
            <w:tcW w:w="3106" w:type="dxa"/>
            <w:vMerge w:val="restart"/>
            <w:tcBorders>
              <w:top w:val="single" w:sz="6" w:space="0" w:color="auto"/>
            </w:tcBorders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Работна сила </w:t>
            </w:r>
          </w:p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и други доходоносни дейности</w:t>
            </w: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Устойчивост на управлението на земеделското стопанство</w:t>
            </w:r>
          </w:p>
        </w:tc>
        <w:tc>
          <w:tcPr>
            <w:tcW w:w="3108" w:type="dxa"/>
            <w:tcBorders>
              <w:top w:val="single" w:sz="6" w:space="0" w:color="auto"/>
              <w:bottom w:val="nil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Възраст на стопанина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 w:val="restart"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Други доходоносни дейности</w:t>
            </w: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Вложен труд в други доходоносни дейности, пряко свързани със селскостопанската дейност, като основна или вторична дейност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Значимост на другите доходоносни дейности, пряко свързани със стопанството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Други доходоносни дейности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bottom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Доходност и ефективност на земеделското производство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Земеделска работна ръка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Равнопоставеност на половете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Пол на стопанина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Баланс между половете в работната сила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Зависимост от селскостопанския доход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Друга доходоносна дейност, работа, различна от селскостопанската, извън стопанството, основна или вторична: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Стопанин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Управител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Работници, които са членове на семейството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Отражение върху заетостта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Брой на заетите лица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Връзка с вложения селскостопански труд</w:t>
            </w:r>
          </w:p>
        </w:tc>
        <w:tc>
          <w:tcPr>
            <w:tcW w:w="3108" w:type="dxa"/>
            <w:tcBorders>
              <w:top w:val="single" w:sz="6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Платена работна ръка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Показатели за измерване на вложения труд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noProof/>
              </w:rPr>
              <w:t xml:space="preserve">Брой на заетите лица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Временно наета работна ръка в стопанството </w:t>
            </w:r>
          </w:p>
        </w:tc>
      </w:tr>
      <w:tr>
        <w:trPr>
          <w:trHeight w:val="480"/>
        </w:trPr>
        <w:tc>
          <w:tcPr>
            <w:tcW w:w="3106" w:type="dxa"/>
            <w:vMerge/>
            <w:tcBorders>
              <w:bottom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noProof/>
              </w:rPr>
              <w:t>Вложен труд от изпълнители по договори</w:t>
            </w:r>
          </w:p>
        </w:tc>
      </w:tr>
    </w:tbl>
    <w:p>
      <w:pPr>
        <w:jc w:val="left"/>
        <w:rPr>
          <w:rFonts w:asciiTheme="minorHAnsi" w:hAnsiTheme="minorHAnsi"/>
          <w:noProof/>
          <w:sz w:val="18"/>
          <w:szCs w:val="10"/>
        </w:rPr>
      </w:pPr>
    </w:p>
    <w:tbl>
      <w:tblPr>
        <w:tblStyle w:val="TableGrid2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08"/>
        <w:gridCol w:w="3108"/>
      </w:tblGrid>
      <w:tr>
        <w:trPr>
          <w:cantSplit/>
        </w:trPr>
        <w:tc>
          <w:tcPr>
            <w:tcW w:w="3106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lastRenderedPageBreak/>
              <w:t>Модул</w:t>
            </w: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Тема</w:t>
            </w: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i/>
                <w:noProof/>
              </w:rPr>
              <w:t>Подтема</w:t>
            </w:r>
          </w:p>
        </w:tc>
      </w:tr>
      <w:tr>
        <w:trPr>
          <w:cantSplit/>
        </w:trPr>
        <w:tc>
          <w:tcPr>
            <w:tcW w:w="3106" w:type="dxa"/>
            <w:vMerge w:val="restart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Развитие на селските райони </w:t>
            </w:r>
          </w:p>
        </w:tc>
        <w:tc>
          <w:tcPr>
            <w:tcW w:w="3108" w:type="dxa"/>
            <w:vMerge w:val="restart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Стопанства, подпомогнати по мерки за развитие на селските райони</w:t>
            </w: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Консултантски услуги, услуги във връзка с управление на стопанството и услуги по заместване в стопанството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Развитие на стопанствата и предприятията 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Схеми за качество за селскостопански продукти и храни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Инвестиции във физически активи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bottom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Възстановяване на потенциала за селскостопанско производство, който е увреден поради природни бедствия и катастрофични събития, и въвеждане на подходящи превантивни мерки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Инвестиции в развитието на горските площи и подобряване на жизнеспособността на горите 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Плащания за агроекология и климат 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Биологично земеделие 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Плащания, свързани с „Натура 2000“ и Рамковата директива за водите 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Плащания за райони, изправени пред природни или други специфични ограничения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bottom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Хуманно отношение към животните </w:t>
            </w:r>
          </w:p>
        </w:tc>
      </w:tr>
      <w:tr>
        <w:trPr>
          <w:cantSplit/>
        </w:trPr>
        <w:tc>
          <w:tcPr>
            <w:tcW w:w="3106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Управление на риска </w:t>
            </w:r>
          </w:p>
        </w:tc>
      </w:tr>
    </w:tbl>
    <w:p>
      <w:pPr>
        <w:rPr>
          <w:rFonts w:asciiTheme="minorHAnsi" w:hAnsiTheme="minorHAnsi"/>
          <w:noProof/>
          <w:sz w:val="20"/>
          <w:szCs w:val="10"/>
        </w:rPr>
      </w:pPr>
    </w:p>
    <w:tbl>
      <w:tblPr>
        <w:tblStyle w:val="TableGrid2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08"/>
        <w:gridCol w:w="3108"/>
      </w:tblGrid>
      <w:tr>
        <w:tc>
          <w:tcPr>
            <w:tcW w:w="3106" w:type="dxa"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lastRenderedPageBreak/>
              <w:t>Модул</w:t>
            </w: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Тема</w:t>
            </w: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i/>
                <w:noProof/>
              </w:rPr>
              <w:t>Подтема</w:t>
            </w:r>
          </w:p>
        </w:tc>
      </w:tr>
      <w:tr>
        <w:tc>
          <w:tcPr>
            <w:tcW w:w="3106" w:type="dxa"/>
            <w:vMerge w:val="restart"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Селскостопански сгради за животни и управление на оборския тор</w:t>
            </w:r>
          </w:p>
        </w:tc>
        <w:tc>
          <w:tcPr>
            <w:tcW w:w="3108" w:type="dxa"/>
            <w:vMerge w:val="restart"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Селскостопански сгради за животни</w:t>
            </w: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Помещения за едър рогат добитък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Помещения за свине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Помещения за кокошки носачки</w:t>
            </w:r>
          </w:p>
        </w:tc>
      </w:tr>
      <w:tr>
        <w:tc>
          <w:tcPr>
            <w:tcW w:w="3106" w:type="dxa"/>
            <w:vMerge/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Използване на хранителни елементи и производство на оборски тор в стопанството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Наторена ИЗП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Наличен за ползване оборски тор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Различни от оборски тор органични торове и торове, основани на отпадъци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Техники за торене с оборски тор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Вид разпределяне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Време за смесване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 xml:space="preserve">Съоръжения за оборски тор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Съоръжения за обработка на оборски тор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Съоръжения за съхранение на оборски тор</w:t>
            </w:r>
          </w:p>
        </w:tc>
      </w:tr>
    </w:tbl>
    <w:p>
      <w:pPr>
        <w:jc w:val="left"/>
        <w:rPr>
          <w:rFonts w:asciiTheme="minorHAnsi" w:hAnsiTheme="minorHAnsi"/>
          <w:noProof/>
          <w:sz w:val="20"/>
          <w:szCs w:val="20"/>
        </w:rPr>
      </w:pPr>
    </w:p>
    <w:p>
      <w:pPr>
        <w:jc w:val="left"/>
        <w:rPr>
          <w:rFonts w:asciiTheme="minorHAnsi" w:hAnsiTheme="minorHAnsi"/>
          <w:noProof/>
          <w:sz w:val="20"/>
          <w:szCs w:val="20"/>
        </w:rPr>
      </w:pPr>
    </w:p>
    <w:tbl>
      <w:tblPr>
        <w:tblStyle w:val="TableGrid2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08"/>
        <w:gridCol w:w="3108"/>
      </w:tblGrid>
      <w:tr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Модул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Тема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i/>
                <w:noProof/>
              </w:rPr>
              <w:t>Подтема</w:t>
            </w:r>
          </w:p>
        </w:tc>
      </w:tr>
      <w:t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 xml:space="preserve">Напояване 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 xml:space="preserve">Практики за напояване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Наличие на напояване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Методи за напояване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Източници на вода за напояване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Технически параметри на напоителните съоръжения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Насаждения, напоявани в продължение на 12-месечен период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Зърнено-житни култури за зърнопроизводство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Зърнено-бобови култури и протеинови култури за зърнопроизводство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Кореноплодни култури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Технически култури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Фуражни култури от обработваема земя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Други култури от обработваема земя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Постоянно затревени площи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 xml:space="preserve">Трайни насаждения </w:t>
            </w:r>
          </w:p>
        </w:tc>
      </w:tr>
    </w:tbl>
    <w:p>
      <w:pPr>
        <w:rPr>
          <w:rFonts w:asciiTheme="minorHAnsi" w:hAnsiTheme="minorHAnsi"/>
          <w:noProof/>
          <w:sz w:val="20"/>
          <w:szCs w:val="20"/>
        </w:rPr>
      </w:pPr>
    </w:p>
    <w:tbl>
      <w:tblPr>
        <w:tblStyle w:val="TableGrid2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08"/>
        <w:gridCol w:w="3108"/>
      </w:tblGrid>
      <w:tr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lastRenderedPageBreak/>
              <w:t>Модул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Тема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i/>
                <w:noProof/>
              </w:rPr>
              <w:t>Подтема</w:t>
            </w:r>
          </w:p>
        </w:tc>
      </w:tr>
      <w:t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Практики за управление на почвите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Практики за управление на почвите върху площи на открито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Методи на обработка на земята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Почвена покривка на обработваеми земи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Ротация на културите върху обработваема земя 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Приоритетни екологични площи </w:t>
            </w:r>
          </w:p>
        </w:tc>
      </w:tr>
    </w:tbl>
    <w:p>
      <w:pPr>
        <w:rPr>
          <w:rFonts w:asciiTheme="minorHAnsi" w:hAnsiTheme="minorHAnsi"/>
          <w:noProof/>
          <w:sz w:val="20"/>
          <w:szCs w:val="20"/>
        </w:rPr>
      </w:pPr>
    </w:p>
    <w:tbl>
      <w:tblPr>
        <w:tblStyle w:val="TableGrid2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08"/>
        <w:gridCol w:w="3108"/>
      </w:tblGrid>
      <w:tr>
        <w:tc>
          <w:tcPr>
            <w:tcW w:w="3106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Модул</w:t>
            </w:r>
          </w:p>
        </w:tc>
        <w:tc>
          <w:tcPr>
            <w:tcW w:w="3108" w:type="dxa"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Тема</w:t>
            </w:r>
          </w:p>
        </w:tc>
        <w:tc>
          <w:tcPr>
            <w:tcW w:w="3108" w:type="dxa"/>
            <w:tcBorders>
              <w:bottom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i/>
                <w:noProof/>
              </w:rPr>
              <w:t>Подтема</w:t>
            </w:r>
          </w:p>
        </w:tc>
      </w:tr>
      <w:tr>
        <w:tc>
          <w:tcPr>
            <w:tcW w:w="3106" w:type="dxa"/>
            <w:vMerge w:val="restart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Машини и оборудване</w:t>
            </w:r>
          </w:p>
        </w:tc>
        <w:tc>
          <w:tcPr>
            <w:tcW w:w="3108" w:type="dxa"/>
            <w:vMerge w:val="restart"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Машини </w:t>
            </w:r>
          </w:p>
        </w:tc>
        <w:tc>
          <w:tcPr>
            <w:tcW w:w="3108" w:type="dxa"/>
            <w:tcBorders>
              <w:bottom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Интернет оборудване</w:t>
            </w:r>
            <w:r>
              <w:rPr>
                <w:noProof/>
                <w:color w:val="000000" w:themeColor="text1"/>
              </w:rPr>
              <w:t xml:space="preserve">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Базови машини</w:t>
            </w:r>
            <w:r>
              <w:rPr>
                <w:noProof/>
                <w:color w:val="000000" w:themeColor="text1"/>
              </w:rPr>
              <w:t xml:space="preserve">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color w:val="000000" w:themeColor="text1"/>
                <w:szCs w:val="24"/>
              </w:rPr>
            </w:pPr>
            <w:r>
              <w:rPr>
                <w:noProof/>
              </w:rPr>
              <w:t>Използване на прецизно земеделие</w:t>
            </w:r>
            <w:r>
              <w:rPr>
                <w:noProof/>
                <w:color w:val="000000" w:themeColor="text1"/>
              </w:rPr>
              <w:t xml:space="preserve">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Машини за управление на селскостопанските животни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Съхранение за селскостопански продукти </w:t>
            </w:r>
          </w:p>
        </w:tc>
      </w:tr>
      <w:tr>
        <w:tc>
          <w:tcPr>
            <w:tcW w:w="3106" w:type="dxa"/>
            <w:vMerge/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Оборудване </w:t>
            </w:r>
          </w:p>
        </w:tc>
        <w:tc>
          <w:tcPr>
            <w:tcW w:w="3108" w:type="dxa"/>
            <w:tcBorders>
              <w:top w:val="single" w:sz="6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Оборудване за производство на енергия от възобновяеми източници в земеделските стопанства </w:t>
            </w:r>
          </w:p>
        </w:tc>
      </w:tr>
    </w:tbl>
    <w:p>
      <w:pPr>
        <w:jc w:val="left"/>
        <w:rPr>
          <w:rFonts w:asciiTheme="minorHAnsi" w:hAnsiTheme="minorHAnsi"/>
          <w:noProof/>
          <w:sz w:val="20"/>
          <w:szCs w:val="20"/>
        </w:rPr>
      </w:pPr>
    </w:p>
    <w:tbl>
      <w:tblPr>
        <w:tblStyle w:val="TableGrid2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08"/>
        <w:gridCol w:w="3108"/>
      </w:tblGrid>
      <w:tr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lastRenderedPageBreak/>
              <w:t>Модул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Тема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i/>
                <w:noProof/>
              </w:rPr>
              <w:t>Подтема</w:t>
            </w:r>
          </w:p>
        </w:tc>
      </w:tr>
      <w:t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Овощни градини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Семкови плодове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Ябълки: Площ по възраст на насажденията и гъстота на дърветата </w:t>
            </w:r>
          </w:p>
        </w:tc>
      </w:tr>
      <w:tr>
        <w:trPr>
          <w:trHeight w:val="615"/>
        </w:trP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Круши: Площ по възраст на насажденията и гъстота на дърветата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Костилкови плодове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Праскови: Площ по възраст на насажденията и гъстота на дърветата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Нектарини: Площ по възраст на насажденията и гъстота на дърветата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Кайсии: Площ по възраст на насажденията и гъстота на дърветата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Цитрусови плодове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Портокали: Площ по възраст на насажденията и гъстота на дърветата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Дребни цитрусови плодове: Площ по възраст на насажденията и гъстота на дърветата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Лимони: Площ по възраст на насажденията и гъстота на дърветата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Маслини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Площ по възраст на насажденията и гъстота на дърветата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Десертно грозде и грозде за стафиди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Десертно грозде: Площ по възраст на насажденията и гъстота на лозите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Грозде за стафиди: Площ по възраст на насажденията и гъстота на лозите</w:t>
            </w:r>
          </w:p>
        </w:tc>
      </w:tr>
    </w:tbl>
    <w:p>
      <w:pPr>
        <w:jc w:val="left"/>
        <w:rPr>
          <w:noProof/>
        </w:rPr>
      </w:pPr>
    </w:p>
    <w:tbl>
      <w:tblPr>
        <w:tblStyle w:val="TableGrid2"/>
        <w:tblW w:w="932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6"/>
        <w:gridCol w:w="3108"/>
        <w:gridCol w:w="3108"/>
      </w:tblGrid>
      <w:tr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Модул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i/>
                <w:noProof/>
              </w:rPr>
              <w:t>Тема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i/>
                <w:noProof/>
              </w:rPr>
              <w:t>Подтема</w:t>
            </w:r>
          </w:p>
        </w:tc>
      </w:tr>
      <w:t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Лозя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Грозде за вино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Площ и възраст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 xml:space="preserve">Гроздови сортове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Брой сортове</w:t>
            </w:r>
          </w:p>
        </w:tc>
      </w:tr>
      <w:tr>
        <w:tc>
          <w:tcPr>
            <w:tcW w:w="3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Код и площ</w:t>
            </w:r>
          </w:p>
        </w:tc>
      </w:tr>
    </w:tbl>
    <w:p>
      <w:pPr>
        <w:jc w:val="left"/>
        <w:rPr>
          <w:noProof/>
        </w:rPr>
      </w:pPr>
      <w:r>
        <w:rPr>
          <w:noProof/>
        </w:rPr>
        <w:t xml:space="preserve"> </w:t>
      </w:r>
    </w:p>
    <w:p>
      <w:pPr>
        <w:autoSpaceDE w:val="0"/>
        <w:autoSpaceDN w:val="0"/>
        <w:adjustRightInd w:val="0"/>
        <w:spacing w:after="0"/>
        <w:jc w:val="left"/>
        <w:outlineLvl w:val="0"/>
        <w:rPr>
          <w:b/>
          <w:bCs/>
          <w:noProof/>
          <w:sz w:val="28"/>
          <w:szCs w:val="28"/>
        </w:rPr>
      </w:pPr>
      <w:r>
        <w:rPr>
          <w:noProof/>
        </w:rPr>
        <w:br w:type="page"/>
      </w:r>
    </w:p>
    <w:p>
      <w:pPr>
        <w:autoSpaceDE w:val="0"/>
        <w:autoSpaceDN w:val="0"/>
        <w:adjustRightInd w:val="0"/>
        <w:spacing w:after="0"/>
        <w:outlineLvl w:val="0"/>
        <w:rPr>
          <w:b/>
          <w:bCs/>
          <w:noProof/>
          <w:sz w:val="28"/>
          <w:szCs w:val="28"/>
        </w:rPr>
      </w:pPr>
      <w:r>
        <w:rPr>
          <w:b/>
          <w:noProof/>
          <w:sz w:val="28"/>
        </w:rPr>
        <w:lastRenderedPageBreak/>
        <w:t>Приложение V — Изисквания за точност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Основните данни (през 2023 и 2026 г.) и модулните данни трябва да бъдат статистически представителни за съответните популации от земеделски стопанства, както е определено в таблицата с изискванията за точност по-долу, на равнището на регионите по NUTS 2 по отношение на големината и вида на земеделските стопанства, съгласно Регламент (ЕО) № 1217/2009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>, Делегиран регламент (ЕС) № 1198/2014 на Комисията и Регламент за изпълнение (ЕС) 2015/220 на Комисията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 xml:space="preserve">Изискванията за точност се прилагат спрямо характеристиките в таблицата по-долу. 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Данните при разширяването на рамката през 2020 г. трябва да бъдат статистически представителни за съответната популация на равнището на регионите по NUTS 2, както е определено в таблицата с изискванията за точност по-долу.</w:t>
      </w:r>
    </w:p>
    <w:p>
      <w:pPr>
        <w:autoSpaceDE w:val="0"/>
        <w:autoSpaceDN w:val="0"/>
        <w:adjustRightInd w:val="0"/>
        <w:spacing w:after="0"/>
        <w:outlineLvl w:val="0"/>
        <w:rPr>
          <w:noProof/>
          <w:szCs w:val="24"/>
        </w:rPr>
      </w:pPr>
      <w:r>
        <w:rPr>
          <w:noProof/>
        </w:rPr>
        <w:t>Освен това определените в таблицата изисквания за точност се прилагат спрямо всички региони по NUTS 2 с най-малко:</w:t>
      </w:r>
    </w:p>
    <w:p>
      <w:pPr>
        <w:pStyle w:val="Bullet0"/>
        <w:numPr>
          <w:ilvl w:val="0"/>
          <w:numId w:val="11"/>
        </w:numPr>
        <w:rPr>
          <w:noProof/>
        </w:rPr>
      </w:pPr>
      <w:r>
        <w:rPr>
          <w:noProof/>
        </w:rPr>
        <w:t>5000 стопанства в съответната популация за модулите „Овощни градини“ и „Лозя“;</w:t>
      </w:r>
    </w:p>
    <w:p>
      <w:pPr>
        <w:pStyle w:val="Bullet0"/>
        <w:rPr>
          <w:noProof/>
        </w:rPr>
      </w:pPr>
      <w:r>
        <w:rPr>
          <w:noProof/>
        </w:rPr>
        <w:t xml:space="preserve">10 000 стопанства в съответната популация за основните данни, за всички други модули и за данните при разширяването на рамката. </w:t>
      </w:r>
    </w:p>
    <w:p>
      <w:pPr>
        <w:rPr>
          <w:noProof/>
        </w:rPr>
      </w:pPr>
      <w:r>
        <w:rPr>
          <w:noProof/>
        </w:rPr>
        <w:t>За региони по NUTS 2 с по-малко стопанства определените в таблицата изисквания за точност се прилагат спрямо свързаните региони по NUTS 1 с най-малко:</w:t>
      </w:r>
    </w:p>
    <w:p>
      <w:pPr>
        <w:pStyle w:val="Bullet0"/>
        <w:rPr>
          <w:noProof/>
        </w:rPr>
      </w:pPr>
      <w:r>
        <w:rPr>
          <w:noProof/>
        </w:rPr>
        <w:t xml:space="preserve">500 стопанства в съответната популация за модулите „Овощни градини“ и „Лозя“; </w:t>
      </w:r>
    </w:p>
    <w:p>
      <w:pPr>
        <w:pStyle w:val="Bullet0"/>
        <w:rPr>
          <w:noProof/>
        </w:rPr>
      </w:pPr>
      <w:r>
        <w:rPr>
          <w:noProof/>
        </w:rPr>
        <w:t xml:space="preserve">1000 стопанства в съответната популация за основните данни, всички други модули и данните при разширяването на рамката. 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Изисква се точност на национално равнище от максимум 5 % относителна стандартна грешка за онези характеристики на модулите „Овощни градини“ и „Лозя“, спрямо които не е приложимо никакво изискване за точност за регионите по NUTS 2 и NUTS 1.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 xml:space="preserve">Изисква се точност на национално равнище от максимум 7,5 % относителна стандартна грешка за всички характеристики на останалите модули, спрямо които не е приложимо никакво изискване за точност за регионите по NUTS 2 и NUTS 1. </w:t>
      </w:r>
    </w:p>
    <w:p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noProof/>
          <w:szCs w:val="24"/>
        </w:rPr>
      </w:pPr>
    </w:p>
    <w:p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noProof/>
          <w:szCs w:val="24"/>
        </w:rPr>
      </w:pPr>
      <w:r>
        <w:rPr>
          <w:noProof/>
        </w:rPr>
        <w:br w:type="page"/>
      </w:r>
    </w:p>
    <w:p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noProof/>
          <w:szCs w:val="24"/>
        </w:rPr>
      </w:pPr>
      <w:r>
        <w:rPr>
          <w:b/>
          <w:noProof/>
        </w:rPr>
        <w:lastRenderedPageBreak/>
        <w:t>Таблица с изискванията за точност</w:t>
      </w:r>
    </w:p>
    <w:p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170"/>
        <w:gridCol w:w="2231"/>
        <w:gridCol w:w="1709"/>
      </w:tblGrid>
      <w:tr>
        <w:trPr>
          <w:tblHeader/>
        </w:trPr>
        <w:tc>
          <w:tcPr>
            <w:tcW w:w="0" w:type="auto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Относима популация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Характеристики, спрямо които се прилагат изисквания за точност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Присъствие на всяка характеристика в съответната популация </w:t>
            </w:r>
          </w:p>
        </w:tc>
        <w:tc>
          <w:tcPr>
            <w:tcW w:w="0" w:type="auto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Относителна стандартна грешка</w:t>
            </w:r>
          </w:p>
        </w:tc>
      </w:tr>
      <w:tr>
        <w:tc>
          <w:tcPr>
            <w:tcW w:w="0" w:type="auto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Основни данни</w:t>
            </w:r>
            <w:r>
              <w:rPr>
                <w:noProof/>
              </w:rPr>
              <w:t xml:space="preserve"> през 2023 и 2026 г. и</w:t>
            </w:r>
          </w:p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Модул „Работна сила и други доходоносни дейности“</w:t>
            </w:r>
          </w:p>
        </w:tc>
      </w:tr>
      <w:tr>
        <w:trPr>
          <w:trHeight w:val="641"/>
        </w:trPr>
        <w:tc>
          <w:tcPr>
            <w:tcW w:w="0" w:type="auto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Така както са определени в член 5 за основните данни и в член 7 за модул „Работна сила и други доходоносни дейности“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bCs/>
                <w:i/>
                <w:noProof/>
                <w:szCs w:val="24"/>
              </w:rPr>
            </w:pPr>
            <w:r>
              <w:rPr>
                <w:i/>
                <w:noProof/>
              </w:rPr>
              <w:t xml:space="preserve">Характеристики на земята </w:t>
            </w:r>
          </w:p>
          <w:p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Зърнено-житни култури за зърнопроизводство (включително семена) </w:t>
            </w:r>
          </w:p>
          <w:p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Маслодайни семена 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Фуражни култури от обработваема земя </w:t>
            </w:r>
          </w:p>
          <w:p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Пресни зеленчуци (включително дини и пъпеши), ягоди, цветя и декоративни растения (с изключение на тези от разсадници) 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hd w:val="clear" w:color="auto" w:fill="FFFFFF" w:themeFill="background1"/>
              </w:rPr>
              <w:t>Постоянно затревени площи, с изключение на диви пасища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hd w:val="clear" w:color="auto" w:fill="FFFFFF" w:themeFill="background1"/>
              </w:rPr>
              <w:t>Плодове, ягодоплодни култури, черупкови и цитрусови плодове (с изключение на грозде и ягоди)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Грозде </w:t>
            </w:r>
          </w:p>
          <w:p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/>
              <w:outlineLvl w:val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Маслини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7,5 % или повече от използваната земеделска площ в региона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5 %</w:t>
            </w:r>
          </w:p>
        </w:tc>
      </w:tr>
      <w:tr>
        <w:trPr>
          <w:trHeight w:val="641"/>
        </w:trPr>
        <w:tc>
          <w:tcPr>
            <w:tcW w:w="0" w:type="auto"/>
            <w:vMerge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bCs/>
                <w:i/>
                <w:noProof/>
                <w:szCs w:val="24"/>
              </w:rPr>
            </w:pPr>
            <w:r>
              <w:rPr>
                <w:i/>
                <w:noProof/>
              </w:rPr>
              <w:t>Характеристики на селскостопанските животни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Млекодайни крави 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Немлекодайни крави 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Други животни от рода на едрия рогат добитък (животни от рода на едрия рогат добитък под едногодишна възраст, животни от рода на едрия рогат добитък на възраст между една и ненавършени две години, мъжки животни </w:t>
            </w:r>
            <w:r>
              <w:rPr>
                <w:rFonts w:ascii="Times New Roman" w:hAnsi="Times New Roman"/>
                <w:noProof/>
                <w:sz w:val="24"/>
              </w:rPr>
              <w:lastRenderedPageBreak/>
              <w:t xml:space="preserve">от рода на едрия рогат добитък на възраст две и повече години, юници на възраст две и повече години) 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Свине за разплод с живо тегло 50 килограма и повече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Прасенца с живо тегло под 20 килограма и други прасета 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Овце и кози 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Домашни птици</w:t>
            </w:r>
          </w:p>
          <w:p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7,5 % или повече от животинските единици в региона и 5 % или повече от характерното за страната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5 %</w:t>
            </w:r>
          </w:p>
        </w:tc>
      </w:tr>
      <w:tr>
        <w:tc>
          <w:tcPr>
            <w:tcW w:w="0" w:type="auto"/>
            <w:gridSpan w:val="4"/>
            <w:shd w:val="clear" w:color="auto" w:fill="auto"/>
          </w:tcPr>
          <w:p>
            <w:pPr>
              <w:keepNext/>
              <w:autoSpaceDE w:val="0"/>
              <w:autoSpaceDN w:val="0"/>
              <w:adjustRightInd w:val="0"/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lastRenderedPageBreak/>
              <w:t>Основни данни за разширяването на рамката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noProof/>
              </w:rPr>
              <w:t>през 2020 г.</w:t>
            </w:r>
          </w:p>
        </w:tc>
      </w:tr>
      <w:tr>
        <w:trPr>
          <w:trHeight w:val="415"/>
        </w:trPr>
        <w:tc>
          <w:tcPr>
            <w:tcW w:w="0" w:type="auto"/>
            <w:vMerge w:val="restart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Така както са определени в член 6</w:t>
            </w:r>
          </w:p>
        </w:tc>
        <w:tc>
          <w:tcPr>
            <w:tcW w:w="0" w:type="auto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before="0" w:after="0"/>
              <w:outlineLvl w:val="0"/>
              <w:rPr>
                <w:bCs/>
                <w:i/>
                <w:noProof/>
                <w:szCs w:val="24"/>
              </w:rPr>
            </w:pPr>
            <w:r>
              <w:rPr>
                <w:i/>
                <w:noProof/>
              </w:rPr>
              <w:t>Характеристики на земята</w:t>
            </w:r>
          </w:p>
          <w:p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Обработваема земя </w:t>
            </w:r>
          </w:p>
          <w:p>
            <w:pPr>
              <w:pStyle w:val="ListParagraph"/>
              <w:keepNext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hd w:val="clear" w:color="auto" w:fill="FFFFFF" w:themeFill="background1"/>
              </w:rPr>
              <w:t>Постоянно затревени площи, с изключение на диви пасища</w:t>
            </w:r>
          </w:p>
          <w:p>
            <w:pPr>
              <w:pStyle w:val="ListParagraph"/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Трайни насаждения </w:t>
            </w:r>
          </w:p>
        </w:tc>
        <w:tc>
          <w:tcPr>
            <w:tcW w:w="0" w:type="auto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7,5 % или повече от използваната земеделска площ в региона</w:t>
            </w:r>
          </w:p>
        </w:tc>
        <w:tc>
          <w:tcPr>
            <w:tcW w:w="0" w:type="auto"/>
            <w:vAlign w:val="center"/>
          </w:tcPr>
          <w:p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7,5 %</w:t>
            </w:r>
          </w:p>
        </w:tc>
      </w:tr>
      <w:tr>
        <w:trPr>
          <w:trHeight w:val="641"/>
        </w:trPr>
        <w:tc>
          <w:tcPr>
            <w:tcW w:w="0" w:type="auto"/>
            <w:vMerge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bCs/>
                <w:i/>
                <w:noProof/>
                <w:szCs w:val="24"/>
              </w:rPr>
            </w:pPr>
            <w:r>
              <w:rPr>
                <w:i/>
                <w:noProof/>
              </w:rPr>
              <w:t>Характеристика на селскостопанските животни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Общо животински единици 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5 % или повече от характерното за страната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7,5 %</w:t>
            </w:r>
          </w:p>
        </w:tc>
      </w:tr>
      <w:tr>
        <w:tc>
          <w:tcPr>
            <w:tcW w:w="0" w:type="auto"/>
            <w:gridSpan w:val="4"/>
            <w:shd w:val="clear" w:color="auto" w:fill="auto"/>
          </w:tcPr>
          <w:p>
            <w:pPr>
              <w:keepNext/>
              <w:tabs>
                <w:tab w:val="left" w:pos="3281"/>
              </w:tabs>
              <w:autoSpaceDE w:val="0"/>
              <w:autoSpaceDN w:val="0"/>
              <w:adjustRightInd w:val="0"/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Модул „Развитие на селските райони“ </w:t>
            </w:r>
            <w:r>
              <w:rPr>
                <w:noProof/>
              </w:rPr>
              <w:t>и</w:t>
            </w:r>
          </w:p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b/>
                <w:noProof/>
              </w:rPr>
              <w:t>Модул „Машини и оборудване“</w:t>
            </w:r>
          </w:p>
        </w:tc>
      </w:tr>
      <w:tr>
        <w:trPr>
          <w:trHeight w:val="641"/>
        </w:trPr>
        <w:tc>
          <w:tcPr>
            <w:tcW w:w="0" w:type="auto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Така както са определени в член 7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noProof/>
                <w:szCs w:val="24"/>
              </w:rPr>
            </w:pPr>
            <w:r>
              <w:rPr>
                <w:i/>
                <w:noProof/>
              </w:rPr>
              <w:t>Характеристики на земята</w:t>
            </w:r>
            <w:r>
              <w:rPr>
                <w:noProof/>
              </w:rPr>
              <w:t xml:space="preserve"> както за модул „Работна сила и други доходоносни дейности“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7,5 % или повече от използваната земеделска площ в региона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7,5 %</w:t>
            </w:r>
          </w:p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</w:p>
        </w:tc>
      </w:tr>
      <w:tr>
        <w:trPr>
          <w:trHeight w:val="641"/>
        </w:trPr>
        <w:tc>
          <w:tcPr>
            <w:tcW w:w="0" w:type="auto"/>
            <w:vMerge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noProof/>
                <w:szCs w:val="24"/>
              </w:rPr>
            </w:pPr>
            <w:r>
              <w:rPr>
                <w:i/>
                <w:noProof/>
              </w:rPr>
              <w:t>Характеристики на селскостопанските животни</w:t>
            </w:r>
            <w:r>
              <w:rPr>
                <w:noProof/>
              </w:rPr>
              <w:t xml:space="preserve"> както за модул „Работна сила и други доходоносни дейности“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7,5 % или повече от животинските единици в региона и 5 % или повече от характерното за страната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7,5 %</w:t>
            </w:r>
          </w:p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</w:p>
        </w:tc>
      </w:tr>
      <w:tr>
        <w:tc>
          <w:tcPr>
            <w:tcW w:w="0" w:type="auto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Модул „Селскостопански сгради за животни и управление на оборския тор“</w:t>
            </w:r>
          </w:p>
        </w:tc>
      </w:tr>
      <w:tr>
        <w:trPr>
          <w:trHeight w:val="641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bCs/>
                <w:noProof/>
                <w:szCs w:val="24"/>
              </w:rPr>
            </w:pPr>
            <w:r>
              <w:rPr>
                <w:noProof/>
              </w:rPr>
              <w:t xml:space="preserve">Подгрупата от популацията на земеделските стопанства, </w:t>
            </w:r>
            <w:r>
              <w:rPr>
                <w:noProof/>
              </w:rPr>
              <w:lastRenderedPageBreak/>
              <w:t>определена в член 7, с поне един от следните елементи: животни от рода на едрия рогат добитък, свине, овце, кози, домашни птици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bCs/>
                <w:i/>
                <w:noProof/>
                <w:szCs w:val="24"/>
              </w:rPr>
            </w:pPr>
            <w:r>
              <w:rPr>
                <w:i/>
                <w:noProof/>
              </w:rPr>
              <w:lastRenderedPageBreak/>
              <w:t xml:space="preserve">Характеристики на селскостопанските животни </w:t>
            </w:r>
            <w:r>
              <w:rPr>
                <w:noProof/>
              </w:rPr>
              <w:t xml:space="preserve">както за модул „Работна сила и други </w:t>
            </w:r>
            <w:r>
              <w:rPr>
                <w:noProof/>
              </w:rPr>
              <w:lastRenderedPageBreak/>
              <w:t>доходоносни дейности“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 xml:space="preserve">7,5 % или повече от животинските единици в региона и 5 % или повече </w:t>
            </w:r>
            <w:r>
              <w:rPr>
                <w:noProof/>
              </w:rPr>
              <w:lastRenderedPageBreak/>
              <w:t>от характерното за страната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7,5 %</w:t>
            </w:r>
          </w:p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</w:p>
        </w:tc>
      </w:tr>
      <w:tr>
        <w:tc>
          <w:tcPr>
            <w:tcW w:w="0" w:type="auto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lastRenderedPageBreak/>
              <w:t>Модул „Напояване“</w:t>
            </w:r>
          </w:p>
        </w:tc>
      </w:tr>
      <w:tr>
        <w:trPr>
          <w:trHeight w:val="641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Подгрупата от популацията на земеделските стопанства, определена в член 7, с поливна площ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bCs/>
                <w:i/>
                <w:noProof/>
                <w:szCs w:val="24"/>
              </w:rPr>
            </w:pPr>
            <w:r>
              <w:rPr>
                <w:i/>
                <w:noProof/>
              </w:rPr>
              <w:t>Характеристики на земята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Общо поливни площи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7,5 % или повече от използваната земеделска площ в региона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7,5 %</w:t>
            </w:r>
          </w:p>
        </w:tc>
      </w:tr>
      <w:tr>
        <w:tc>
          <w:tcPr>
            <w:tcW w:w="0" w:type="auto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Модул „Практики за управление на почвите“</w:t>
            </w:r>
          </w:p>
        </w:tc>
      </w:tr>
      <w:tr>
        <w:trPr>
          <w:trHeight w:val="641"/>
        </w:trPr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Подгрупата от популацията на земеделските стопанства, определена в член 7, с обработваема земя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bCs/>
                <w:noProof/>
                <w:szCs w:val="24"/>
              </w:rPr>
            </w:pPr>
            <w:r>
              <w:rPr>
                <w:i/>
                <w:noProof/>
              </w:rPr>
              <w:t>Характеристики на земята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Обработваема земя 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7,5 % или повече от използваната земеделска площ в региона</w:t>
            </w:r>
          </w:p>
        </w:tc>
        <w:tc>
          <w:tcPr>
            <w:tcW w:w="0" w:type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7,5 %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409"/>
        <w:gridCol w:w="1243"/>
      </w:tblGrid>
      <w:tr>
        <w:tc>
          <w:tcPr>
            <w:tcW w:w="9289" w:type="dxa"/>
            <w:gridSpan w:val="4"/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0" w:after="0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lastRenderedPageBreak/>
              <w:t>Модул „Овощни градини“</w:t>
            </w:r>
          </w:p>
        </w:tc>
      </w:tr>
      <w:tr>
        <w:trPr>
          <w:trHeight w:val="1676"/>
        </w:trPr>
        <w:tc>
          <w:tcPr>
            <w:tcW w:w="2802" w:type="dxa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Подгрупата от популацията на земеделските стопанства, определена в член 7, притежаваща характеристиките на отделните овощни градини, спазващи прага, посочен в член 7, параграф 5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bCs/>
                <w:i/>
                <w:noProof/>
                <w:szCs w:val="24"/>
              </w:rPr>
            </w:pPr>
            <w:r>
              <w:rPr>
                <w:i/>
                <w:noProof/>
              </w:rPr>
              <w:t>Характеристики на овощните градини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rFonts w:ascii="Times New Roman" w:eastAsia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Характеристиките на овощните градини с ябълки, круши, кайсии, праскови, нектарини, портокали, дребни цитрусови плодове, лимони, маслини, десертно грозде, грозде за стафиди, които спазват прага, посочен в член 7, параграф 5</w:t>
            </w: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5 % или повече от използваната земеделска площ в региона</w:t>
            </w:r>
          </w:p>
        </w:tc>
        <w:tc>
          <w:tcPr>
            <w:tcW w:w="1243" w:type="dxa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7,5 %</w:t>
            </w:r>
          </w:p>
        </w:tc>
      </w:tr>
      <w:tr>
        <w:trPr>
          <w:trHeight w:val="344"/>
        </w:trPr>
        <w:tc>
          <w:tcPr>
            <w:tcW w:w="9289" w:type="dxa"/>
            <w:gridSpan w:val="4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Модул „Лозя“</w:t>
            </w:r>
          </w:p>
        </w:tc>
      </w:tr>
      <w:tr>
        <w:trPr>
          <w:trHeight w:val="641"/>
        </w:trPr>
        <w:tc>
          <w:tcPr>
            <w:tcW w:w="2802" w:type="dxa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Подгрупата от популацията на земеделските стопанства, определена в член 7, с грозде за вина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outlineLvl w:val="0"/>
              <w:rPr>
                <w:bCs/>
                <w:i/>
                <w:noProof/>
                <w:szCs w:val="24"/>
              </w:rPr>
            </w:pPr>
            <w:r>
              <w:rPr>
                <w:i/>
                <w:noProof/>
              </w:rPr>
              <w:t>Характеристики на лозята</w:t>
            </w:r>
          </w:p>
          <w:p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rPr>
                <w:bCs/>
                <w:i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Грозде за вино</w:t>
            </w:r>
            <w:r>
              <w:rPr>
                <w:noProof/>
              </w:rPr>
              <w:t xml:space="preserve"> </w:t>
            </w:r>
          </w:p>
        </w:tc>
        <w:tc>
          <w:tcPr>
            <w:tcW w:w="2409" w:type="dxa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rPr>
                <w:noProof/>
                <w:szCs w:val="24"/>
              </w:rPr>
            </w:pPr>
            <w:r>
              <w:rPr>
                <w:noProof/>
              </w:rPr>
              <w:t>5 % или повече от използваната земеделска площ в региона</w:t>
            </w:r>
          </w:p>
        </w:tc>
        <w:tc>
          <w:tcPr>
            <w:tcW w:w="1243" w:type="dxa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&lt; 7,5 %</w:t>
            </w:r>
          </w:p>
        </w:tc>
      </w:tr>
    </w:tbl>
    <w:p>
      <w:pPr>
        <w:autoSpaceDE w:val="0"/>
        <w:autoSpaceDN w:val="0"/>
        <w:adjustRightInd w:val="0"/>
        <w:spacing w:after="0"/>
        <w:rPr>
          <w:noProof/>
          <w:sz w:val="18"/>
          <w:szCs w:val="18"/>
        </w:rPr>
      </w:pPr>
    </w:p>
    <w:p>
      <w:pPr>
        <w:autoSpaceDE w:val="0"/>
        <w:autoSpaceDN w:val="0"/>
        <w:adjustRightInd w:val="0"/>
        <w:spacing w:after="0"/>
        <w:rPr>
          <w:noProof/>
          <w:sz w:val="18"/>
          <w:szCs w:val="18"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Праговете са приложими спрямо групата от изброени позиции.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L — райони, различни от планинските райони, със съществени природни ограничения; M — по-слабо облагодетелстван планински район; O — други райони със специфични ограничения; N — нормален район (непопадащ в категорията на по-слабо облагодетелстваните райони) Тази класификация може да бъде адаптирана в бъдеще с оглед развитията в ОСП.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Годишни работни единици (ГРЕ) процентова група 2: (&gt; 0-&lt; 25), (≥ 25-&lt; 50), (≥ 50-&lt; 75), (≥ 75-&lt; 100), (100)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Процентни групи: (≥ 0-≤ 10), (&gt; 10-≤ 50), (&gt; 50-&lt; 100)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1217/2009 на Съвета от 30 ноември 2009 г. относно създаване на система за събиране на счетоводна информация за доходите и икономическата дейност на земеделските стопанства в Европейската общност (ОВ L 328, 15.12.2009 г., стр. 27).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2015/220 на Комисията от 3 февруари 2015 г. за определяне на правила за прилагането на Регламент (ЕО) № 1217/2009 на Съвета относно създаване на система за събиране на счетоводна информация за доходите и икономическата дейност на земеделските стопанства в Европейския съюз (OJ L 46, 19.2.2015 г., стр.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0AE0F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B0AD1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E1648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BF8CE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D4E77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308D7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08E14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C140E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17379A"/>
    <w:multiLevelType w:val="hybridMultilevel"/>
    <w:tmpl w:val="FA343D20"/>
    <w:lvl w:ilvl="0" w:tplc="4B36E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96062"/>
    <w:multiLevelType w:val="hybridMultilevel"/>
    <w:tmpl w:val="D3EC9166"/>
    <w:lvl w:ilvl="0" w:tplc="E0580F74">
      <w:start w:val="1"/>
      <w:numFmt w:val="bullet"/>
      <w:lvlText w:val=""/>
      <w:lvlJc w:val="left"/>
      <w:pPr>
        <w:ind w:left="5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8"/>
  </w:num>
  <w:num w:numId="11">
    <w:abstractNumId w:val="14"/>
    <w:lvlOverride w:ilvl="0">
      <w:startOverride w:val="1"/>
    </w:lvlOverride>
  </w:num>
  <w:num w:numId="12">
    <w:abstractNumId w:val="20"/>
  </w:num>
  <w:num w:numId="13">
    <w:abstractNumId w:val="12"/>
  </w:num>
  <w:num w:numId="14">
    <w:abstractNumId w:val="22"/>
  </w:num>
  <w:num w:numId="15">
    <w:abstractNumId w:val="11"/>
  </w:num>
  <w:num w:numId="16">
    <w:abstractNumId w:val="13"/>
  </w:num>
  <w:num w:numId="17">
    <w:abstractNumId w:val="9"/>
  </w:num>
  <w:num w:numId="18">
    <w:abstractNumId w:val="21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2-02 10:49:0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.CP" w:val="\u1082?\u1098?\u1084? \u1087?\u1088?\u1077?\u1076?\u1083?\u1086?\u1078?\u1077?\u1085?\u1080?\u1077? \u1079?\u1072?"/>
    <w:docVar w:name="LW_ANNEX_NBR_FIRST" w:val="1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58DF5D319FE549BCB0BC6EC7228F46BF"/>
    <w:docVar w:name="LW_CROSSREFERENCE" w:val="{SWD(2016) 429 final}_x000b_{SWD(2016) 430 final}"/>
    <w:docVar w:name="LW_DocType" w:val="ANNEX"/>
    <w:docVar w:name="LW_EMISSION" w:val="9.12.2016"/>
    <w:docVar w:name="LW_EMISSION_ISODATE" w:val="2016-12-09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85?\u1090?\u1077?\u1075?\u1088?\u1080?\u1088?\u1072?\u1085?\u1072?\u1090?\u1072? \u1089?\u1090?\u1072?\u1090?\u1080?\u1089?\u1090?\u1080?\u1082?\u1072? \u1079?\u1072? \u1079?\u1077?\u1084?\u1077?\u1076?\u1077?\u1083?\u1089?\u1082?\u1080?\u1090?\u1077? \u1089?\u1090?\u1086?\u1087?\u1072?\u1085?\u1089?\u1090?\u1074?\u1072? \u1080? \u1079?\u1072? \u1086?\u1090?\u1084?\u1103?\u1085?\u1072? \u1085?\u1072? \u1088?\u1077?\u1075?\u1083?\u1072?\u1084?\u1077?\u1085?\u1090?\u1080? (\u1045?\u1054?) \u8470? 1166/2008 \u1080? (\u1045?\u1057?) \u8470? 1337/2011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78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lang w:val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eastAsia="Calibri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lang w:val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eastAsia="Calibri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9633-ECA9-4C23-B776-12ECE251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21</Pages>
  <Words>3387</Words>
  <Characters>18596</Characters>
  <Application>Microsoft Office Word</Application>
  <DocSecurity>0</DocSecurity>
  <Lines>1690</Lines>
  <Paragraphs>1099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ABONYI Gabriella (ESTAT)</dc:creator>
  <cp:lastModifiedBy>DIGIT/A3</cp:lastModifiedBy>
  <cp:revision>9</cp:revision>
  <cp:lastPrinted>2016-09-12T10:34:00Z</cp:lastPrinted>
  <dcterms:created xsi:type="dcterms:W3CDTF">2016-11-24T16:16:00Z</dcterms:created>
  <dcterms:modified xsi:type="dcterms:W3CDTF">2016-12-02T09:49:00Z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5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