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F6" w:rsidRDefault="00174BC2" w:rsidP="00174BC2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9BA16767FE204CC4A2FFB8BDABB7E0E3" style="width:450.75pt;height:377.25pt">
            <v:imagedata r:id="rId9" o:title=""/>
          </v:shape>
        </w:pict>
      </w:r>
    </w:p>
    <w:bookmarkEnd w:id="0"/>
    <w:p w:rsidR="00B335F6" w:rsidRDefault="00B335F6">
      <w:pPr>
        <w:rPr>
          <w:noProof/>
        </w:rPr>
        <w:sectPr w:rsidR="00B335F6" w:rsidSect="00174B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10188"/>
      </w:tblGrid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B335F6" w:rsidRDefault="00912C6E">
            <w:pPr>
              <w:spacing w:before="60" w:after="60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Tahoma" w:hAnsi="Tahoma"/>
                <w:b/>
                <w:noProof/>
                <w:sz w:val="22"/>
              </w:rPr>
              <w:lastRenderedPageBreak/>
              <w:t>Обобщена оценка на въздействието</w:t>
            </w:r>
          </w:p>
        </w:tc>
      </w:tr>
      <w:tr w:rsidR="00B335F6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B335F6" w:rsidRDefault="00912C6E">
            <w:pPr>
              <w:spacing w:before="60" w:after="60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noProof/>
                <w:color w:val="FFFFFF" w:themeColor="background1"/>
              </w:rPr>
              <w:t>Оценка на въздействието относно стратегия за селскостопанска статистика до 2020 г. и след това и последващи потенциални законодателни сценарии</w:t>
            </w:r>
          </w:p>
        </w:tc>
      </w:tr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B335F6" w:rsidRDefault="00912C6E">
            <w:pPr>
              <w:spacing w:before="60" w:after="60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A. Потребност от действия</w:t>
            </w:r>
          </w:p>
        </w:tc>
      </w:tr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E0E0E0"/>
          </w:tcPr>
          <w:p w:rsidR="00B335F6" w:rsidRDefault="00912C6E">
            <w:pPr>
              <w:spacing w:before="60" w:after="60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b/>
                <w:noProof/>
              </w:rPr>
              <w:t xml:space="preserve">Защо? Какъв е разглежданият проблем? </w:t>
            </w:r>
          </w:p>
        </w:tc>
      </w:tr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B335F6" w:rsidRDefault="00912C6E">
            <w:pPr>
              <w:spacing w:before="60" w:after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 xml:space="preserve">Световното селско стопанство се променя под въздействието на глобализацията, климатичните и социалните промени. Вследствие на това се променят и общата селскостопанска политика (ОСП) и други сродни политики на ЕС. Това създава </w:t>
            </w:r>
            <w:r>
              <w:rPr>
                <w:rFonts w:ascii="Arial" w:hAnsi="Arial"/>
                <w:b/>
                <w:noProof/>
              </w:rPr>
              <w:t>нови потребности от данни</w:t>
            </w:r>
            <w:r>
              <w:rPr>
                <w:rFonts w:ascii="Arial" w:hAnsi="Arial"/>
                <w:noProof/>
              </w:rPr>
              <w:t xml:space="preserve"> за статистиката в областта на селското стопанство, които понастоящем не са удовлетворени поради негъвкавото законодателство и </w:t>
            </w:r>
            <w:r>
              <w:rPr>
                <w:rFonts w:ascii="Arial" w:hAnsi="Arial"/>
                <w:b/>
                <w:noProof/>
              </w:rPr>
              <w:t>липсата на последователност</w:t>
            </w:r>
            <w:r>
              <w:rPr>
                <w:rFonts w:ascii="Arial" w:hAnsi="Arial"/>
                <w:noProof/>
              </w:rPr>
              <w:t xml:space="preserve"> при събирането на различни видове данни. Освен това официалната статистика също се променя вследствие на технологичния напредък и новите източници на данни, на фона на продължаващо орязване на необходимите ресурси. Това оказва натиск върху законодателството относно статистиката в областта на селското стопанство, което трябва да се приспособи, за да се постигне по-голяма ефективност на разходите и </w:t>
            </w:r>
            <w:r>
              <w:rPr>
                <w:rFonts w:ascii="Arial" w:hAnsi="Arial"/>
                <w:b/>
                <w:noProof/>
              </w:rPr>
              <w:t>да се намали тежестта, свързана със събирането на данни</w:t>
            </w:r>
            <w:r>
              <w:rPr>
                <w:rFonts w:ascii="Arial" w:hAnsi="Arial"/>
                <w:noProof/>
              </w:rPr>
              <w:t>.</w:t>
            </w:r>
          </w:p>
          <w:p w:rsidR="00B335F6" w:rsidRDefault="00912C6E">
            <w:pPr>
              <w:spacing w:before="60" w:after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Ако не се намери решение на тези проблеми, доказателствената основа на ОСП и на други политики на ЕС би била застрашена, което би ограничило способността на ЕС да действа в области от ключово значение за всички негови граждани. Заинтересованите страни, които са най-пряко засегнати от тази инициатива, са занимаващите се със съответните политики генерални дирекции на Комисията, като „Земеделие и развитие на селските райони“, „Околна среда“, „Действия по климата“ и „Здравеопазване и безопасност на храните“, както и националните статистически институти (НСИ) в държавите — членки на ЕС.</w:t>
            </w:r>
          </w:p>
        </w:tc>
      </w:tr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B335F6" w:rsidRDefault="00912C6E">
            <w:pPr>
              <w:spacing w:before="60" w:after="60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b/>
                <w:noProof/>
              </w:rPr>
              <w:t xml:space="preserve">Какво се очаква да бъде постигнато с настоящата инициатива? </w:t>
            </w:r>
          </w:p>
        </w:tc>
      </w:tr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B335F6" w:rsidRDefault="00912C6E">
            <w:pPr>
              <w:spacing w:before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Инициативата има за цел да бъде обновено законодателството, така че то да удовлетворява гъвкаво новите потребности от данни, да направи статистиката в областта на селското стопанство по-хармонизирана и последователна и да реши въпроса с тежестта, свързана с предоставянето на данни, като:</w:t>
            </w:r>
          </w:p>
          <w:p w:rsidR="00B335F6" w:rsidRDefault="00912C6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предоставя висококачествена статистика, която отговаря на нуждите на потребителите по ефикасен и ефективен начин;</w:t>
            </w:r>
          </w:p>
          <w:p w:rsidR="00B335F6" w:rsidRDefault="00912C6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повишава гъвкавостта и бързината на реакцията на селскостопанската статистическа система;</w:t>
            </w:r>
          </w:p>
          <w:p w:rsidR="00B335F6" w:rsidRDefault="00912C6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подобрява интеграцията между статистиката в областта на селското стопанство, горското стопанство, земеползването и околната среда;</w:t>
            </w:r>
          </w:p>
          <w:p w:rsidR="00B335F6" w:rsidRDefault="00912C6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развива реагираща на потребностите и отговорна структура на управление на статистиката в областта на селското стопанство;</w:t>
            </w:r>
          </w:p>
          <w:p w:rsidR="00B335F6" w:rsidRDefault="00912C6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подобрява хармонизацията и последователността на европейската статистика в областта на селското стопанство; и</w:t>
            </w:r>
          </w:p>
          <w:p w:rsidR="00B335F6" w:rsidRDefault="00912C6E">
            <w:pPr>
              <w:pStyle w:val="ListParagraph"/>
              <w:numPr>
                <w:ilvl w:val="0"/>
                <w:numId w:val="27"/>
              </w:numPr>
              <w:jc w:val="both"/>
              <w:rPr>
                <w:noProof/>
              </w:rPr>
            </w:pPr>
            <w:r>
              <w:rPr>
                <w:rFonts w:ascii="Arial" w:hAnsi="Arial"/>
                <w:noProof/>
              </w:rPr>
              <w:t>произвежда повече статистическа информация, като същевременно намалява тежестта върху онези, които я предоставят, посредством проучване на алтернативни източници на данни и техники за повишаване на ефективността.</w:t>
            </w:r>
          </w:p>
        </w:tc>
      </w:tr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B335F6" w:rsidRDefault="00912C6E">
            <w:pPr>
              <w:spacing w:before="60" w:after="60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b/>
                <w:noProof/>
              </w:rPr>
              <w:t>Каква е добавената стойност от действията на равнището на ЕС?</w:t>
            </w:r>
            <w:r>
              <w:rPr>
                <w:rFonts w:ascii="Tahoma" w:hAnsi="Tahoma"/>
                <w:noProof/>
              </w:rPr>
              <w:t xml:space="preserve"> </w:t>
            </w:r>
          </w:p>
        </w:tc>
      </w:tr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B335F6" w:rsidRDefault="00912C6E">
            <w:pPr>
              <w:spacing w:before="60" w:after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 xml:space="preserve">Хармонизираните политики на ЕС, като ОСП, която съставлява почти 40 % от бюджета на ЕС, имат нужда </w:t>
            </w:r>
            <w:r>
              <w:rPr>
                <w:rFonts w:ascii="Arial" w:hAnsi="Arial"/>
                <w:i/>
                <w:noProof/>
              </w:rPr>
              <w:t>ipso facto</w:t>
            </w:r>
            <w:r>
              <w:rPr>
                <w:rFonts w:ascii="Arial" w:hAnsi="Arial"/>
                <w:noProof/>
              </w:rPr>
              <w:t xml:space="preserve"> от висококачествени данни, които са сравними между държавите членки, за да може намесите на политиката да бъдат насочени по-ефикасно, ефективно и справедливо. Това може да бъде гарантирано единствено посредством общо и координирано действие в рамките на Европейската статистическа система (ЕСС).</w:t>
            </w:r>
          </w:p>
        </w:tc>
      </w:tr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35F6" w:rsidRDefault="00912C6E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Tahoma" w:hAnsi="Tahoma"/>
                <w:b/>
                <w:noProof/>
                <w:sz w:val="22"/>
              </w:rPr>
              <w:t>Б. Решения</w:t>
            </w:r>
          </w:p>
        </w:tc>
      </w:tr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335F6" w:rsidRDefault="00912C6E">
            <w:pPr>
              <w:spacing w:before="60" w:after="60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>Какви законодателни и незаконодателни варианти на политика са разгледани? Има ли предпочитан избор? Защо?</w:t>
            </w:r>
          </w:p>
        </w:tc>
      </w:tr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B335F6" w:rsidRDefault="00912C6E">
            <w:pPr>
              <w:spacing w:before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Разгледани са четири основни варианта:</w:t>
            </w:r>
          </w:p>
          <w:p w:rsidR="00B335F6" w:rsidRDefault="00912C6E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 xml:space="preserve">Базов вариант — непредприемане на действие от страна на ЕС относно структурните данни за селското стопанство: този вариант предвижда събирането на данните да остане в тежест на държавите членки, което ще доведе до прилагането на най-различни подходи и нееднородно качество. </w:t>
            </w:r>
          </w:p>
          <w:p w:rsidR="00B335F6" w:rsidRDefault="00912C6E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lastRenderedPageBreak/>
              <w:t>Удължаване на срока на действие на Регламент (ЕО) № 1166/2008 относно изследванията на структурата на земеделските стопанства: този вариант предвижда да се запази съществуващото положение.</w:t>
            </w:r>
          </w:p>
          <w:p w:rsidR="00B335F6" w:rsidRDefault="00912C6E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Единна правна уредба за цялата статистика в областта на селското стопанство: този вариант предвижда събирането на всички статистически данни в областта на селското стопанство да се обедини в един нов рамков регламент.</w:t>
            </w:r>
          </w:p>
          <w:p w:rsidR="00B335F6" w:rsidRDefault="00912C6E">
            <w:pPr>
              <w:pStyle w:val="ListParagraph"/>
              <w:numPr>
                <w:ilvl w:val="0"/>
                <w:numId w:val="28"/>
              </w:numPr>
              <w:ind w:left="357" w:hanging="357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Обединяване на статистиката в областта на селското стопанство на два етапа: този вариант предвижда да се запазят предимствата на вариант 3, като същевременно се увеличи гъвкавостта и се намали времевият натиск посредством поетапно създаване на два нови рамкови регламента.</w:t>
            </w:r>
          </w:p>
          <w:p w:rsidR="00B335F6" w:rsidRDefault="00912C6E">
            <w:pPr>
              <w:spacing w:after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Предпочитаният вариант е четвъртият, тъй като предоставя най-добра възможност за постигане на целите.</w:t>
            </w:r>
          </w:p>
        </w:tc>
      </w:tr>
    </w:tbl>
    <w:p w:rsidR="00B335F6" w:rsidRDefault="00912C6E">
      <w:pPr>
        <w:rPr>
          <w:noProof/>
        </w:rPr>
      </w:pPr>
      <w:r>
        <w:rPr>
          <w:noProof/>
        </w:rPr>
        <w:lastRenderedPageBreak/>
        <w:br w:type="page"/>
      </w: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10188"/>
      </w:tblGrid>
      <w:tr w:rsidR="00B335F6">
        <w:tc>
          <w:tcPr>
            <w:tcW w:w="10188" w:type="dxa"/>
            <w:shd w:val="clear" w:color="auto" w:fill="CCCCCC"/>
          </w:tcPr>
          <w:p w:rsidR="00B335F6" w:rsidRDefault="00912C6E">
            <w:pPr>
              <w:spacing w:before="60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b/>
                <w:noProof/>
              </w:rPr>
              <w:lastRenderedPageBreak/>
              <w:t xml:space="preserve">Кой какъв вариант подкрепя? </w:t>
            </w:r>
          </w:p>
        </w:tc>
      </w:tr>
      <w:tr w:rsidR="00B335F6">
        <w:tc>
          <w:tcPr>
            <w:tcW w:w="10188" w:type="dxa"/>
            <w:shd w:val="clear" w:color="auto" w:fill="auto"/>
          </w:tcPr>
          <w:p w:rsidR="00B335F6" w:rsidRDefault="00912C6E">
            <w:pPr>
              <w:spacing w:before="60" w:after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След обширни консултации голямото мнозинство от заинтересованите в областта на селскостопанската статистика страни в ЕС подкрепя вариант 4. В идеалния случай повечето заинтересовани страни биха подкрепили вариант 3, но се счита за неизпълнимо той да бъде постигнат до 2020 г. Малък брой заинтересовани страни предпочитат вариант 2 поради по-ниските първоначални разходи, свързани с него.</w:t>
            </w:r>
          </w:p>
        </w:tc>
      </w:tr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 w:rsidR="00B335F6" w:rsidRDefault="00912C6E">
            <w:pPr>
              <w:spacing w:before="60" w:after="60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В. Въздействия на предпочитания вариант</w:t>
            </w:r>
          </w:p>
        </w:tc>
      </w:tr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B335F6" w:rsidRDefault="00912C6E">
            <w:pPr>
              <w:spacing w:before="60" w:after="60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b/>
                <w:noProof/>
              </w:rPr>
              <w:t>Какви са ползите</w:t>
            </w:r>
            <w:r>
              <w:rPr>
                <w:rFonts w:ascii="Tahoma" w:hAnsi="Tahoma"/>
                <w:noProof/>
              </w:rPr>
              <w:t xml:space="preserve"> </w:t>
            </w:r>
            <w:r>
              <w:rPr>
                <w:rFonts w:ascii="Tahoma" w:hAnsi="Tahoma"/>
                <w:b/>
                <w:noProof/>
              </w:rPr>
              <w:t>от предпочитания вариант (ако има такъв, в противен случай — от основните варианти)?</w:t>
            </w:r>
            <w:r>
              <w:rPr>
                <w:rFonts w:ascii="Tahoma" w:hAnsi="Tahoma"/>
                <w:noProof/>
              </w:rPr>
              <w:t xml:space="preserve"> </w:t>
            </w:r>
          </w:p>
        </w:tc>
      </w:tr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B335F6" w:rsidRDefault="00912C6E">
            <w:pPr>
              <w:spacing w:before="60" w:after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Законодателството в областта на статистиката е най-вече административно по своя характер, засягащо потребителите на данни (основно отговарящите за съответните политики генерални дирекции на Комисията), субектите, които изготвят данните (НСИ), и източниците на данни (земеделските стопани), поради което преките икономически, социални и екологични последици от него са ограничени. По отношение на други свързани въздействия: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1320"/>
              <w:gridCol w:w="1200"/>
              <w:gridCol w:w="1080"/>
              <w:gridCol w:w="1080"/>
              <w:gridCol w:w="1080"/>
              <w:gridCol w:w="1560"/>
              <w:gridCol w:w="1080"/>
            </w:tblGrid>
            <w:tr w:rsidR="00B335F6">
              <w:tc>
                <w:tcPr>
                  <w:tcW w:w="1075" w:type="dxa"/>
                </w:tcPr>
                <w:p w:rsidR="00B335F6" w:rsidRDefault="00912C6E">
                  <w:pPr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/>
                      <w:b/>
                      <w:noProof/>
                    </w:rPr>
                    <w:t>Вариант</w:t>
                  </w:r>
                </w:p>
              </w:tc>
              <w:tc>
                <w:tcPr>
                  <w:tcW w:w="1320" w:type="dxa"/>
                </w:tcPr>
                <w:p w:rsidR="00B335F6" w:rsidRDefault="00912C6E">
                  <w:pPr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/>
                      <w:b/>
                      <w:noProof/>
                    </w:rPr>
                    <w:t>Цели</w:t>
                  </w:r>
                </w:p>
              </w:tc>
              <w:tc>
                <w:tcPr>
                  <w:tcW w:w="1200" w:type="dxa"/>
                </w:tcPr>
                <w:p w:rsidR="00B335F6" w:rsidRDefault="00912C6E">
                  <w:pPr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/>
                      <w:b/>
                      <w:noProof/>
                    </w:rPr>
                    <w:t>Разходи/</w:t>
                  </w:r>
                  <w:r>
                    <w:rPr>
                      <w:rFonts w:ascii="Arial" w:hAnsi="Arial" w:cs="Arial"/>
                      <w:b/>
                      <w:noProof/>
                    </w:rPr>
                    <w:br/>
                  </w:r>
                  <w:r>
                    <w:rPr>
                      <w:rFonts w:ascii="Arial" w:hAnsi="Arial"/>
                      <w:b/>
                      <w:noProof/>
                    </w:rPr>
                    <w:t>Ефективност</w:t>
                  </w:r>
                </w:p>
              </w:tc>
              <w:tc>
                <w:tcPr>
                  <w:tcW w:w="1080" w:type="dxa"/>
                </w:tcPr>
                <w:p w:rsidR="00B335F6" w:rsidRDefault="00912C6E">
                  <w:pPr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/>
                      <w:b/>
                      <w:noProof/>
                    </w:rPr>
                    <w:t>Цели на ЕС</w:t>
                  </w:r>
                </w:p>
              </w:tc>
              <w:tc>
                <w:tcPr>
                  <w:tcW w:w="1080" w:type="dxa"/>
                </w:tcPr>
                <w:p w:rsidR="00B335F6" w:rsidRDefault="00912C6E">
                  <w:pPr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/>
                      <w:b/>
                      <w:noProof/>
                    </w:rPr>
                    <w:t>Рискове</w:t>
                  </w:r>
                </w:p>
              </w:tc>
              <w:tc>
                <w:tcPr>
                  <w:tcW w:w="1080" w:type="dxa"/>
                </w:tcPr>
                <w:p w:rsidR="00B335F6" w:rsidRDefault="00912C6E">
                  <w:pPr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/>
                      <w:b/>
                      <w:noProof/>
                    </w:rPr>
                    <w:t>Косвени въздействия</w:t>
                  </w:r>
                </w:p>
              </w:tc>
              <w:tc>
                <w:tcPr>
                  <w:tcW w:w="1560" w:type="dxa"/>
                </w:tcPr>
                <w:p w:rsidR="00B335F6" w:rsidRDefault="00912C6E">
                  <w:pPr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/>
                      <w:b/>
                      <w:noProof/>
                    </w:rPr>
                    <w:t>Заинтересовани страни</w:t>
                  </w:r>
                </w:p>
              </w:tc>
              <w:tc>
                <w:tcPr>
                  <w:tcW w:w="1080" w:type="dxa"/>
                </w:tcPr>
                <w:p w:rsidR="00B335F6" w:rsidRDefault="00912C6E">
                  <w:pPr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/>
                      <w:b/>
                      <w:noProof/>
                    </w:rPr>
                    <w:t>Общо</w:t>
                  </w:r>
                </w:p>
              </w:tc>
            </w:tr>
            <w:tr w:rsidR="00B335F6">
              <w:tc>
                <w:tcPr>
                  <w:tcW w:w="1075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Вариант 1</w:t>
                  </w:r>
                </w:p>
              </w:tc>
              <w:tc>
                <w:tcPr>
                  <w:tcW w:w="1320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Силно отриц.</w:t>
                  </w:r>
                </w:p>
              </w:tc>
              <w:tc>
                <w:tcPr>
                  <w:tcW w:w="1200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Отрицателно</w:t>
                  </w:r>
                </w:p>
              </w:tc>
              <w:tc>
                <w:tcPr>
                  <w:tcW w:w="1080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Силно отриц.</w:t>
                  </w:r>
                </w:p>
              </w:tc>
              <w:tc>
                <w:tcPr>
                  <w:tcW w:w="1080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Силно отриц.</w:t>
                  </w:r>
                </w:p>
              </w:tc>
              <w:tc>
                <w:tcPr>
                  <w:tcW w:w="1080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Силно отриц.</w:t>
                  </w:r>
                </w:p>
              </w:tc>
              <w:tc>
                <w:tcPr>
                  <w:tcW w:w="1560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Отрицателно</w:t>
                  </w:r>
                </w:p>
              </w:tc>
              <w:tc>
                <w:tcPr>
                  <w:tcW w:w="1080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Силно отриц.</w:t>
                  </w:r>
                </w:p>
              </w:tc>
            </w:tr>
            <w:tr w:rsidR="00B335F6">
              <w:tc>
                <w:tcPr>
                  <w:tcW w:w="1075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Вариант 2</w:t>
                  </w:r>
                </w:p>
              </w:tc>
              <w:tc>
                <w:tcPr>
                  <w:tcW w:w="1320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Отрицателно</w:t>
                  </w:r>
                </w:p>
              </w:tc>
              <w:tc>
                <w:tcPr>
                  <w:tcW w:w="1200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Отрицателно</w:t>
                  </w:r>
                </w:p>
              </w:tc>
              <w:tc>
                <w:tcPr>
                  <w:tcW w:w="1080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Отрицателно</w:t>
                  </w:r>
                </w:p>
              </w:tc>
              <w:tc>
                <w:tcPr>
                  <w:tcW w:w="1080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Неутрално</w:t>
                  </w:r>
                </w:p>
              </w:tc>
              <w:tc>
                <w:tcPr>
                  <w:tcW w:w="1080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Отрицателно</w:t>
                  </w:r>
                </w:p>
              </w:tc>
              <w:tc>
                <w:tcPr>
                  <w:tcW w:w="1560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Отрицателно</w:t>
                  </w:r>
                </w:p>
              </w:tc>
              <w:tc>
                <w:tcPr>
                  <w:tcW w:w="1080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Отрицателно</w:t>
                  </w:r>
                </w:p>
              </w:tc>
            </w:tr>
            <w:tr w:rsidR="00B335F6">
              <w:tc>
                <w:tcPr>
                  <w:tcW w:w="1075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Вариант 3</w:t>
                  </w:r>
                </w:p>
              </w:tc>
              <w:tc>
                <w:tcPr>
                  <w:tcW w:w="1320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Положително</w:t>
                  </w:r>
                </w:p>
              </w:tc>
              <w:tc>
                <w:tcPr>
                  <w:tcW w:w="1200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Положително</w:t>
                  </w:r>
                </w:p>
              </w:tc>
              <w:tc>
                <w:tcPr>
                  <w:tcW w:w="1080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Силно полож.</w:t>
                  </w:r>
                </w:p>
              </w:tc>
              <w:tc>
                <w:tcPr>
                  <w:tcW w:w="1080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Отрицателно</w:t>
                  </w:r>
                </w:p>
              </w:tc>
              <w:tc>
                <w:tcPr>
                  <w:tcW w:w="1080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Положително</w:t>
                  </w:r>
                </w:p>
              </w:tc>
              <w:tc>
                <w:tcPr>
                  <w:tcW w:w="1560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Положително</w:t>
                  </w:r>
                </w:p>
              </w:tc>
              <w:tc>
                <w:tcPr>
                  <w:tcW w:w="1080" w:type="dxa"/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Положително</w:t>
                  </w:r>
                </w:p>
              </w:tc>
            </w:tr>
            <w:tr w:rsidR="00B335F6">
              <w:tc>
                <w:tcPr>
                  <w:tcW w:w="1075" w:type="dxa"/>
                  <w:tcBorders>
                    <w:bottom w:val="single" w:sz="4" w:space="0" w:color="auto"/>
                  </w:tcBorders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Вариант 4</w:t>
                  </w: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Положително</w:t>
                  </w:r>
                </w:p>
              </w:tc>
              <w:tc>
                <w:tcPr>
                  <w:tcW w:w="1200" w:type="dxa"/>
                  <w:tcBorders>
                    <w:bottom w:val="single" w:sz="4" w:space="0" w:color="auto"/>
                  </w:tcBorders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Положително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Силно полож.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Положително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Положително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Положително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B335F6" w:rsidRDefault="00912C6E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/>
                      <w:noProof/>
                    </w:rPr>
                    <w:t>Положително</w:t>
                  </w:r>
                </w:p>
              </w:tc>
            </w:tr>
            <w:tr w:rsidR="00B335F6">
              <w:tc>
                <w:tcPr>
                  <w:tcW w:w="1075" w:type="dxa"/>
                  <w:tcBorders>
                    <w:left w:val="nil"/>
                    <w:bottom w:val="nil"/>
                    <w:right w:val="nil"/>
                  </w:tcBorders>
                </w:tcPr>
                <w:p w:rsidR="00B335F6" w:rsidRDefault="00B335F6">
                  <w:pPr>
                    <w:rPr>
                      <w:rFonts w:ascii="Arial" w:hAnsi="Arial" w:cs="Arial"/>
                      <w:noProof/>
                      <w:sz w:val="6"/>
                      <w:szCs w:val="6"/>
                    </w:rPr>
                  </w:pPr>
                </w:p>
              </w:tc>
              <w:tc>
                <w:tcPr>
                  <w:tcW w:w="1320" w:type="dxa"/>
                  <w:tcBorders>
                    <w:left w:val="nil"/>
                    <w:bottom w:val="nil"/>
                    <w:right w:val="nil"/>
                  </w:tcBorders>
                </w:tcPr>
                <w:p w:rsidR="00B335F6" w:rsidRDefault="00B335F6">
                  <w:pPr>
                    <w:rPr>
                      <w:rFonts w:ascii="Arial" w:hAnsi="Arial" w:cs="Arial"/>
                      <w:noProof/>
                      <w:sz w:val="6"/>
                      <w:szCs w:val="6"/>
                    </w:rPr>
                  </w:pPr>
                </w:p>
              </w:tc>
              <w:tc>
                <w:tcPr>
                  <w:tcW w:w="1200" w:type="dxa"/>
                  <w:tcBorders>
                    <w:left w:val="nil"/>
                    <w:bottom w:val="nil"/>
                    <w:right w:val="nil"/>
                  </w:tcBorders>
                </w:tcPr>
                <w:p w:rsidR="00B335F6" w:rsidRDefault="00B335F6">
                  <w:pPr>
                    <w:rPr>
                      <w:rFonts w:ascii="Arial" w:hAnsi="Arial" w:cs="Arial"/>
                      <w:noProof/>
                      <w:sz w:val="6"/>
                      <w:szCs w:val="6"/>
                    </w:rPr>
                  </w:pPr>
                </w:p>
              </w:tc>
              <w:tc>
                <w:tcPr>
                  <w:tcW w:w="1080" w:type="dxa"/>
                  <w:tcBorders>
                    <w:left w:val="nil"/>
                    <w:bottom w:val="nil"/>
                    <w:right w:val="nil"/>
                  </w:tcBorders>
                </w:tcPr>
                <w:p w:rsidR="00B335F6" w:rsidRDefault="00B335F6">
                  <w:pPr>
                    <w:rPr>
                      <w:rFonts w:ascii="Arial" w:hAnsi="Arial" w:cs="Arial"/>
                      <w:noProof/>
                      <w:sz w:val="6"/>
                      <w:szCs w:val="6"/>
                    </w:rPr>
                  </w:pPr>
                </w:p>
              </w:tc>
              <w:tc>
                <w:tcPr>
                  <w:tcW w:w="1080" w:type="dxa"/>
                  <w:tcBorders>
                    <w:left w:val="nil"/>
                    <w:bottom w:val="nil"/>
                    <w:right w:val="nil"/>
                  </w:tcBorders>
                </w:tcPr>
                <w:p w:rsidR="00B335F6" w:rsidRDefault="00B335F6">
                  <w:pPr>
                    <w:rPr>
                      <w:rFonts w:ascii="Arial" w:hAnsi="Arial" w:cs="Arial"/>
                      <w:noProof/>
                      <w:sz w:val="6"/>
                      <w:szCs w:val="6"/>
                    </w:rPr>
                  </w:pPr>
                </w:p>
              </w:tc>
              <w:tc>
                <w:tcPr>
                  <w:tcW w:w="1080" w:type="dxa"/>
                  <w:tcBorders>
                    <w:left w:val="nil"/>
                    <w:bottom w:val="nil"/>
                    <w:right w:val="nil"/>
                  </w:tcBorders>
                </w:tcPr>
                <w:p w:rsidR="00B335F6" w:rsidRDefault="00B335F6">
                  <w:pPr>
                    <w:rPr>
                      <w:rFonts w:ascii="Arial" w:hAnsi="Arial" w:cs="Arial"/>
                      <w:noProof/>
                      <w:sz w:val="6"/>
                      <w:szCs w:val="6"/>
                    </w:rPr>
                  </w:pPr>
                </w:p>
              </w:tc>
              <w:tc>
                <w:tcPr>
                  <w:tcW w:w="1560" w:type="dxa"/>
                  <w:tcBorders>
                    <w:left w:val="nil"/>
                    <w:bottom w:val="nil"/>
                    <w:right w:val="nil"/>
                  </w:tcBorders>
                </w:tcPr>
                <w:p w:rsidR="00B335F6" w:rsidRDefault="00B335F6">
                  <w:pPr>
                    <w:rPr>
                      <w:rFonts w:ascii="Arial" w:hAnsi="Arial" w:cs="Arial"/>
                      <w:noProof/>
                      <w:sz w:val="6"/>
                      <w:szCs w:val="6"/>
                    </w:rPr>
                  </w:pPr>
                </w:p>
              </w:tc>
              <w:tc>
                <w:tcPr>
                  <w:tcW w:w="1080" w:type="dxa"/>
                  <w:tcBorders>
                    <w:left w:val="nil"/>
                    <w:bottom w:val="nil"/>
                    <w:right w:val="nil"/>
                  </w:tcBorders>
                </w:tcPr>
                <w:p w:rsidR="00B335F6" w:rsidRDefault="00B335F6">
                  <w:pPr>
                    <w:rPr>
                      <w:rFonts w:ascii="Arial" w:hAnsi="Arial" w:cs="Arial"/>
                      <w:noProof/>
                      <w:sz w:val="6"/>
                      <w:szCs w:val="6"/>
                    </w:rPr>
                  </w:pPr>
                </w:p>
              </w:tc>
            </w:tr>
          </w:tbl>
          <w:p w:rsidR="00B335F6" w:rsidRDefault="00B335F6">
            <w:pPr>
              <w:rPr>
                <w:rFonts w:ascii="Arial" w:hAnsi="Arial" w:cs="Arial"/>
                <w:i/>
                <w:noProof/>
              </w:rPr>
            </w:pPr>
          </w:p>
        </w:tc>
      </w:tr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B335F6" w:rsidRDefault="00912C6E">
            <w:pPr>
              <w:keepNext/>
              <w:spacing w:before="60" w:after="60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b/>
                <w:noProof/>
              </w:rPr>
              <w:t>Какви са разходите за предпочитания вариант (ако има такъв, в противен случай — за основните варианти)?</w:t>
            </w:r>
          </w:p>
        </w:tc>
      </w:tr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B335F6" w:rsidRDefault="00912C6E">
            <w:pPr>
              <w:spacing w:before="60" w:after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Основните преки разходи за заинтересованите страни са свързани с приспособяване към новите статистически и технически системи. В средносрочен до дългосрочен план тези действия се очаква да доведат до леко намаляване на тежестта и до икономии, тъй като ще се изследват почти с една пета по-малко стопанства (което представлява икономии в размер на около 56 милиона евро от общите разчетни разходи, възлизащи на 320 милиона евро за селскостопанското преброяване през 2010 г., като свързаните с адаптирането разходи в краткосрочен план се оценяват на около 26 милиона евро). Разходите за статистика трябва също така да бъдат претеглени спрямо разходите при отсъствие на статистика или при наличие единствено на статистика с лошо качество. В това отношение варианти 3 и 4 са по-евтини от вариант 2, при който се запазва съществуващото положение. Вариант 1 вероятно също е по-евтин от вариант 2, но води до влошаване на съществуващото положение.</w:t>
            </w:r>
          </w:p>
        </w:tc>
      </w:tr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B335F6" w:rsidRDefault="00912C6E">
            <w:pPr>
              <w:spacing w:before="60" w:after="60"/>
              <w:rPr>
                <w:rFonts w:ascii="Tahoma" w:hAnsi="Tahoma" w:cs="Tahoma"/>
                <w:noProof/>
              </w:rPr>
            </w:pPr>
            <w:r>
              <w:rPr>
                <w:rFonts w:ascii="Tahoma" w:hAnsi="Tahoma"/>
                <w:b/>
                <w:noProof/>
              </w:rPr>
              <w:t xml:space="preserve">Какви ще са последиците за предприятията, МСП и микропредприятията? </w:t>
            </w:r>
          </w:p>
        </w:tc>
      </w:tr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B335F6" w:rsidRDefault="00912C6E">
            <w:pPr>
              <w:spacing w:before="60" w:after="60"/>
              <w:jc w:val="both"/>
              <w:rPr>
                <w:rFonts w:ascii="Arial" w:hAnsi="Arial" w:cs="Arial"/>
                <w:i/>
                <w:noProof/>
              </w:rPr>
            </w:pPr>
            <w:r>
              <w:rPr>
                <w:rFonts w:ascii="Arial" w:hAnsi="Arial"/>
                <w:noProof/>
              </w:rPr>
              <w:t>Голяма част от земеделските стопанства в ЕС са много малки. Данните за тези стопанства са необходими за разработването, изпълнението и наблюдението на селскостопанската политика, както и за развитието на селските райони. Поради тази причина посочените стопанства не могат да бъдат освободени от изследванията. Инициативата обаче има за цел да намали тази тежест посредством подходящи прагове, целенасочени извадки и т.н., като същевременно ще се използват технологични развития и нови източници на данни в съответствие с принципа „еднократно събиране, многократно използване“.</w:t>
            </w:r>
          </w:p>
        </w:tc>
      </w:tr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B335F6" w:rsidRDefault="00912C6E">
            <w:pPr>
              <w:spacing w:before="60" w:after="60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 xml:space="preserve">Ще има ли значително въздействие върху националните бюджети и администрации? </w:t>
            </w:r>
          </w:p>
        </w:tc>
      </w:tr>
      <w:tr w:rsidR="00B335F6">
        <w:tc>
          <w:tcPr>
            <w:tcW w:w="10188" w:type="dxa"/>
            <w:shd w:val="clear" w:color="auto" w:fill="auto"/>
          </w:tcPr>
          <w:p w:rsidR="00B335F6" w:rsidRDefault="00912C6E">
            <w:pPr>
              <w:spacing w:before="60" w:after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Финансовият принос на ЕС към събирането на статистически данни в областта на селското стопанство на национално равнище се очаква да продължи да бъде на ниво, сравнимо с настоящото, като националните разходи също следва да достигнат сходни със сегашните нива. Пълното реализиране на действията за намаляване на тежестта и разходите, както и очакваният спад в броя на земеделските стопанства (въз основа на наблюдаваните тенденции), биха могли да доведат до намалени разходи. По принцип статистиката е сравнително евтина публична услуга, която се самоизплаща посредством много значими и разнообразни употреби.</w:t>
            </w:r>
          </w:p>
        </w:tc>
      </w:tr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B335F6" w:rsidRDefault="00912C6E">
            <w:pPr>
              <w:spacing w:before="60" w:after="60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 xml:space="preserve">Ще има ли други значителни въздействия? </w:t>
            </w:r>
          </w:p>
        </w:tc>
      </w:tr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B335F6" w:rsidRDefault="00912C6E">
            <w:pPr>
              <w:spacing w:before="60" w:after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noProof/>
              </w:rPr>
              <w:t>Статистиката в областта на селското стопанство може да окаже значителни непреки въздействия в сфери като продоволствената сигурност, изменението на климата, туризма и външната политика на ЕС посредством способстване за по-добро разработване, изпълнение и наблюдение на политики, основани на доказателства, които стъпват върху висококачествени и сравними между държавите данни. Тези въздействия обаче се предвиждат и измерват трудно. Преките въздействия от законодателството в областта на статистиката са слаби.</w:t>
            </w:r>
          </w:p>
        </w:tc>
      </w:tr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C0C0C0"/>
          </w:tcPr>
          <w:p w:rsidR="00B335F6" w:rsidRDefault="00912C6E">
            <w:pPr>
              <w:spacing w:before="60" w:after="60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>
              <w:rPr>
                <w:rFonts w:ascii="Tahoma" w:hAnsi="Tahoma"/>
                <w:b/>
                <w:noProof/>
                <w:sz w:val="22"/>
              </w:rPr>
              <w:t>Г. Последващи действия</w:t>
            </w:r>
          </w:p>
        </w:tc>
      </w:tr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 w:rsidR="00B335F6" w:rsidRDefault="00912C6E">
            <w:pPr>
              <w:spacing w:before="60" w:after="60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/>
                <w:b/>
                <w:noProof/>
              </w:rPr>
              <w:t xml:space="preserve">Кога ще се извърши преглед на политиката? </w:t>
            </w:r>
          </w:p>
        </w:tc>
      </w:tr>
      <w:tr w:rsidR="00B335F6"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B335F6" w:rsidRDefault="00912C6E">
            <w:pPr>
              <w:spacing w:before="60" w:after="60"/>
              <w:jc w:val="both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/>
                <w:noProof/>
              </w:rPr>
              <w:t>Годишните оценки на съответствието, непрекъснатата комуникация със заинтересованите страни и тригодишните мониторингови доклади въз основа на няколко ключови показателя за изпълнение ще служат за преглед на политиката. Вторият тригодишен мониторингов доклад ще бъде заменен с ретроспективна оценка.</w:t>
            </w:r>
          </w:p>
        </w:tc>
      </w:tr>
    </w:tbl>
    <w:p w:rsidR="00B335F6" w:rsidRDefault="00B335F6">
      <w:pPr>
        <w:spacing w:after="0" w:line="240" w:lineRule="auto"/>
        <w:rPr>
          <w:rFonts w:ascii="Times New Roman" w:hAnsi="Times New Roman" w:cs="Times New Roman"/>
          <w:noProof/>
          <w:sz w:val="2"/>
          <w:szCs w:val="2"/>
        </w:rPr>
      </w:pPr>
    </w:p>
    <w:sectPr w:rsidR="00B335F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F6" w:rsidRDefault="00912C6E">
      <w:pPr>
        <w:spacing w:after="0" w:line="240" w:lineRule="auto"/>
      </w:pPr>
      <w:r>
        <w:separator/>
      </w:r>
    </w:p>
  </w:endnote>
  <w:endnote w:type="continuationSeparator" w:id="0">
    <w:p w:rsidR="00B335F6" w:rsidRDefault="00912C6E">
      <w:pPr>
        <w:spacing w:after="0" w:line="240" w:lineRule="auto"/>
      </w:pPr>
      <w:r>
        <w:continuationSeparator/>
      </w:r>
    </w:p>
  </w:endnote>
  <w:endnote w:type="continuationNotice" w:id="1">
    <w:p w:rsidR="00B335F6" w:rsidRDefault="00B335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_GOPA TheSerif Light">
    <w:altName w:val="Times New Roman"/>
    <w:charset w:val="00"/>
    <w:family w:val="roman"/>
    <w:pitch w:val="variable"/>
    <w:sig w:usb0="00000001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BC2" w:rsidRPr="00174BC2" w:rsidRDefault="00174BC2" w:rsidP="00174B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BC2" w:rsidRPr="00174BC2" w:rsidRDefault="00174BC2" w:rsidP="00174BC2">
    <w:pPr>
      <w:pStyle w:val="FooterCoverPage"/>
      <w:rPr>
        <w:rFonts w:ascii="Arial" w:hAnsi="Arial" w:cs="Arial"/>
        <w:b/>
        <w:sz w:val="48"/>
      </w:rPr>
    </w:pPr>
    <w:r w:rsidRPr="00174BC2">
      <w:rPr>
        <w:rFonts w:ascii="Arial" w:hAnsi="Arial" w:cs="Arial"/>
        <w:b/>
        <w:sz w:val="48"/>
      </w:rPr>
      <w:t>BG</w:t>
    </w:r>
    <w:r w:rsidRPr="00174BC2">
      <w:rPr>
        <w:rFonts w:ascii="Arial" w:hAnsi="Arial" w:cs="Arial"/>
        <w:b/>
        <w:sz w:val="48"/>
      </w:rPr>
      <w:tab/>
    </w:r>
    <w:r w:rsidRPr="00174BC2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174BC2">
      <w:tab/>
    </w:r>
    <w:r w:rsidRPr="00174BC2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BC2" w:rsidRPr="00174BC2" w:rsidRDefault="00174BC2" w:rsidP="00174BC2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6" w:rsidRDefault="00B335F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290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2C6E" w:rsidRDefault="00912C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B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35F6" w:rsidRDefault="00B335F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6" w:rsidRDefault="00B335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F6" w:rsidRDefault="00912C6E">
      <w:pPr>
        <w:spacing w:after="0" w:line="240" w:lineRule="auto"/>
      </w:pPr>
      <w:r>
        <w:separator/>
      </w:r>
    </w:p>
  </w:footnote>
  <w:footnote w:type="continuationSeparator" w:id="0">
    <w:p w:rsidR="00B335F6" w:rsidRDefault="00912C6E">
      <w:pPr>
        <w:spacing w:after="0" w:line="240" w:lineRule="auto"/>
      </w:pPr>
      <w:r>
        <w:continuationSeparator/>
      </w:r>
    </w:p>
  </w:footnote>
  <w:footnote w:type="continuationNotice" w:id="1">
    <w:p w:rsidR="00B335F6" w:rsidRDefault="00B335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BC2" w:rsidRPr="00174BC2" w:rsidRDefault="00174BC2" w:rsidP="00174B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BC2" w:rsidRPr="00174BC2" w:rsidRDefault="00174BC2" w:rsidP="00174BC2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BC2" w:rsidRPr="00174BC2" w:rsidRDefault="00174BC2" w:rsidP="00174BC2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6" w:rsidRDefault="00B335F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6" w:rsidRDefault="00B335F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6" w:rsidRDefault="00B335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035"/>
    <w:multiLevelType w:val="hybridMultilevel"/>
    <w:tmpl w:val="9326B76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33EED"/>
    <w:multiLevelType w:val="hybridMultilevel"/>
    <w:tmpl w:val="7EECCAB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13B6"/>
    <w:multiLevelType w:val="hybridMultilevel"/>
    <w:tmpl w:val="C8CAA04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07930"/>
    <w:multiLevelType w:val="hybridMultilevel"/>
    <w:tmpl w:val="D712570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D2AD5"/>
    <w:multiLevelType w:val="multilevel"/>
    <w:tmpl w:val="F5A8AE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."/>
      <w:lvlJc w:val="left"/>
      <w:pPr>
        <w:ind w:left="1620" w:hanging="9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5">
    <w:nsid w:val="0F416C20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6">
    <w:nsid w:val="11800CA4"/>
    <w:multiLevelType w:val="hybridMultilevel"/>
    <w:tmpl w:val="5B38F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20AF6"/>
    <w:multiLevelType w:val="hybridMultilevel"/>
    <w:tmpl w:val="6D66802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C396253"/>
    <w:multiLevelType w:val="hybridMultilevel"/>
    <w:tmpl w:val="BBD8BC52"/>
    <w:lvl w:ilvl="0" w:tplc="89725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27615"/>
    <w:multiLevelType w:val="hybridMultilevel"/>
    <w:tmpl w:val="92CAE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026BD"/>
    <w:multiLevelType w:val="hybridMultilevel"/>
    <w:tmpl w:val="C6B239A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424C3D"/>
    <w:multiLevelType w:val="hybridMultilevel"/>
    <w:tmpl w:val="233E4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92DFA"/>
    <w:multiLevelType w:val="hybridMultilevel"/>
    <w:tmpl w:val="871A5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625BF7"/>
    <w:multiLevelType w:val="hybridMultilevel"/>
    <w:tmpl w:val="5EFC6C04"/>
    <w:lvl w:ilvl="0" w:tplc="89725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5">
    <w:nsid w:val="24BA26B7"/>
    <w:multiLevelType w:val="hybridMultilevel"/>
    <w:tmpl w:val="8A869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26205"/>
    <w:multiLevelType w:val="hybridMultilevel"/>
    <w:tmpl w:val="570600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96014C3"/>
    <w:multiLevelType w:val="hybridMultilevel"/>
    <w:tmpl w:val="82ECFD56"/>
    <w:lvl w:ilvl="0" w:tplc="88C0D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86D390">
      <w:start w:val="13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8E9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943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2D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0AC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7CD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6C6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FE6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3FB6D58"/>
    <w:multiLevelType w:val="hybridMultilevel"/>
    <w:tmpl w:val="438CE2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75A44"/>
    <w:multiLevelType w:val="hybridMultilevel"/>
    <w:tmpl w:val="509E4A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3C3D2A"/>
    <w:multiLevelType w:val="hybridMultilevel"/>
    <w:tmpl w:val="45820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DE1B59"/>
    <w:multiLevelType w:val="hybridMultilevel"/>
    <w:tmpl w:val="BB24D5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A572C"/>
    <w:multiLevelType w:val="hybridMultilevel"/>
    <w:tmpl w:val="F82C5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30575B"/>
    <w:multiLevelType w:val="multilevel"/>
    <w:tmpl w:val="89DA0108"/>
    <w:lvl w:ilvl="0">
      <w:start w:val="1"/>
      <w:numFmt w:val="bullet"/>
      <w:pStyle w:val="BBullets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B079FB"/>
    <w:multiLevelType w:val="hybridMultilevel"/>
    <w:tmpl w:val="DC229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D1842"/>
    <w:multiLevelType w:val="hybridMultilevel"/>
    <w:tmpl w:val="F15C2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F66B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D5A3457"/>
    <w:multiLevelType w:val="hybridMultilevel"/>
    <w:tmpl w:val="7B3E6F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C82C96"/>
    <w:multiLevelType w:val="hybridMultilevel"/>
    <w:tmpl w:val="8A869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BD765F"/>
    <w:multiLevelType w:val="hybridMultilevel"/>
    <w:tmpl w:val="41D01B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A438735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6289F"/>
    <w:multiLevelType w:val="hybridMultilevel"/>
    <w:tmpl w:val="34E47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C6CED"/>
    <w:multiLevelType w:val="hybridMultilevel"/>
    <w:tmpl w:val="152A2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303A1"/>
    <w:multiLevelType w:val="hybridMultilevel"/>
    <w:tmpl w:val="EA2EA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3">
    <w:nsid w:val="695F2C80"/>
    <w:multiLevelType w:val="hybridMultilevel"/>
    <w:tmpl w:val="E7BA8FB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7C32FE"/>
    <w:multiLevelType w:val="hybridMultilevel"/>
    <w:tmpl w:val="0D746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D2147"/>
    <w:multiLevelType w:val="hybridMultilevel"/>
    <w:tmpl w:val="9B30F6A2"/>
    <w:lvl w:ilvl="0" w:tplc="0809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>
    <w:nsid w:val="721028AC"/>
    <w:multiLevelType w:val="hybridMultilevel"/>
    <w:tmpl w:val="7EFCF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B4852E">
      <w:start w:val="3"/>
      <w:numFmt w:val="bullet"/>
      <w:lvlText w:val="-"/>
      <w:lvlJc w:val="left"/>
      <w:pPr>
        <w:ind w:left="1530" w:hanging="45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765DA"/>
    <w:multiLevelType w:val="hybridMultilevel"/>
    <w:tmpl w:val="DD5827D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26F71"/>
    <w:multiLevelType w:val="multilevel"/>
    <w:tmpl w:val="E01E7708"/>
    <w:name w:val="Tiret 3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8940AF2"/>
    <w:multiLevelType w:val="hybridMultilevel"/>
    <w:tmpl w:val="209C5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9EB38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084125"/>
    <w:multiLevelType w:val="hybridMultilevel"/>
    <w:tmpl w:val="E5741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2">
    <w:nsid w:val="7D0E56D5"/>
    <w:multiLevelType w:val="hybridMultilevel"/>
    <w:tmpl w:val="FDD6B974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3">
    <w:nsid w:val="7E252A61"/>
    <w:multiLevelType w:val="hybridMultilevel"/>
    <w:tmpl w:val="05EA4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0"/>
  </w:num>
  <w:num w:numId="4">
    <w:abstractNumId w:val="19"/>
  </w:num>
  <w:num w:numId="5">
    <w:abstractNumId w:val="28"/>
  </w:num>
  <w:num w:numId="6">
    <w:abstractNumId w:val="3"/>
  </w:num>
  <w:num w:numId="7">
    <w:abstractNumId w:val="21"/>
  </w:num>
  <w:num w:numId="8">
    <w:abstractNumId w:val="18"/>
  </w:num>
  <w:num w:numId="9">
    <w:abstractNumId w:val="2"/>
  </w:num>
  <w:num w:numId="10">
    <w:abstractNumId w:val="1"/>
  </w:num>
  <w:num w:numId="11">
    <w:abstractNumId w:val="30"/>
  </w:num>
  <w:num w:numId="12">
    <w:abstractNumId w:val="10"/>
  </w:num>
  <w:num w:numId="13">
    <w:abstractNumId w:val="14"/>
  </w:num>
  <w:num w:numId="14">
    <w:abstractNumId w:val="20"/>
  </w:num>
  <w:num w:numId="15">
    <w:abstractNumId w:val="40"/>
  </w:num>
  <w:num w:numId="16">
    <w:abstractNumId w:val="12"/>
  </w:num>
  <w:num w:numId="17">
    <w:abstractNumId w:val="16"/>
  </w:num>
  <w:num w:numId="18">
    <w:abstractNumId w:val="4"/>
  </w:num>
  <w:num w:numId="19">
    <w:abstractNumId w:val="41"/>
  </w:num>
  <w:num w:numId="20">
    <w:abstractNumId w:val="31"/>
  </w:num>
  <w:num w:numId="21">
    <w:abstractNumId w:val="22"/>
  </w:num>
  <w:num w:numId="22">
    <w:abstractNumId w:val="6"/>
  </w:num>
  <w:num w:numId="23">
    <w:abstractNumId w:val="34"/>
  </w:num>
  <w:num w:numId="24">
    <w:abstractNumId w:val="24"/>
  </w:num>
  <w:num w:numId="25">
    <w:abstractNumId w:val="5"/>
  </w:num>
  <w:num w:numId="26">
    <w:abstractNumId w:val="29"/>
  </w:num>
  <w:num w:numId="27">
    <w:abstractNumId w:val="25"/>
  </w:num>
  <w:num w:numId="28">
    <w:abstractNumId w:val="26"/>
  </w:num>
  <w:num w:numId="29">
    <w:abstractNumId w:val="37"/>
  </w:num>
  <w:num w:numId="30">
    <w:abstractNumId w:val="17"/>
  </w:num>
  <w:num w:numId="31">
    <w:abstractNumId w:val="13"/>
  </w:num>
  <w:num w:numId="32">
    <w:abstractNumId w:val="8"/>
  </w:num>
  <w:num w:numId="33">
    <w:abstractNumId w:val="42"/>
  </w:num>
  <w:num w:numId="34">
    <w:abstractNumId w:val="33"/>
  </w:num>
  <w:num w:numId="35">
    <w:abstractNumId w:val="35"/>
  </w:num>
  <w:num w:numId="36">
    <w:abstractNumId w:val="23"/>
  </w:num>
  <w:num w:numId="37">
    <w:abstractNumId w:val="9"/>
  </w:num>
  <w:num w:numId="38">
    <w:abstractNumId w:val="27"/>
  </w:num>
  <w:num w:numId="39">
    <w:abstractNumId w:val="36"/>
  </w:num>
  <w:num w:numId="40">
    <w:abstractNumId w:val="39"/>
  </w:num>
  <w:num w:numId="41">
    <w:abstractNumId w:val="43"/>
  </w:num>
  <w:num w:numId="42">
    <w:abstractNumId w:val="7"/>
  </w:num>
  <w:num w:numId="43">
    <w:abstractNumId w:val="15"/>
  </w:num>
  <w:numIdMacAtCleanup w:val="3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s">
    <w15:presenceInfo w15:providerId="None" w15:userId="Andre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7?\u1088?\u1080?\u1076?\u1088?\u1091?\u1078?\u1072?\u1074?\u1072?\u1097?"/>
    <w:docVar w:name="LW_CONFIDENCE" w:val=" "/>
    <w:docVar w:name="LW_CONST_RESTREINT_UE" w:val="RESTREINT UE/EU RESTRICTED"/>
    <w:docVar w:name="LW_CORRIGENDUM" w:val="&lt;UNUSED&gt;"/>
    <w:docVar w:name="LW_COVERPAGE_GUID" w:val="9BA16767FE204CC4A2FFB8BDABB7E0E3"/>
    <w:docVar w:name="LW_CROSSREFERENCE" w:val="{COM(2016) 786 final}_x000b_{SWD(2016) 430 final}"/>
    <w:docVar w:name="LW_DocType" w:val="NORMAL"/>
    <w:docVar w:name="LW_EMISSION" w:val="9.12.2016"/>
    <w:docVar w:name="LW_EMISSION_ISODATE" w:val="2016-12-09"/>
    <w:docVar w:name="LW_EMISSION_LOCATION" w:val="BRX"/>
    <w:docVar w:name="LW_EMISSION_PREFIX" w:val="\u1041?\u1088?\u1102?\u1082?\u1089?\u1077?\u1083?, "/>
    <w:docVar w:name="LW_EMISSION_SUFFIX" w:val=" \u1075?."/>
    <w:docVar w:name="LW_ID_DOCTYPE_NONLW" w:val="CP-02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SWD"/>
    <w:docVar w:name="LW_REF.INST.NEW_ADOPTED" w:val="final"/>
    <w:docVar w:name="LW_REF.INST.NEW_TEXT" w:val="(2016) 429"/>
    <w:docVar w:name="LW_REF.INTERNE" w:val="&lt;UNUSED&gt;"/>
    <w:docVar w:name="LW_SUPERTITRE" w:val="&lt;UNUSED&gt;"/>
    <w:docVar w:name="LW_TITRE.OBJ.CP" w:val="&lt;UNUSED&gt;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_x000b_"/>
    <w:docVar w:name="LW_TYPEACTEPRINCIPAL.CP" w:val="\u1057?\u1090?\u1088?\u1072?\u1090?\u1077?\u1075?\u1080?\u1103? \u1079?\u1072? \u1089?\u1077?\u1083?\u1089?\u1082?\u1086?\u1089?\u1090?\u1086?\u1087?\u1072?\u1085?\u1089?\u1082?\u1072? \u1089?\u1090?\u1072?\u1090?\u1080?\u1089?\u1090?\u1080?\u1082?\u1072? \u1076?\u1086? 2020 \u1075?. \u1080? \u1089?\u1083?\u1077?\u1076? \u1090?\u1086?\u1074?\u1072? \u1080? \u1087?\u1086?\u1089?\u1083?\u1077?\u1076?\u1074?\u1072?\u1097?\u1080? \u1087?\u1086?\u1090?\u1077?\u1085?\u1094?\u1080?\u1072?\u1083?\u1085?\u1080? \u1079?\u1072?\u1082?\u1086?\u1085?\u1086?\u1076?\u1072?\u1090?\u1077?\u1083?\u1085?\u1080? \u1089?\u1094?\u1077?\u1085?\u1072?\u1088?\u1080?\u1080?"/>
  </w:docVars>
  <w:rsids>
    <w:rsidRoot w:val="00B335F6"/>
    <w:rsid w:val="00174BC2"/>
    <w:rsid w:val="00912C6E"/>
    <w:rsid w:val="00B3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Text1"/>
    <w:link w:val="Heading3Char"/>
    <w:qFormat/>
    <w:pPr>
      <w:keepNext/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qFormat/>
    <w:pPr>
      <w:keepNext/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aliases w:val="Char,Fußnote,Carattere,fn,Footnotes,Footnote ak,Footnote Text Char1,Footnote Text Char Char,fn Char Char,footnote text Char Char,Footnotes Char Char,Footnote ak Char Char,fn Char1,footnote text Char1,Footnotes Char1,ft,Footnote Text_EP-LC"/>
    <w:basedOn w:val="Normal"/>
    <w:link w:val="FootnoteTextChar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Char Char,Fußnote Char,Carattere Char,fn Char,Footnotes Char,Footnote ak Char,Footnote Text Char1 Char,Footnote Text Char Char Char,fn Char Char Char,footnote text Char Char Char,Footnotes Char Char Char,Footnote ak Char Char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Reference Superscript,BVI fnr, BVI fnr,Footnote symbol,Footnote reference number,note TESI,Appel note de bas de p,Nota,SUPERS,Footnote number,EN Footnote Reference,-E Fußnotenzeichen,number Char Char,number,Ref,styl,styli"/>
    <w:uiPriority w:val="99"/>
    <w:qFormat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</w:style>
  <w:style w:type="character" w:customStyle="1" w:styleId="at13">
    <w:name w:val="a__t13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1">
    <w:name w:val="Text 1"/>
    <w:basedOn w:val="Normal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Text1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xt2">
    <w:name w:val="Text 2"/>
    <w:basedOn w:val="Normal"/>
    <w:link w:val="Text2Char"/>
    <w:pPr>
      <w:tabs>
        <w:tab w:val="left" w:pos="2160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2Char">
    <w:name w:val="Text 2 Char"/>
    <w:link w:val="Text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ListDash4">
    <w:name w:val="List Dash 4"/>
    <w:basedOn w:val="Normal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M3">
    <w:name w:val="CM3"/>
    <w:basedOn w:val="Default"/>
    <w:next w:val="Default"/>
    <w:uiPriority w:val="99"/>
    <w:rPr>
      <w:rFonts w:ascii="EUAlbertina" w:eastAsia="Calibri" w:hAnsi="EUAlbertina"/>
      <w:color w:val="auto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Cs/>
      <w:sz w:val="24"/>
      <w:szCs w:val="28"/>
    </w:rPr>
  </w:style>
  <w:style w:type="paragraph" w:customStyle="1" w:styleId="Point0number">
    <w:name w:val="Point 0 (number)"/>
    <w:basedOn w:val="Normal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pPr>
      <w:numPr>
        <w:ilvl w:val="2"/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pPr>
      <w:numPr>
        <w:ilvl w:val="4"/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pPr>
      <w:numPr>
        <w:ilvl w:val="6"/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pPr>
      <w:numPr>
        <w:ilvl w:val="1"/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pPr>
      <w:numPr>
        <w:ilvl w:val="3"/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pPr>
      <w:numPr>
        <w:ilvl w:val="5"/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pPr>
      <w:numPr>
        <w:ilvl w:val="7"/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pPr>
      <w:numPr>
        <w:ilvl w:val="8"/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Pr>
      <w:rFonts w:cs="Times New Roman"/>
      <w:sz w:val="16"/>
      <w:szCs w:val="16"/>
      <w:shd w:val="clear" w:color="auto" w:fill="auto"/>
    </w:rPr>
  </w:style>
  <w:style w:type="paragraph" w:styleId="CommentText">
    <w:name w:val="annotation text"/>
    <w:basedOn w:val="Normal"/>
    <w:link w:val="CommentTextChar"/>
    <w:semiHidden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BBullets1">
    <w:name w:val="B Bullets 1"/>
    <w:uiPriority w:val="19"/>
    <w:qFormat/>
    <w:pPr>
      <w:numPr>
        <w:numId w:val="36"/>
      </w:numPr>
      <w:spacing w:before="60" w:after="60" w:line="320" w:lineRule="exact"/>
    </w:pPr>
    <w:rPr>
      <w:rFonts w:ascii="_GOPA TheSerif Light" w:eastAsia="Calibri" w:hAnsi="_GOPA TheSerif Light" w:cs="Times New Roman"/>
      <w:color w:val="000000"/>
      <w:sz w:val="1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0"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/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Text1"/>
    <w:link w:val="Heading3Char"/>
    <w:qFormat/>
    <w:pPr>
      <w:keepNext/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/>
      <w:bCs/>
      <w:i/>
      <w:sz w:val="24"/>
      <w:szCs w:val="26"/>
    </w:rPr>
  </w:style>
  <w:style w:type="paragraph" w:styleId="Heading4">
    <w:name w:val="heading 4"/>
    <w:basedOn w:val="Normal"/>
    <w:next w:val="Text1"/>
    <w:link w:val="Heading4Char"/>
    <w:qFormat/>
    <w:pPr>
      <w:keepNext/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aliases w:val="Char,Fußnote,Carattere,fn,Footnotes,Footnote ak,Footnote Text Char1,Footnote Text Char Char,fn Char Char,footnote text Char Char,Footnotes Char Char,Footnote ak Char Char,fn Char1,footnote text Char1,Footnotes Char1,ft,Footnote Text_EP-LC"/>
    <w:basedOn w:val="Normal"/>
    <w:link w:val="FootnoteTextChar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Char Char,Fußnote Char,Carattere Char,fn Char,Footnotes Char,Footnote ak Char,Footnote Text Char1 Char,Footnote Text Char Char Char,fn Char Char Char,footnote text Char Char Char,Footnotes Char Char Char,Footnote ak Char Char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Reference Superscript,BVI fnr, BVI fnr,Footnote symbol,Footnote reference number,note TESI,Appel note de bas de p,Nota,SUPERS,Footnote number,EN Footnote Reference,-E Fußnotenzeichen,number Char Char,number,Ref,styl,styli"/>
    <w:uiPriority w:val="99"/>
    <w:qFormat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</w:style>
  <w:style w:type="character" w:customStyle="1" w:styleId="at13">
    <w:name w:val="a__t13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1">
    <w:name w:val="Text 1"/>
    <w:basedOn w:val="Normal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Text1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xt2">
    <w:name w:val="Text 2"/>
    <w:basedOn w:val="Normal"/>
    <w:link w:val="Text2Char"/>
    <w:pPr>
      <w:tabs>
        <w:tab w:val="left" w:pos="2160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2Char">
    <w:name w:val="Text 2 Char"/>
    <w:link w:val="Text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ListDash4">
    <w:name w:val="List Dash 4"/>
    <w:basedOn w:val="Normal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M3">
    <w:name w:val="CM3"/>
    <w:basedOn w:val="Default"/>
    <w:next w:val="Default"/>
    <w:uiPriority w:val="99"/>
    <w:rPr>
      <w:rFonts w:ascii="EUAlbertina" w:eastAsia="Calibri" w:hAnsi="EUAlbertina"/>
      <w:color w:val="auto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Cs/>
      <w:sz w:val="24"/>
      <w:szCs w:val="28"/>
    </w:rPr>
  </w:style>
  <w:style w:type="paragraph" w:customStyle="1" w:styleId="Point0number">
    <w:name w:val="Point 0 (number)"/>
    <w:basedOn w:val="Normal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pPr>
      <w:numPr>
        <w:ilvl w:val="2"/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pPr>
      <w:numPr>
        <w:ilvl w:val="4"/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pPr>
      <w:numPr>
        <w:ilvl w:val="6"/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pPr>
      <w:numPr>
        <w:ilvl w:val="1"/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pPr>
      <w:numPr>
        <w:ilvl w:val="3"/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pPr>
      <w:numPr>
        <w:ilvl w:val="5"/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pPr>
      <w:numPr>
        <w:ilvl w:val="7"/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pPr>
      <w:numPr>
        <w:ilvl w:val="8"/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Pr>
      <w:rFonts w:cs="Times New Roman"/>
      <w:sz w:val="16"/>
      <w:szCs w:val="16"/>
      <w:shd w:val="clear" w:color="auto" w:fill="auto"/>
    </w:rPr>
  </w:style>
  <w:style w:type="paragraph" w:styleId="CommentText">
    <w:name w:val="annotation text"/>
    <w:basedOn w:val="Normal"/>
    <w:link w:val="CommentTextChar"/>
    <w:semiHidden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BBullets1">
    <w:name w:val="B Bullets 1"/>
    <w:uiPriority w:val="19"/>
    <w:qFormat/>
    <w:pPr>
      <w:numPr>
        <w:numId w:val="36"/>
      </w:numPr>
      <w:spacing w:before="60" w:after="60" w:line="320" w:lineRule="exact"/>
    </w:pPr>
    <w:rPr>
      <w:rFonts w:ascii="_GOPA TheSerif Light" w:eastAsia="Calibri" w:hAnsi="_GOPA TheSerif Light" w:cs="Times New Roman"/>
      <w:color w:val="000000"/>
      <w:sz w:val="1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0"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/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170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676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383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324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775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248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74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588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554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404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7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102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212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08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1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5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1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81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620">
          <w:marLeft w:val="113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484">
          <w:marLeft w:val="113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532">
          <w:marLeft w:val="85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4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1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3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4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3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0188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61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8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5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5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9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066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03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53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79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97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11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10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77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7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53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5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6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7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19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38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6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2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5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0192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304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627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904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748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2340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25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826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5995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537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638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8796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5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156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194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283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829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87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784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1716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87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860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806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6269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97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330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181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955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3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477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847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720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654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214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306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63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879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18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07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89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30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866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0482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641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19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73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03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63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5601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961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594">
          <w:marLeft w:val="547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7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3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8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811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04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235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61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165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325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7255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630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08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3779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3101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911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738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249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094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3387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761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887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952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282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757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219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476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310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13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959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714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868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005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571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554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8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5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1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1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9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1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1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D67F-8970-46A9-B03C-4E9D6708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1273</Words>
  <Characters>7995</Characters>
  <Application>Microsoft Office Word</Application>
  <DocSecurity>0</DocSecurity>
  <Lines>205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WADHWANIA Nadia (MARE-EXT)</cp:lastModifiedBy>
  <cp:revision>19</cp:revision>
  <cp:lastPrinted>2016-01-27T13:32:00Z</cp:lastPrinted>
  <dcterms:created xsi:type="dcterms:W3CDTF">2016-09-26T16:38:00Z</dcterms:created>
  <dcterms:modified xsi:type="dcterms:W3CDTF">2016-12-08T15:38:00Z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</Properties>
</file>