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31A40B01EA64431A8CBA868B0684AC5"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Неотдавнашните земетресения в Италия имаха пагубен ефект върху хората, които живеят в региона. Ще са необходими широкомащабни възстановителни работи, по-специално за възстановяване на културното наследство на засегнатите области. Европа трябва да бъде в състояние бързо да предоставя допълнителна ефективна подкрепа от Европейския фонд за регионално развитие (ЕФРР) на държавите членки и регионите, пострадали от големи или регионални природни бедствия, като допълва средствата, налични в рамките на фонд „Солидарност“ на Европейския съюз. </w:t>
      </w:r>
    </w:p>
    <w:p>
      <w:pPr>
        <w:rPr>
          <w:noProof/>
        </w:rPr>
      </w:pPr>
      <w:r>
        <w:rPr>
          <w:noProof/>
        </w:rPr>
        <w:t>С цел да се предостави допълнителна помощ на държавите членки, засегнати от природни бедствия, Комисията предлага да се въведе възможността за отделна приоритетна ос за възстановителни операции, подпомагани от ЕФРР, в рамките на оперативна програма. Като се има предвид потенциалната тежест на въздействието на подобни природни бедствия, се предлага да се предостави възможност за финансиране на тези операции изцяло от ЕФРР, без да е необходимо национално съфинансиране. Предлага се по тази приоритетна ос да бъдат финансирани операциите, свързани с възстановителни дейности в отговор на голямо или регионално природно бедствие съгласно определението в Регламент (ЕО) № 2012/2002 на Съвета за създаване на фонд „Солидарност“ на Европейския съюз.</w:t>
      </w:r>
    </w:p>
    <w:p>
      <w:pPr>
        <w:pBdr>
          <w:top w:val="nil"/>
          <w:left w:val="nil"/>
          <w:bottom w:val="nil"/>
          <w:right w:val="nil"/>
          <w:between w:val="nil"/>
          <w:bar w:val="nil"/>
        </w:pBdr>
        <w:spacing w:before="0" w:after="240"/>
        <w:rPr>
          <w:rFonts w:eastAsia="Arial Unicode MS"/>
          <w:noProof/>
        </w:rPr>
      </w:pPr>
      <w:r>
        <w:rPr>
          <w:noProof/>
        </w:rPr>
        <w:t xml:space="preserve">Освен това са предложени специфични разпоредби за началната дата на допустимост на разходите, за да се гарантира, че разходите са допустими за възстановяване от датата на бедствието.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Предложението е съгласувано с общата правна уредба на европейските структурни и инвестиционни фондове (ЕСИ фондове) и е ограничено до целенасочено изменение на Регламент (ЕС) № 1303/2013. Предложението допълва типа подкрепа, предвидена в Регламент (ЕО) № 2012/2002 на Съвета за създаване на фонд „Солидарност“ на Европейския съюз.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 xml:space="preserve">Предложението се ограничава до целенасочено изменение на Регламент (ЕС) № 1303/2013 и поддържа съгласуваността с други политики на Съюза.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 xml:space="preserve">Предлага се да се въведе допълнителен параграф в член 120 от Регламент (ЕС) № 1303/2013, с който да се предвиди създаването на отделна приоритетна ос със ставка на съфинансирането, достигаща до 100 %, за да се подкрепят в съответствие с инвестиционните приоритети на ЕФРР избраните от управляващите органи операции в отговор на големи или регионални бедствия съгласно определението в Регламент (ЕО) № 2012/2002 на Съвета за създаване на фонд „Солидарност“ на Европейския съюз. </w:t>
      </w:r>
    </w:p>
    <w:p>
      <w:pPr>
        <w:pStyle w:val="ManualHeading2"/>
        <w:rPr>
          <w:rFonts w:eastAsia="Arial Unicode MS"/>
          <w:noProof/>
          <w:u w:color="000000"/>
          <w:bdr w:val="nil"/>
        </w:rPr>
      </w:pPr>
      <w:r>
        <w:rPr>
          <w:noProof/>
        </w:rPr>
        <w:lastRenderedPageBreak/>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 xml:space="preserve">Предложението за предоставяне на допълнителна помощ на държавите членки, засегнати от природни бедствия, чрез въвеждане на възможност за финансиране на възстановителните работи от ЕФРР със ставка на съфинансирането от бюджета на ЕС, достигаща до 100 %, изисква изменение на Регламент (ЕС) № 1303/2013. Същият резултат не може да бъде постигнат чрез действия на национално равнище.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Предложението представлява ограничена и целенасочена промяна, която не надхвърля необходимото за постигане на целта за предоставяне на допълнителна помощ на държавите членки, засегнати от природни бедствия. </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Style w:val="Text1"/>
        <w:ind w:left="0"/>
        <w:rPr>
          <w:rFonts w:eastAsia="Arial Unicode MS"/>
          <w:noProof/>
          <w:u w:color="000000"/>
          <w:bdr w:val="nil"/>
        </w:rPr>
      </w:pPr>
      <w:r>
        <w:rPr>
          <w:noProof/>
        </w:rPr>
        <w:t>Н.П.</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Н.П.</w:t>
      </w:r>
    </w:p>
    <w:p>
      <w:pPr>
        <w:pStyle w:val="ManualHeading2"/>
        <w:rPr>
          <w:noProof/>
          <w:u w:color="000000"/>
          <w:bdr w:val="nil"/>
        </w:rPr>
      </w:pPr>
      <w:r>
        <w:rPr>
          <w:noProof/>
        </w:rPr>
        <w:t>••</w:t>
      </w:r>
      <w:r>
        <w:rPr>
          <w:noProof/>
        </w:rPr>
        <w:tab/>
        <w:t>Събиране и използване на експертни становища</w:t>
      </w:r>
    </w:p>
    <w:p>
      <w:pPr>
        <w:pStyle w:val="Text1"/>
        <w:ind w:left="0"/>
        <w:rPr>
          <w:noProof/>
        </w:rPr>
      </w:pPr>
      <w:r>
        <w:rPr>
          <w:noProof/>
        </w:rPr>
        <w:t>Н.П.</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При изготвянето на предложението за Регламент (ЕС) № 1303/2013 бе извършена оценка на въздействието. Тази ограничена и целенасочена промяна не изисква отделна оценка на въздействието.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Н.П.</w:t>
      </w:r>
    </w:p>
    <w:p>
      <w:pPr>
        <w:pBdr>
          <w:top w:val="nil"/>
          <w:left w:val="nil"/>
          <w:bottom w:val="nil"/>
          <w:right w:val="nil"/>
          <w:between w:val="nil"/>
          <w:bar w:val="nil"/>
        </w:pBdr>
        <w:spacing w:before="0" w:after="240"/>
        <w:rPr>
          <w:noProof/>
        </w:rPr>
      </w:pPr>
      <w:r>
        <w:rPr>
          <w:noProof/>
        </w:rPr>
        <w:t>••</w:t>
      </w:r>
      <w:r>
        <w:rPr>
          <w:noProof/>
        </w:rPr>
        <w:tab/>
      </w:r>
      <w:r>
        <w:rPr>
          <w:b/>
          <w:noProof/>
          <w:u w:color="000000"/>
          <w:bdr w:val="nil"/>
        </w:rPr>
        <w:t>Основни права</w:t>
      </w:r>
    </w:p>
    <w:p>
      <w:pPr>
        <w:pBdr>
          <w:top w:val="nil"/>
          <w:left w:val="nil"/>
          <w:bottom w:val="nil"/>
          <w:right w:val="nil"/>
          <w:between w:val="nil"/>
          <w:bar w:val="nil"/>
        </w:pBdr>
        <w:spacing w:before="0" w:after="240"/>
        <w:rPr>
          <w:noProof/>
        </w:rPr>
      </w:pPr>
      <w:r>
        <w:rPr>
          <w:noProof/>
        </w:rPr>
        <w:t>Н.П.</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Предложеното изменение не предполага промени в годишните тавани за поети задължения и плащания по многогодишната финансова рамка съгласно приложение I към Регламент (ЕС) № 1311/2013.</w:t>
      </w:r>
    </w:p>
    <w:p>
      <w:pPr>
        <w:rPr>
          <w:noProof/>
        </w:rPr>
      </w:pPr>
      <w:r>
        <w:rPr>
          <w:noProof/>
        </w:rPr>
        <w:t xml:space="preserve">То остава в рамките на първоначалния общ размер на разпределените средства за периода 2014—2020 г. и следователно няма да има отражение върху бюджета. Увеличената ставка на съфинансиране, достигаща до 100 %, ще доведе до частично засилено финансиране в началния етап, последвано от по-слабо финансиране на по-късен етап, като целият пакет остава непроменен. </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pBdr>
          <w:top w:val="nil"/>
          <w:left w:val="nil"/>
          <w:bottom w:val="nil"/>
          <w:right w:val="nil"/>
          <w:between w:val="nil"/>
          <w:bar w:val="nil"/>
        </w:pBdr>
        <w:spacing w:before="0" w:after="240"/>
        <w:rPr>
          <w:noProof/>
        </w:rPr>
      </w:pPr>
      <w:r>
        <w:rPr>
          <w:noProof/>
        </w:rPr>
        <w:t xml:space="preserve">По отношение на изпълнението на мярката ще бъдат извършвани мониторинг и докладване в рамките на общите механизми за докладване, установени в Регламент (ЕС) № 1303/2013. </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noProof/>
        </w:rPr>
      </w:pPr>
      <w:r>
        <w:rPr>
          <w:noProof/>
        </w:rPr>
        <w:t>Н.П.</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pBdr>
          <w:top w:val="nil"/>
          <w:left w:val="nil"/>
          <w:bottom w:val="nil"/>
          <w:right w:val="nil"/>
          <w:between w:val="nil"/>
          <w:bar w:val="nil"/>
        </w:pBdr>
        <w:spacing w:before="0" w:after="240"/>
        <w:rPr>
          <w:noProof/>
        </w:rPr>
      </w:pPr>
      <w:r>
        <w:rPr>
          <w:noProof/>
        </w:rPr>
        <w:t xml:space="preserve">С цел да се предостави допълнителна помощ на държавите членки, засегнати от природни бедствия, за ЕФРР се предлага възможността за въвеждане на отделна приоритетна ос със ставка на съфинансирането, достигаща до 100 %, в рамките на оперативна програма. По тази отделна приоритетна ос могат да бъдат съфинансирани операциите, свързани с възстановителните дейности в отговор на голямо или регионално природно бедствие съгласно определението в Регламент (ЕО) № 2012/2002 на Съвета за създаване на фонд „Солидарност“ на Европейския съюз. </w:t>
      </w:r>
    </w:p>
    <w:p>
      <w:pPr>
        <w:pBdr>
          <w:top w:val="nil"/>
          <w:left w:val="nil"/>
          <w:bottom w:val="nil"/>
          <w:right w:val="nil"/>
          <w:between w:val="nil"/>
          <w:bar w:val="nil"/>
        </w:pBdr>
        <w:spacing w:before="0" w:after="240"/>
        <w:rPr>
          <w:noProof/>
        </w:rPr>
      </w:pPr>
      <w:r>
        <w:rPr>
          <w:noProof/>
        </w:rPr>
        <w:t xml:space="preserve">За операции по тази отделна приоритетна ос се предлага дерогация от правилото относно началната дата на допустимост на разходите в резултат на изменение на програма. Това би гарантирало, че след изменение на програмата, разходите, направени след датата на бедствието, могат да бъдат декларирани за възстановяване. </w:t>
      </w:r>
    </w:p>
    <w:p>
      <w:pPr>
        <w:pBdr>
          <w:top w:val="nil"/>
          <w:left w:val="nil"/>
          <w:bottom w:val="nil"/>
          <w:right w:val="nil"/>
          <w:between w:val="nil"/>
          <w:bar w:val="nil"/>
        </w:pBdr>
        <w:spacing w:before="0" w:after="240"/>
        <w:rPr>
          <w:noProof/>
        </w:rPr>
      </w:pPr>
      <w:r>
        <w:rPr>
          <w:noProof/>
        </w:rPr>
        <w:t xml:space="preserve">Също така бе включена разпоредба, която да обхваща случая на декларирани разходи за мерки, предприети от органите на държавите членки веднага след настъпването на бедствието и преди изменението на оперативната програма, които са възстановени в съответствие с действащата ставка на съфинансиране. В този случай по-високата ставка на съфинансиране би била прилагана чрез необходимите корекции на следващото заявление за плащане и, когато е уместно, на следващите отчети, след като програмата е бил изменена така, че да включва отделната приоритетна ос. </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2016/0384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1303/2013 по отношение на специфичните мерки за предоставяне на допълнителна помощ на държавите членки, засегнати от природни бедствия</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177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след консултация с Европейския икономически и социален комитет</w:t>
      </w:r>
      <w:r>
        <w:rPr>
          <w:rStyle w:val="FootnoteReference"/>
          <w:noProof/>
        </w:rPr>
        <w:footnoteReference w:id="1"/>
      </w:r>
      <w:r>
        <w:rPr>
          <w:noProof/>
        </w:rPr>
        <w:t xml:space="preserve">, </w:t>
      </w:r>
    </w:p>
    <w:p>
      <w:pPr>
        <w:rPr>
          <w:noProof/>
        </w:rPr>
      </w:pPr>
      <w:r>
        <w:rPr>
          <w:noProof/>
        </w:rPr>
        <w:t>след консултация с Комитета на регионите</w:t>
      </w:r>
      <w:r>
        <w:rPr>
          <w:rStyle w:val="FootnoteReference"/>
          <w:noProof/>
        </w:rPr>
        <w:footnoteReference w:id="2"/>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 цел да се предостави допълнителна помощ на държавите членки, засегнати от природни бедствия, следва да се предвиди възможност за въвеждане в рамките на оперативна програма на отделна приоритетна ос със ставка на съфинансирането, достигаща до 100 %, в съответствие с инвестиционните приоритети на Европейския фонд за регионално развитие („ЕФРР“), определени в Регламент (ЕС) № 1301/2013 на Европейския парламент и на Съвета</w:t>
      </w:r>
      <w:r>
        <w:rPr>
          <w:rStyle w:val="FootnoteReference"/>
          <w:noProof/>
        </w:rPr>
        <w:footnoteReference w:id="3"/>
      </w:r>
      <w:r>
        <w:rPr>
          <w:noProof/>
        </w:rPr>
        <w:t xml:space="preserve">. </w:t>
      </w:r>
    </w:p>
    <w:p>
      <w:pPr>
        <w:pStyle w:val="ManualConsidrant"/>
        <w:rPr>
          <w:noProof/>
        </w:rPr>
      </w:pPr>
      <w:r>
        <w:t>(2)</w:t>
      </w:r>
      <w:r>
        <w:tab/>
      </w:r>
      <w:r>
        <w:rPr>
          <w:noProof/>
        </w:rPr>
        <w:t>Операциите, които могат да бъдат финансирани по тази отделна приоритетна ос, са свързани с възстановителните дейности в отговор на голямо или регионално природно бедствие съгласно определението в Регламент (ЕО) № 2012/2002 на Съвета за създаване на фонд „Солидарност“ на Европейския съюз</w:t>
      </w:r>
      <w:r>
        <w:rPr>
          <w:rStyle w:val="FootnoteReference"/>
          <w:noProof/>
        </w:rPr>
        <w:footnoteReference w:id="4"/>
      </w:r>
      <w:r>
        <w:rPr>
          <w:noProof/>
        </w:rPr>
        <w:t>.</w:t>
      </w:r>
    </w:p>
    <w:p>
      <w:pPr>
        <w:pStyle w:val="ManualConsidrant"/>
        <w:rPr>
          <w:noProof/>
        </w:rPr>
      </w:pPr>
      <w:r>
        <w:t>(3)</w:t>
      </w:r>
      <w:r>
        <w:tab/>
      </w:r>
      <w:r>
        <w:rPr>
          <w:noProof/>
        </w:rPr>
        <w:t xml:space="preserve">За операции, обхванати от отделната приоритетна ос за природни бедствия,  следва да бъде въведена дерогация от общите правила относно началната дата на допустимост на разходите във връзка с разходи, станали допустими в резултат на изменение на програма, за да се гарантира възможността за съфинансиране на мерки, предприети от органите на държавата членка веднага след настъпването на бедствието и преди изменението на съответната оперативна програма. </w:t>
      </w:r>
    </w:p>
    <w:p>
      <w:pPr>
        <w:pStyle w:val="ManualConsidrant"/>
        <w:rPr>
          <w:noProof/>
        </w:rPr>
      </w:pPr>
      <w:r>
        <w:lastRenderedPageBreak/>
        <w:t>(4)</w:t>
      </w:r>
      <w:r>
        <w:tab/>
      </w:r>
      <w:r>
        <w:rPr>
          <w:noProof/>
        </w:rPr>
        <w:t xml:space="preserve">С цел да се осигури допустимост на разходите, направени и платени, считано от датата на настъпване на природното бедствие, дори ако това е станало преди влизането в сила на настоящия регламент, съответната разпоредба относно началната дата на допустимост на разходите на бенефициерите следва да има обратно действие. </w:t>
      </w:r>
    </w:p>
    <w:p>
      <w:pPr>
        <w:pStyle w:val="ManualConsidrant"/>
        <w:rPr>
          <w:noProof/>
        </w:rPr>
      </w:pPr>
      <w:r>
        <w:t>(5)</w:t>
      </w:r>
      <w:r>
        <w:tab/>
      </w:r>
      <w:r>
        <w:rPr>
          <w:noProof/>
        </w:rPr>
        <w:t>Поради това Регламент (ЕС) № 1303/2013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i/>
          <w:noProof/>
          <w:szCs w:val="24"/>
        </w:rPr>
      </w:pPr>
      <w:r>
        <w:rPr>
          <w:noProof/>
        </w:rPr>
        <w:t xml:space="preserve">В член 120 от Регламент (ЕС) № 1303/2013 се добавя следният параграф: </w:t>
      </w:r>
    </w:p>
    <w:p>
      <w:pPr>
        <w:pStyle w:val="NormalWeb"/>
        <w:shd w:val="clear" w:color="auto" w:fill="FFFFFF"/>
        <w:spacing w:before="0" w:beforeAutospacing="0" w:after="0" w:afterAutospacing="0"/>
        <w:jc w:val="both"/>
        <w:rPr>
          <w:noProof/>
        </w:rPr>
      </w:pPr>
      <w:r>
        <w:rPr>
          <w:noProof/>
        </w:rPr>
        <w:t xml:space="preserve">„8. Може да бъде въведена отделна приоритетна ос със ставка на съфинансирането, достигаща до 100 %, в рамките на оперативна програма в подкрепа на операции, които отговарят на следните условия: </w:t>
      </w: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r>
        <w:rPr>
          <w:noProof/>
        </w:rPr>
        <w:t xml:space="preserve">а) операциите са избрани от управляващите органи в отговор на голямо или регионално природно бедствие съгласно определението в Регламент (ЕО) № 2012/2002 на Съвета; </w:t>
      </w: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r>
        <w:rPr>
          <w:noProof/>
        </w:rPr>
        <w:t>б) операциите са насочени към възстановителни дейности в отговор на природни бедствия; както и</w:t>
      </w: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r>
        <w:rPr>
          <w:noProof/>
        </w:rPr>
        <w:t>в) операциите получават подкрепа в съответствие с инвестиционен приоритет на ЕФРР.</w:t>
      </w: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r>
        <w:rPr>
          <w:noProof/>
        </w:rPr>
        <w:t>Чрез дерогация от член 65, параграф 9 разходите за операции по тази приоритетна ос се считат за допустими от датата на настъпване на природното бедствие.</w:t>
      </w: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r>
        <w:rPr>
          <w:noProof/>
        </w:rPr>
        <w:t xml:space="preserve">Когато разходите, свързани с операциите, посочени в първата алинея, са били включени в заявление за плащане, подадено до Комисията преди въвеждането на отделна приоритетна ос, държавата членка извършва необходимите корекции на следващото заявление за плащане и, когато е уместно, на следващите отчети, представени след приемането на изменението на програмата.“   </w:t>
      </w:r>
    </w:p>
    <w:p>
      <w:pPr>
        <w:pStyle w:val="Titrearticle"/>
        <w:rPr>
          <w:noProof/>
          <w:szCs w:val="24"/>
        </w:rPr>
      </w:pPr>
      <w:r>
        <w:rPr>
          <w:noProof/>
        </w:rPr>
        <w:t>Член 2</w:t>
      </w:r>
    </w:p>
    <w:p>
      <w:pPr>
        <w:jc w:val="center"/>
        <w:rPr>
          <w:b/>
          <w:noProof/>
          <w:szCs w:val="24"/>
        </w:rPr>
      </w:pPr>
      <w:r>
        <w:rPr>
          <w:b/>
          <w:noProof/>
        </w:rPr>
        <w:t>Влизане в сила и прилагане</w:t>
      </w:r>
    </w:p>
    <w:p>
      <w:pPr>
        <w:spacing w:before="0" w:after="0"/>
        <w:rPr>
          <w:noProof/>
          <w:szCs w:val="24"/>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spacing w:before="0" w:after="0"/>
        <w:rPr>
          <w:noProof/>
          <w:szCs w:val="24"/>
        </w:rPr>
      </w:pPr>
    </w:p>
    <w:p>
      <w:pPr>
        <w:keepNext/>
        <w:keepLines/>
        <w:spacing w:before="0" w:after="0"/>
        <w:rPr>
          <w:noProof/>
          <w:szCs w:val="24"/>
        </w:rPr>
      </w:pPr>
      <w:r>
        <w:rPr>
          <w:noProof/>
        </w:rPr>
        <w:t>Член 1 се прилага от 1 януари 2014 г.</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r>
        <w:rPr>
          <w:noProof/>
        </w:rPr>
        <w:br w:type="page"/>
      </w: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НАИМЕНОВАНИЕ НА ПРЕДЛОЖЕНИЕТО:</w:t>
      </w:r>
    </w:p>
    <w:p>
      <w:pPr>
        <w:pStyle w:val="Text1"/>
        <w:rPr>
          <w:noProof/>
        </w:rPr>
      </w:pPr>
      <w:r>
        <w:rPr>
          <w:noProof/>
        </w:rPr>
        <w:t>Предложение за Регламент на Европейския парламент и на Съвета за изменение на Регламент (ЕС) № 1303/2013 на Европейския парламент и на Съвета по отношение на специфичните мерки за предоставяне на допълнителна помощ на държавите членки, засегнати от природни бедствия.</w:t>
      </w:r>
    </w:p>
    <w:p>
      <w:pPr>
        <w:pStyle w:val="ManualHeading1"/>
        <w:rPr>
          <w:noProof/>
        </w:rPr>
      </w:pPr>
      <w:r>
        <w:rPr>
          <w:noProof/>
        </w:rPr>
        <w:t>2.</w:t>
      </w:r>
      <w:r>
        <w:rPr>
          <w:noProof/>
        </w:rPr>
        <w:tab/>
        <w:t>РАМКА УД/БД (УПРАВЛЕНИЕ ПО ДЕЙНОСТИ/БЮДЖЕТ ПО ДЕЙНОСТИ)</w:t>
      </w:r>
    </w:p>
    <w:p>
      <w:pPr>
        <w:pStyle w:val="Text1"/>
        <w:rPr>
          <w:noProof/>
        </w:rPr>
      </w:pPr>
      <w:r>
        <w:rPr>
          <w:noProof/>
        </w:rPr>
        <w:t>Съответна(и) област(и) на политика и свързана(и) с нея(тях) дейност(и):</w:t>
      </w:r>
    </w:p>
    <w:p>
      <w:pPr>
        <w:pStyle w:val="Text1"/>
        <w:rPr>
          <w:noProof/>
        </w:rPr>
      </w:pPr>
      <w:r>
        <w:rPr>
          <w:noProof/>
        </w:rPr>
        <w:t>Регионална политика; дейност от БД 13.03</w:t>
      </w:r>
    </w:p>
    <w:p>
      <w:pPr>
        <w:pStyle w:val="ManualHeading1"/>
        <w:rPr>
          <w:noProof/>
        </w:rPr>
      </w:pPr>
      <w:r>
        <w:rPr>
          <w:noProof/>
        </w:rPr>
        <w:t>3.</w:t>
      </w:r>
      <w:r>
        <w:rPr>
          <w:noProof/>
        </w:rPr>
        <w:tab/>
        <w:t>БЮДЖЕТНИ РЕДОВЕ</w:t>
      </w:r>
    </w:p>
    <w:p>
      <w:pPr>
        <w:pStyle w:val="ManualHeading2"/>
        <w:rPr>
          <w:noProof/>
        </w:rPr>
      </w:pPr>
      <w:r>
        <w:rPr>
          <w:noProof/>
        </w:rPr>
        <w:t>3.1.</w:t>
      </w:r>
      <w:r>
        <w:rPr>
          <w:noProof/>
        </w:rPr>
        <w:tab/>
        <w:t xml:space="preserve">Бюджетни редове (оперативни редове и свързаните с тях редове за техническа и административна помощ (предишни редове BA): </w:t>
      </w:r>
    </w:p>
    <w:p>
      <w:pPr>
        <w:pStyle w:val="Text1"/>
        <w:rPr>
          <w:noProof/>
        </w:rPr>
      </w:pPr>
      <w:r>
        <w:rPr>
          <w:noProof/>
        </w:rPr>
        <w:t>Новопредложените действия ще бъдат осъществени въз основата на следните бюджетни редове:</w:t>
      </w:r>
    </w:p>
    <w:p>
      <w:pPr>
        <w:pStyle w:val="ListBullet1"/>
        <w:rPr>
          <w:noProof/>
        </w:rPr>
      </w:pPr>
      <w:r>
        <w:rPr>
          <w:noProof/>
        </w:rPr>
        <w:t>13.036000 По-слабо развити региони (ЕФРР)</w:t>
      </w:r>
    </w:p>
    <w:p>
      <w:pPr>
        <w:pStyle w:val="ListBullet1"/>
        <w:rPr>
          <w:noProof/>
        </w:rPr>
      </w:pPr>
      <w:r>
        <w:rPr>
          <w:noProof/>
        </w:rPr>
        <w:t>13.036100 Региони в преход (ЕФРР)</w:t>
      </w:r>
    </w:p>
    <w:p>
      <w:pPr>
        <w:pStyle w:val="ListBullet1"/>
        <w:rPr>
          <w:noProof/>
        </w:rPr>
      </w:pPr>
      <w:r>
        <w:rPr>
          <w:noProof/>
        </w:rPr>
        <w:t>13.036200 По-силно развити региони (ЕФРР)</w:t>
      </w:r>
    </w:p>
    <w:p>
      <w:pPr>
        <w:pStyle w:val="ListBullet1"/>
        <w:rPr>
          <w:noProof/>
        </w:rPr>
      </w:pPr>
      <w:r>
        <w:rPr>
          <w:noProof/>
        </w:rPr>
        <w:t>13.036300 Допълнителни средства за най-отдалечените и слабо населените региони (ЕФРР)</w:t>
      </w:r>
    </w:p>
    <w:p>
      <w:pPr>
        <w:pStyle w:val="ListBullet1"/>
        <w:rPr>
          <w:noProof/>
        </w:rPr>
      </w:pPr>
      <w:r>
        <w:rPr>
          <w:noProof/>
        </w:rPr>
        <w:t>13.036401 Европейско териториално сътрудничество (ЕФРР)</w:t>
      </w:r>
    </w:p>
    <w:p>
      <w:pPr>
        <w:pStyle w:val="ManualHeading2"/>
        <w:rPr>
          <w:noProof/>
        </w:rPr>
      </w:pPr>
      <w:r>
        <w:rPr>
          <w:noProof/>
        </w:rPr>
        <w:t>3.2.</w:t>
      </w:r>
      <w:r>
        <w:rPr>
          <w:noProof/>
        </w:rPr>
        <w:tab/>
        <w:t>Срок на действието и на отражението върху финансовите средства:</w:t>
      </w:r>
    </w:p>
    <w:p>
      <w:pPr>
        <w:rPr>
          <w:noProof/>
        </w:rPr>
      </w:pPr>
      <w:r>
        <w:rPr>
          <w:noProof/>
        </w:rPr>
        <w:t>Предложението остава в рамките на  общия размер на разпределените средства за периода 2014—2020 г. и следователно няма да има отражение върху бюджета. Увеличената ставка на съфинансиране, достигаща до 100 %, ще доведе до частично засилено финансиране в началния етап, последвано от по-слабо финансиране на по-късен етап, като целият пакет остава непроменен. Приема се, че въздействието на това засилено финансиране в началния етап ще бъде за период от три години (2017—2019 г.).</w:t>
      </w:r>
    </w:p>
    <w:p>
      <w:pPr>
        <w:spacing w:after="240"/>
        <w:rPr>
          <w:noProof/>
        </w:rPr>
      </w:pPr>
      <w:r>
        <w:rPr>
          <w:noProof/>
        </w:rPr>
        <w:br w:type="page"/>
      </w:r>
      <w:r>
        <w:rPr>
          <w:noProof/>
        </w:rPr>
        <w:lastRenderedPageBreak/>
        <w:t>3.3.</w:t>
      </w:r>
      <w:r>
        <w:rPr>
          <w:noProof/>
        </w:rPr>
        <w:tab/>
        <w:t>Бюджетни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924"/>
        <w:gridCol w:w="1297"/>
        <w:gridCol w:w="818"/>
        <w:gridCol w:w="1236"/>
        <w:gridCol w:w="1478"/>
        <w:gridCol w:w="1396"/>
      </w:tblGrid>
      <w:tr>
        <w:trPr>
          <w:jc w:val="center"/>
        </w:trPr>
        <w:tc>
          <w:tcPr>
            <w:tcW w:w="1136" w:type="dxa"/>
            <w:vAlign w:val="center"/>
          </w:tcPr>
          <w:p>
            <w:pPr>
              <w:jc w:val="center"/>
              <w:rPr>
                <w:b/>
                <w:noProof/>
                <w:sz w:val="20"/>
                <w:szCs w:val="20"/>
              </w:rPr>
            </w:pPr>
            <w:r>
              <w:rPr>
                <w:b/>
                <w:noProof/>
                <w:sz w:val="20"/>
              </w:rPr>
              <w:t>Бюджетен ред</w:t>
            </w:r>
          </w:p>
        </w:tc>
        <w:tc>
          <w:tcPr>
            <w:tcW w:w="2141" w:type="dxa"/>
            <w:gridSpan w:val="2"/>
            <w:vAlign w:val="center"/>
          </w:tcPr>
          <w:p>
            <w:pPr>
              <w:jc w:val="center"/>
              <w:rPr>
                <w:b/>
                <w:noProof/>
                <w:sz w:val="20"/>
                <w:szCs w:val="20"/>
              </w:rPr>
            </w:pPr>
            <w:r>
              <w:rPr>
                <w:b/>
                <w:noProof/>
                <w:sz w:val="20"/>
              </w:rPr>
              <w:t>Вид разход</w:t>
            </w:r>
          </w:p>
        </w:tc>
        <w:tc>
          <w:tcPr>
            <w:tcW w:w="1049" w:type="dxa"/>
            <w:vAlign w:val="center"/>
          </w:tcPr>
          <w:p>
            <w:pPr>
              <w:jc w:val="center"/>
              <w:rPr>
                <w:b/>
                <w:noProof/>
                <w:sz w:val="20"/>
                <w:szCs w:val="20"/>
              </w:rPr>
            </w:pPr>
            <w:r>
              <w:rPr>
                <w:b/>
                <w:noProof/>
                <w:sz w:val="20"/>
              </w:rPr>
              <w:t>Нов</w:t>
            </w:r>
          </w:p>
        </w:tc>
        <w:tc>
          <w:tcPr>
            <w:tcW w:w="1497" w:type="dxa"/>
            <w:vAlign w:val="center"/>
          </w:tcPr>
          <w:p>
            <w:pPr>
              <w:jc w:val="center"/>
              <w:rPr>
                <w:b/>
                <w:noProof/>
                <w:sz w:val="20"/>
                <w:szCs w:val="20"/>
              </w:rPr>
            </w:pPr>
            <w:r>
              <w:rPr>
                <w:b/>
                <w:noProof/>
                <w:sz w:val="20"/>
              </w:rPr>
              <w:t>Участие на ЕАСТ</w:t>
            </w:r>
          </w:p>
        </w:tc>
        <w:tc>
          <w:tcPr>
            <w:tcW w:w="1657" w:type="dxa"/>
            <w:vAlign w:val="center"/>
          </w:tcPr>
          <w:p>
            <w:pPr>
              <w:jc w:val="center"/>
              <w:rPr>
                <w:b/>
                <w:noProof/>
                <w:sz w:val="20"/>
                <w:szCs w:val="20"/>
              </w:rPr>
            </w:pPr>
            <w:r>
              <w:rPr>
                <w:b/>
                <w:noProof/>
                <w:sz w:val="20"/>
              </w:rPr>
              <w:t>Участие на държавите кандидатки</w:t>
            </w:r>
          </w:p>
        </w:tc>
        <w:tc>
          <w:tcPr>
            <w:tcW w:w="1376" w:type="dxa"/>
            <w:vAlign w:val="center"/>
          </w:tcPr>
          <w:p>
            <w:pPr>
              <w:jc w:val="center"/>
              <w:rPr>
                <w:b/>
                <w:noProof/>
                <w:sz w:val="20"/>
                <w:szCs w:val="20"/>
              </w:rPr>
            </w:pPr>
            <w:r>
              <w:rPr>
                <w:b/>
                <w:noProof/>
                <w:sz w:val="20"/>
              </w:rPr>
              <w:t>Функция във финансовата перспектива</w:t>
            </w:r>
          </w:p>
        </w:tc>
      </w:tr>
      <w:tr>
        <w:trPr>
          <w:jc w:val="center"/>
        </w:trPr>
        <w:tc>
          <w:tcPr>
            <w:tcW w:w="1136" w:type="dxa"/>
            <w:vAlign w:val="center"/>
          </w:tcPr>
          <w:p>
            <w:pPr>
              <w:rPr>
                <w:noProof/>
                <w:sz w:val="20"/>
                <w:szCs w:val="20"/>
              </w:rPr>
            </w:pPr>
            <w:r>
              <w:rPr>
                <w:noProof/>
                <w:sz w:val="20"/>
              </w:rPr>
              <w:t>13.036000</w:t>
            </w:r>
          </w:p>
        </w:tc>
        <w:tc>
          <w:tcPr>
            <w:tcW w:w="1103" w:type="dxa"/>
            <w:vAlign w:val="center"/>
          </w:tcPr>
          <w:p>
            <w:pPr>
              <w:jc w:val="center"/>
              <w:rPr>
                <w:noProof/>
                <w:sz w:val="20"/>
                <w:szCs w:val="20"/>
              </w:rPr>
            </w:pPr>
            <w:r>
              <w:rPr>
                <w:noProof/>
              </w:rPr>
              <w:t>Незадължителен</w:t>
            </w:r>
          </w:p>
        </w:tc>
        <w:tc>
          <w:tcPr>
            <w:tcW w:w="1038" w:type="dxa"/>
            <w:vAlign w:val="center"/>
          </w:tcPr>
          <w:p>
            <w:pPr>
              <w:jc w:val="center"/>
              <w:rPr>
                <w:noProof/>
                <w:sz w:val="20"/>
                <w:szCs w:val="20"/>
              </w:rPr>
            </w:pPr>
            <w:r>
              <w:rPr>
                <w:noProof/>
              </w:rPr>
              <w:t>Многогод.</w:t>
            </w:r>
          </w:p>
        </w:tc>
        <w:tc>
          <w:tcPr>
            <w:tcW w:w="1049" w:type="dxa"/>
            <w:vAlign w:val="center"/>
          </w:tcPr>
          <w:p>
            <w:pPr>
              <w:jc w:val="center"/>
              <w:rPr>
                <w:noProof/>
                <w:sz w:val="20"/>
                <w:szCs w:val="20"/>
              </w:rPr>
            </w:pPr>
            <w:r>
              <w:rPr>
                <w:noProof/>
              </w:rPr>
              <w:t>НЕ</w:t>
            </w:r>
          </w:p>
        </w:tc>
        <w:tc>
          <w:tcPr>
            <w:tcW w:w="1497" w:type="dxa"/>
            <w:vAlign w:val="center"/>
          </w:tcPr>
          <w:p>
            <w:pPr>
              <w:jc w:val="center"/>
              <w:rPr>
                <w:noProof/>
                <w:sz w:val="20"/>
                <w:szCs w:val="20"/>
              </w:rPr>
            </w:pPr>
            <w:r>
              <w:rPr>
                <w:noProof/>
              </w:rPr>
              <w:t>НЕ</w:t>
            </w:r>
          </w:p>
        </w:tc>
        <w:tc>
          <w:tcPr>
            <w:tcW w:w="1657" w:type="dxa"/>
            <w:vAlign w:val="center"/>
          </w:tcPr>
          <w:p>
            <w:pPr>
              <w:jc w:val="center"/>
              <w:rPr>
                <w:noProof/>
                <w:sz w:val="20"/>
                <w:szCs w:val="20"/>
              </w:rPr>
            </w:pPr>
            <w:r>
              <w:rPr>
                <w:noProof/>
              </w:rPr>
              <w:t>НЕ</w:t>
            </w:r>
          </w:p>
        </w:tc>
        <w:tc>
          <w:tcPr>
            <w:tcW w:w="1376" w:type="dxa"/>
            <w:vAlign w:val="center"/>
          </w:tcPr>
          <w:p>
            <w:pPr>
              <w:jc w:val="center"/>
              <w:rPr>
                <w:noProof/>
                <w:sz w:val="20"/>
                <w:szCs w:val="20"/>
              </w:rPr>
            </w:pPr>
            <w:r>
              <w:rPr>
                <w:b/>
                <w:noProof/>
                <w:sz w:val="20"/>
              </w:rPr>
              <w:t>№</w:t>
            </w:r>
            <w:r>
              <w:rPr>
                <w:noProof/>
              </w:rPr>
              <w:t xml:space="preserve"> 1б</w:t>
            </w:r>
          </w:p>
        </w:tc>
      </w:tr>
      <w:tr>
        <w:trPr>
          <w:jc w:val="center"/>
        </w:trPr>
        <w:tc>
          <w:tcPr>
            <w:tcW w:w="1136" w:type="dxa"/>
          </w:tcPr>
          <w:p>
            <w:pPr>
              <w:rPr>
                <w:noProof/>
              </w:rPr>
            </w:pPr>
            <w:r>
              <w:rPr>
                <w:noProof/>
                <w:sz w:val="20"/>
              </w:rPr>
              <w:t>13.036100</w:t>
            </w:r>
          </w:p>
        </w:tc>
        <w:tc>
          <w:tcPr>
            <w:tcW w:w="1103" w:type="dxa"/>
            <w:vAlign w:val="center"/>
          </w:tcPr>
          <w:p>
            <w:pPr>
              <w:jc w:val="center"/>
              <w:rPr>
                <w:noProof/>
                <w:sz w:val="20"/>
                <w:szCs w:val="20"/>
              </w:rPr>
            </w:pPr>
            <w:r>
              <w:rPr>
                <w:noProof/>
              </w:rPr>
              <w:t>Незадължителен</w:t>
            </w:r>
          </w:p>
        </w:tc>
        <w:tc>
          <w:tcPr>
            <w:tcW w:w="1038" w:type="dxa"/>
            <w:vAlign w:val="center"/>
          </w:tcPr>
          <w:p>
            <w:pPr>
              <w:jc w:val="center"/>
              <w:rPr>
                <w:noProof/>
                <w:sz w:val="20"/>
                <w:szCs w:val="20"/>
              </w:rPr>
            </w:pPr>
            <w:r>
              <w:rPr>
                <w:noProof/>
              </w:rPr>
              <w:t>Многогод.</w:t>
            </w:r>
          </w:p>
        </w:tc>
        <w:tc>
          <w:tcPr>
            <w:tcW w:w="1049" w:type="dxa"/>
            <w:vAlign w:val="center"/>
          </w:tcPr>
          <w:p>
            <w:pPr>
              <w:jc w:val="center"/>
              <w:rPr>
                <w:noProof/>
                <w:sz w:val="20"/>
                <w:szCs w:val="20"/>
              </w:rPr>
            </w:pPr>
            <w:r>
              <w:rPr>
                <w:noProof/>
              </w:rPr>
              <w:t>НЕ</w:t>
            </w:r>
          </w:p>
        </w:tc>
        <w:tc>
          <w:tcPr>
            <w:tcW w:w="1497" w:type="dxa"/>
            <w:vAlign w:val="center"/>
          </w:tcPr>
          <w:p>
            <w:pPr>
              <w:jc w:val="center"/>
              <w:rPr>
                <w:noProof/>
                <w:sz w:val="20"/>
                <w:szCs w:val="20"/>
              </w:rPr>
            </w:pPr>
            <w:r>
              <w:rPr>
                <w:noProof/>
              </w:rPr>
              <w:t>НЕ</w:t>
            </w:r>
          </w:p>
        </w:tc>
        <w:tc>
          <w:tcPr>
            <w:tcW w:w="1657" w:type="dxa"/>
            <w:vAlign w:val="center"/>
          </w:tcPr>
          <w:p>
            <w:pPr>
              <w:jc w:val="center"/>
              <w:rPr>
                <w:noProof/>
                <w:sz w:val="20"/>
                <w:szCs w:val="20"/>
              </w:rPr>
            </w:pPr>
            <w:r>
              <w:rPr>
                <w:noProof/>
              </w:rPr>
              <w:t>НЕ</w:t>
            </w:r>
          </w:p>
        </w:tc>
        <w:tc>
          <w:tcPr>
            <w:tcW w:w="1376" w:type="dxa"/>
            <w:vAlign w:val="center"/>
          </w:tcPr>
          <w:p>
            <w:pPr>
              <w:jc w:val="center"/>
              <w:rPr>
                <w:noProof/>
                <w:sz w:val="20"/>
                <w:szCs w:val="20"/>
              </w:rPr>
            </w:pPr>
            <w:r>
              <w:rPr>
                <w:b/>
                <w:noProof/>
                <w:sz w:val="20"/>
              </w:rPr>
              <w:t>№</w:t>
            </w:r>
            <w:r>
              <w:rPr>
                <w:noProof/>
              </w:rPr>
              <w:t xml:space="preserve"> 1б</w:t>
            </w:r>
          </w:p>
        </w:tc>
      </w:tr>
      <w:tr>
        <w:trPr>
          <w:jc w:val="center"/>
        </w:trPr>
        <w:tc>
          <w:tcPr>
            <w:tcW w:w="1136" w:type="dxa"/>
            <w:vAlign w:val="center"/>
          </w:tcPr>
          <w:p>
            <w:pPr>
              <w:rPr>
                <w:noProof/>
                <w:sz w:val="20"/>
                <w:szCs w:val="20"/>
              </w:rPr>
            </w:pPr>
            <w:r>
              <w:rPr>
                <w:noProof/>
                <w:sz w:val="20"/>
              </w:rPr>
              <w:t>13.036200</w:t>
            </w:r>
          </w:p>
        </w:tc>
        <w:tc>
          <w:tcPr>
            <w:tcW w:w="1103" w:type="dxa"/>
            <w:vAlign w:val="center"/>
          </w:tcPr>
          <w:p>
            <w:pPr>
              <w:jc w:val="center"/>
              <w:rPr>
                <w:noProof/>
                <w:sz w:val="20"/>
                <w:szCs w:val="20"/>
              </w:rPr>
            </w:pPr>
            <w:r>
              <w:rPr>
                <w:noProof/>
              </w:rPr>
              <w:t>Незадължителен</w:t>
            </w:r>
          </w:p>
        </w:tc>
        <w:tc>
          <w:tcPr>
            <w:tcW w:w="1038" w:type="dxa"/>
            <w:vAlign w:val="center"/>
          </w:tcPr>
          <w:p>
            <w:pPr>
              <w:jc w:val="center"/>
              <w:rPr>
                <w:noProof/>
                <w:sz w:val="20"/>
                <w:szCs w:val="20"/>
              </w:rPr>
            </w:pPr>
            <w:r>
              <w:rPr>
                <w:noProof/>
              </w:rPr>
              <w:t>Многогод.</w:t>
            </w:r>
          </w:p>
        </w:tc>
        <w:tc>
          <w:tcPr>
            <w:tcW w:w="1049" w:type="dxa"/>
            <w:vAlign w:val="center"/>
          </w:tcPr>
          <w:p>
            <w:pPr>
              <w:jc w:val="center"/>
              <w:rPr>
                <w:noProof/>
                <w:sz w:val="20"/>
                <w:szCs w:val="20"/>
              </w:rPr>
            </w:pPr>
            <w:r>
              <w:rPr>
                <w:noProof/>
              </w:rPr>
              <w:t>НЕ</w:t>
            </w:r>
          </w:p>
        </w:tc>
        <w:tc>
          <w:tcPr>
            <w:tcW w:w="1497" w:type="dxa"/>
            <w:vAlign w:val="center"/>
          </w:tcPr>
          <w:p>
            <w:pPr>
              <w:jc w:val="center"/>
              <w:rPr>
                <w:noProof/>
                <w:sz w:val="20"/>
                <w:szCs w:val="20"/>
              </w:rPr>
            </w:pPr>
            <w:r>
              <w:rPr>
                <w:noProof/>
              </w:rPr>
              <w:t>НЕ</w:t>
            </w:r>
          </w:p>
        </w:tc>
        <w:tc>
          <w:tcPr>
            <w:tcW w:w="1657" w:type="dxa"/>
            <w:vAlign w:val="center"/>
          </w:tcPr>
          <w:p>
            <w:pPr>
              <w:jc w:val="center"/>
              <w:rPr>
                <w:noProof/>
                <w:sz w:val="20"/>
                <w:szCs w:val="20"/>
              </w:rPr>
            </w:pPr>
            <w:r>
              <w:rPr>
                <w:noProof/>
              </w:rPr>
              <w:t>НЕ</w:t>
            </w:r>
          </w:p>
        </w:tc>
        <w:tc>
          <w:tcPr>
            <w:tcW w:w="1376" w:type="dxa"/>
            <w:vAlign w:val="center"/>
          </w:tcPr>
          <w:p>
            <w:pPr>
              <w:jc w:val="center"/>
              <w:rPr>
                <w:noProof/>
                <w:sz w:val="20"/>
                <w:szCs w:val="20"/>
              </w:rPr>
            </w:pPr>
            <w:r>
              <w:rPr>
                <w:b/>
                <w:noProof/>
                <w:sz w:val="20"/>
              </w:rPr>
              <w:t>№</w:t>
            </w:r>
            <w:r>
              <w:rPr>
                <w:noProof/>
              </w:rPr>
              <w:t xml:space="preserve"> 1б</w:t>
            </w:r>
          </w:p>
        </w:tc>
      </w:tr>
      <w:tr>
        <w:trPr>
          <w:jc w:val="center"/>
        </w:trPr>
        <w:tc>
          <w:tcPr>
            <w:tcW w:w="1136" w:type="dxa"/>
            <w:vAlign w:val="center"/>
          </w:tcPr>
          <w:p>
            <w:pPr>
              <w:rPr>
                <w:noProof/>
                <w:sz w:val="20"/>
                <w:szCs w:val="20"/>
              </w:rPr>
            </w:pPr>
            <w:r>
              <w:rPr>
                <w:noProof/>
                <w:sz w:val="20"/>
              </w:rPr>
              <w:t>13.036300</w:t>
            </w:r>
          </w:p>
        </w:tc>
        <w:tc>
          <w:tcPr>
            <w:tcW w:w="1103" w:type="dxa"/>
            <w:vAlign w:val="center"/>
          </w:tcPr>
          <w:p>
            <w:pPr>
              <w:jc w:val="center"/>
              <w:rPr>
                <w:noProof/>
                <w:sz w:val="20"/>
                <w:szCs w:val="20"/>
              </w:rPr>
            </w:pPr>
            <w:r>
              <w:rPr>
                <w:noProof/>
              </w:rPr>
              <w:t>Незадължителен</w:t>
            </w:r>
          </w:p>
        </w:tc>
        <w:tc>
          <w:tcPr>
            <w:tcW w:w="1038" w:type="dxa"/>
            <w:vAlign w:val="center"/>
          </w:tcPr>
          <w:p>
            <w:pPr>
              <w:jc w:val="center"/>
              <w:rPr>
                <w:noProof/>
                <w:sz w:val="20"/>
                <w:szCs w:val="20"/>
              </w:rPr>
            </w:pPr>
            <w:r>
              <w:rPr>
                <w:noProof/>
              </w:rPr>
              <w:t>Многогод.</w:t>
            </w:r>
          </w:p>
        </w:tc>
        <w:tc>
          <w:tcPr>
            <w:tcW w:w="1049" w:type="dxa"/>
            <w:vAlign w:val="center"/>
          </w:tcPr>
          <w:p>
            <w:pPr>
              <w:jc w:val="center"/>
              <w:rPr>
                <w:noProof/>
                <w:sz w:val="20"/>
                <w:szCs w:val="20"/>
              </w:rPr>
            </w:pPr>
            <w:r>
              <w:rPr>
                <w:noProof/>
              </w:rPr>
              <w:t>НЕ</w:t>
            </w:r>
          </w:p>
        </w:tc>
        <w:tc>
          <w:tcPr>
            <w:tcW w:w="1497" w:type="dxa"/>
            <w:vAlign w:val="center"/>
          </w:tcPr>
          <w:p>
            <w:pPr>
              <w:jc w:val="center"/>
              <w:rPr>
                <w:noProof/>
                <w:sz w:val="20"/>
                <w:szCs w:val="20"/>
              </w:rPr>
            </w:pPr>
            <w:r>
              <w:rPr>
                <w:noProof/>
              </w:rPr>
              <w:t>НЕ</w:t>
            </w:r>
          </w:p>
        </w:tc>
        <w:tc>
          <w:tcPr>
            <w:tcW w:w="1657" w:type="dxa"/>
            <w:vAlign w:val="center"/>
          </w:tcPr>
          <w:p>
            <w:pPr>
              <w:jc w:val="center"/>
              <w:rPr>
                <w:noProof/>
                <w:sz w:val="20"/>
                <w:szCs w:val="20"/>
              </w:rPr>
            </w:pPr>
            <w:r>
              <w:rPr>
                <w:noProof/>
              </w:rPr>
              <w:t>НЕ</w:t>
            </w:r>
          </w:p>
        </w:tc>
        <w:tc>
          <w:tcPr>
            <w:tcW w:w="1376" w:type="dxa"/>
            <w:vAlign w:val="center"/>
          </w:tcPr>
          <w:p>
            <w:pPr>
              <w:jc w:val="center"/>
              <w:rPr>
                <w:noProof/>
                <w:sz w:val="20"/>
                <w:szCs w:val="20"/>
              </w:rPr>
            </w:pPr>
            <w:r>
              <w:rPr>
                <w:b/>
                <w:noProof/>
                <w:sz w:val="20"/>
              </w:rPr>
              <w:t>№</w:t>
            </w:r>
            <w:r>
              <w:rPr>
                <w:noProof/>
              </w:rPr>
              <w:t xml:space="preserve"> 1б</w:t>
            </w:r>
          </w:p>
        </w:tc>
      </w:tr>
      <w:tr>
        <w:trPr>
          <w:jc w:val="center"/>
        </w:trPr>
        <w:tc>
          <w:tcPr>
            <w:tcW w:w="1136" w:type="dxa"/>
            <w:vAlign w:val="center"/>
          </w:tcPr>
          <w:p>
            <w:pPr>
              <w:rPr>
                <w:noProof/>
                <w:sz w:val="20"/>
                <w:szCs w:val="20"/>
              </w:rPr>
            </w:pPr>
            <w:r>
              <w:rPr>
                <w:noProof/>
                <w:sz w:val="20"/>
              </w:rPr>
              <w:t>13.036401</w:t>
            </w:r>
          </w:p>
        </w:tc>
        <w:tc>
          <w:tcPr>
            <w:tcW w:w="1103" w:type="dxa"/>
            <w:vAlign w:val="center"/>
          </w:tcPr>
          <w:p>
            <w:pPr>
              <w:jc w:val="center"/>
              <w:rPr>
                <w:noProof/>
                <w:sz w:val="20"/>
                <w:szCs w:val="20"/>
              </w:rPr>
            </w:pPr>
            <w:r>
              <w:rPr>
                <w:noProof/>
              </w:rPr>
              <w:t>Незадължителен</w:t>
            </w:r>
          </w:p>
        </w:tc>
        <w:tc>
          <w:tcPr>
            <w:tcW w:w="1038" w:type="dxa"/>
            <w:vAlign w:val="center"/>
          </w:tcPr>
          <w:p>
            <w:pPr>
              <w:jc w:val="center"/>
              <w:rPr>
                <w:noProof/>
                <w:sz w:val="20"/>
                <w:szCs w:val="20"/>
              </w:rPr>
            </w:pPr>
            <w:r>
              <w:rPr>
                <w:noProof/>
              </w:rPr>
              <w:t>Многогод.</w:t>
            </w:r>
          </w:p>
        </w:tc>
        <w:tc>
          <w:tcPr>
            <w:tcW w:w="1049" w:type="dxa"/>
            <w:vAlign w:val="center"/>
          </w:tcPr>
          <w:p>
            <w:pPr>
              <w:jc w:val="center"/>
              <w:rPr>
                <w:noProof/>
                <w:sz w:val="20"/>
                <w:szCs w:val="20"/>
              </w:rPr>
            </w:pPr>
            <w:r>
              <w:rPr>
                <w:noProof/>
              </w:rPr>
              <w:t>НЕ</w:t>
            </w:r>
          </w:p>
        </w:tc>
        <w:tc>
          <w:tcPr>
            <w:tcW w:w="1497" w:type="dxa"/>
            <w:vAlign w:val="center"/>
          </w:tcPr>
          <w:p>
            <w:pPr>
              <w:jc w:val="center"/>
              <w:rPr>
                <w:noProof/>
                <w:sz w:val="20"/>
                <w:szCs w:val="20"/>
              </w:rPr>
            </w:pPr>
            <w:r>
              <w:rPr>
                <w:noProof/>
              </w:rPr>
              <w:t>НЕ</w:t>
            </w:r>
          </w:p>
        </w:tc>
        <w:tc>
          <w:tcPr>
            <w:tcW w:w="1657" w:type="dxa"/>
            <w:vAlign w:val="center"/>
          </w:tcPr>
          <w:p>
            <w:pPr>
              <w:jc w:val="center"/>
              <w:rPr>
                <w:noProof/>
                <w:sz w:val="20"/>
                <w:szCs w:val="20"/>
              </w:rPr>
            </w:pPr>
            <w:r>
              <w:rPr>
                <w:noProof/>
              </w:rPr>
              <w:t>НЕ</w:t>
            </w:r>
          </w:p>
        </w:tc>
        <w:tc>
          <w:tcPr>
            <w:tcW w:w="1376" w:type="dxa"/>
            <w:vAlign w:val="center"/>
          </w:tcPr>
          <w:p>
            <w:pPr>
              <w:jc w:val="center"/>
              <w:rPr>
                <w:noProof/>
                <w:sz w:val="20"/>
                <w:szCs w:val="20"/>
              </w:rPr>
            </w:pPr>
            <w:r>
              <w:rPr>
                <w:b/>
                <w:noProof/>
                <w:sz w:val="20"/>
              </w:rPr>
              <w:t>№</w:t>
            </w:r>
            <w:r>
              <w:rPr>
                <w:noProof/>
              </w:rPr>
              <w:t xml:space="preserve"> 1б</w:t>
            </w:r>
          </w:p>
        </w:tc>
      </w:tr>
    </w:tbl>
    <w:p>
      <w:pPr>
        <w:pStyle w:val="ManualHeading1"/>
        <w:rPr>
          <w:noProof/>
        </w:rPr>
      </w:pPr>
      <w:r>
        <w:rPr>
          <w:noProof/>
        </w:rPr>
        <w:t>4.</w:t>
      </w:r>
      <w:r>
        <w:rPr>
          <w:noProof/>
        </w:rPr>
        <w:tab/>
        <w:t>ОБОБЩЕНИЕ НА РЕСУРСИТЕ</w:t>
      </w:r>
    </w:p>
    <w:p>
      <w:pPr>
        <w:pStyle w:val="ManualHeading2"/>
        <w:rPr>
          <w:noProof/>
        </w:rPr>
      </w:pPr>
      <w:r>
        <w:rPr>
          <w:noProof/>
        </w:rPr>
        <w:t>4.1.</w:t>
      </w:r>
      <w:r>
        <w:rPr>
          <w:noProof/>
        </w:rPr>
        <w:tab/>
        <w:t>Финансови ресурси</w:t>
      </w:r>
    </w:p>
    <w:p>
      <w:pPr>
        <w:pStyle w:val="ManualHeading3"/>
        <w:rPr>
          <w:noProof/>
        </w:rPr>
      </w:pPr>
      <w:r>
        <w:rPr>
          <w:noProof/>
        </w:rPr>
        <w:t>4.1.1.</w:t>
      </w:r>
      <w:r>
        <w:rPr>
          <w:noProof/>
        </w:rPr>
        <w:tab/>
        <w:t xml:space="preserve">Обобщение на бюджетните кредити за поети задължения (БКПЗ) и бюджетните кредити за плащания (БКП) </w:t>
      </w:r>
    </w:p>
    <w:p>
      <w:pPr>
        <w:rPr>
          <w:noProof/>
        </w:rPr>
      </w:pPr>
      <w:r>
        <w:rPr>
          <w:noProof/>
        </w:rPr>
        <w:t xml:space="preserve">Таблиците по-долу показват очакваното въздействие на предложените мерки в периода между 2017 и 2019 г. Тъй като не се предлагат нови финансови ресурси за бюджетните кредити за поети задължения, в таблиците не са въведени цифри, а e посочено „н.п.“ (не се прилага). Поради това настоящото предложение е в съответствие с многогодишната финансова рамка за периода 2014—2020 г. </w:t>
      </w:r>
    </w:p>
    <w:p>
      <w:pPr>
        <w:rPr>
          <w:noProof/>
        </w:rPr>
      </w:pPr>
      <w:r>
        <w:rPr>
          <w:noProof/>
        </w:rPr>
        <w:t>По отношение на плащанията предложението би довело до възстановяването на по-големи суми за съответните държави членки. Въз основа на общата стойност на щетите от природни бедствия за случаи, одобрени за подпомагане от фонд „Солидарност“, считано от 2014 г., и при средна ставка на допълнително съфинансиране от 25 %, въздействието в допълнителни плащания може да се изчисли на около 1,6 млрд. EUR за периода 2017—2019 г.</w:t>
      </w:r>
    </w:p>
    <w:p>
      <w:pPr>
        <w:rPr>
          <w:noProof/>
        </w:rPr>
      </w:pPr>
      <w:r>
        <w:rPr>
          <w:noProof/>
        </w:rPr>
        <w:t>Настоящото предложение може да доведе до по-интензивно използване на бюджетни кредити за плащания за съответните програми, което би било компенсирано до приключването на програмата, като следователно предложението няма да има отражение върху бюджета. Общият размер на бюджетните кредити за плащания за целия програмен период остава непроменен.</w:t>
      </w:r>
    </w:p>
    <w:p>
      <w:pPr>
        <w:rPr>
          <w:noProof/>
        </w:rPr>
      </w:pPr>
      <w:r>
        <w:rPr>
          <w:noProof/>
        </w:rPr>
        <w:t xml:space="preserve">Въз основа на настоящите прогнози за плащанията през 2017 г. за функция 1б, представени от държавите членки, се счита, че това въздействие може да бъде покрито в рамките на общия бюджет, одобрен за 2017 г. То ще трябва да бъде взето предвид при изготвянето на бюджетите за 2018 г. и 2019 г. в рамките на разпоредбите на многогодишната финансова рамка (МФР). </w:t>
      </w:r>
    </w:p>
    <w:p>
      <w:pPr>
        <w:rPr>
          <w:noProof/>
        </w:rPr>
      </w:pPr>
    </w:p>
    <w:p>
      <w:pPr>
        <w:rPr>
          <w:noProof/>
        </w:rPr>
        <w:sectPr>
          <w:pgSz w:w="11907" w:h="16839"/>
          <w:pgMar w:top="1134" w:right="1417" w:bottom="1134" w:left="1417" w:header="709" w:footer="709" w:gutter="0"/>
          <w:cols w:space="708"/>
          <w:docGrid w:linePitch="360"/>
        </w:sectPr>
      </w:pPr>
    </w:p>
    <w:p>
      <w:pPr>
        <w:jc w:val="right"/>
        <w:rPr>
          <w:i/>
          <w:noProof/>
          <w:sz w:val="20"/>
          <w:szCs w:val="20"/>
        </w:rPr>
      </w:pPr>
      <w:r>
        <w:rPr>
          <w:i/>
          <w:noProof/>
          <w:sz w:val="20"/>
        </w:rPr>
        <w:lastRenderedPageBreak/>
        <w:t>млн. евро (до 3-ия знак след десетичната запетая)</w:t>
      </w:r>
    </w:p>
    <w:tbl>
      <w:tblPr>
        <w:tblW w:w="8952" w:type="dxa"/>
        <w:tblInd w:w="312" w:type="dxa"/>
        <w:tblLayout w:type="fixed"/>
        <w:tblLook w:val="0000" w:firstRow="0" w:lastRow="0" w:firstColumn="0" w:lastColumn="0" w:noHBand="0" w:noVBand="0"/>
      </w:tblPr>
      <w:tblGrid>
        <w:gridCol w:w="2335"/>
        <w:gridCol w:w="701"/>
        <w:gridCol w:w="720"/>
        <w:gridCol w:w="720"/>
        <w:gridCol w:w="720"/>
        <w:gridCol w:w="720"/>
        <w:gridCol w:w="720"/>
        <w:gridCol w:w="720"/>
        <w:gridCol w:w="840"/>
        <w:gridCol w:w="756"/>
      </w:tblGrid>
      <w:tr>
        <w:trPr>
          <w:cantSplit/>
        </w:trPr>
        <w:tc>
          <w:tcPr>
            <w:tcW w:w="2335" w:type="dxa"/>
            <w:tcBorders>
              <w:top w:val="single" w:sz="8" w:space="0" w:color="auto"/>
              <w:left w:val="single" w:sz="8" w:space="0" w:color="auto"/>
              <w:bottom w:val="single" w:sz="8" w:space="0" w:color="auto"/>
              <w:right w:val="single" w:sz="6" w:space="0" w:color="auto"/>
            </w:tcBorders>
            <w:vAlign w:val="center"/>
          </w:tcPr>
          <w:p>
            <w:pPr>
              <w:jc w:val="center"/>
              <w:rPr>
                <w:noProof/>
                <w:sz w:val="22"/>
              </w:rPr>
            </w:pPr>
          </w:p>
          <w:p>
            <w:pPr>
              <w:jc w:val="center"/>
              <w:rPr>
                <w:b/>
                <w:noProof/>
                <w:sz w:val="20"/>
                <w:szCs w:val="20"/>
              </w:rPr>
            </w:pPr>
            <w:r>
              <w:rPr>
                <w:b/>
                <w:noProof/>
                <w:sz w:val="20"/>
              </w:rPr>
              <w:t>Вид разход</w:t>
            </w:r>
          </w:p>
        </w:tc>
        <w:tc>
          <w:tcPr>
            <w:tcW w:w="701" w:type="dxa"/>
            <w:tcBorders>
              <w:top w:val="single" w:sz="8" w:space="0" w:color="auto"/>
              <w:left w:val="single" w:sz="6" w:space="0" w:color="auto"/>
              <w:bottom w:val="single" w:sz="8" w:space="0" w:color="auto"/>
              <w:right w:val="single" w:sz="6" w:space="0" w:color="auto"/>
            </w:tcBorders>
          </w:tcPr>
          <w:p>
            <w:pPr>
              <w:jc w:val="center"/>
              <w:rPr>
                <w:noProof/>
                <w:sz w:val="20"/>
                <w:szCs w:val="20"/>
              </w:rPr>
            </w:pPr>
            <w:r>
              <w:rPr>
                <w:noProof/>
                <w:sz w:val="20"/>
              </w:rPr>
              <w:t>Раздел №</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2"/>
              </w:rPr>
            </w:pP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rPr>
              <w:t>Година n</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rPr>
              <w:t>n + 1</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rPr>
              <w:t>n + 2</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rPr>
              <w:t>n + 3</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rPr>
              <w:t>n + 4</w:t>
            </w:r>
          </w:p>
        </w:tc>
        <w:tc>
          <w:tcPr>
            <w:tcW w:w="840" w:type="dxa"/>
            <w:tcBorders>
              <w:top w:val="single" w:sz="8" w:space="0" w:color="auto"/>
              <w:left w:val="single" w:sz="6" w:space="0" w:color="auto"/>
              <w:bottom w:val="single" w:sz="8" w:space="0" w:color="auto"/>
              <w:right w:val="single" w:sz="8" w:space="0" w:color="auto"/>
            </w:tcBorders>
            <w:vAlign w:val="center"/>
          </w:tcPr>
          <w:p>
            <w:pPr>
              <w:jc w:val="center"/>
              <w:rPr>
                <w:noProof/>
                <w:sz w:val="20"/>
                <w:szCs w:val="20"/>
              </w:rPr>
            </w:pPr>
            <w:r>
              <w:rPr>
                <w:noProof/>
                <w:sz w:val="20"/>
              </w:rPr>
              <w:t>n + 5 и следващите</w:t>
            </w:r>
          </w:p>
        </w:tc>
        <w:tc>
          <w:tcPr>
            <w:tcW w:w="756" w:type="dxa"/>
            <w:tcBorders>
              <w:top w:val="single" w:sz="8" w:space="0" w:color="auto"/>
              <w:left w:val="single" w:sz="8" w:space="0" w:color="auto"/>
              <w:bottom w:val="single" w:sz="8" w:space="0" w:color="auto"/>
              <w:right w:val="single" w:sz="8" w:space="0" w:color="auto"/>
            </w:tcBorders>
          </w:tcPr>
          <w:p>
            <w:pPr>
              <w:jc w:val="center"/>
              <w:rPr>
                <w:noProof/>
                <w:sz w:val="20"/>
                <w:szCs w:val="20"/>
              </w:rPr>
            </w:pPr>
          </w:p>
          <w:p>
            <w:pPr>
              <w:jc w:val="center"/>
              <w:rPr>
                <w:noProof/>
                <w:sz w:val="20"/>
                <w:szCs w:val="20"/>
              </w:rPr>
            </w:pPr>
            <w:r>
              <w:rPr>
                <w:noProof/>
                <w:sz w:val="20"/>
              </w:rPr>
              <w:t>Общо</w:t>
            </w:r>
          </w:p>
        </w:tc>
      </w:tr>
      <w:tr>
        <w:trPr>
          <w:cantSplit/>
        </w:trPr>
        <w:tc>
          <w:tcPr>
            <w:tcW w:w="3036" w:type="dxa"/>
            <w:gridSpan w:val="2"/>
            <w:tcBorders>
              <w:top w:val="single" w:sz="8" w:space="0" w:color="auto"/>
              <w:bottom w:val="single" w:sz="8" w:space="0" w:color="auto"/>
            </w:tcBorders>
          </w:tcPr>
          <w:p>
            <w:pPr>
              <w:spacing w:before="60" w:after="60"/>
              <w:rPr>
                <w:noProof/>
              </w:rPr>
            </w:pPr>
            <w:r>
              <w:rPr>
                <w:b/>
                <w:noProof/>
                <w:sz w:val="22"/>
              </w:rPr>
              <w:t>Оперативни разходи</w:t>
            </w:r>
            <w:r>
              <w:rPr>
                <w:rStyle w:val="FootnoteReference"/>
                <w:b/>
                <w:noProof/>
                <w:sz w:val="22"/>
              </w:rPr>
              <w:footnoteReference w:id="5"/>
            </w:r>
            <w:r>
              <w:rPr>
                <w:b/>
                <w:noProof/>
                <w:sz w:val="22"/>
              </w:rPr>
              <w:t xml:space="preserve"> </w:t>
            </w:r>
          </w:p>
        </w:tc>
        <w:tc>
          <w:tcPr>
            <w:tcW w:w="720" w:type="dxa"/>
            <w:tcBorders>
              <w:top w:val="single" w:sz="8" w:space="0" w:color="auto"/>
              <w:bottom w:val="single" w:sz="8" w:space="0" w:color="auto"/>
            </w:tcBorders>
            <w:vAlign w:val="center"/>
          </w:tcPr>
          <w:p>
            <w:pPr>
              <w:spacing w:before="60" w:after="60"/>
              <w:jc w:val="center"/>
              <w:rPr>
                <w:noProof/>
                <w:sz w:val="20"/>
                <w:szCs w:val="20"/>
              </w:rPr>
            </w:pPr>
          </w:p>
        </w:tc>
        <w:tc>
          <w:tcPr>
            <w:tcW w:w="720" w:type="dxa"/>
            <w:tcBorders>
              <w:top w:val="single" w:sz="8" w:space="0" w:color="auto"/>
              <w:bottom w:val="single" w:sz="8" w:space="0" w:color="auto"/>
            </w:tcBorders>
          </w:tcPr>
          <w:p>
            <w:pPr>
              <w:spacing w:before="60" w:after="60"/>
              <w:rPr>
                <w:noProof/>
              </w:rPr>
            </w:pPr>
          </w:p>
        </w:tc>
        <w:tc>
          <w:tcPr>
            <w:tcW w:w="720" w:type="dxa"/>
            <w:tcBorders>
              <w:top w:val="single" w:sz="8" w:space="0" w:color="auto"/>
              <w:bottom w:val="single" w:sz="8" w:space="0" w:color="auto"/>
            </w:tcBorders>
          </w:tcPr>
          <w:p>
            <w:pPr>
              <w:spacing w:before="60" w:after="60"/>
              <w:rPr>
                <w:noProof/>
              </w:rPr>
            </w:pPr>
          </w:p>
        </w:tc>
        <w:tc>
          <w:tcPr>
            <w:tcW w:w="720" w:type="dxa"/>
            <w:tcBorders>
              <w:top w:val="single" w:sz="8" w:space="0" w:color="auto"/>
              <w:bottom w:val="single" w:sz="8" w:space="0" w:color="auto"/>
            </w:tcBorders>
          </w:tcPr>
          <w:p>
            <w:pPr>
              <w:spacing w:before="60" w:after="60"/>
              <w:rPr>
                <w:noProof/>
              </w:rPr>
            </w:pPr>
          </w:p>
        </w:tc>
        <w:tc>
          <w:tcPr>
            <w:tcW w:w="720" w:type="dxa"/>
            <w:tcBorders>
              <w:top w:val="single" w:sz="8" w:space="0" w:color="auto"/>
              <w:bottom w:val="single" w:sz="8" w:space="0" w:color="auto"/>
            </w:tcBorders>
          </w:tcPr>
          <w:p>
            <w:pPr>
              <w:spacing w:before="60" w:after="60"/>
              <w:rPr>
                <w:noProof/>
              </w:rPr>
            </w:pPr>
          </w:p>
        </w:tc>
        <w:tc>
          <w:tcPr>
            <w:tcW w:w="720" w:type="dxa"/>
            <w:tcBorders>
              <w:top w:val="single" w:sz="8" w:space="0" w:color="auto"/>
              <w:bottom w:val="single" w:sz="8" w:space="0" w:color="auto"/>
            </w:tcBorders>
          </w:tcPr>
          <w:p>
            <w:pPr>
              <w:spacing w:before="60" w:after="60"/>
              <w:rPr>
                <w:noProof/>
              </w:rPr>
            </w:pPr>
          </w:p>
        </w:tc>
        <w:tc>
          <w:tcPr>
            <w:tcW w:w="840" w:type="dxa"/>
            <w:tcBorders>
              <w:top w:val="single" w:sz="8" w:space="0" w:color="auto"/>
              <w:bottom w:val="single" w:sz="8" w:space="0" w:color="auto"/>
            </w:tcBorders>
          </w:tcPr>
          <w:p>
            <w:pPr>
              <w:spacing w:before="60" w:after="60"/>
              <w:rPr>
                <w:noProof/>
              </w:rPr>
            </w:pPr>
          </w:p>
        </w:tc>
        <w:tc>
          <w:tcPr>
            <w:tcW w:w="756" w:type="dxa"/>
            <w:tcBorders>
              <w:top w:val="single" w:sz="8" w:space="0" w:color="auto"/>
              <w:bottom w:val="single" w:sz="8" w:space="0" w:color="auto"/>
            </w:tcBorders>
          </w:tcPr>
          <w:p>
            <w:pPr>
              <w:spacing w:before="60" w:after="60"/>
              <w:rPr>
                <w:noProof/>
              </w:rPr>
            </w:pPr>
          </w:p>
        </w:tc>
      </w:tr>
      <w:tr>
        <w:trPr>
          <w:cantSplit/>
        </w:trPr>
        <w:tc>
          <w:tcPr>
            <w:tcW w:w="2335" w:type="dxa"/>
            <w:tcBorders>
              <w:top w:val="single" w:sz="8" w:space="0" w:color="auto"/>
              <w:left w:val="single" w:sz="8" w:space="0" w:color="auto"/>
              <w:bottom w:val="single" w:sz="4" w:space="0" w:color="auto"/>
              <w:right w:val="single" w:sz="4" w:space="0" w:color="auto"/>
            </w:tcBorders>
          </w:tcPr>
          <w:p>
            <w:pPr>
              <w:spacing w:before="60" w:after="60"/>
              <w:rPr>
                <w:noProof/>
                <w:sz w:val="20"/>
                <w:szCs w:val="20"/>
              </w:rPr>
            </w:pPr>
            <w:r>
              <w:rPr>
                <w:noProof/>
                <w:sz w:val="20"/>
              </w:rPr>
              <w:t>Бюджетни кредити за поети задължения (БКПЗ)</w:t>
            </w:r>
          </w:p>
        </w:tc>
        <w:tc>
          <w:tcPr>
            <w:tcW w:w="701" w:type="dxa"/>
            <w:tcBorders>
              <w:top w:val="single" w:sz="8"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rPr>
              <w:t>8.1</w:t>
            </w:r>
          </w:p>
        </w:tc>
        <w:tc>
          <w:tcPr>
            <w:tcW w:w="720" w:type="dxa"/>
            <w:tcBorders>
              <w:top w:val="single" w:sz="8"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rPr>
              <w:t>а</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840" w:type="dxa"/>
            <w:tcBorders>
              <w:top w:val="single" w:sz="8" w:space="0" w:color="auto"/>
              <w:left w:val="single" w:sz="4" w:space="0" w:color="auto"/>
              <w:bottom w:val="single" w:sz="4" w:space="0" w:color="auto"/>
              <w:right w:val="single" w:sz="8" w:space="0" w:color="auto"/>
            </w:tcBorders>
          </w:tcPr>
          <w:p>
            <w:pPr>
              <w:spacing w:before="60" w:after="60"/>
              <w:jc w:val="right"/>
              <w:rPr>
                <w:noProof/>
                <w:sz w:val="20"/>
                <w:szCs w:val="20"/>
              </w:rPr>
            </w:pPr>
            <w:r>
              <w:rPr>
                <w:noProof/>
                <w:sz w:val="20"/>
              </w:rPr>
              <w:t>н.п.</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rPr>
              <w:t>н.п.</w:t>
            </w:r>
          </w:p>
        </w:tc>
      </w:tr>
      <w:tr>
        <w:trPr>
          <w:cantSplit/>
        </w:trPr>
        <w:tc>
          <w:tcPr>
            <w:tcW w:w="2335" w:type="dxa"/>
            <w:tcBorders>
              <w:top w:val="single" w:sz="4" w:space="0" w:color="auto"/>
              <w:left w:val="single" w:sz="8" w:space="0" w:color="auto"/>
              <w:bottom w:val="single" w:sz="8" w:space="0" w:color="auto"/>
              <w:right w:val="single" w:sz="4" w:space="0" w:color="auto"/>
            </w:tcBorders>
          </w:tcPr>
          <w:p>
            <w:pPr>
              <w:spacing w:before="60" w:after="60"/>
              <w:rPr>
                <w:noProof/>
                <w:sz w:val="20"/>
                <w:szCs w:val="20"/>
              </w:rPr>
            </w:pPr>
            <w:r>
              <w:rPr>
                <w:noProof/>
                <w:sz w:val="20"/>
              </w:rPr>
              <w:t>Бюджетни кредити за плащания (БКП)</w:t>
            </w:r>
          </w:p>
        </w:tc>
        <w:tc>
          <w:tcPr>
            <w:tcW w:w="701" w:type="dxa"/>
            <w:tcBorders>
              <w:top w:val="single" w:sz="4" w:space="0" w:color="auto"/>
              <w:left w:val="single" w:sz="4" w:space="0" w:color="auto"/>
              <w:bottom w:val="single" w:sz="8" w:space="0" w:color="auto"/>
              <w:right w:val="single" w:sz="4" w:space="0" w:color="auto"/>
            </w:tcBorders>
          </w:tcPr>
          <w:p>
            <w:pPr>
              <w:spacing w:before="60" w:after="60"/>
              <w:jc w:val="center"/>
              <w:rPr>
                <w:noProof/>
              </w:rPr>
            </w:pPr>
          </w:p>
        </w:tc>
        <w:tc>
          <w:tcPr>
            <w:tcW w:w="720" w:type="dxa"/>
            <w:tcBorders>
              <w:top w:val="single" w:sz="4"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rPr>
              <w:t>б</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+548</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+548</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 xml:space="preserve"> +548</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840" w:type="dxa"/>
            <w:tcBorders>
              <w:top w:val="single" w:sz="4" w:space="0" w:color="auto"/>
              <w:left w:val="single" w:sz="4" w:space="0" w:color="auto"/>
              <w:bottom w:val="single" w:sz="8" w:space="0" w:color="auto"/>
              <w:right w:val="single" w:sz="8" w:space="0" w:color="auto"/>
            </w:tcBorders>
          </w:tcPr>
          <w:p>
            <w:pPr>
              <w:spacing w:before="60" w:after="60"/>
              <w:jc w:val="right"/>
              <w:rPr>
                <w:noProof/>
                <w:sz w:val="20"/>
                <w:szCs w:val="20"/>
              </w:rPr>
            </w:pPr>
            <w:r>
              <w:rPr>
                <w:noProof/>
                <w:sz w:val="20"/>
              </w:rPr>
              <w:t>-1644</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rPr>
              <w:t>0.</w:t>
            </w:r>
          </w:p>
        </w:tc>
      </w:tr>
      <w:tr>
        <w:trPr>
          <w:cantSplit/>
        </w:trPr>
        <w:tc>
          <w:tcPr>
            <w:tcW w:w="5916" w:type="dxa"/>
            <w:gridSpan w:val="6"/>
            <w:tcBorders>
              <w:top w:val="single" w:sz="8" w:space="0" w:color="auto"/>
              <w:bottom w:val="single" w:sz="8" w:space="0" w:color="auto"/>
            </w:tcBorders>
          </w:tcPr>
          <w:p>
            <w:pPr>
              <w:spacing w:before="60" w:after="60"/>
              <w:rPr>
                <w:b/>
                <w:noProof/>
                <w:sz w:val="20"/>
                <w:szCs w:val="20"/>
              </w:rPr>
            </w:pPr>
            <w:r>
              <w:rPr>
                <w:b/>
                <w:noProof/>
                <w:sz w:val="20"/>
              </w:rPr>
              <w:t>Административни разходи, включени в референтната сума</w:t>
            </w:r>
            <w:r>
              <w:rPr>
                <w:rStyle w:val="FootnoteReference"/>
                <w:b/>
                <w:noProof/>
                <w:sz w:val="20"/>
              </w:rPr>
              <w:footnoteReference w:id="6"/>
            </w:r>
          </w:p>
        </w:tc>
        <w:tc>
          <w:tcPr>
            <w:tcW w:w="720" w:type="dxa"/>
            <w:tcBorders>
              <w:top w:val="single" w:sz="8" w:space="0" w:color="auto"/>
              <w:bottom w:val="single" w:sz="8" w:space="0" w:color="auto"/>
            </w:tcBorders>
          </w:tcPr>
          <w:p>
            <w:pPr>
              <w:spacing w:before="60" w:after="60"/>
              <w:rPr>
                <w:b/>
                <w:noProof/>
                <w:sz w:val="20"/>
                <w:szCs w:val="20"/>
              </w:rPr>
            </w:pPr>
          </w:p>
        </w:tc>
        <w:tc>
          <w:tcPr>
            <w:tcW w:w="720" w:type="dxa"/>
            <w:tcBorders>
              <w:top w:val="single" w:sz="8" w:space="0" w:color="auto"/>
              <w:bottom w:val="single" w:sz="8" w:space="0" w:color="auto"/>
            </w:tcBorders>
          </w:tcPr>
          <w:p>
            <w:pPr>
              <w:spacing w:before="60" w:after="60"/>
              <w:rPr>
                <w:b/>
                <w:noProof/>
                <w:sz w:val="20"/>
                <w:szCs w:val="20"/>
              </w:rPr>
            </w:pPr>
          </w:p>
        </w:tc>
        <w:tc>
          <w:tcPr>
            <w:tcW w:w="840" w:type="dxa"/>
            <w:tcBorders>
              <w:top w:val="single" w:sz="8" w:space="0" w:color="auto"/>
              <w:bottom w:val="single" w:sz="8" w:space="0" w:color="auto"/>
            </w:tcBorders>
          </w:tcPr>
          <w:p>
            <w:pPr>
              <w:spacing w:before="60" w:after="60"/>
              <w:rPr>
                <w:b/>
                <w:noProof/>
                <w:sz w:val="20"/>
                <w:szCs w:val="20"/>
              </w:rPr>
            </w:pPr>
          </w:p>
        </w:tc>
        <w:tc>
          <w:tcPr>
            <w:tcW w:w="756" w:type="dxa"/>
            <w:tcBorders>
              <w:top w:val="single" w:sz="8" w:space="0" w:color="auto"/>
              <w:bottom w:val="single" w:sz="8" w:space="0" w:color="auto"/>
            </w:tcBorders>
          </w:tcPr>
          <w:p>
            <w:pPr>
              <w:spacing w:before="60" w:after="60"/>
              <w:rPr>
                <w:b/>
                <w:noProof/>
                <w:sz w:val="20"/>
                <w:szCs w:val="20"/>
              </w:rPr>
            </w:pPr>
          </w:p>
        </w:tc>
      </w:tr>
      <w:tr>
        <w:trPr>
          <w:cantSplit/>
        </w:trPr>
        <w:tc>
          <w:tcPr>
            <w:tcW w:w="2335" w:type="dxa"/>
            <w:tcBorders>
              <w:top w:val="single" w:sz="8" w:space="0" w:color="auto"/>
              <w:left w:val="single" w:sz="8" w:space="0" w:color="auto"/>
              <w:bottom w:val="single" w:sz="8" w:space="0" w:color="auto"/>
              <w:right w:val="single" w:sz="4" w:space="0" w:color="auto"/>
            </w:tcBorders>
          </w:tcPr>
          <w:p>
            <w:pPr>
              <w:spacing w:before="60" w:after="60"/>
              <w:rPr>
                <w:noProof/>
                <w:sz w:val="20"/>
                <w:szCs w:val="20"/>
              </w:rPr>
            </w:pPr>
            <w:r>
              <w:rPr>
                <w:noProof/>
                <w:sz w:val="20"/>
              </w:rPr>
              <w:t>Техническа и административна помощ (ЕБК)</w:t>
            </w:r>
          </w:p>
        </w:tc>
        <w:tc>
          <w:tcPr>
            <w:tcW w:w="701" w:type="dxa"/>
            <w:tcBorders>
              <w:top w:val="single" w:sz="8"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rPr>
              <w:t>8.2.4</w:t>
            </w:r>
          </w:p>
        </w:tc>
        <w:tc>
          <w:tcPr>
            <w:tcW w:w="720" w:type="dxa"/>
            <w:tcBorders>
              <w:top w:val="single" w:sz="8"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rPr>
              <w:t>в</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 xml:space="preserve">н.п. </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840" w:type="dxa"/>
            <w:tcBorders>
              <w:top w:val="single" w:sz="8" w:space="0" w:color="auto"/>
              <w:left w:val="single" w:sz="4" w:space="0" w:color="auto"/>
              <w:bottom w:val="single" w:sz="8" w:space="0" w:color="auto"/>
              <w:right w:val="single" w:sz="8" w:space="0" w:color="auto"/>
            </w:tcBorders>
          </w:tcPr>
          <w:p>
            <w:pPr>
              <w:spacing w:before="60" w:after="60"/>
              <w:jc w:val="right"/>
              <w:rPr>
                <w:noProof/>
                <w:sz w:val="20"/>
                <w:szCs w:val="20"/>
              </w:rPr>
            </w:pPr>
            <w:r>
              <w:rPr>
                <w:noProof/>
                <w:sz w:val="20"/>
              </w:rPr>
              <w:t>н.п.</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rPr>
              <w:t>н.п.</w:t>
            </w:r>
          </w:p>
        </w:tc>
      </w:tr>
      <w:tr>
        <w:trPr>
          <w:cantSplit/>
        </w:trPr>
        <w:tc>
          <w:tcPr>
            <w:tcW w:w="3756" w:type="dxa"/>
            <w:gridSpan w:val="3"/>
            <w:tcBorders>
              <w:top w:val="single" w:sz="8" w:space="0" w:color="auto"/>
              <w:bottom w:val="single" w:sz="18" w:space="0" w:color="auto"/>
            </w:tcBorders>
          </w:tcPr>
          <w:p>
            <w:pPr>
              <w:spacing w:before="60" w:after="60"/>
              <w:rPr>
                <w:b/>
                <w:noProof/>
                <w:sz w:val="20"/>
                <w:szCs w:val="20"/>
                <w14:shadow w14:blurRad="50800" w14:dist="38100" w14:dir="2700000" w14:sx="100000" w14:sy="100000" w14:kx="0" w14:ky="0" w14:algn="tl">
                  <w14:srgbClr w14:val="000000">
                    <w14:alpha w14:val="60000"/>
                  </w14:srgbClr>
                </w14:shadow>
              </w:rPr>
            </w:pPr>
            <w:r>
              <w:rPr>
                <w:b/>
                <w:noProof/>
                <w:sz w:val="20"/>
                <w14:shadow w14:blurRad="50800" w14:dist="38100" w14:dir="2700000" w14:sx="100000" w14:sy="100000" w14:kx="0" w14:ky="0" w14:algn="tl">
                  <w14:srgbClr w14:val="000000">
                    <w14:alpha w14:val="60000"/>
                  </w14:srgbClr>
                </w14:shadow>
              </w:rPr>
              <w:t>ОБЩО РЕФЕРЕНТНА СУМА</w:t>
            </w: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84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56"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r>
      <w:tr>
        <w:trPr>
          <w:cantSplit/>
        </w:trPr>
        <w:tc>
          <w:tcPr>
            <w:tcW w:w="2335" w:type="dxa"/>
            <w:tcBorders>
              <w:top w:val="single" w:sz="18" w:space="0" w:color="auto"/>
              <w:left w:val="single" w:sz="18" w:space="0" w:color="auto"/>
              <w:bottom w:val="single" w:sz="12" w:space="0" w:color="auto"/>
              <w:right w:val="single" w:sz="4" w:space="0" w:color="auto"/>
            </w:tcBorders>
          </w:tcPr>
          <w:p>
            <w:pPr>
              <w:spacing w:before="60" w:after="60"/>
              <w:rPr>
                <w:b/>
                <w:noProof/>
                <w:sz w:val="20"/>
                <w:szCs w:val="20"/>
              </w:rPr>
            </w:pPr>
            <w:r>
              <w:rPr>
                <w:b/>
                <w:noProof/>
                <w:sz w:val="20"/>
              </w:rPr>
              <w:t>Бюджетни кредити за поети задължения</w:t>
            </w:r>
          </w:p>
        </w:tc>
        <w:tc>
          <w:tcPr>
            <w:tcW w:w="701" w:type="dxa"/>
            <w:tcBorders>
              <w:top w:val="single" w:sz="18" w:space="0" w:color="auto"/>
              <w:left w:val="single" w:sz="4" w:space="0" w:color="auto"/>
              <w:bottom w:val="single" w:sz="12" w:space="0" w:color="auto"/>
              <w:right w:val="single" w:sz="4" w:space="0" w:color="auto"/>
            </w:tcBorders>
          </w:tcPr>
          <w:p>
            <w:pPr>
              <w:spacing w:before="60" w:after="60"/>
              <w:jc w:val="center"/>
              <w:rPr>
                <w:b/>
                <w:noProof/>
              </w:rPr>
            </w:pPr>
          </w:p>
        </w:tc>
        <w:tc>
          <w:tcPr>
            <w:tcW w:w="720" w:type="dxa"/>
            <w:tcBorders>
              <w:top w:val="single" w:sz="18" w:space="0" w:color="auto"/>
              <w:left w:val="single" w:sz="4" w:space="0" w:color="auto"/>
              <w:bottom w:val="single" w:sz="12" w:space="0" w:color="auto"/>
              <w:right w:val="single" w:sz="4" w:space="0" w:color="auto"/>
            </w:tcBorders>
            <w:vAlign w:val="center"/>
          </w:tcPr>
          <w:p>
            <w:pPr>
              <w:spacing w:before="60" w:after="60"/>
              <w:jc w:val="center"/>
              <w:rPr>
                <w:b/>
                <w:noProof/>
                <w:sz w:val="20"/>
                <w:szCs w:val="20"/>
              </w:rPr>
            </w:pPr>
            <w:r>
              <w:rPr>
                <w:b/>
                <w:noProof/>
                <w:sz w:val="20"/>
              </w:rPr>
              <w:t>а+в</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b/>
                <w:noProof/>
                <w:sz w:val="20"/>
                <w:szCs w:val="20"/>
              </w:rPr>
            </w:pPr>
            <w:r>
              <w:rPr>
                <w:noProof/>
                <w:sz w:val="20"/>
              </w:rPr>
              <w:t>н.п.</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b/>
                <w:noProof/>
                <w:sz w:val="20"/>
                <w:szCs w:val="20"/>
              </w:rPr>
            </w:pPr>
            <w:r>
              <w:rPr>
                <w:noProof/>
                <w:sz w:val="20"/>
              </w:rPr>
              <w:t>н.п.</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b/>
                <w:noProof/>
                <w:sz w:val="20"/>
                <w:szCs w:val="20"/>
              </w:rPr>
            </w:pPr>
            <w:r>
              <w:rPr>
                <w:noProof/>
                <w:sz w:val="20"/>
              </w:rPr>
              <w:t>н.п.</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b/>
                <w:noProof/>
                <w:sz w:val="20"/>
                <w:szCs w:val="20"/>
              </w:rPr>
            </w:pPr>
            <w:r>
              <w:rPr>
                <w:noProof/>
                <w:sz w:val="20"/>
              </w:rPr>
              <w:t>н.п.</w:t>
            </w:r>
          </w:p>
        </w:tc>
        <w:tc>
          <w:tcPr>
            <w:tcW w:w="840" w:type="dxa"/>
            <w:tcBorders>
              <w:top w:val="single" w:sz="18" w:space="0" w:color="auto"/>
              <w:left w:val="single" w:sz="4" w:space="0" w:color="auto"/>
              <w:bottom w:val="single" w:sz="12" w:space="0" w:color="auto"/>
              <w:right w:val="single" w:sz="12" w:space="0" w:color="auto"/>
            </w:tcBorders>
          </w:tcPr>
          <w:p>
            <w:pPr>
              <w:spacing w:before="60" w:after="60"/>
              <w:jc w:val="right"/>
              <w:rPr>
                <w:b/>
                <w:noProof/>
                <w:sz w:val="20"/>
                <w:szCs w:val="20"/>
              </w:rPr>
            </w:pPr>
            <w:r>
              <w:rPr>
                <w:noProof/>
                <w:sz w:val="20"/>
              </w:rPr>
              <w:t>н.п.</w:t>
            </w:r>
          </w:p>
        </w:tc>
        <w:tc>
          <w:tcPr>
            <w:tcW w:w="756" w:type="dxa"/>
            <w:tcBorders>
              <w:top w:val="single" w:sz="18" w:space="0" w:color="auto"/>
              <w:left w:val="nil"/>
              <w:bottom w:val="single" w:sz="12" w:space="0" w:color="auto"/>
              <w:right w:val="single" w:sz="18" w:space="0" w:color="auto"/>
            </w:tcBorders>
          </w:tcPr>
          <w:p>
            <w:pPr>
              <w:spacing w:before="60" w:after="60"/>
              <w:jc w:val="right"/>
              <w:rPr>
                <w:noProof/>
                <w:sz w:val="20"/>
                <w:szCs w:val="20"/>
              </w:rPr>
            </w:pPr>
            <w:r>
              <w:rPr>
                <w:noProof/>
                <w:sz w:val="20"/>
              </w:rPr>
              <w:t>н.п.</w:t>
            </w:r>
          </w:p>
        </w:tc>
      </w:tr>
      <w:tr>
        <w:trPr>
          <w:cantSplit/>
        </w:trPr>
        <w:tc>
          <w:tcPr>
            <w:tcW w:w="2335" w:type="dxa"/>
            <w:tcBorders>
              <w:top w:val="single" w:sz="12" w:space="0" w:color="auto"/>
              <w:left w:val="single" w:sz="18" w:space="0" w:color="auto"/>
              <w:bottom w:val="single" w:sz="18" w:space="0" w:color="auto"/>
              <w:right w:val="single" w:sz="4" w:space="0" w:color="auto"/>
            </w:tcBorders>
          </w:tcPr>
          <w:p>
            <w:pPr>
              <w:spacing w:before="60" w:after="60"/>
              <w:rPr>
                <w:b/>
                <w:noProof/>
                <w:sz w:val="20"/>
                <w:szCs w:val="20"/>
              </w:rPr>
            </w:pPr>
            <w:r>
              <w:rPr>
                <w:b/>
                <w:noProof/>
                <w:sz w:val="20"/>
              </w:rPr>
              <w:t>Бюджетни кредити за плащания</w:t>
            </w:r>
          </w:p>
        </w:tc>
        <w:tc>
          <w:tcPr>
            <w:tcW w:w="701" w:type="dxa"/>
            <w:tcBorders>
              <w:top w:val="single" w:sz="12" w:space="0" w:color="auto"/>
              <w:left w:val="single" w:sz="4" w:space="0" w:color="auto"/>
              <w:bottom w:val="single" w:sz="18" w:space="0" w:color="auto"/>
              <w:right w:val="single" w:sz="4" w:space="0" w:color="auto"/>
            </w:tcBorders>
          </w:tcPr>
          <w:p>
            <w:pPr>
              <w:spacing w:before="60" w:after="60"/>
              <w:jc w:val="center"/>
              <w:rPr>
                <w:b/>
                <w:noProof/>
              </w:rPr>
            </w:pPr>
          </w:p>
        </w:tc>
        <w:tc>
          <w:tcPr>
            <w:tcW w:w="720" w:type="dxa"/>
            <w:tcBorders>
              <w:top w:val="single" w:sz="12" w:space="0" w:color="auto"/>
              <w:left w:val="single" w:sz="4" w:space="0" w:color="auto"/>
              <w:bottom w:val="single" w:sz="18" w:space="0" w:color="auto"/>
              <w:right w:val="single" w:sz="4" w:space="0" w:color="auto"/>
            </w:tcBorders>
            <w:vAlign w:val="center"/>
          </w:tcPr>
          <w:p>
            <w:pPr>
              <w:spacing w:before="60" w:after="60"/>
              <w:jc w:val="center"/>
              <w:rPr>
                <w:b/>
                <w:noProof/>
                <w:sz w:val="20"/>
                <w:szCs w:val="20"/>
              </w:rPr>
            </w:pPr>
            <w:r>
              <w:rPr>
                <w:b/>
                <w:noProof/>
                <w:sz w:val="20"/>
              </w:rPr>
              <w:t>б+в</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rPr>
              <w:t>н.п.</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rPr>
              <w:t>н.п.</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rPr>
              <w:t>н.п.</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rPr>
              <w:t>н.п.</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rPr>
              <w:t>н.п.</w:t>
            </w:r>
          </w:p>
        </w:tc>
        <w:tc>
          <w:tcPr>
            <w:tcW w:w="840" w:type="dxa"/>
            <w:tcBorders>
              <w:top w:val="single" w:sz="12" w:space="0" w:color="auto"/>
              <w:left w:val="single" w:sz="4" w:space="0" w:color="auto"/>
              <w:bottom w:val="single" w:sz="18" w:space="0" w:color="auto"/>
              <w:right w:val="single" w:sz="12" w:space="0" w:color="auto"/>
            </w:tcBorders>
          </w:tcPr>
          <w:p>
            <w:pPr>
              <w:spacing w:before="60" w:after="60"/>
              <w:jc w:val="right"/>
              <w:rPr>
                <w:b/>
                <w:noProof/>
                <w:sz w:val="20"/>
                <w:szCs w:val="20"/>
              </w:rPr>
            </w:pPr>
            <w:r>
              <w:rPr>
                <w:b/>
                <w:noProof/>
                <w:sz w:val="20"/>
              </w:rPr>
              <w:t>н.п.</w:t>
            </w:r>
          </w:p>
        </w:tc>
        <w:tc>
          <w:tcPr>
            <w:tcW w:w="756" w:type="dxa"/>
            <w:tcBorders>
              <w:top w:val="single" w:sz="12" w:space="0" w:color="auto"/>
              <w:left w:val="nil"/>
              <w:bottom w:val="single" w:sz="18" w:space="0" w:color="auto"/>
              <w:right w:val="single" w:sz="18" w:space="0" w:color="auto"/>
            </w:tcBorders>
          </w:tcPr>
          <w:p>
            <w:pPr>
              <w:spacing w:before="60" w:after="60"/>
              <w:jc w:val="right"/>
              <w:rPr>
                <w:b/>
                <w:noProof/>
                <w:sz w:val="20"/>
                <w:szCs w:val="20"/>
              </w:rPr>
            </w:pPr>
            <w:r>
              <w:rPr>
                <w:b/>
                <w:noProof/>
                <w:sz w:val="20"/>
              </w:rPr>
              <w:t>0,000</w:t>
            </w:r>
          </w:p>
          <w:p>
            <w:pPr>
              <w:spacing w:before="60" w:after="60"/>
              <w:jc w:val="right"/>
              <w:rPr>
                <w:b/>
                <w:noProof/>
                <w:sz w:val="20"/>
                <w:szCs w:val="20"/>
              </w:rPr>
            </w:pPr>
          </w:p>
        </w:tc>
      </w:tr>
      <w:tr>
        <w:trPr>
          <w:cantSplit/>
        </w:trPr>
        <w:tc>
          <w:tcPr>
            <w:tcW w:w="7356" w:type="dxa"/>
            <w:gridSpan w:val="8"/>
            <w:tcBorders>
              <w:top w:val="single" w:sz="18" w:space="0" w:color="auto"/>
              <w:bottom w:val="single" w:sz="8" w:space="0" w:color="auto"/>
            </w:tcBorders>
          </w:tcPr>
          <w:p>
            <w:pPr>
              <w:spacing w:before="60" w:after="60"/>
              <w:rPr>
                <w:noProof/>
              </w:rPr>
            </w:pPr>
            <w:r>
              <w:rPr>
                <w:b/>
                <w:noProof/>
                <w:sz w:val="22"/>
              </w:rPr>
              <w:t xml:space="preserve">Административни разходи, които </w:t>
            </w:r>
            <w:r>
              <w:rPr>
                <w:b/>
                <w:noProof/>
                <w:sz w:val="22"/>
                <w:u w:val="single"/>
              </w:rPr>
              <w:t>не</w:t>
            </w:r>
            <w:r>
              <w:rPr>
                <w:b/>
                <w:noProof/>
                <w:sz w:val="22"/>
              </w:rPr>
              <w:t xml:space="preserve"> са включени в референтната сума</w:t>
            </w:r>
            <w:r>
              <w:rPr>
                <w:rStyle w:val="FootnoteReference"/>
                <w:b/>
                <w:noProof/>
                <w:sz w:val="22"/>
              </w:rPr>
              <w:footnoteReference w:id="7"/>
            </w:r>
          </w:p>
        </w:tc>
        <w:tc>
          <w:tcPr>
            <w:tcW w:w="840" w:type="dxa"/>
            <w:tcBorders>
              <w:top w:val="single" w:sz="18" w:space="0" w:color="auto"/>
              <w:bottom w:val="single" w:sz="8" w:space="0" w:color="auto"/>
            </w:tcBorders>
          </w:tcPr>
          <w:p>
            <w:pPr>
              <w:spacing w:before="60" w:after="60"/>
              <w:rPr>
                <w:noProof/>
              </w:rPr>
            </w:pPr>
          </w:p>
        </w:tc>
        <w:tc>
          <w:tcPr>
            <w:tcW w:w="756" w:type="dxa"/>
            <w:tcBorders>
              <w:top w:val="single" w:sz="18" w:space="0" w:color="auto"/>
              <w:bottom w:val="single" w:sz="8" w:space="0" w:color="auto"/>
            </w:tcBorders>
          </w:tcPr>
          <w:p>
            <w:pPr>
              <w:spacing w:before="60" w:after="60"/>
              <w:rPr>
                <w:noProof/>
              </w:rPr>
            </w:pPr>
          </w:p>
        </w:tc>
      </w:tr>
      <w:tr>
        <w:trPr>
          <w:cantSplit/>
        </w:trPr>
        <w:tc>
          <w:tcPr>
            <w:tcW w:w="2335" w:type="dxa"/>
            <w:tcBorders>
              <w:top w:val="single" w:sz="8" w:space="0" w:color="auto"/>
              <w:left w:val="single" w:sz="8" w:space="0" w:color="auto"/>
              <w:bottom w:val="single" w:sz="4" w:space="0" w:color="auto"/>
              <w:right w:val="single" w:sz="4" w:space="0" w:color="auto"/>
            </w:tcBorders>
          </w:tcPr>
          <w:p>
            <w:pPr>
              <w:spacing w:before="60" w:after="60"/>
              <w:rPr>
                <w:noProof/>
                <w:sz w:val="20"/>
                <w:szCs w:val="20"/>
              </w:rPr>
            </w:pPr>
            <w:r>
              <w:rPr>
                <w:noProof/>
                <w:sz w:val="20"/>
              </w:rPr>
              <w:t>Човешки ресурси и свързаните с тях разходи (ЕБК)</w:t>
            </w:r>
          </w:p>
        </w:tc>
        <w:tc>
          <w:tcPr>
            <w:tcW w:w="701" w:type="dxa"/>
            <w:tcBorders>
              <w:top w:val="single" w:sz="8"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rPr>
              <w:t>8.2.5</w:t>
            </w:r>
          </w:p>
        </w:tc>
        <w:tc>
          <w:tcPr>
            <w:tcW w:w="720" w:type="dxa"/>
            <w:tcBorders>
              <w:top w:val="single" w:sz="8"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rPr>
              <w:t>г</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840" w:type="dxa"/>
            <w:tcBorders>
              <w:top w:val="single" w:sz="8" w:space="0" w:color="auto"/>
              <w:left w:val="single" w:sz="4" w:space="0" w:color="auto"/>
              <w:bottom w:val="single" w:sz="4" w:space="0" w:color="auto"/>
              <w:right w:val="single" w:sz="8" w:space="0" w:color="auto"/>
            </w:tcBorders>
          </w:tcPr>
          <w:p>
            <w:pPr>
              <w:spacing w:before="60" w:after="60"/>
              <w:jc w:val="right"/>
              <w:rPr>
                <w:noProof/>
                <w:sz w:val="20"/>
                <w:szCs w:val="20"/>
              </w:rPr>
            </w:pPr>
            <w:r>
              <w:rPr>
                <w:noProof/>
                <w:sz w:val="20"/>
              </w:rPr>
              <w:t>н.п.</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rPr>
              <w:t>н.п.</w:t>
            </w:r>
          </w:p>
        </w:tc>
      </w:tr>
      <w:tr>
        <w:trPr>
          <w:cantSplit/>
        </w:trPr>
        <w:tc>
          <w:tcPr>
            <w:tcW w:w="2335" w:type="dxa"/>
            <w:tcBorders>
              <w:top w:val="single" w:sz="4" w:space="0" w:color="auto"/>
              <w:left w:val="single" w:sz="8" w:space="0" w:color="auto"/>
              <w:bottom w:val="single" w:sz="8" w:space="0" w:color="auto"/>
              <w:right w:val="single" w:sz="4" w:space="0" w:color="auto"/>
            </w:tcBorders>
          </w:tcPr>
          <w:p>
            <w:pPr>
              <w:spacing w:before="60" w:after="60"/>
              <w:rPr>
                <w:noProof/>
                <w:sz w:val="18"/>
                <w:szCs w:val="18"/>
              </w:rPr>
            </w:pPr>
            <w:r>
              <w:rPr>
                <w:noProof/>
                <w:sz w:val="18"/>
              </w:rPr>
              <w:t>Административни разходи, без тези за човешки ресурси и свързаните с тях разходи, невключени в референтната сума (ЕБК)</w:t>
            </w:r>
          </w:p>
        </w:tc>
        <w:tc>
          <w:tcPr>
            <w:tcW w:w="701" w:type="dxa"/>
            <w:tcBorders>
              <w:top w:val="single" w:sz="4"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rPr>
              <w:t>8.2.6</w:t>
            </w:r>
          </w:p>
        </w:tc>
        <w:tc>
          <w:tcPr>
            <w:tcW w:w="720" w:type="dxa"/>
            <w:tcBorders>
              <w:top w:val="single" w:sz="4"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rPr>
              <w:t>д</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840" w:type="dxa"/>
            <w:tcBorders>
              <w:top w:val="single" w:sz="4" w:space="0" w:color="auto"/>
              <w:left w:val="single" w:sz="4" w:space="0" w:color="auto"/>
              <w:bottom w:val="single" w:sz="8" w:space="0" w:color="auto"/>
              <w:right w:val="single" w:sz="8" w:space="0" w:color="auto"/>
            </w:tcBorders>
          </w:tcPr>
          <w:p>
            <w:pPr>
              <w:spacing w:before="60" w:after="60"/>
              <w:jc w:val="right"/>
              <w:rPr>
                <w:noProof/>
                <w:sz w:val="20"/>
                <w:szCs w:val="20"/>
              </w:rPr>
            </w:pPr>
            <w:r>
              <w:rPr>
                <w:noProof/>
                <w:sz w:val="20"/>
              </w:rPr>
              <w:t>н.п.</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rPr>
              <w:t>н.п.</w:t>
            </w:r>
          </w:p>
        </w:tc>
      </w:tr>
    </w:tbl>
    <w:p>
      <w:pPr>
        <w:rPr>
          <w:b/>
          <w:noProof/>
        </w:rPr>
      </w:pPr>
      <w:r>
        <w:rPr>
          <w:b/>
          <w:noProof/>
        </w:rPr>
        <w:t xml:space="preserve">Общо индикативна стойност на интервенцията </w:t>
      </w:r>
    </w:p>
    <w:tbl>
      <w:tblPr>
        <w:tblW w:w="8952" w:type="dxa"/>
        <w:tblInd w:w="312" w:type="dxa"/>
        <w:tblLayout w:type="fixed"/>
        <w:tblLook w:val="0000" w:firstRow="0" w:lastRow="0" w:firstColumn="0" w:lastColumn="0" w:noHBand="0" w:noVBand="0"/>
      </w:tblPr>
      <w:tblGrid>
        <w:gridCol w:w="2335"/>
        <w:gridCol w:w="701"/>
        <w:gridCol w:w="540"/>
        <w:gridCol w:w="720"/>
        <w:gridCol w:w="900"/>
        <w:gridCol w:w="720"/>
        <w:gridCol w:w="720"/>
        <w:gridCol w:w="720"/>
        <w:gridCol w:w="720"/>
        <w:gridCol w:w="876"/>
      </w:tblGrid>
      <w:tr>
        <w:trPr>
          <w:cantSplit/>
        </w:trPr>
        <w:tc>
          <w:tcPr>
            <w:tcW w:w="2335" w:type="dxa"/>
            <w:tcBorders>
              <w:top w:val="double" w:sz="4" w:space="0" w:color="auto"/>
              <w:left w:val="double" w:sz="4" w:space="0" w:color="auto"/>
              <w:bottom w:val="single" w:sz="4" w:space="0" w:color="auto"/>
            </w:tcBorders>
          </w:tcPr>
          <w:p>
            <w:pPr>
              <w:spacing w:before="60" w:after="60"/>
              <w:rPr>
                <w:b/>
                <w:noProof/>
                <w:sz w:val="20"/>
                <w:szCs w:val="20"/>
              </w:rPr>
            </w:pPr>
            <w:r>
              <w:rPr>
                <w:b/>
                <w:noProof/>
                <w:sz w:val="20"/>
              </w:rPr>
              <w:t>ОБЩО БКПЗ, включително разходи за човешки ресурси</w:t>
            </w:r>
          </w:p>
        </w:tc>
        <w:tc>
          <w:tcPr>
            <w:tcW w:w="701" w:type="dxa"/>
            <w:tcBorders>
              <w:top w:val="double" w:sz="4" w:space="0" w:color="auto"/>
              <w:left w:val="single" w:sz="4" w:space="0" w:color="auto"/>
              <w:bottom w:val="single" w:sz="4" w:space="0" w:color="auto"/>
              <w:right w:val="single" w:sz="4" w:space="0" w:color="auto"/>
            </w:tcBorders>
          </w:tcPr>
          <w:p>
            <w:pPr>
              <w:spacing w:before="60" w:after="60"/>
              <w:jc w:val="center"/>
              <w:rPr>
                <w:noProof/>
              </w:rPr>
            </w:pPr>
          </w:p>
        </w:tc>
        <w:tc>
          <w:tcPr>
            <w:tcW w:w="540" w:type="dxa"/>
            <w:tcBorders>
              <w:top w:val="double" w:sz="4" w:space="0" w:color="auto"/>
              <w:left w:val="single" w:sz="4" w:space="0" w:color="auto"/>
              <w:bottom w:val="single" w:sz="4" w:space="0" w:color="auto"/>
            </w:tcBorders>
            <w:vAlign w:val="center"/>
          </w:tcPr>
          <w:p>
            <w:pPr>
              <w:spacing w:before="60" w:after="60"/>
              <w:jc w:val="center"/>
              <w:rPr>
                <w:noProof/>
                <w:sz w:val="20"/>
                <w:szCs w:val="20"/>
              </w:rPr>
            </w:pPr>
            <w:r>
              <w:rPr>
                <w:noProof/>
                <w:sz w:val="20"/>
              </w:rPr>
              <w:t>a+в+г+д</w:t>
            </w:r>
          </w:p>
        </w:tc>
        <w:tc>
          <w:tcPr>
            <w:tcW w:w="72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90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double" w:sz="4" w:space="0" w:color="auto"/>
              <w:left w:val="single" w:sz="4" w:space="0" w:color="auto"/>
              <w:bottom w:val="single" w:sz="4" w:space="0" w:color="auto"/>
              <w:right w:val="double" w:sz="4" w:space="0" w:color="auto"/>
            </w:tcBorders>
          </w:tcPr>
          <w:p>
            <w:pPr>
              <w:spacing w:before="60" w:after="60"/>
              <w:jc w:val="right"/>
              <w:rPr>
                <w:noProof/>
                <w:sz w:val="20"/>
                <w:szCs w:val="20"/>
              </w:rPr>
            </w:pPr>
            <w:r>
              <w:rPr>
                <w:noProof/>
                <w:sz w:val="20"/>
              </w:rPr>
              <w:t>н.п.</w:t>
            </w:r>
          </w:p>
        </w:tc>
        <w:tc>
          <w:tcPr>
            <w:tcW w:w="876" w:type="dxa"/>
            <w:tcBorders>
              <w:top w:val="double" w:sz="4" w:space="0" w:color="auto"/>
              <w:left w:val="double" w:sz="4" w:space="0" w:color="auto"/>
              <w:bottom w:val="single" w:sz="4" w:space="0" w:color="auto"/>
              <w:right w:val="double" w:sz="4" w:space="0" w:color="auto"/>
            </w:tcBorders>
          </w:tcPr>
          <w:p>
            <w:pPr>
              <w:spacing w:before="60" w:after="60"/>
              <w:jc w:val="right"/>
              <w:rPr>
                <w:noProof/>
                <w:sz w:val="20"/>
                <w:szCs w:val="20"/>
              </w:rPr>
            </w:pPr>
            <w:r>
              <w:rPr>
                <w:noProof/>
                <w:sz w:val="20"/>
              </w:rPr>
              <w:t>н.п.</w:t>
            </w:r>
          </w:p>
        </w:tc>
      </w:tr>
      <w:tr>
        <w:trPr>
          <w:cantSplit/>
        </w:trPr>
        <w:tc>
          <w:tcPr>
            <w:tcW w:w="2335" w:type="dxa"/>
            <w:tcBorders>
              <w:top w:val="single" w:sz="4" w:space="0" w:color="auto"/>
              <w:left w:val="double" w:sz="4" w:space="0" w:color="auto"/>
              <w:bottom w:val="double" w:sz="4" w:space="0" w:color="auto"/>
            </w:tcBorders>
          </w:tcPr>
          <w:p>
            <w:pPr>
              <w:spacing w:before="60" w:after="60"/>
              <w:rPr>
                <w:b/>
                <w:noProof/>
                <w:sz w:val="20"/>
                <w:szCs w:val="20"/>
              </w:rPr>
            </w:pPr>
            <w:r>
              <w:rPr>
                <w:b/>
                <w:noProof/>
                <w:sz w:val="20"/>
              </w:rPr>
              <w:t>ОБЩО БКП, включително разходи за човешки ресурси</w:t>
            </w:r>
          </w:p>
        </w:tc>
        <w:tc>
          <w:tcPr>
            <w:tcW w:w="701" w:type="dxa"/>
            <w:tcBorders>
              <w:top w:val="single" w:sz="4" w:space="0" w:color="auto"/>
              <w:left w:val="single" w:sz="4" w:space="0" w:color="auto"/>
              <w:bottom w:val="double" w:sz="4" w:space="0" w:color="auto"/>
              <w:right w:val="single" w:sz="4" w:space="0" w:color="auto"/>
            </w:tcBorders>
          </w:tcPr>
          <w:p>
            <w:pPr>
              <w:spacing w:before="60" w:after="60"/>
              <w:jc w:val="center"/>
              <w:rPr>
                <w:noProof/>
              </w:rPr>
            </w:pPr>
          </w:p>
        </w:tc>
        <w:tc>
          <w:tcPr>
            <w:tcW w:w="540" w:type="dxa"/>
            <w:tcBorders>
              <w:top w:val="single" w:sz="4" w:space="0" w:color="auto"/>
              <w:left w:val="single" w:sz="4" w:space="0" w:color="auto"/>
              <w:bottom w:val="double" w:sz="4" w:space="0" w:color="auto"/>
            </w:tcBorders>
            <w:vAlign w:val="center"/>
          </w:tcPr>
          <w:p>
            <w:pPr>
              <w:spacing w:before="60" w:after="60"/>
              <w:jc w:val="center"/>
              <w:rPr>
                <w:noProof/>
                <w:sz w:val="20"/>
                <w:szCs w:val="20"/>
              </w:rPr>
            </w:pPr>
            <w:r>
              <w:rPr>
                <w:noProof/>
                <w:sz w:val="20"/>
              </w:rPr>
              <w:t>б+в+г+д</w:t>
            </w:r>
          </w:p>
        </w:tc>
        <w:tc>
          <w:tcPr>
            <w:tcW w:w="72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rPr>
              <w:t>н.п.</w:t>
            </w:r>
          </w:p>
        </w:tc>
        <w:tc>
          <w:tcPr>
            <w:tcW w:w="90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double" w:sz="4" w:space="0" w:color="auto"/>
              <w:right w:val="double" w:sz="4" w:space="0" w:color="auto"/>
            </w:tcBorders>
          </w:tcPr>
          <w:p>
            <w:pPr>
              <w:spacing w:before="60" w:after="60"/>
              <w:jc w:val="right"/>
              <w:rPr>
                <w:noProof/>
                <w:sz w:val="20"/>
                <w:szCs w:val="20"/>
              </w:rPr>
            </w:pPr>
            <w:r>
              <w:rPr>
                <w:noProof/>
                <w:sz w:val="20"/>
              </w:rPr>
              <w:t>н.п.</w:t>
            </w:r>
          </w:p>
        </w:tc>
        <w:tc>
          <w:tcPr>
            <w:tcW w:w="876" w:type="dxa"/>
            <w:tcBorders>
              <w:top w:val="single" w:sz="4" w:space="0" w:color="auto"/>
              <w:left w:val="double" w:sz="4" w:space="0" w:color="auto"/>
              <w:bottom w:val="double" w:sz="4" w:space="0" w:color="auto"/>
              <w:right w:val="double" w:sz="4" w:space="0" w:color="auto"/>
            </w:tcBorders>
          </w:tcPr>
          <w:p>
            <w:pPr>
              <w:spacing w:before="60" w:after="60"/>
              <w:jc w:val="right"/>
              <w:rPr>
                <w:noProof/>
                <w:sz w:val="20"/>
                <w:szCs w:val="20"/>
              </w:rPr>
            </w:pPr>
            <w:r>
              <w:rPr>
                <w:noProof/>
                <w:sz w:val="20"/>
              </w:rPr>
              <w:t>н.п.</w:t>
            </w:r>
          </w:p>
        </w:tc>
      </w:tr>
    </w:tbl>
    <w:p>
      <w:pPr>
        <w:rPr>
          <w:b/>
          <w:noProof/>
        </w:rPr>
        <w:sectPr>
          <w:pgSz w:w="12240" w:h="15840"/>
          <w:pgMar w:top="1440" w:right="1800" w:bottom="1440" w:left="1800" w:header="708" w:footer="708" w:gutter="0"/>
          <w:cols w:space="708"/>
          <w:docGrid w:linePitch="360"/>
        </w:sectPr>
      </w:pPr>
    </w:p>
    <w:p>
      <w:pPr>
        <w:rPr>
          <w:b/>
          <w:noProof/>
        </w:rPr>
      </w:pPr>
      <w:r>
        <w:rPr>
          <w:b/>
          <w:noProof/>
        </w:rPr>
        <w:lastRenderedPageBreak/>
        <w:t>Подробности за съфинансирането</w:t>
      </w:r>
    </w:p>
    <w:p>
      <w:pPr>
        <w:jc w:val="right"/>
        <w:rPr>
          <w:i/>
          <w:noProof/>
          <w:sz w:val="20"/>
          <w:szCs w:val="20"/>
        </w:rPr>
      </w:pPr>
      <w:r>
        <w:rPr>
          <w:i/>
          <w:noProof/>
          <w:sz w:val="20"/>
        </w:rPr>
        <w:t>млн. евро (до 3-ия знак след десетичната запетая)</w:t>
      </w:r>
    </w:p>
    <w:tbl>
      <w:tblPr>
        <w:tblW w:w="8076" w:type="dxa"/>
        <w:tblInd w:w="312" w:type="dxa"/>
        <w:tblLayout w:type="fixed"/>
        <w:tblLook w:val="0000" w:firstRow="0" w:lastRow="0" w:firstColumn="0" w:lastColumn="0" w:noHBand="0" w:noVBand="0"/>
      </w:tblPr>
      <w:tblGrid>
        <w:gridCol w:w="2335"/>
        <w:gridCol w:w="584"/>
        <w:gridCol w:w="681"/>
        <w:gridCol w:w="720"/>
        <w:gridCol w:w="720"/>
        <w:gridCol w:w="720"/>
        <w:gridCol w:w="720"/>
        <w:gridCol w:w="720"/>
        <w:gridCol w:w="876"/>
      </w:tblGrid>
      <w:tr>
        <w:trPr>
          <w:cantSplit/>
        </w:trPr>
        <w:tc>
          <w:tcPr>
            <w:tcW w:w="2335" w:type="dxa"/>
            <w:tcBorders>
              <w:top w:val="single" w:sz="12" w:space="0" w:color="auto"/>
              <w:left w:val="single" w:sz="12" w:space="0" w:color="auto"/>
              <w:bottom w:val="single" w:sz="12" w:space="0" w:color="auto"/>
              <w:right w:val="single" w:sz="12" w:space="0" w:color="auto"/>
            </w:tcBorders>
          </w:tcPr>
          <w:p>
            <w:pPr>
              <w:spacing w:before="60" w:after="60"/>
              <w:rPr>
                <w:noProof/>
                <w:sz w:val="20"/>
                <w:szCs w:val="20"/>
              </w:rPr>
            </w:pPr>
            <w:r>
              <w:rPr>
                <w:noProof/>
                <w:sz w:val="20"/>
              </w:rPr>
              <w:t>Съфинансиращ орган</w:t>
            </w:r>
          </w:p>
        </w:tc>
        <w:tc>
          <w:tcPr>
            <w:tcW w:w="584" w:type="dxa"/>
            <w:tcBorders>
              <w:top w:val="single" w:sz="12" w:space="0" w:color="auto"/>
              <w:left w:val="single" w:sz="12" w:space="0" w:color="auto"/>
              <w:bottom w:val="single" w:sz="12" w:space="0" w:color="auto"/>
              <w:right w:val="single" w:sz="12" w:space="0" w:color="auto"/>
            </w:tcBorders>
            <w:vAlign w:val="center"/>
          </w:tcPr>
          <w:p>
            <w:pPr>
              <w:spacing w:before="60" w:after="60"/>
              <w:jc w:val="center"/>
              <w:rPr>
                <w:noProof/>
                <w:sz w:val="20"/>
                <w:szCs w:val="20"/>
              </w:rPr>
            </w:pPr>
          </w:p>
        </w:tc>
        <w:tc>
          <w:tcPr>
            <w:tcW w:w="681"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Година n</w:t>
            </w:r>
          </w:p>
        </w:tc>
        <w:tc>
          <w:tcPr>
            <w:tcW w:w="720"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n + 1</w:t>
            </w:r>
          </w:p>
        </w:tc>
        <w:tc>
          <w:tcPr>
            <w:tcW w:w="720"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n + 2</w:t>
            </w:r>
          </w:p>
        </w:tc>
        <w:tc>
          <w:tcPr>
            <w:tcW w:w="720"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n + 3</w:t>
            </w:r>
          </w:p>
        </w:tc>
        <w:tc>
          <w:tcPr>
            <w:tcW w:w="720"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n + 4</w:t>
            </w:r>
          </w:p>
        </w:tc>
        <w:tc>
          <w:tcPr>
            <w:tcW w:w="720" w:type="dxa"/>
            <w:tcBorders>
              <w:top w:val="single" w:sz="12" w:space="0" w:color="auto"/>
              <w:left w:val="single" w:sz="12" w:space="0" w:color="auto"/>
              <w:bottom w:val="single" w:sz="12" w:space="0" w:color="auto"/>
              <w:right w:val="single" w:sz="12" w:space="0" w:color="auto"/>
            </w:tcBorders>
            <w:vAlign w:val="center"/>
          </w:tcPr>
          <w:p>
            <w:pPr>
              <w:spacing w:before="60" w:after="60"/>
              <w:rPr>
                <w:noProof/>
                <w:sz w:val="20"/>
                <w:szCs w:val="20"/>
              </w:rPr>
            </w:pPr>
            <w:r>
              <w:rPr>
                <w:noProof/>
                <w:sz w:val="20"/>
              </w:rPr>
              <w:t>n + 5 и следващите</w:t>
            </w:r>
          </w:p>
        </w:tc>
        <w:tc>
          <w:tcPr>
            <w:tcW w:w="876"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Общо</w:t>
            </w:r>
          </w:p>
        </w:tc>
      </w:tr>
      <w:tr>
        <w:trPr>
          <w:cantSplit/>
        </w:trPr>
        <w:tc>
          <w:tcPr>
            <w:tcW w:w="2335" w:type="dxa"/>
            <w:tcBorders>
              <w:top w:val="single" w:sz="12" w:space="0" w:color="auto"/>
              <w:left w:val="single" w:sz="12" w:space="0" w:color="auto"/>
              <w:bottom w:val="single" w:sz="4" w:space="0" w:color="auto"/>
              <w:right w:val="single" w:sz="4" w:space="0" w:color="auto"/>
            </w:tcBorders>
          </w:tcPr>
          <w:p>
            <w:pPr>
              <w:spacing w:before="60" w:after="60"/>
              <w:rPr>
                <w:noProof/>
                <w:sz w:val="20"/>
                <w:szCs w:val="20"/>
              </w:rPr>
            </w:pPr>
            <w:r>
              <w:rPr>
                <w:noProof/>
                <w:sz w:val="20"/>
              </w:rPr>
              <w:t>……………………</w:t>
            </w:r>
          </w:p>
        </w:tc>
        <w:tc>
          <w:tcPr>
            <w:tcW w:w="584" w:type="dxa"/>
            <w:tcBorders>
              <w:top w:val="single" w:sz="12"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rPr>
              <w:t>е</w:t>
            </w:r>
          </w:p>
        </w:tc>
        <w:tc>
          <w:tcPr>
            <w:tcW w:w="681"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12" w:space="0" w:color="auto"/>
              <w:left w:val="single" w:sz="4" w:space="0" w:color="auto"/>
              <w:bottom w:val="single" w:sz="4" w:space="0" w:color="auto"/>
              <w:right w:val="single" w:sz="12" w:space="0" w:color="auto"/>
            </w:tcBorders>
          </w:tcPr>
          <w:p>
            <w:pPr>
              <w:spacing w:before="60" w:after="60"/>
              <w:jc w:val="right"/>
              <w:rPr>
                <w:noProof/>
                <w:sz w:val="20"/>
                <w:szCs w:val="20"/>
              </w:rPr>
            </w:pPr>
            <w:r>
              <w:rPr>
                <w:noProof/>
                <w:sz w:val="20"/>
              </w:rPr>
              <w:t>н.п.</w:t>
            </w:r>
          </w:p>
        </w:tc>
        <w:tc>
          <w:tcPr>
            <w:tcW w:w="876" w:type="dxa"/>
            <w:tcBorders>
              <w:top w:val="single" w:sz="12" w:space="0" w:color="auto"/>
              <w:left w:val="nil"/>
              <w:bottom w:val="single" w:sz="12" w:space="0" w:color="auto"/>
              <w:right w:val="single" w:sz="12" w:space="0" w:color="auto"/>
            </w:tcBorders>
          </w:tcPr>
          <w:p>
            <w:pPr>
              <w:spacing w:before="60" w:after="60"/>
              <w:jc w:val="right"/>
              <w:rPr>
                <w:noProof/>
                <w:sz w:val="20"/>
                <w:szCs w:val="20"/>
              </w:rPr>
            </w:pPr>
            <w:r>
              <w:rPr>
                <w:noProof/>
                <w:sz w:val="20"/>
              </w:rPr>
              <w:t>н.п.</w:t>
            </w:r>
          </w:p>
        </w:tc>
      </w:tr>
      <w:tr>
        <w:trPr>
          <w:cantSplit/>
        </w:trPr>
        <w:tc>
          <w:tcPr>
            <w:tcW w:w="2335" w:type="dxa"/>
            <w:tcBorders>
              <w:top w:val="single" w:sz="4" w:space="0" w:color="auto"/>
              <w:left w:val="single" w:sz="12" w:space="0" w:color="auto"/>
              <w:bottom w:val="single" w:sz="12" w:space="0" w:color="auto"/>
              <w:right w:val="single" w:sz="4" w:space="0" w:color="auto"/>
            </w:tcBorders>
          </w:tcPr>
          <w:p>
            <w:pPr>
              <w:spacing w:before="60" w:after="60"/>
              <w:rPr>
                <w:noProof/>
                <w:sz w:val="20"/>
                <w:szCs w:val="20"/>
              </w:rPr>
            </w:pPr>
            <w:r>
              <w:rPr>
                <w:noProof/>
                <w:sz w:val="20"/>
              </w:rPr>
              <w:t>ОБЩО БКПЗ, включително съфинансиране</w:t>
            </w:r>
          </w:p>
        </w:tc>
        <w:tc>
          <w:tcPr>
            <w:tcW w:w="584" w:type="dxa"/>
            <w:tcBorders>
              <w:top w:val="single" w:sz="4" w:space="0" w:color="auto"/>
              <w:left w:val="single" w:sz="4" w:space="0" w:color="auto"/>
              <w:bottom w:val="single" w:sz="12" w:space="0" w:color="auto"/>
              <w:right w:val="single" w:sz="4" w:space="0" w:color="auto"/>
            </w:tcBorders>
            <w:vAlign w:val="center"/>
          </w:tcPr>
          <w:p>
            <w:pPr>
              <w:spacing w:before="60" w:after="60"/>
              <w:jc w:val="center"/>
              <w:rPr>
                <w:noProof/>
                <w:sz w:val="20"/>
                <w:szCs w:val="20"/>
              </w:rPr>
            </w:pPr>
            <w:r>
              <w:rPr>
                <w:noProof/>
                <w:sz w:val="20"/>
              </w:rPr>
              <w:t>а+в+г+д+е</w:t>
            </w:r>
          </w:p>
        </w:tc>
        <w:tc>
          <w:tcPr>
            <w:tcW w:w="681"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12" w:space="0" w:color="auto"/>
              <w:right w:val="single" w:sz="12" w:space="0" w:color="auto"/>
            </w:tcBorders>
          </w:tcPr>
          <w:p>
            <w:pPr>
              <w:spacing w:before="60" w:after="60"/>
              <w:jc w:val="right"/>
              <w:rPr>
                <w:noProof/>
                <w:sz w:val="20"/>
                <w:szCs w:val="20"/>
              </w:rPr>
            </w:pPr>
            <w:r>
              <w:rPr>
                <w:noProof/>
                <w:sz w:val="20"/>
              </w:rPr>
              <w:t>н.п.</w:t>
            </w:r>
          </w:p>
        </w:tc>
        <w:tc>
          <w:tcPr>
            <w:tcW w:w="876" w:type="dxa"/>
            <w:tcBorders>
              <w:top w:val="single" w:sz="12" w:space="0" w:color="auto"/>
              <w:left w:val="nil"/>
              <w:bottom w:val="single" w:sz="12" w:space="0" w:color="auto"/>
              <w:right w:val="single" w:sz="12" w:space="0" w:color="auto"/>
            </w:tcBorders>
          </w:tcPr>
          <w:p>
            <w:pPr>
              <w:spacing w:before="60" w:after="60"/>
              <w:jc w:val="right"/>
              <w:rPr>
                <w:noProof/>
                <w:sz w:val="20"/>
                <w:szCs w:val="20"/>
              </w:rPr>
            </w:pPr>
            <w:r>
              <w:rPr>
                <w:noProof/>
                <w:sz w:val="20"/>
              </w:rPr>
              <w:t>н.п.</w:t>
            </w:r>
          </w:p>
        </w:tc>
      </w:tr>
    </w:tbl>
    <w:p>
      <w:pPr>
        <w:pStyle w:val="ManualHeading3"/>
        <w:spacing w:before="360"/>
        <w:ind w:left="851" w:hanging="851"/>
        <w:rPr>
          <w:noProof/>
        </w:rPr>
      </w:pPr>
      <w:r>
        <w:rPr>
          <w:noProof/>
        </w:rPr>
        <w:t>4.1.2.</w:t>
      </w:r>
      <w:r>
        <w:rPr>
          <w:noProof/>
        </w:rPr>
        <w:tab/>
        <w:t>Съвместимост с финансовото планиране</w:t>
      </w:r>
    </w:p>
    <w:p>
      <w:pPr>
        <w:pStyle w:val="Point1"/>
        <w:rPr>
          <w:noProof/>
        </w:rPr>
      </w:pPr>
      <w:r>
        <w:rPr>
          <w:noProof/>
        </w:rPr>
        <w:sym w:font="Wingdings" w:char="F078"/>
      </w:r>
      <w:r>
        <w:rPr>
          <w:noProof/>
        </w:rPr>
        <w:t>Предложението е съвместимо със съществуващото финансово планиране.</w:t>
      </w:r>
    </w:p>
    <w:p>
      <w:pPr>
        <w:pStyle w:val="Text1"/>
        <w:rPr>
          <w:noProof/>
        </w:rPr>
      </w:pPr>
      <w:r>
        <w:rPr>
          <w:noProof/>
        </w:rPr>
        <w:sym w:font="Wingdings" w:char="F0A8"/>
      </w:r>
      <w:r>
        <w:rPr>
          <w:noProof/>
        </w:rPr>
        <w:t>Предложението налага препрограмиране на съответната функция във финансовата перспектива.</w:t>
      </w:r>
    </w:p>
    <w:p>
      <w:pPr>
        <w:pStyle w:val="Text1"/>
        <w:spacing w:after="240"/>
        <w:rPr>
          <w:noProof/>
        </w:rPr>
      </w:pPr>
      <w:r>
        <w:rPr>
          <w:noProof/>
        </w:rPr>
        <w:sym w:font="Wingdings" w:char="F0A8"/>
      </w:r>
      <w:r>
        <w:rPr>
          <w:noProof/>
        </w:rPr>
        <w:t>Предложението може да изисква прилагането на разпоредби от Междуинституционалното споразумение</w:t>
      </w:r>
      <w:r>
        <w:rPr>
          <w:rStyle w:val="FootnoteReference"/>
          <w:noProof/>
        </w:rPr>
        <w:footnoteReference w:id="8"/>
      </w:r>
      <w:r>
        <w:rPr>
          <w:noProof/>
        </w:rPr>
        <w:t xml:space="preserve"> (т.е. инструмент за гъвкавост или преразглеждане на финансовата перспектива).</w:t>
      </w:r>
    </w:p>
    <w:p>
      <w:pPr>
        <w:pStyle w:val="ManualHeading3"/>
        <w:rPr>
          <w:noProof/>
        </w:rPr>
      </w:pPr>
      <w:r>
        <w:rPr>
          <w:noProof/>
        </w:rPr>
        <w:t>4.1.3.</w:t>
      </w:r>
      <w:r>
        <w:rPr>
          <w:noProof/>
        </w:rPr>
        <w:tab/>
        <w:t>Финансово отражение върху приходите</w:t>
      </w:r>
    </w:p>
    <w:p>
      <w:pPr>
        <w:pStyle w:val="Text1"/>
        <w:rPr>
          <w:noProof/>
        </w:rPr>
      </w:pPr>
      <w:r>
        <w:rPr>
          <w:noProof/>
        </w:rPr>
        <w:sym w:font="Wingdings" w:char="F078"/>
      </w:r>
      <w:r>
        <w:rPr>
          <w:noProof/>
        </w:rPr>
        <w:t>Предложението няма финансово отражение върху приходите.</w:t>
      </w:r>
    </w:p>
    <w:p>
      <w:pPr>
        <w:pStyle w:val="Text1"/>
        <w:rPr>
          <w:noProof/>
        </w:rPr>
      </w:pPr>
      <w:r>
        <w:rPr>
          <w:noProof/>
        </w:rPr>
        <w:sym w:font="Wingdings" w:char="F0A8"/>
      </w:r>
      <w:r>
        <w:rPr>
          <w:noProof/>
        </w:rPr>
        <w:t>Предложението има финансово отражение – отражението върху приходите е следното:</w:t>
      </w:r>
    </w:p>
    <w:p>
      <w:pPr>
        <w:pStyle w:val="NormalRight"/>
        <w:rPr>
          <w:i/>
          <w:noProof/>
          <w:sz w:val="20"/>
        </w:rPr>
      </w:pPr>
      <w:r>
        <w:rPr>
          <w:i/>
          <w:noProof/>
          <w:sz w:val="20"/>
        </w:rPr>
        <w:t>в млн. евро (до първия знак след десетичната запетая)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4"/>
        <w:gridCol w:w="2268"/>
        <w:gridCol w:w="685"/>
        <w:gridCol w:w="141"/>
        <w:gridCol w:w="647"/>
        <w:gridCol w:w="648"/>
        <w:gridCol w:w="648"/>
        <w:gridCol w:w="647"/>
        <w:gridCol w:w="648"/>
        <w:gridCol w:w="648"/>
      </w:tblGrid>
      <w:tr>
        <w:trPr>
          <w:cantSplit/>
        </w:trPr>
        <w:tc>
          <w:tcPr>
            <w:tcW w:w="964" w:type="dxa"/>
            <w:tcBorders>
              <w:right w:val="nil"/>
            </w:tcBorders>
          </w:tcPr>
          <w:p>
            <w:pPr>
              <w:rPr>
                <w:noProof/>
                <w:sz w:val="18"/>
              </w:rPr>
            </w:pPr>
          </w:p>
        </w:tc>
        <w:tc>
          <w:tcPr>
            <w:tcW w:w="2268" w:type="dxa"/>
            <w:tcBorders>
              <w:left w:val="nil"/>
            </w:tcBorders>
          </w:tcPr>
          <w:p>
            <w:pPr>
              <w:rPr>
                <w:noProof/>
                <w:sz w:val="18"/>
              </w:rPr>
            </w:pPr>
          </w:p>
        </w:tc>
        <w:tc>
          <w:tcPr>
            <w:tcW w:w="685" w:type="dxa"/>
            <w:vMerge w:val="restart"/>
            <w:tcBorders>
              <w:left w:val="nil"/>
              <w:bottom w:val="nil"/>
            </w:tcBorders>
          </w:tcPr>
          <w:p>
            <w:pPr>
              <w:jc w:val="center"/>
              <w:rPr>
                <w:noProof/>
                <w:sz w:val="16"/>
              </w:rPr>
            </w:pPr>
            <w:r>
              <w:rPr>
                <w:noProof/>
                <w:sz w:val="16"/>
              </w:rPr>
              <w:t>Преди</w:t>
            </w:r>
            <w:r>
              <w:rPr>
                <w:noProof/>
                <w:sz w:val="16"/>
              </w:rPr>
              <w:br/>
              <w:t xml:space="preserve">действието </w:t>
            </w:r>
            <w:r>
              <w:rPr>
                <w:noProof/>
                <w:sz w:val="16"/>
              </w:rPr>
              <w:br/>
            </w:r>
            <w:r>
              <w:rPr>
                <w:noProof/>
              </w:rPr>
              <w:t>[година n-1]</w:t>
            </w:r>
          </w:p>
        </w:tc>
        <w:tc>
          <w:tcPr>
            <w:tcW w:w="141" w:type="dxa"/>
            <w:tcBorders>
              <w:left w:val="nil"/>
              <w:bottom w:val="nil"/>
              <w:right w:val="nil"/>
            </w:tcBorders>
          </w:tcPr>
          <w:p>
            <w:pPr>
              <w:jc w:val="center"/>
              <w:rPr>
                <w:noProof/>
                <w:sz w:val="18"/>
              </w:rPr>
            </w:pPr>
          </w:p>
        </w:tc>
        <w:tc>
          <w:tcPr>
            <w:tcW w:w="3886" w:type="dxa"/>
            <w:gridSpan w:val="6"/>
            <w:tcBorders>
              <w:bottom w:val="nil"/>
            </w:tcBorders>
          </w:tcPr>
          <w:p>
            <w:pPr>
              <w:jc w:val="center"/>
              <w:rPr>
                <w:noProof/>
                <w:sz w:val="18"/>
              </w:rPr>
            </w:pPr>
            <w:r>
              <w:rPr>
                <w:noProof/>
                <w:sz w:val="18"/>
              </w:rPr>
              <w:t>Положение след действието</w:t>
            </w:r>
          </w:p>
        </w:tc>
      </w:tr>
      <w:tr>
        <w:trPr>
          <w:cantSplit/>
        </w:trPr>
        <w:tc>
          <w:tcPr>
            <w:tcW w:w="964" w:type="dxa"/>
            <w:tcBorders>
              <w:top w:val="nil"/>
              <w:bottom w:val="nil"/>
            </w:tcBorders>
          </w:tcPr>
          <w:p>
            <w:pPr>
              <w:rPr>
                <w:noProof/>
                <w:sz w:val="18"/>
              </w:rPr>
            </w:pPr>
            <w:r>
              <w:rPr>
                <w:noProof/>
                <w:sz w:val="18"/>
              </w:rPr>
              <w:t>Бюджетен ред</w:t>
            </w:r>
          </w:p>
        </w:tc>
        <w:tc>
          <w:tcPr>
            <w:tcW w:w="2268" w:type="dxa"/>
            <w:tcBorders>
              <w:top w:val="nil"/>
              <w:left w:val="nil"/>
              <w:bottom w:val="nil"/>
            </w:tcBorders>
          </w:tcPr>
          <w:p>
            <w:pPr>
              <w:jc w:val="center"/>
              <w:rPr>
                <w:noProof/>
                <w:sz w:val="18"/>
              </w:rPr>
            </w:pPr>
            <w:r>
              <w:rPr>
                <w:noProof/>
                <w:sz w:val="18"/>
              </w:rPr>
              <w:t>Приходи</w:t>
            </w:r>
          </w:p>
        </w:tc>
        <w:tc>
          <w:tcPr>
            <w:tcW w:w="685" w:type="dxa"/>
            <w:vMerge/>
            <w:tcBorders>
              <w:bottom w:val="nil"/>
            </w:tcBorders>
          </w:tcPr>
          <w:p>
            <w:pPr>
              <w:jc w:val="center"/>
              <w:rPr>
                <w:noProof/>
                <w:sz w:val="18"/>
              </w:rPr>
            </w:pPr>
          </w:p>
        </w:tc>
        <w:tc>
          <w:tcPr>
            <w:tcW w:w="141" w:type="dxa"/>
            <w:tcBorders>
              <w:top w:val="nil"/>
              <w:left w:val="nil"/>
              <w:bottom w:val="nil"/>
              <w:right w:val="nil"/>
            </w:tcBorders>
          </w:tcPr>
          <w:p>
            <w:pPr>
              <w:jc w:val="center"/>
              <w:rPr>
                <w:noProof/>
                <w:sz w:val="18"/>
              </w:rPr>
            </w:pPr>
          </w:p>
        </w:tc>
        <w:tc>
          <w:tcPr>
            <w:tcW w:w="647" w:type="dxa"/>
            <w:tcBorders>
              <w:bottom w:val="nil"/>
            </w:tcBorders>
          </w:tcPr>
          <w:p>
            <w:pPr>
              <w:jc w:val="center"/>
              <w:rPr>
                <w:noProof/>
                <w:sz w:val="18"/>
              </w:rPr>
            </w:pPr>
            <w:r>
              <w:rPr>
                <w:noProof/>
              </w:rPr>
              <w:t>[Година n]</w:t>
            </w:r>
          </w:p>
        </w:tc>
        <w:tc>
          <w:tcPr>
            <w:tcW w:w="648" w:type="dxa"/>
            <w:tcBorders>
              <w:bottom w:val="nil"/>
            </w:tcBorders>
          </w:tcPr>
          <w:p>
            <w:pPr>
              <w:jc w:val="center"/>
              <w:rPr>
                <w:noProof/>
                <w:sz w:val="18"/>
              </w:rPr>
            </w:pPr>
            <w:r>
              <w:rPr>
                <w:noProof/>
              </w:rPr>
              <w:t>[n+1]</w:t>
            </w:r>
          </w:p>
        </w:tc>
        <w:tc>
          <w:tcPr>
            <w:tcW w:w="648" w:type="dxa"/>
            <w:tcBorders>
              <w:bottom w:val="nil"/>
            </w:tcBorders>
          </w:tcPr>
          <w:p>
            <w:pPr>
              <w:jc w:val="center"/>
              <w:rPr>
                <w:noProof/>
                <w:sz w:val="18"/>
              </w:rPr>
            </w:pPr>
            <w:r>
              <w:rPr>
                <w:noProof/>
              </w:rPr>
              <w:t>[n+2]</w:t>
            </w:r>
          </w:p>
        </w:tc>
        <w:tc>
          <w:tcPr>
            <w:tcW w:w="647" w:type="dxa"/>
            <w:tcBorders>
              <w:bottom w:val="nil"/>
            </w:tcBorders>
          </w:tcPr>
          <w:p>
            <w:pPr>
              <w:jc w:val="center"/>
              <w:rPr>
                <w:noProof/>
                <w:sz w:val="18"/>
              </w:rPr>
            </w:pPr>
            <w:r>
              <w:rPr>
                <w:noProof/>
              </w:rPr>
              <w:t>[n+3]</w:t>
            </w:r>
          </w:p>
        </w:tc>
        <w:tc>
          <w:tcPr>
            <w:tcW w:w="648" w:type="dxa"/>
            <w:tcBorders>
              <w:bottom w:val="nil"/>
            </w:tcBorders>
          </w:tcPr>
          <w:p>
            <w:pPr>
              <w:jc w:val="center"/>
              <w:rPr>
                <w:noProof/>
                <w:sz w:val="18"/>
              </w:rPr>
            </w:pPr>
            <w:r>
              <w:rPr>
                <w:noProof/>
              </w:rPr>
              <w:t>[n+4]</w:t>
            </w:r>
          </w:p>
        </w:tc>
        <w:tc>
          <w:tcPr>
            <w:tcW w:w="648" w:type="dxa"/>
            <w:tcBorders>
              <w:bottom w:val="nil"/>
            </w:tcBorders>
          </w:tcPr>
          <w:p>
            <w:pPr>
              <w:jc w:val="center"/>
              <w:rPr>
                <w:noProof/>
                <w:sz w:val="18"/>
              </w:rPr>
            </w:pPr>
            <w:r>
              <w:rPr>
                <w:noProof/>
              </w:rPr>
              <w:t>[n+5]</w:t>
            </w:r>
            <w:r>
              <w:rPr>
                <w:rStyle w:val="FootnoteReference"/>
                <w:noProof/>
              </w:rPr>
              <w:footnoteReference w:id="9"/>
            </w:r>
          </w:p>
        </w:tc>
      </w:tr>
      <w:tr>
        <w:trPr>
          <w:cantSplit/>
        </w:trPr>
        <w:tc>
          <w:tcPr>
            <w:tcW w:w="964" w:type="dxa"/>
            <w:vMerge w:val="restart"/>
            <w:tcBorders>
              <w:top w:val="double" w:sz="4" w:space="0" w:color="auto"/>
              <w:left w:val="double" w:sz="4" w:space="0" w:color="auto"/>
              <w:bottom w:val="nil"/>
              <w:right w:val="nil"/>
            </w:tcBorders>
          </w:tcPr>
          <w:p>
            <w:pPr>
              <w:jc w:val="center"/>
              <w:rPr>
                <w:noProof/>
                <w:sz w:val="16"/>
              </w:rPr>
            </w:pPr>
          </w:p>
        </w:tc>
        <w:tc>
          <w:tcPr>
            <w:tcW w:w="2268" w:type="dxa"/>
            <w:tcBorders>
              <w:top w:val="double" w:sz="4" w:space="0" w:color="auto"/>
              <w:bottom w:val="nil"/>
            </w:tcBorders>
          </w:tcPr>
          <w:p>
            <w:pPr>
              <w:rPr>
                <w:i/>
                <w:noProof/>
                <w:sz w:val="18"/>
              </w:rPr>
            </w:pPr>
            <w:r>
              <w:rPr>
                <w:i/>
                <w:noProof/>
                <w:sz w:val="18"/>
              </w:rPr>
              <w:t>а) Абсолютна стойност на приходите</w:t>
            </w:r>
          </w:p>
        </w:tc>
        <w:tc>
          <w:tcPr>
            <w:tcW w:w="685" w:type="dxa"/>
            <w:tcBorders>
              <w:top w:val="double" w:sz="4" w:space="0" w:color="auto"/>
              <w:left w:val="nil"/>
              <w:bottom w:val="nil"/>
              <w:right w:val="double" w:sz="4" w:space="0" w:color="auto"/>
            </w:tcBorders>
          </w:tcPr>
          <w:p>
            <w:pPr>
              <w:rPr>
                <w:noProof/>
              </w:rPr>
            </w:pPr>
          </w:p>
        </w:tc>
        <w:tc>
          <w:tcPr>
            <w:tcW w:w="141" w:type="dxa"/>
            <w:tcBorders>
              <w:top w:val="nil"/>
              <w:left w:val="nil"/>
              <w:bottom w:val="nil"/>
              <w:right w:val="nil"/>
            </w:tcBorders>
          </w:tcPr>
          <w:p>
            <w:pPr>
              <w:rPr>
                <w:noProof/>
              </w:rPr>
            </w:pPr>
          </w:p>
        </w:tc>
        <w:tc>
          <w:tcPr>
            <w:tcW w:w="647" w:type="dxa"/>
            <w:tcBorders>
              <w:bottom w:val="nil"/>
            </w:tcBorders>
          </w:tcPr>
          <w:p>
            <w:pPr>
              <w:jc w:val="right"/>
              <w:rPr>
                <w:noProof/>
                <w:sz w:val="20"/>
                <w:szCs w:val="20"/>
              </w:rPr>
            </w:pPr>
            <w:r>
              <w:rPr>
                <w:noProof/>
                <w:sz w:val="20"/>
              </w:rPr>
              <w:t>н.п.</w:t>
            </w:r>
          </w:p>
        </w:tc>
        <w:tc>
          <w:tcPr>
            <w:tcW w:w="648" w:type="dxa"/>
            <w:tcBorders>
              <w:bottom w:val="nil"/>
            </w:tcBorders>
          </w:tcPr>
          <w:p>
            <w:pPr>
              <w:jc w:val="right"/>
              <w:rPr>
                <w:noProof/>
                <w:sz w:val="20"/>
                <w:szCs w:val="20"/>
              </w:rPr>
            </w:pPr>
            <w:r>
              <w:rPr>
                <w:noProof/>
                <w:sz w:val="20"/>
              </w:rPr>
              <w:t>н.п.</w:t>
            </w:r>
          </w:p>
        </w:tc>
        <w:tc>
          <w:tcPr>
            <w:tcW w:w="648" w:type="dxa"/>
            <w:tcBorders>
              <w:bottom w:val="nil"/>
            </w:tcBorders>
          </w:tcPr>
          <w:p>
            <w:pPr>
              <w:jc w:val="right"/>
              <w:rPr>
                <w:noProof/>
                <w:sz w:val="20"/>
                <w:szCs w:val="20"/>
              </w:rPr>
            </w:pPr>
            <w:r>
              <w:rPr>
                <w:noProof/>
                <w:sz w:val="20"/>
              </w:rPr>
              <w:t>н.п.</w:t>
            </w:r>
          </w:p>
        </w:tc>
        <w:tc>
          <w:tcPr>
            <w:tcW w:w="647" w:type="dxa"/>
            <w:tcBorders>
              <w:bottom w:val="nil"/>
            </w:tcBorders>
          </w:tcPr>
          <w:p>
            <w:pPr>
              <w:jc w:val="right"/>
              <w:rPr>
                <w:noProof/>
                <w:sz w:val="20"/>
                <w:szCs w:val="20"/>
              </w:rPr>
            </w:pPr>
            <w:r>
              <w:rPr>
                <w:noProof/>
                <w:sz w:val="20"/>
              </w:rPr>
              <w:t>н.п.</w:t>
            </w:r>
          </w:p>
        </w:tc>
        <w:tc>
          <w:tcPr>
            <w:tcW w:w="648" w:type="dxa"/>
            <w:tcBorders>
              <w:bottom w:val="nil"/>
            </w:tcBorders>
          </w:tcPr>
          <w:p>
            <w:pPr>
              <w:jc w:val="right"/>
              <w:rPr>
                <w:noProof/>
                <w:sz w:val="20"/>
                <w:szCs w:val="20"/>
              </w:rPr>
            </w:pPr>
            <w:r>
              <w:rPr>
                <w:noProof/>
                <w:sz w:val="20"/>
              </w:rPr>
              <w:t>н.п.</w:t>
            </w:r>
          </w:p>
        </w:tc>
        <w:tc>
          <w:tcPr>
            <w:tcW w:w="648" w:type="dxa"/>
            <w:tcBorders>
              <w:bottom w:val="nil"/>
            </w:tcBorders>
          </w:tcPr>
          <w:p>
            <w:pPr>
              <w:jc w:val="right"/>
              <w:rPr>
                <w:noProof/>
                <w:sz w:val="20"/>
                <w:szCs w:val="20"/>
              </w:rPr>
            </w:pPr>
            <w:r>
              <w:rPr>
                <w:noProof/>
                <w:sz w:val="20"/>
              </w:rPr>
              <w:t>н.п.</w:t>
            </w:r>
          </w:p>
        </w:tc>
      </w:tr>
      <w:tr>
        <w:trPr>
          <w:cantSplit/>
        </w:trPr>
        <w:tc>
          <w:tcPr>
            <w:tcW w:w="964" w:type="dxa"/>
            <w:vMerge/>
            <w:tcBorders>
              <w:top w:val="nil"/>
              <w:left w:val="double" w:sz="4" w:space="0" w:color="auto"/>
              <w:bottom w:val="double" w:sz="4" w:space="0" w:color="auto"/>
              <w:right w:val="nil"/>
            </w:tcBorders>
          </w:tcPr>
          <w:p>
            <w:pPr>
              <w:rPr>
                <w:noProof/>
              </w:rPr>
            </w:pPr>
          </w:p>
        </w:tc>
        <w:tc>
          <w:tcPr>
            <w:tcW w:w="2268" w:type="dxa"/>
            <w:tcBorders>
              <w:top w:val="nil"/>
              <w:bottom w:val="double" w:sz="4" w:space="0" w:color="auto"/>
              <w:right w:val="nil"/>
            </w:tcBorders>
          </w:tcPr>
          <w:p>
            <w:pPr>
              <w:rPr>
                <w:i/>
                <w:noProof/>
                <w:sz w:val="18"/>
              </w:rPr>
            </w:pPr>
            <w:r>
              <w:rPr>
                <w:i/>
                <w:noProof/>
                <w:sz w:val="18"/>
              </w:rPr>
              <w:t>б) Промяна в приходите</w:t>
            </w:r>
          </w:p>
        </w:tc>
        <w:tc>
          <w:tcPr>
            <w:tcW w:w="685" w:type="dxa"/>
            <w:tcBorders>
              <w:left w:val="nil"/>
              <w:bottom w:val="double" w:sz="4" w:space="0" w:color="auto"/>
              <w:right w:val="double" w:sz="4" w:space="0" w:color="auto"/>
            </w:tcBorders>
          </w:tcPr>
          <w:p>
            <w:pPr>
              <w:rPr>
                <w:noProof/>
              </w:rPr>
            </w:pPr>
            <w:r>
              <w:rPr>
                <w:i/>
                <w:noProof/>
                <w:sz w:val="18"/>
              </w:rPr>
              <w:t xml:space="preserve"> </w:t>
            </w:r>
            <w:r>
              <w:rPr>
                <w:i/>
                <w:noProof/>
                <w:sz w:val="18"/>
                <w:szCs w:val="18"/>
              </w:rPr>
              <w:sym w:font="Symbol" w:char="F044"/>
            </w:r>
          </w:p>
        </w:tc>
        <w:tc>
          <w:tcPr>
            <w:tcW w:w="141" w:type="dxa"/>
            <w:tcBorders>
              <w:top w:val="nil"/>
              <w:left w:val="nil"/>
              <w:bottom w:val="nil"/>
              <w:right w:val="nil"/>
            </w:tcBorders>
          </w:tcPr>
          <w:p>
            <w:pPr>
              <w:rPr>
                <w:noProof/>
              </w:rPr>
            </w:pPr>
          </w:p>
        </w:tc>
        <w:tc>
          <w:tcPr>
            <w:tcW w:w="647"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rPr>
              <w:t>н.п.</w:t>
            </w:r>
          </w:p>
        </w:tc>
        <w:tc>
          <w:tcPr>
            <w:tcW w:w="648" w:type="dxa"/>
            <w:tcBorders>
              <w:top w:val="single" w:sz="12" w:space="0" w:color="auto"/>
              <w:left w:val="nil"/>
              <w:bottom w:val="single" w:sz="12" w:space="0" w:color="auto"/>
              <w:right w:val="single" w:sz="12" w:space="0" w:color="auto"/>
            </w:tcBorders>
          </w:tcPr>
          <w:p>
            <w:pPr>
              <w:jc w:val="right"/>
              <w:rPr>
                <w:noProof/>
                <w:sz w:val="20"/>
                <w:szCs w:val="20"/>
              </w:rPr>
            </w:pPr>
            <w:r>
              <w:rPr>
                <w:noProof/>
                <w:sz w:val="20"/>
              </w:rPr>
              <w:t>н.п.</w:t>
            </w:r>
          </w:p>
        </w:tc>
        <w:tc>
          <w:tcPr>
            <w:tcW w:w="648"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rPr>
              <w:t>н.п.</w:t>
            </w:r>
          </w:p>
        </w:tc>
        <w:tc>
          <w:tcPr>
            <w:tcW w:w="647"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rPr>
              <w:t>н.п.</w:t>
            </w:r>
          </w:p>
        </w:tc>
        <w:tc>
          <w:tcPr>
            <w:tcW w:w="648"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rPr>
              <w:t>н.п.</w:t>
            </w:r>
          </w:p>
        </w:tc>
        <w:tc>
          <w:tcPr>
            <w:tcW w:w="648"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rPr>
              <w:t>н.п.</w:t>
            </w:r>
          </w:p>
        </w:tc>
      </w:tr>
    </w:tbl>
    <w:p>
      <w:pPr>
        <w:pStyle w:val="Text1"/>
        <w:rPr>
          <w:noProof/>
        </w:rPr>
      </w:pPr>
      <w:r>
        <w:rPr>
          <w:b/>
          <w:i/>
          <w:noProof/>
        </w:rPr>
        <w:t>(Да се посочи всеки засегнат бюджетен ред, като се добави съответният необходим брой редове в таблицата, ако е налице въздействие върху повече от един бюджетен ред)</w:t>
      </w:r>
    </w:p>
    <w:p>
      <w:pPr>
        <w:pStyle w:val="ManualHeading2"/>
        <w:spacing w:after="240"/>
        <w:ind w:left="851" w:hanging="851"/>
        <w:rPr>
          <w:noProof/>
        </w:rPr>
      </w:pPr>
      <w:r>
        <w:rPr>
          <w:noProof/>
        </w:rPr>
        <w:t>4.2.</w:t>
      </w:r>
      <w:r>
        <w:rPr>
          <w:noProof/>
        </w:rPr>
        <w:tab/>
        <w:t>Човешки ресурси (еквивалент на пълно работно време) (включително длъжностни лица, временно наети лица и външен персонал) — вж. подробната информация в точка 8.2.1.</w:t>
      </w:r>
    </w:p>
    <w:tbl>
      <w:tblPr>
        <w:tblW w:w="0" w:type="auto"/>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930"/>
        <w:gridCol w:w="772"/>
        <w:gridCol w:w="851"/>
        <w:gridCol w:w="851"/>
        <w:gridCol w:w="851"/>
        <w:gridCol w:w="851"/>
      </w:tblGrid>
      <w:tr>
        <w:trPr>
          <w:cantSplit/>
        </w:trPr>
        <w:tc>
          <w:tcPr>
            <w:tcW w:w="2268" w:type="dxa"/>
            <w:tcBorders>
              <w:top w:val="single" w:sz="12" w:space="0" w:color="auto"/>
            </w:tcBorders>
          </w:tcPr>
          <w:p>
            <w:pPr>
              <w:rPr>
                <w:noProof/>
                <w:sz w:val="20"/>
                <w:szCs w:val="20"/>
              </w:rPr>
            </w:pPr>
          </w:p>
          <w:p>
            <w:pPr>
              <w:rPr>
                <w:b/>
                <w:noProof/>
                <w:sz w:val="20"/>
                <w:szCs w:val="20"/>
              </w:rPr>
            </w:pPr>
            <w:r>
              <w:rPr>
                <w:b/>
                <w:noProof/>
                <w:sz w:val="20"/>
              </w:rPr>
              <w:t>Годишни изисквания</w:t>
            </w:r>
          </w:p>
        </w:tc>
        <w:tc>
          <w:tcPr>
            <w:tcW w:w="930" w:type="dxa"/>
            <w:tcBorders>
              <w:top w:val="single" w:sz="12" w:space="0" w:color="auto"/>
            </w:tcBorders>
          </w:tcPr>
          <w:p>
            <w:pPr>
              <w:jc w:val="center"/>
              <w:rPr>
                <w:noProof/>
                <w:sz w:val="20"/>
                <w:szCs w:val="20"/>
              </w:rPr>
            </w:pPr>
          </w:p>
          <w:p>
            <w:pPr>
              <w:jc w:val="center"/>
              <w:rPr>
                <w:noProof/>
                <w:sz w:val="20"/>
                <w:szCs w:val="20"/>
              </w:rPr>
            </w:pPr>
            <w:r>
              <w:rPr>
                <w:noProof/>
                <w:sz w:val="20"/>
              </w:rPr>
              <w:t>Година n</w:t>
            </w:r>
          </w:p>
        </w:tc>
        <w:tc>
          <w:tcPr>
            <w:tcW w:w="772" w:type="dxa"/>
            <w:tcBorders>
              <w:top w:val="single" w:sz="12" w:space="0" w:color="auto"/>
            </w:tcBorders>
          </w:tcPr>
          <w:p>
            <w:pPr>
              <w:jc w:val="center"/>
              <w:rPr>
                <w:noProof/>
                <w:sz w:val="20"/>
                <w:szCs w:val="20"/>
              </w:rPr>
            </w:pPr>
          </w:p>
          <w:p>
            <w:pPr>
              <w:jc w:val="center"/>
              <w:rPr>
                <w:noProof/>
                <w:sz w:val="20"/>
                <w:szCs w:val="20"/>
              </w:rPr>
            </w:pPr>
            <w:r>
              <w:rPr>
                <w:noProof/>
                <w:sz w:val="20"/>
              </w:rPr>
              <w:t>n + 1</w:t>
            </w:r>
          </w:p>
        </w:tc>
        <w:tc>
          <w:tcPr>
            <w:tcW w:w="851" w:type="dxa"/>
            <w:tcBorders>
              <w:top w:val="single" w:sz="12" w:space="0" w:color="auto"/>
            </w:tcBorders>
          </w:tcPr>
          <w:p>
            <w:pPr>
              <w:jc w:val="center"/>
              <w:rPr>
                <w:noProof/>
                <w:sz w:val="20"/>
                <w:szCs w:val="20"/>
              </w:rPr>
            </w:pPr>
          </w:p>
          <w:p>
            <w:pPr>
              <w:jc w:val="center"/>
              <w:rPr>
                <w:noProof/>
                <w:sz w:val="20"/>
                <w:szCs w:val="20"/>
              </w:rPr>
            </w:pPr>
            <w:r>
              <w:rPr>
                <w:noProof/>
                <w:sz w:val="20"/>
              </w:rPr>
              <w:t>n + 2</w:t>
            </w:r>
          </w:p>
        </w:tc>
        <w:tc>
          <w:tcPr>
            <w:tcW w:w="851" w:type="dxa"/>
            <w:tcBorders>
              <w:top w:val="single" w:sz="12" w:space="0" w:color="auto"/>
            </w:tcBorders>
          </w:tcPr>
          <w:p>
            <w:pPr>
              <w:jc w:val="center"/>
              <w:rPr>
                <w:noProof/>
                <w:sz w:val="20"/>
                <w:szCs w:val="20"/>
              </w:rPr>
            </w:pPr>
          </w:p>
          <w:p>
            <w:pPr>
              <w:jc w:val="center"/>
              <w:rPr>
                <w:noProof/>
                <w:sz w:val="20"/>
                <w:szCs w:val="20"/>
              </w:rPr>
            </w:pPr>
            <w:r>
              <w:rPr>
                <w:noProof/>
                <w:sz w:val="20"/>
              </w:rPr>
              <w:t>n + 3</w:t>
            </w:r>
          </w:p>
        </w:tc>
        <w:tc>
          <w:tcPr>
            <w:tcW w:w="851" w:type="dxa"/>
            <w:tcBorders>
              <w:top w:val="single" w:sz="12" w:space="0" w:color="auto"/>
            </w:tcBorders>
          </w:tcPr>
          <w:p>
            <w:pPr>
              <w:jc w:val="center"/>
              <w:rPr>
                <w:noProof/>
                <w:sz w:val="20"/>
                <w:szCs w:val="20"/>
              </w:rPr>
            </w:pPr>
          </w:p>
          <w:p>
            <w:pPr>
              <w:jc w:val="center"/>
              <w:rPr>
                <w:noProof/>
                <w:sz w:val="20"/>
                <w:szCs w:val="20"/>
              </w:rPr>
            </w:pPr>
            <w:r>
              <w:rPr>
                <w:noProof/>
                <w:sz w:val="20"/>
              </w:rPr>
              <w:t>n + 4</w:t>
            </w:r>
          </w:p>
        </w:tc>
        <w:tc>
          <w:tcPr>
            <w:tcW w:w="851" w:type="dxa"/>
            <w:tcBorders>
              <w:top w:val="single" w:sz="12" w:space="0" w:color="auto"/>
            </w:tcBorders>
          </w:tcPr>
          <w:p>
            <w:pPr>
              <w:jc w:val="center"/>
              <w:rPr>
                <w:noProof/>
                <w:sz w:val="20"/>
                <w:szCs w:val="20"/>
              </w:rPr>
            </w:pPr>
          </w:p>
          <w:p>
            <w:pPr>
              <w:jc w:val="center"/>
              <w:rPr>
                <w:noProof/>
                <w:sz w:val="20"/>
                <w:szCs w:val="20"/>
              </w:rPr>
            </w:pPr>
            <w:r>
              <w:rPr>
                <w:noProof/>
                <w:sz w:val="20"/>
              </w:rPr>
              <w:t>n + 5 и следващите</w:t>
            </w:r>
          </w:p>
        </w:tc>
      </w:tr>
      <w:tr>
        <w:trPr>
          <w:cantSplit/>
        </w:trPr>
        <w:tc>
          <w:tcPr>
            <w:tcW w:w="2268" w:type="dxa"/>
            <w:tcBorders>
              <w:bottom w:val="single" w:sz="12" w:space="0" w:color="auto"/>
            </w:tcBorders>
          </w:tcPr>
          <w:p>
            <w:pPr>
              <w:spacing w:before="60" w:after="60"/>
              <w:rPr>
                <w:noProof/>
                <w:sz w:val="20"/>
                <w:szCs w:val="20"/>
              </w:rPr>
            </w:pPr>
            <w:r>
              <w:rPr>
                <w:noProof/>
                <w:sz w:val="20"/>
              </w:rPr>
              <w:t>Общо човешки ресурси</w:t>
            </w:r>
          </w:p>
        </w:tc>
        <w:tc>
          <w:tcPr>
            <w:tcW w:w="930" w:type="dxa"/>
            <w:tcBorders>
              <w:bottom w:val="single" w:sz="12" w:space="0" w:color="auto"/>
            </w:tcBorders>
          </w:tcPr>
          <w:p>
            <w:pPr>
              <w:spacing w:before="60" w:after="60"/>
              <w:jc w:val="right"/>
              <w:rPr>
                <w:noProof/>
                <w:sz w:val="20"/>
                <w:szCs w:val="20"/>
              </w:rPr>
            </w:pPr>
            <w:r>
              <w:rPr>
                <w:noProof/>
                <w:sz w:val="20"/>
              </w:rPr>
              <w:t>н.п.</w:t>
            </w:r>
          </w:p>
        </w:tc>
        <w:tc>
          <w:tcPr>
            <w:tcW w:w="772" w:type="dxa"/>
            <w:tcBorders>
              <w:bottom w:val="single" w:sz="12" w:space="0" w:color="auto"/>
            </w:tcBorders>
          </w:tcPr>
          <w:p>
            <w:pPr>
              <w:spacing w:before="60" w:after="60"/>
              <w:jc w:val="right"/>
              <w:rPr>
                <w:noProof/>
                <w:sz w:val="20"/>
                <w:szCs w:val="20"/>
              </w:rPr>
            </w:pPr>
            <w:r>
              <w:rPr>
                <w:noProof/>
                <w:sz w:val="20"/>
              </w:rPr>
              <w:t>н.п.</w:t>
            </w:r>
          </w:p>
        </w:tc>
        <w:tc>
          <w:tcPr>
            <w:tcW w:w="851" w:type="dxa"/>
            <w:tcBorders>
              <w:bottom w:val="single" w:sz="12" w:space="0" w:color="auto"/>
            </w:tcBorders>
          </w:tcPr>
          <w:p>
            <w:pPr>
              <w:spacing w:before="60" w:after="60"/>
              <w:jc w:val="right"/>
              <w:rPr>
                <w:noProof/>
                <w:sz w:val="20"/>
                <w:szCs w:val="20"/>
              </w:rPr>
            </w:pPr>
            <w:r>
              <w:rPr>
                <w:noProof/>
                <w:sz w:val="20"/>
              </w:rPr>
              <w:t>н.п.</w:t>
            </w:r>
          </w:p>
        </w:tc>
        <w:tc>
          <w:tcPr>
            <w:tcW w:w="851" w:type="dxa"/>
            <w:tcBorders>
              <w:bottom w:val="single" w:sz="12" w:space="0" w:color="auto"/>
            </w:tcBorders>
          </w:tcPr>
          <w:p>
            <w:pPr>
              <w:spacing w:before="60" w:after="60"/>
              <w:jc w:val="right"/>
              <w:rPr>
                <w:noProof/>
                <w:sz w:val="20"/>
                <w:szCs w:val="20"/>
              </w:rPr>
            </w:pPr>
            <w:r>
              <w:rPr>
                <w:noProof/>
                <w:sz w:val="20"/>
              </w:rPr>
              <w:t>н.п.</w:t>
            </w:r>
          </w:p>
        </w:tc>
        <w:tc>
          <w:tcPr>
            <w:tcW w:w="851" w:type="dxa"/>
            <w:tcBorders>
              <w:bottom w:val="single" w:sz="12" w:space="0" w:color="auto"/>
            </w:tcBorders>
          </w:tcPr>
          <w:p>
            <w:pPr>
              <w:spacing w:before="60" w:after="60"/>
              <w:jc w:val="right"/>
              <w:rPr>
                <w:noProof/>
                <w:sz w:val="20"/>
                <w:szCs w:val="20"/>
              </w:rPr>
            </w:pPr>
            <w:r>
              <w:rPr>
                <w:noProof/>
                <w:sz w:val="20"/>
              </w:rPr>
              <w:t>н.п.</w:t>
            </w:r>
          </w:p>
        </w:tc>
        <w:tc>
          <w:tcPr>
            <w:tcW w:w="851" w:type="dxa"/>
            <w:tcBorders>
              <w:bottom w:val="single" w:sz="12" w:space="0" w:color="auto"/>
            </w:tcBorders>
          </w:tcPr>
          <w:p>
            <w:pPr>
              <w:spacing w:before="60" w:after="60"/>
              <w:jc w:val="right"/>
              <w:rPr>
                <w:noProof/>
                <w:sz w:val="20"/>
                <w:szCs w:val="20"/>
              </w:rPr>
            </w:pPr>
            <w:r>
              <w:rPr>
                <w:noProof/>
                <w:sz w:val="20"/>
              </w:rPr>
              <w:t>н.п.</w:t>
            </w:r>
          </w:p>
        </w:tc>
      </w:tr>
    </w:tbl>
    <w:p>
      <w:pPr>
        <w:pStyle w:val="ManualHeading1"/>
        <w:rPr>
          <w:noProof/>
        </w:rPr>
      </w:pPr>
      <w:r>
        <w:rPr>
          <w:noProof/>
        </w:rPr>
        <w:t>5.</w:t>
      </w:r>
      <w:r>
        <w:rPr>
          <w:noProof/>
        </w:rPr>
        <w:tab/>
        <w:t>ХАРАКТЕРИСТИКИ И ЦЕЛИ</w:t>
      </w:r>
    </w:p>
    <w:p>
      <w:pPr>
        <w:pStyle w:val="ManualHeading2"/>
        <w:rPr>
          <w:noProof/>
        </w:rPr>
      </w:pPr>
      <w:r>
        <w:rPr>
          <w:noProof/>
        </w:rPr>
        <w:t>5.1.</w:t>
      </w:r>
      <w:r>
        <w:rPr>
          <w:noProof/>
        </w:rPr>
        <w:tab/>
        <w:t>Нужда, която трябва да се посрещне в краткосрочен или дългосрочен план</w:t>
      </w:r>
    </w:p>
    <w:p>
      <w:pPr>
        <w:rPr>
          <w:noProof/>
        </w:rPr>
      </w:pPr>
      <w:r>
        <w:rPr>
          <w:noProof/>
        </w:rPr>
        <w:t xml:space="preserve">Неотдавнашните земетресения в Италия имаха пагубен ефект върху хората, които живеят в региона. Ще са необходими широкомащабни възстановителни работи, по-специално за възстановяване на културното наследство. Европа трябва да бъде в състояние бързо да предоставя допълнителна ефективна подкрепа от Европейския фонд за регионално развитие (ЕФРР) на държавите членки, пострадали от големи или регионални природни бедствия, като допълва средствата, налични в рамките на фонд „Солидарност“ на Европейския съюз. </w:t>
      </w:r>
    </w:p>
    <w:p>
      <w:pPr>
        <w:spacing w:after="240"/>
        <w:rPr>
          <w:noProof/>
        </w:rPr>
      </w:pPr>
    </w:p>
    <w:p>
      <w:pPr>
        <w:pStyle w:val="ManualHeading2"/>
        <w:rPr>
          <w:noProof/>
        </w:rPr>
      </w:pPr>
      <w:r>
        <w:rPr>
          <w:noProof/>
        </w:rPr>
        <w:t>5.2.</w:t>
      </w:r>
      <w:r>
        <w:rPr>
          <w:noProof/>
        </w:rPr>
        <w:tab/>
        <w:t>Добавена стойност от участието на Съюза, съвместимост на предложението с други финансови инструменти и възможно полезно взаимодействие</w:t>
      </w:r>
    </w:p>
    <w:p>
      <w:pPr>
        <w:spacing w:after="240"/>
        <w:rPr>
          <w:noProof/>
        </w:rPr>
      </w:pPr>
      <w:r>
        <w:rPr>
          <w:noProof/>
        </w:rPr>
        <w:t>Предложението ще позволи да продължи изпълнението на програмите, което ще влее пари в икономиката, като същевременно ще спомогне за намаляване на натиска върху публичните разходи на държавите членки, засегнати от природни бедствия.</w:t>
      </w:r>
    </w:p>
    <w:p>
      <w:pPr>
        <w:pStyle w:val="ManualHeading2"/>
        <w:rPr>
          <w:noProof/>
        </w:rPr>
      </w:pPr>
      <w:r>
        <w:rPr>
          <w:noProof/>
        </w:rPr>
        <w:t>5.3.</w:t>
      </w:r>
      <w:r>
        <w:rPr>
          <w:noProof/>
        </w:rPr>
        <w:tab/>
        <w:t>Цели, очаквани резултати и свързани с тях показатели на предложението в контекста на управлението по дейности (УД)</w:t>
      </w:r>
    </w:p>
    <w:p>
      <w:pPr>
        <w:rPr>
          <w:noProof/>
        </w:rPr>
      </w:pPr>
      <w:r>
        <w:rPr>
          <w:noProof/>
        </w:rPr>
        <w:t>Целта е да се предостави допълнителна подкрепа на държавите членки, засегнати от природни бедствия, като се допълнят средствата, предоставени в рамките на фонд „Солидарност“ на Европейския съюз.</w:t>
      </w:r>
    </w:p>
    <w:p>
      <w:pPr>
        <w:pStyle w:val="ManualHeading2"/>
        <w:rPr>
          <w:noProof/>
        </w:rPr>
      </w:pPr>
      <w:r>
        <w:rPr>
          <w:noProof/>
        </w:rPr>
        <w:t>5.4.</w:t>
      </w:r>
      <w:r>
        <w:rPr>
          <w:noProof/>
        </w:rPr>
        <w:tab/>
        <w:t>Метод на изпълнение (индикативен)</w:t>
      </w:r>
    </w:p>
    <w:p>
      <w:pPr>
        <w:rPr>
          <w:noProof/>
        </w:rPr>
      </w:pPr>
      <w:r>
        <w:rPr>
          <w:noProof/>
        </w:rPr>
        <w:t>Посочете по-долу метода/методите за изпълнение на действието.</w:t>
      </w:r>
    </w:p>
    <w:p>
      <w:pPr>
        <w:pStyle w:val="Bullet0"/>
        <w:numPr>
          <w:ilvl w:val="0"/>
          <w:numId w:val="11"/>
        </w:numPr>
        <w:rPr>
          <w:noProof/>
        </w:rPr>
      </w:pPr>
      <w:r>
        <w:rPr>
          <w:noProof/>
        </w:rPr>
        <w:t>С държавите членки</w:t>
      </w:r>
    </w:p>
    <w:p>
      <w:pPr>
        <w:pStyle w:val="ManualHeading1"/>
        <w:rPr>
          <w:noProof/>
        </w:rPr>
      </w:pPr>
      <w:r>
        <w:rPr>
          <w:noProof/>
        </w:rPr>
        <w:t>6.</w:t>
      </w:r>
      <w:r>
        <w:rPr>
          <w:noProof/>
        </w:rPr>
        <w:tab/>
        <w:t>МОНИТОРИНГ И ОЦЕНКА</w:t>
      </w:r>
    </w:p>
    <w:p>
      <w:pPr>
        <w:pStyle w:val="ManualHeading2"/>
        <w:rPr>
          <w:noProof/>
        </w:rPr>
      </w:pPr>
      <w:r>
        <w:rPr>
          <w:noProof/>
        </w:rPr>
        <w:t>6.1.</w:t>
      </w:r>
      <w:r>
        <w:rPr>
          <w:noProof/>
        </w:rPr>
        <w:tab/>
        <w:t>Система за мониторинг</w:t>
      </w:r>
    </w:p>
    <w:p>
      <w:pPr>
        <w:spacing w:after="240"/>
        <w:rPr>
          <w:noProof/>
        </w:rPr>
      </w:pPr>
      <w:r>
        <w:rPr>
          <w:noProof/>
        </w:rPr>
        <w:t>Не е необходима, тъй като попада в обхвата на установения мониторинг на европейските структурни и инвестиционни фондове.</w:t>
      </w:r>
    </w:p>
    <w:p>
      <w:pPr>
        <w:pStyle w:val="ManualHeading2"/>
        <w:rPr>
          <w:noProof/>
        </w:rPr>
      </w:pPr>
      <w:r>
        <w:rPr>
          <w:noProof/>
        </w:rPr>
        <w:t>6.2.</w:t>
      </w:r>
      <w:r>
        <w:rPr>
          <w:noProof/>
        </w:rPr>
        <w:tab/>
        <w:t>Оценка</w:t>
      </w:r>
    </w:p>
    <w:p>
      <w:pPr>
        <w:pStyle w:val="ManualHeading3"/>
        <w:rPr>
          <w:noProof/>
        </w:rPr>
      </w:pPr>
      <w:r>
        <w:rPr>
          <w:noProof/>
        </w:rPr>
        <w:t>6.2.1.</w:t>
      </w:r>
      <w:r>
        <w:rPr>
          <w:noProof/>
        </w:rPr>
        <w:tab/>
        <w:t>Предварителна оценка</w:t>
      </w:r>
    </w:p>
    <w:p>
      <w:pPr>
        <w:rPr>
          <w:noProof/>
        </w:rPr>
      </w:pPr>
      <w:r>
        <w:rPr>
          <w:noProof/>
        </w:rPr>
        <w:t>Н.П.</w:t>
      </w:r>
    </w:p>
    <w:p>
      <w:pPr>
        <w:pStyle w:val="ManualHeading3"/>
        <w:rPr>
          <w:noProof/>
        </w:rPr>
      </w:pPr>
      <w:r>
        <w:rPr>
          <w:noProof/>
        </w:rPr>
        <w:t>6.2.2.</w:t>
      </w:r>
      <w:r>
        <w:rPr>
          <w:noProof/>
        </w:rPr>
        <w:tab/>
        <w:t>Мерки, взети след междинна/последваща оценка (изводи въз основа на подобен опит в миналото)</w:t>
      </w:r>
    </w:p>
    <w:p>
      <w:pPr>
        <w:rPr>
          <w:noProof/>
        </w:rPr>
      </w:pPr>
      <w:r>
        <w:rPr>
          <w:noProof/>
        </w:rPr>
        <w:t>Н.П.</w:t>
      </w:r>
    </w:p>
    <w:p>
      <w:pPr>
        <w:pStyle w:val="ManualHeading3"/>
        <w:rPr>
          <w:noProof/>
        </w:rPr>
      </w:pPr>
      <w:r>
        <w:rPr>
          <w:noProof/>
        </w:rPr>
        <w:t>6.2.3.</w:t>
      </w:r>
      <w:r>
        <w:rPr>
          <w:noProof/>
        </w:rPr>
        <w:tab/>
        <w:t>Условия и честота на бъдещи оценки</w:t>
      </w:r>
    </w:p>
    <w:p>
      <w:pPr>
        <w:spacing w:after="240"/>
        <w:rPr>
          <w:noProof/>
        </w:rPr>
      </w:pPr>
      <w:r>
        <w:rPr>
          <w:noProof/>
        </w:rPr>
        <w:t>Н.П.</w:t>
      </w:r>
    </w:p>
    <w:p>
      <w:pPr>
        <w:pStyle w:val="ManualHeading1"/>
        <w:spacing w:before="240"/>
        <w:ind w:left="851" w:hanging="851"/>
        <w:rPr>
          <w:smallCaps w:val="0"/>
          <w:noProof/>
        </w:rPr>
      </w:pPr>
      <w:r>
        <w:rPr>
          <w:noProof/>
        </w:rPr>
        <w:t>7.</w:t>
      </w:r>
      <w:r>
        <w:rPr>
          <w:noProof/>
        </w:rPr>
        <w:tab/>
        <w:t xml:space="preserve">МЕРКИ ЗА БОРБА С ИЗМАМИТЕ </w:t>
      </w:r>
    </w:p>
    <w:p>
      <w:pPr>
        <w:rPr>
          <w:b/>
          <w:caps/>
          <w:noProof/>
        </w:rPr>
      </w:pPr>
      <w:r>
        <w:rPr>
          <w:b/>
          <w:caps/>
          <w:noProof/>
        </w:rPr>
        <w:t>Н.П.</w:t>
      </w:r>
    </w:p>
    <w:p>
      <w:pPr>
        <w:rPr>
          <w:i/>
          <w:noProof/>
        </w:rPr>
        <w:sectPr>
          <w:pgSz w:w="12240" w:h="15840"/>
          <w:pgMar w:top="1440" w:right="1800" w:bottom="1440" w:left="1800" w:header="708" w:footer="708" w:gutter="0"/>
          <w:cols w:space="708"/>
          <w:docGrid w:linePitch="360"/>
        </w:sectPr>
      </w:pPr>
    </w:p>
    <w:p>
      <w:pPr>
        <w:pStyle w:val="ManualHeading1"/>
        <w:rPr>
          <w:noProof/>
        </w:rPr>
      </w:pPr>
      <w:r>
        <w:rPr>
          <w:noProof/>
        </w:rPr>
        <w:t>8.</w:t>
      </w:r>
      <w:r>
        <w:rPr>
          <w:noProof/>
        </w:rPr>
        <w:tab/>
        <w:t>ПОДРОБНОСТИ ЗА РЕСУРСИТЕ</w:t>
      </w:r>
    </w:p>
    <w:p>
      <w:pPr>
        <w:pStyle w:val="ManualHeading2"/>
        <w:rPr>
          <w:noProof/>
        </w:rPr>
      </w:pPr>
      <w:r>
        <w:rPr>
          <w:noProof/>
        </w:rPr>
        <w:t>8.1.</w:t>
      </w:r>
      <w:r>
        <w:rPr>
          <w:noProof/>
        </w:rPr>
        <w:tab/>
        <w:t>Цели на предложението, изразени като финансов разход</w:t>
      </w:r>
    </w:p>
    <w:p>
      <w:pPr>
        <w:jc w:val="right"/>
        <w:rPr>
          <w:i/>
          <w:noProof/>
          <w:sz w:val="20"/>
          <w:szCs w:val="20"/>
        </w:rPr>
      </w:pPr>
      <w:r>
        <w:rPr>
          <w:i/>
          <w:noProof/>
          <w:sz w:val="20"/>
        </w:rPr>
        <w:t>Бюджетни кредити за поети задължения в милиони ЕUR (до 3 знака след десетичната запетая)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770"/>
        <w:gridCol w:w="672"/>
        <w:gridCol w:w="804"/>
        <w:gridCol w:w="691"/>
        <w:gridCol w:w="804"/>
        <w:gridCol w:w="691"/>
        <w:gridCol w:w="803"/>
        <w:gridCol w:w="690"/>
        <w:gridCol w:w="803"/>
        <w:gridCol w:w="690"/>
        <w:gridCol w:w="803"/>
        <w:gridCol w:w="690"/>
        <w:gridCol w:w="803"/>
        <w:gridCol w:w="690"/>
        <w:gridCol w:w="803"/>
        <w:gridCol w:w="690"/>
      </w:tblGrid>
      <w:tr>
        <w:trPr>
          <w:trHeight w:val="378"/>
        </w:trPr>
        <w:tc>
          <w:tcPr>
            <w:tcW w:w="0" w:type="auto"/>
            <w:vMerge w:val="restart"/>
          </w:tcPr>
          <w:p>
            <w:pPr>
              <w:jc w:val="left"/>
              <w:rPr>
                <w:b/>
                <w:noProof/>
                <w:sz w:val="16"/>
                <w:szCs w:val="16"/>
              </w:rPr>
            </w:pPr>
            <w:r>
              <w:rPr>
                <w:b/>
                <w:noProof/>
                <w:sz w:val="16"/>
              </w:rPr>
              <w:t>(Посочете наименованията на целите, дейностите и резултатите)</w:t>
            </w:r>
          </w:p>
        </w:tc>
        <w:tc>
          <w:tcPr>
            <w:tcW w:w="780" w:type="dxa"/>
            <w:vMerge w:val="restart"/>
          </w:tcPr>
          <w:p>
            <w:pPr>
              <w:jc w:val="center"/>
              <w:rPr>
                <w:b/>
                <w:noProof/>
                <w:sz w:val="16"/>
                <w:szCs w:val="16"/>
              </w:rPr>
            </w:pPr>
            <w:r>
              <w:rPr>
                <w:b/>
                <w:noProof/>
                <w:sz w:val="16"/>
              </w:rPr>
              <w:t>Вид резултат</w:t>
            </w:r>
          </w:p>
        </w:tc>
        <w:tc>
          <w:tcPr>
            <w:tcW w:w="537" w:type="dxa"/>
            <w:vMerge w:val="restart"/>
          </w:tcPr>
          <w:p>
            <w:pPr>
              <w:jc w:val="center"/>
              <w:rPr>
                <w:b/>
                <w:noProof/>
                <w:sz w:val="16"/>
                <w:szCs w:val="16"/>
              </w:rPr>
            </w:pPr>
            <w:r>
              <w:rPr>
                <w:b/>
                <w:noProof/>
                <w:sz w:val="16"/>
              </w:rPr>
              <w:t>Среден разход</w:t>
            </w:r>
          </w:p>
        </w:tc>
        <w:tc>
          <w:tcPr>
            <w:tcW w:w="0" w:type="auto"/>
            <w:gridSpan w:val="2"/>
          </w:tcPr>
          <w:p>
            <w:pPr>
              <w:jc w:val="center"/>
              <w:rPr>
                <w:b/>
                <w:noProof/>
                <w:sz w:val="16"/>
                <w:szCs w:val="16"/>
              </w:rPr>
            </w:pPr>
            <w:r>
              <w:rPr>
                <w:b/>
                <w:noProof/>
                <w:sz w:val="16"/>
              </w:rPr>
              <w:t>Година n</w:t>
            </w:r>
          </w:p>
        </w:tc>
        <w:tc>
          <w:tcPr>
            <w:tcW w:w="0" w:type="auto"/>
            <w:gridSpan w:val="2"/>
          </w:tcPr>
          <w:p>
            <w:pPr>
              <w:jc w:val="center"/>
              <w:rPr>
                <w:b/>
                <w:noProof/>
                <w:sz w:val="16"/>
                <w:szCs w:val="16"/>
              </w:rPr>
            </w:pPr>
            <w:r>
              <w:rPr>
                <w:b/>
                <w:noProof/>
                <w:sz w:val="16"/>
              </w:rPr>
              <w:t>Година n+1</w:t>
            </w:r>
          </w:p>
        </w:tc>
        <w:tc>
          <w:tcPr>
            <w:tcW w:w="0" w:type="auto"/>
            <w:gridSpan w:val="2"/>
          </w:tcPr>
          <w:p>
            <w:pPr>
              <w:jc w:val="center"/>
              <w:rPr>
                <w:b/>
                <w:noProof/>
                <w:sz w:val="16"/>
                <w:szCs w:val="16"/>
              </w:rPr>
            </w:pPr>
            <w:r>
              <w:rPr>
                <w:b/>
                <w:noProof/>
                <w:sz w:val="16"/>
              </w:rPr>
              <w:t>Година n+2</w:t>
            </w:r>
          </w:p>
        </w:tc>
        <w:tc>
          <w:tcPr>
            <w:tcW w:w="0" w:type="auto"/>
            <w:gridSpan w:val="2"/>
          </w:tcPr>
          <w:p>
            <w:pPr>
              <w:jc w:val="center"/>
              <w:rPr>
                <w:b/>
                <w:noProof/>
                <w:sz w:val="16"/>
                <w:szCs w:val="16"/>
              </w:rPr>
            </w:pPr>
            <w:r>
              <w:rPr>
                <w:b/>
                <w:noProof/>
                <w:sz w:val="16"/>
              </w:rPr>
              <w:t>Година n+3</w:t>
            </w:r>
          </w:p>
        </w:tc>
        <w:tc>
          <w:tcPr>
            <w:tcW w:w="0" w:type="auto"/>
            <w:gridSpan w:val="2"/>
          </w:tcPr>
          <w:p>
            <w:pPr>
              <w:jc w:val="center"/>
              <w:rPr>
                <w:b/>
                <w:noProof/>
                <w:sz w:val="16"/>
                <w:szCs w:val="16"/>
              </w:rPr>
            </w:pPr>
            <w:r>
              <w:rPr>
                <w:b/>
                <w:noProof/>
                <w:sz w:val="16"/>
              </w:rPr>
              <w:t>Година n+4</w:t>
            </w:r>
          </w:p>
        </w:tc>
        <w:tc>
          <w:tcPr>
            <w:tcW w:w="0" w:type="auto"/>
            <w:gridSpan w:val="2"/>
          </w:tcPr>
          <w:p>
            <w:pPr>
              <w:jc w:val="center"/>
              <w:rPr>
                <w:b/>
                <w:noProof/>
                <w:sz w:val="16"/>
                <w:szCs w:val="16"/>
              </w:rPr>
            </w:pPr>
            <w:r>
              <w:rPr>
                <w:b/>
                <w:noProof/>
                <w:sz w:val="16"/>
              </w:rPr>
              <w:t>Година n + 5 и следващите</w:t>
            </w:r>
          </w:p>
        </w:tc>
        <w:tc>
          <w:tcPr>
            <w:tcW w:w="0" w:type="auto"/>
            <w:gridSpan w:val="2"/>
          </w:tcPr>
          <w:p>
            <w:pPr>
              <w:jc w:val="center"/>
              <w:rPr>
                <w:b/>
                <w:noProof/>
                <w:sz w:val="16"/>
                <w:szCs w:val="16"/>
              </w:rPr>
            </w:pPr>
            <w:r>
              <w:rPr>
                <w:b/>
                <w:noProof/>
                <w:sz w:val="16"/>
              </w:rPr>
              <w:t>ОБЩО</w:t>
            </w:r>
          </w:p>
        </w:tc>
      </w:tr>
      <w:tr>
        <w:trPr>
          <w:trHeight w:val="482"/>
        </w:trPr>
        <w:tc>
          <w:tcPr>
            <w:tcW w:w="0" w:type="auto"/>
            <w:vMerge/>
          </w:tcPr>
          <w:p>
            <w:pPr>
              <w:jc w:val="left"/>
              <w:rPr>
                <w:noProof/>
                <w:sz w:val="16"/>
                <w:szCs w:val="16"/>
              </w:rPr>
            </w:pPr>
          </w:p>
        </w:tc>
        <w:tc>
          <w:tcPr>
            <w:tcW w:w="780" w:type="dxa"/>
            <w:vMerge/>
          </w:tcPr>
          <w:p>
            <w:pPr>
              <w:rPr>
                <w:noProof/>
                <w:sz w:val="16"/>
                <w:szCs w:val="16"/>
              </w:rPr>
            </w:pPr>
          </w:p>
        </w:tc>
        <w:tc>
          <w:tcPr>
            <w:tcW w:w="537" w:type="dxa"/>
            <w:vMerge/>
          </w:tcPr>
          <w:p>
            <w:pPr>
              <w:rPr>
                <w:noProof/>
                <w:sz w:val="16"/>
                <w:szCs w:val="16"/>
              </w:rPr>
            </w:pPr>
          </w:p>
        </w:tc>
        <w:tc>
          <w:tcPr>
            <w:tcW w:w="0" w:type="auto"/>
          </w:tcPr>
          <w:p>
            <w:pPr>
              <w:rPr>
                <w:noProof/>
                <w:sz w:val="16"/>
                <w:szCs w:val="16"/>
              </w:rPr>
            </w:pPr>
            <w:r>
              <w:rPr>
                <w:noProof/>
                <w:sz w:val="16"/>
              </w:rPr>
              <w:t>Брой резултати</w:t>
            </w:r>
          </w:p>
        </w:tc>
        <w:tc>
          <w:tcPr>
            <w:tcW w:w="0" w:type="auto"/>
          </w:tcPr>
          <w:p>
            <w:pPr>
              <w:rPr>
                <w:noProof/>
                <w:sz w:val="16"/>
                <w:szCs w:val="16"/>
              </w:rPr>
            </w:pPr>
            <w:r>
              <w:rPr>
                <w:noProof/>
                <w:sz w:val="16"/>
              </w:rPr>
              <w:t>Общо разходи</w:t>
            </w:r>
          </w:p>
        </w:tc>
        <w:tc>
          <w:tcPr>
            <w:tcW w:w="0" w:type="auto"/>
          </w:tcPr>
          <w:p>
            <w:pPr>
              <w:rPr>
                <w:noProof/>
                <w:sz w:val="16"/>
                <w:szCs w:val="16"/>
              </w:rPr>
            </w:pPr>
            <w:r>
              <w:rPr>
                <w:noProof/>
                <w:sz w:val="16"/>
              </w:rPr>
              <w:t>Брой резултати</w:t>
            </w:r>
          </w:p>
        </w:tc>
        <w:tc>
          <w:tcPr>
            <w:tcW w:w="0" w:type="auto"/>
          </w:tcPr>
          <w:p>
            <w:pPr>
              <w:rPr>
                <w:noProof/>
                <w:sz w:val="16"/>
                <w:szCs w:val="16"/>
              </w:rPr>
            </w:pPr>
            <w:r>
              <w:rPr>
                <w:noProof/>
                <w:sz w:val="16"/>
              </w:rPr>
              <w:t>Общо разходи</w:t>
            </w:r>
          </w:p>
        </w:tc>
        <w:tc>
          <w:tcPr>
            <w:tcW w:w="0" w:type="auto"/>
          </w:tcPr>
          <w:p>
            <w:pPr>
              <w:rPr>
                <w:noProof/>
                <w:sz w:val="16"/>
                <w:szCs w:val="16"/>
              </w:rPr>
            </w:pPr>
            <w:r>
              <w:rPr>
                <w:noProof/>
                <w:sz w:val="16"/>
              </w:rPr>
              <w:t>Брой резултати</w:t>
            </w:r>
          </w:p>
        </w:tc>
        <w:tc>
          <w:tcPr>
            <w:tcW w:w="0" w:type="auto"/>
          </w:tcPr>
          <w:p>
            <w:pPr>
              <w:rPr>
                <w:noProof/>
                <w:sz w:val="16"/>
                <w:szCs w:val="16"/>
              </w:rPr>
            </w:pPr>
            <w:r>
              <w:rPr>
                <w:noProof/>
                <w:sz w:val="16"/>
              </w:rPr>
              <w:t>Общо разходи</w:t>
            </w:r>
          </w:p>
        </w:tc>
        <w:tc>
          <w:tcPr>
            <w:tcW w:w="0" w:type="auto"/>
          </w:tcPr>
          <w:p>
            <w:pPr>
              <w:rPr>
                <w:noProof/>
                <w:sz w:val="16"/>
                <w:szCs w:val="16"/>
              </w:rPr>
            </w:pPr>
            <w:r>
              <w:rPr>
                <w:noProof/>
                <w:sz w:val="16"/>
              </w:rPr>
              <w:t>Брой резултати</w:t>
            </w:r>
          </w:p>
        </w:tc>
        <w:tc>
          <w:tcPr>
            <w:tcW w:w="0" w:type="auto"/>
          </w:tcPr>
          <w:p>
            <w:pPr>
              <w:rPr>
                <w:noProof/>
                <w:sz w:val="16"/>
                <w:szCs w:val="16"/>
              </w:rPr>
            </w:pPr>
            <w:r>
              <w:rPr>
                <w:noProof/>
                <w:sz w:val="16"/>
              </w:rPr>
              <w:t>Общо разходи</w:t>
            </w:r>
          </w:p>
        </w:tc>
        <w:tc>
          <w:tcPr>
            <w:tcW w:w="0" w:type="auto"/>
          </w:tcPr>
          <w:p>
            <w:pPr>
              <w:rPr>
                <w:noProof/>
                <w:sz w:val="16"/>
                <w:szCs w:val="16"/>
              </w:rPr>
            </w:pPr>
            <w:r>
              <w:rPr>
                <w:noProof/>
                <w:sz w:val="16"/>
              </w:rPr>
              <w:t>Брой резултати</w:t>
            </w:r>
          </w:p>
        </w:tc>
        <w:tc>
          <w:tcPr>
            <w:tcW w:w="0" w:type="auto"/>
          </w:tcPr>
          <w:p>
            <w:pPr>
              <w:rPr>
                <w:noProof/>
                <w:sz w:val="16"/>
                <w:szCs w:val="16"/>
              </w:rPr>
            </w:pPr>
            <w:r>
              <w:rPr>
                <w:noProof/>
                <w:sz w:val="16"/>
              </w:rPr>
              <w:t>Общо разходи</w:t>
            </w:r>
          </w:p>
        </w:tc>
        <w:tc>
          <w:tcPr>
            <w:tcW w:w="0" w:type="auto"/>
          </w:tcPr>
          <w:p>
            <w:pPr>
              <w:rPr>
                <w:noProof/>
                <w:sz w:val="16"/>
                <w:szCs w:val="16"/>
              </w:rPr>
            </w:pPr>
            <w:r>
              <w:rPr>
                <w:noProof/>
                <w:sz w:val="16"/>
              </w:rPr>
              <w:t>Брой резултати</w:t>
            </w:r>
          </w:p>
        </w:tc>
        <w:tc>
          <w:tcPr>
            <w:tcW w:w="0" w:type="auto"/>
          </w:tcPr>
          <w:p>
            <w:pPr>
              <w:rPr>
                <w:noProof/>
                <w:sz w:val="16"/>
                <w:szCs w:val="16"/>
              </w:rPr>
            </w:pPr>
            <w:r>
              <w:rPr>
                <w:noProof/>
                <w:sz w:val="16"/>
              </w:rPr>
              <w:t>Общо разходи</w:t>
            </w:r>
          </w:p>
        </w:tc>
        <w:tc>
          <w:tcPr>
            <w:tcW w:w="0" w:type="auto"/>
          </w:tcPr>
          <w:p>
            <w:pPr>
              <w:rPr>
                <w:noProof/>
                <w:sz w:val="16"/>
                <w:szCs w:val="16"/>
              </w:rPr>
            </w:pPr>
            <w:r>
              <w:rPr>
                <w:noProof/>
                <w:sz w:val="16"/>
              </w:rPr>
              <w:t>Брой резултати</w:t>
            </w:r>
          </w:p>
        </w:tc>
        <w:tc>
          <w:tcPr>
            <w:tcW w:w="0" w:type="auto"/>
          </w:tcPr>
          <w:p>
            <w:pPr>
              <w:rPr>
                <w:noProof/>
                <w:sz w:val="16"/>
                <w:szCs w:val="16"/>
              </w:rPr>
            </w:pPr>
            <w:r>
              <w:rPr>
                <w:noProof/>
                <w:sz w:val="16"/>
              </w:rPr>
              <w:t>Общо разходи</w:t>
            </w:r>
          </w:p>
        </w:tc>
      </w:tr>
      <w:tr>
        <w:tc>
          <w:tcPr>
            <w:tcW w:w="0" w:type="auto"/>
          </w:tcPr>
          <w:p>
            <w:pPr>
              <w:jc w:val="left"/>
              <w:rPr>
                <w:noProof/>
                <w:sz w:val="16"/>
                <w:szCs w:val="16"/>
              </w:rPr>
            </w:pPr>
            <w:r>
              <w:rPr>
                <w:noProof/>
                <w:sz w:val="16"/>
              </w:rPr>
              <w:t>ОПЕРАТИВНА ЦЕЛ № 1 Устойчивост на изпълнението на оперативните програми</w:t>
            </w:r>
          </w:p>
        </w:tc>
        <w:tc>
          <w:tcPr>
            <w:tcW w:w="780" w:type="dxa"/>
            <w:tcBorders>
              <w:right w:val="nil"/>
            </w:tcBorders>
            <w:shd w:val="pct10" w:color="auto" w:fill="auto"/>
          </w:tcPr>
          <w:p>
            <w:pPr>
              <w:rPr>
                <w:noProof/>
                <w:sz w:val="16"/>
                <w:szCs w:val="16"/>
              </w:rPr>
            </w:pPr>
          </w:p>
        </w:tc>
        <w:tc>
          <w:tcPr>
            <w:tcW w:w="537" w:type="dxa"/>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tcBorders>
            <w:shd w:val="pct10" w:color="auto" w:fill="auto"/>
          </w:tcPr>
          <w:p>
            <w:pPr>
              <w:rPr>
                <w:noProof/>
                <w:sz w:val="16"/>
                <w:szCs w:val="16"/>
              </w:rPr>
            </w:pPr>
          </w:p>
        </w:tc>
      </w:tr>
      <w:tr>
        <w:trPr>
          <w:trHeight w:val="271"/>
        </w:trPr>
        <w:tc>
          <w:tcPr>
            <w:tcW w:w="0" w:type="auto"/>
          </w:tcPr>
          <w:p>
            <w:pPr>
              <w:jc w:val="left"/>
              <w:rPr>
                <w:b/>
                <w:noProof/>
                <w:sz w:val="16"/>
                <w:szCs w:val="16"/>
              </w:rPr>
            </w:pPr>
          </w:p>
        </w:tc>
        <w:tc>
          <w:tcPr>
            <w:tcW w:w="780" w:type="dxa"/>
          </w:tcPr>
          <w:p>
            <w:pPr>
              <w:rPr>
                <w:noProof/>
                <w:sz w:val="16"/>
                <w:szCs w:val="16"/>
              </w:rPr>
            </w:pPr>
          </w:p>
        </w:tc>
        <w:tc>
          <w:tcPr>
            <w:tcW w:w="537" w:type="dxa"/>
          </w:tcPr>
          <w:p>
            <w:pPr>
              <w:rPr>
                <w:noProof/>
                <w:sz w:val="16"/>
                <w:szCs w:val="16"/>
              </w:rPr>
            </w:pPr>
          </w:p>
        </w:tc>
        <w:tc>
          <w:tcPr>
            <w:tcW w:w="0" w:type="auto"/>
          </w:tcPr>
          <w:p>
            <w:pPr>
              <w:rPr>
                <w:noProof/>
                <w:sz w:val="16"/>
                <w:szCs w:val="16"/>
              </w:rPr>
            </w:pPr>
          </w:p>
        </w:tc>
        <w:tc>
          <w:tcPr>
            <w:tcW w:w="0" w:type="auto"/>
          </w:tcPr>
          <w:p>
            <w:pPr>
              <w:jc w:val="right"/>
              <w:rPr>
                <w:noProof/>
                <w:sz w:val="16"/>
                <w:szCs w:val="16"/>
              </w:rPr>
            </w:pPr>
          </w:p>
          <w:p>
            <w:pPr>
              <w:jc w:val="right"/>
              <w:rPr>
                <w:noProof/>
                <w:sz w:val="16"/>
                <w:szCs w:val="16"/>
              </w:rPr>
            </w:pPr>
            <w:r>
              <w:rPr>
                <w:noProof/>
                <w:sz w:val="16"/>
              </w:rPr>
              <w:t>0,000</w:t>
            </w:r>
          </w:p>
        </w:tc>
        <w:tc>
          <w:tcPr>
            <w:tcW w:w="0" w:type="auto"/>
          </w:tcPr>
          <w:p>
            <w:pPr>
              <w:jc w:val="right"/>
              <w:rPr>
                <w:noProof/>
                <w:sz w:val="16"/>
                <w:szCs w:val="16"/>
              </w:rPr>
            </w:pPr>
          </w:p>
        </w:tc>
        <w:tc>
          <w:tcPr>
            <w:tcW w:w="0" w:type="auto"/>
          </w:tcPr>
          <w:p>
            <w:pPr>
              <w:jc w:val="right"/>
              <w:rPr>
                <w:noProof/>
                <w:sz w:val="16"/>
                <w:szCs w:val="16"/>
              </w:rPr>
            </w:pPr>
          </w:p>
          <w:p>
            <w:pPr>
              <w:jc w:val="right"/>
              <w:rPr>
                <w:noProof/>
                <w:sz w:val="16"/>
                <w:szCs w:val="16"/>
              </w:rPr>
            </w:pPr>
            <w:r>
              <w:rPr>
                <w:noProof/>
                <w:sz w:val="16"/>
              </w:rPr>
              <w:t>0,000</w:t>
            </w: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p>
            <w:pPr>
              <w:jc w:val="right"/>
              <w:rPr>
                <w:noProof/>
                <w:sz w:val="16"/>
                <w:szCs w:val="16"/>
              </w:rPr>
            </w:pPr>
            <w:r>
              <w:rPr>
                <w:noProof/>
                <w:sz w:val="16"/>
              </w:rPr>
              <w:t>0,000</w:t>
            </w:r>
          </w:p>
        </w:tc>
      </w:tr>
      <w:tr>
        <w:tc>
          <w:tcPr>
            <w:tcW w:w="0" w:type="auto"/>
          </w:tcPr>
          <w:p>
            <w:pPr>
              <w:rPr>
                <w:b/>
                <w:noProof/>
                <w:sz w:val="16"/>
                <w:szCs w:val="16"/>
              </w:rPr>
            </w:pPr>
            <w:r>
              <w:rPr>
                <w:b/>
                <w:noProof/>
                <w:sz w:val="16"/>
              </w:rPr>
              <w:t>ОБЩО РАЗХОДИ</w:t>
            </w:r>
          </w:p>
        </w:tc>
        <w:tc>
          <w:tcPr>
            <w:tcW w:w="780" w:type="dxa"/>
          </w:tcPr>
          <w:p>
            <w:pPr>
              <w:rPr>
                <w:b/>
                <w:noProof/>
                <w:sz w:val="16"/>
                <w:szCs w:val="16"/>
              </w:rPr>
            </w:pPr>
          </w:p>
        </w:tc>
        <w:tc>
          <w:tcPr>
            <w:tcW w:w="537" w:type="dxa"/>
          </w:tcPr>
          <w:p>
            <w:pPr>
              <w:rPr>
                <w:b/>
                <w:noProof/>
                <w:sz w:val="16"/>
                <w:szCs w:val="16"/>
              </w:rPr>
            </w:pPr>
          </w:p>
        </w:tc>
        <w:tc>
          <w:tcPr>
            <w:tcW w:w="0" w:type="auto"/>
          </w:tcPr>
          <w:p>
            <w:pPr>
              <w:rPr>
                <w:b/>
                <w:noProof/>
                <w:sz w:val="16"/>
                <w:szCs w:val="16"/>
              </w:rPr>
            </w:pPr>
          </w:p>
        </w:tc>
        <w:tc>
          <w:tcPr>
            <w:tcW w:w="0" w:type="auto"/>
          </w:tcPr>
          <w:p>
            <w:pPr>
              <w:jc w:val="right"/>
              <w:rPr>
                <w:b/>
                <w:noProof/>
                <w:sz w:val="16"/>
                <w:szCs w:val="16"/>
              </w:rPr>
            </w:pPr>
          </w:p>
          <w:p>
            <w:pPr>
              <w:jc w:val="right"/>
              <w:rPr>
                <w:b/>
                <w:noProof/>
                <w:sz w:val="16"/>
                <w:szCs w:val="16"/>
              </w:rPr>
            </w:pPr>
            <w:r>
              <w:rPr>
                <w:b/>
                <w:noProof/>
                <w:sz w:val="16"/>
              </w:rPr>
              <w:t>0,000</w:t>
            </w:r>
          </w:p>
        </w:tc>
        <w:tc>
          <w:tcPr>
            <w:tcW w:w="0" w:type="auto"/>
          </w:tcPr>
          <w:p>
            <w:pPr>
              <w:jc w:val="right"/>
              <w:rPr>
                <w:b/>
                <w:noProof/>
                <w:sz w:val="16"/>
                <w:szCs w:val="16"/>
              </w:rPr>
            </w:pPr>
          </w:p>
        </w:tc>
        <w:tc>
          <w:tcPr>
            <w:tcW w:w="0" w:type="auto"/>
          </w:tcPr>
          <w:p>
            <w:pPr>
              <w:jc w:val="right"/>
              <w:rPr>
                <w:b/>
                <w:noProof/>
                <w:sz w:val="16"/>
                <w:szCs w:val="16"/>
              </w:rPr>
            </w:pPr>
          </w:p>
          <w:p>
            <w:pPr>
              <w:jc w:val="right"/>
              <w:rPr>
                <w:b/>
                <w:noProof/>
                <w:sz w:val="16"/>
                <w:szCs w:val="16"/>
              </w:rPr>
            </w:pPr>
            <w:r>
              <w:rPr>
                <w:b/>
                <w:noProof/>
                <w:sz w:val="16"/>
              </w:rPr>
              <w:t>0,000</w:t>
            </w: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p>
            <w:pPr>
              <w:jc w:val="right"/>
              <w:rPr>
                <w:b/>
                <w:noProof/>
                <w:sz w:val="16"/>
                <w:szCs w:val="16"/>
              </w:rPr>
            </w:pPr>
            <w:r>
              <w:rPr>
                <w:b/>
                <w:noProof/>
                <w:sz w:val="16"/>
              </w:rPr>
              <w:t>0,000</w:t>
            </w:r>
          </w:p>
        </w:tc>
      </w:tr>
    </w:tbl>
    <w:p>
      <w:pPr>
        <w:rPr>
          <w:noProof/>
        </w:rPr>
        <w:sectPr>
          <w:headerReference w:type="default" r:id="rId13"/>
          <w:footerReference w:type="default" r:id="rId14"/>
          <w:headerReference w:type="first" r:id="rId15"/>
          <w:footerReference w:type="first" r:id="rId16"/>
          <w:pgSz w:w="15840" w:h="12240" w:orient="landscape"/>
          <w:pgMar w:top="1259" w:right="1440" w:bottom="1259" w:left="1440" w:header="709" w:footer="709" w:gutter="0"/>
          <w:cols w:space="708"/>
          <w:docGrid w:linePitch="360"/>
        </w:sectPr>
      </w:pPr>
    </w:p>
    <w:p>
      <w:pPr>
        <w:pStyle w:val="ManualHeading2"/>
        <w:rPr>
          <w:noProof/>
        </w:rPr>
      </w:pPr>
      <w:r>
        <w:rPr>
          <w:noProof/>
        </w:rPr>
        <w:t>8.2.</w:t>
      </w:r>
      <w:r>
        <w:rPr>
          <w:noProof/>
        </w:rPr>
        <w:tab/>
        <w:t>Административни разходи</w:t>
      </w:r>
    </w:p>
    <w:p>
      <w:pPr>
        <w:pStyle w:val="ManualHeading3"/>
        <w:rPr>
          <w:noProof/>
        </w:rPr>
      </w:pPr>
      <w:r>
        <w:rPr>
          <w:noProof/>
        </w:rPr>
        <w:t>8.2.1.</w:t>
      </w:r>
      <w:r>
        <w:rPr>
          <w:noProof/>
        </w:rPr>
        <w:tab/>
        <w:t>Брой и вид човешки ресурси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883"/>
        <w:gridCol w:w="1077"/>
        <w:gridCol w:w="1077"/>
        <w:gridCol w:w="1078"/>
        <w:gridCol w:w="1078"/>
        <w:gridCol w:w="1078"/>
        <w:gridCol w:w="1078"/>
      </w:tblGrid>
      <w:tr>
        <w:trPr>
          <w:trHeight w:val="678"/>
        </w:trPr>
        <w:tc>
          <w:tcPr>
            <w:tcW w:w="1040" w:type="dxa"/>
            <w:vAlign w:val="center"/>
          </w:tcPr>
          <w:p>
            <w:pPr>
              <w:jc w:val="center"/>
              <w:rPr>
                <w:noProof/>
                <w:sz w:val="20"/>
                <w:szCs w:val="20"/>
              </w:rPr>
            </w:pPr>
            <w:r>
              <w:rPr>
                <w:noProof/>
                <w:sz w:val="20"/>
              </w:rPr>
              <w:t>Видове длъжности</w:t>
            </w:r>
          </w:p>
        </w:tc>
        <w:tc>
          <w:tcPr>
            <w:tcW w:w="884" w:type="dxa"/>
          </w:tcPr>
          <w:p>
            <w:pPr>
              <w:rPr>
                <w:noProof/>
                <w:sz w:val="20"/>
                <w:szCs w:val="20"/>
              </w:rPr>
            </w:pPr>
          </w:p>
        </w:tc>
        <w:tc>
          <w:tcPr>
            <w:tcW w:w="6932" w:type="dxa"/>
            <w:gridSpan w:val="6"/>
            <w:vAlign w:val="center"/>
          </w:tcPr>
          <w:p>
            <w:pPr>
              <w:jc w:val="center"/>
              <w:rPr>
                <w:noProof/>
                <w:sz w:val="20"/>
                <w:szCs w:val="20"/>
              </w:rPr>
            </w:pPr>
            <w:r>
              <w:rPr>
                <w:noProof/>
                <w:sz w:val="20"/>
              </w:rPr>
              <w:t>Персонал, който трябва да бъде назначен за управление на дейността, като се използват налични и/или допълнителни ресурси (</w:t>
            </w:r>
            <w:r>
              <w:rPr>
                <w:b/>
                <w:noProof/>
                <w:sz w:val="20"/>
              </w:rPr>
              <w:t>брой длъжности/еквивалент на пълно работно време</w:t>
            </w:r>
            <w:r>
              <w:rPr>
                <w:noProof/>
                <w:sz w:val="20"/>
              </w:rPr>
              <w:t>)</w:t>
            </w:r>
          </w:p>
        </w:tc>
      </w:tr>
      <w:tr>
        <w:trPr>
          <w:trHeight w:val="383"/>
        </w:trPr>
        <w:tc>
          <w:tcPr>
            <w:tcW w:w="1040" w:type="dxa"/>
          </w:tcPr>
          <w:p>
            <w:pPr>
              <w:rPr>
                <w:noProof/>
                <w:sz w:val="20"/>
                <w:szCs w:val="20"/>
              </w:rPr>
            </w:pPr>
          </w:p>
        </w:tc>
        <w:tc>
          <w:tcPr>
            <w:tcW w:w="884" w:type="dxa"/>
          </w:tcPr>
          <w:p>
            <w:pPr>
              <w:rPr>
                <w:noProof/>
                <w:sz w:val="20"/>
                <w:szCs w:val="20"/>
              </w:rPr>
            </w:pPr>
          </w:p>
        </w:tc>
        <w:tc>
          <w:tcPr>
            <w:tcW w:w="1154" w:type="dxa"/>
            <w:vAlign w:val="center"/>
          </w:tcPr>
          <w:p>
            <w:pPr>
              <w:jc w:val="center"/>
              <w:rPr>
                <w:noProof/>
                <w:sz w:val="20"/>
                <w:szCs w:val="20"/>
              </w:rPr>
            </w:pPr>
            <w:r>
              <w:rPr>
                <w:noProof/>
                <w:sz w:val="20"/>
              </w:rPr>
              <w:t>Година n</w:t>
            </w:r>
          </w:p>
        </w:tc>
        <w:tc>
          <w:tcPr>
            <w:tcW w:w="1154" w:type="dxa"/>
            <w:vAlign w:val="center"/>
          </w:tcPr>
          <w:p>
            <w:pPr>
              <w:jc w:val="center"/>
              <w:rPr>
                <w:noProof/>
                <w:sz w:val="20"/>
                <w:szCs w:val="20"/>
              </w:rPr>
            </w:pPr>
            <w:r>
              <w:rPr>
                <w:noProof/>
                <w:sz w:val="20"/>
              </w:rPr>
              <w:t>Година n+1</w:t>
            </w:r>
          </w:p>
        </w:tc>
        <w:tc>
          <w:tcPr>
            <w:tcW w:w="1156" w:type="dxa"/>
            <w:vAlign w:val="center"/>
          </w:tcPr>
          <w:p>
            <w:pPr>
              <w:jc w:val="center"/>
              <w:rPr>
                <w:noProof/>
                <w:sz w:val="20"/>
                <w:szCs w:val="20"/>
              </w:rPr>
            </w:pPr>
            <w:r>
              <w:rPr>
                <w:noProof/>
                <w:sz w:val="20"/>
              </w:rPr>
              <w:t>Година n+2</w:t>
            </w:r>
          </w:p>
        </w:tc>
        <w:tc>
          <w:tcPr>
            <w:tcW w:w="1156" w:type="dxa"/>
            <w:vAlign w:val="center"/>
          </w:tcPr>
          <w:p>
            <w:pPr>
              <w:jc w:val="center"/>
              <w:rPr>
                <w:noProof/>
                <w:sz w:val="20"/>
                <w:szCs w:val="20"/>
              </w:rPr>
            </w:pPr>
            <w:r>
              <w:rPr>
                <w:noProof/>
                <w:sz w:val="20"/>
              </w:rPr>
              <w:t>Година n+3</w:t>
            </w:r>
          </w:p>
        </w:tc>
        <w:tc>
          <w:tcPr>
            <w:tcW w:w="1156" w:type="dxa"/>
            <w:vAlign w:val="center"/>
          </w:tcPr>
          <w:p>
            <w:pPr>
              <w:jc w:val="center"/>
              <w:rPr>
                <w:noProof/>
                <w:sz w:val="20"/>
                <w:szCs w:val="20"/>
              </w:rPr>
            </w:pPr>
            <w:r>
              <w:rPr>
                <w:noProof/>
                <w:sz w:val="20"/>
              </w:rPr>
              <w:t>Година n+4</w:t>
            </w:r>
          </w:p>
        </w:tc>
        <w:tc>
          <w:tcPr>
            <w:tcW w:w="1156" w:type="dxa"/>
            <w:vAlign w:val="center"/>
          </w:tcPr>
          <w:p>
            <w:pPr>
              <w:jc w:val="center"/>
              <w:rPr>
                <w:noProof/>
                <w:sz w:val="20"/>
                <w:szCs w:val="20"/>
              </w:rPr>
            </w:pPr>
            <w:r>
              <w:rPr>
                <w:noProof/>
                <w:sz w:val="20"/>
              </w:rPr>
              <w:t>Година n+5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0" w:type="dxa"/>
            <w:vMerge w:val="restart"/>
          </w:tcPr>
          <w:p>
            <w:pPr>
              <w:jc w:val="center"/>
              <w:rPr>
                <w:noProof/>
                <w:sz w:val="20"/>
                <w:szCs w:val="20"/>
              </w:rPr>
            </w:pPr>
            <w:r>
              <w:rPr>
                <w:noProof/>
              </w:rPr>
              <w:t>Длъжностни лица или временно наети лица (XX 01 01)</w:t>
            </w:r>
          </w:p>
        </w:tc>
        <w:tc>
          <w:tcPr>
            <w:tcW w:w="884" w:type="dxa"/>
          </w:tcPr>
          <w:p>
            <w:pPr>
              <w:rPr>
                <w:noProof/>
                <w:sz w:val="20"/>
                <w:szCs w:val="20"/>
              </w:rPr>
            </w:pPr>
            <w:r>
              <w:rPr>
                <w:noProof/>
                <w:sz w:val="20"/>
              </w:rPr>
              <w:t>A*/AD</w:t>
            </w:r>
          </w:p>
        </w:tc>
        <w:tc>
          <w:tcPr>
            <w:tcW w:w="1154" w:type="dxa"/>
          </w:tcPr>
          <w:p>
            <w:pPr>
              <w:jc w:val="right"/>
              <w:rPr>
                <w:noProof/>
                <w:sz w:val="20"/>
                <w:szCs w:val="20"/>
              </w:rPr>
            </w:pPr>
            <w:r>
              <w:rPr>
                <w:noProof/>
                <w:sz w:val="20"/>
              </w:rPr>
              <w:t>н.п.</w:t>
            </w:r>
          </w:p>
        </w:tc>
        <w:tc>
          <w:tcPr>
            <w:tcW w:w="1154"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0" w:type="dxa"/>
            <w:vMerge/>
          </w:tcPr>
          <w:p>
            <w:pPr>
              <w:rPr>
                <w:noProof/>
                <w:sz w:val="20"/>
                <w:szCs w:val="20"/>
              </w:rPr>
            </w:pPr>
          </w:p>
        </w:tc>
        <w:tc>
          <w:tcPr>
            <w:tcW w:w="884" w:type="dxa"/>
          </w:tcPr>
          <w:p>
            <w:pPr>
              <w:rPr>
                <w:noProof/>
                <w:sz w:val="20"/>
                <w:szCs w:val="20"/>
              </w:rPr>
            </w:pPr>
            <w:r>
              <w:rPr>
                <w:noProof/>
                <w:sz w:val="20"/>
              </w:rPr>
              <w:t>B*, C*/AST</w:t>
            </w:r>
          </w:p>
        </w:tc>
        <w:tc>
          <w:tcPr>
            <w:tcW w:w="1154" w:type="dxa"/>
          </w:tcPr>
          <w:p>
            <w:pPr>
              <w:jc w:val="right"/>
              <w:rPr>
                <w:noProof/>
                <w:sz w:val="20"/>
                <w:szCs w:val="20"/>
              </w:rPr>
            </w:pPr>
            <w:r>
              <w:rPr>
                <w:noProof/>
                <w:sz w:val="20"/>
              </w:rPr>
              <w:t>н.п.</w:t>
            </w:r>
          </w:p>
        </w:tc>
        <w:tc>
          <w:tcPr>
            <w:tcW w:w="1154"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r>
      <w:tr>
        <w:tc>
          <w:tcPr>
            <w:tcW w:w="1924" w:type="dxa"/>
            <w:gridSpan w:val="2"/>
          </w:tcPr>
          <w:p>
            <w:pPr>
              <w:rPr>
                <w:noProof/>
                <w:sz w:val="20"/>
                <w:szCs w:val="20"/>
              </w:rPr>
            </w:pPr>
            <w:r>
              <w:rPr>
                <w:noProof/>
                <w:sz w:val="20"/>
              </w:rPr>
              <w:t>Персонал, финансиран по статия XX 01 02</w:t>
            </w:r>
          </w:p>
        </w:tc>
        <w:tc>
          <w:tcPr>
            <w:tcW w:w="1154" w:type="dxa"/>
          </w:tcPr>
          <w:p>
            <w:pPr>
              <w:jc w:val="right"/>
              <w:rPr>
                <w:noProof/>
                <w:sz w:val="20"/>
                <w:szCs w:val="20"/>
              </w:rPr>
            </w:pPr>
            <w:r>
              <w:rPr>
                <w:noProof/>
                <w:sz w:val="20"/>
              </w:rPr>
              <w:t>н.п.</w:t>
            </w:r>
          </w:p>
        </w:tc>
        <w:tc>
          <w:tcPr>
            <w:tcW w:w="1154"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r>
      <w:tr>
        <w:tc>
          <w:tcPr>
            <w:tcW w:w="1924" w:type="dxa"/>
            <w:gridSpan w:val="2"/>
          </w:tcPr>
          <w:p>
            <w:pPr>
              <w:rPr>
                <w:noProof/>
                <w:sz w:val="20"/>
                <w:szCs w:val="20"/>
              </w:rPr>
            </w:pPr>
            <w:r>
              <w:rPr>
                <w:noProof/>
                <w:sz w:val="20"/>
              </w:rPr>
              <w:t>Друг персонал, финансиран по статия XX 01 04/05</w:t>
            </w:r>
          </w:p>
        </w:tc>
        <w:tc>
          <w:tcPr>
            <w:tcW w:w="1154" w:type="dxa"/>
          </w:tcPr>
          <w:p>
            <w:pPr>
              <w:jc w:val="right"/>
              <w:rPr>
                <w:noProof/>
                <w:sz w:val="20"/>
                <w:szCs w:val="20"/>
              </w:rPr>
            </w:pPr>
            <w:r>
              <w:rPr>
                <w:noProof/>
                <w:sz w:val="20"/>
              </w:rPr>
              <w:t>н.п.</w:t>
            </w:r>
          </w:p>
        </w:tc>
        <w:tc>
          <w:tcPr>
            <w:tcW w:w="1154"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r>
      <w:tr>
        <w:trPr>
          <w:trHeight w:val="547"/>
        </w:trPr>
        <w:tc>
          <w:tcPr>
            <w:tcW w:w="1924" w:type="dxa"/>
            <w:gridSpan w:val="2"/>
            <w:vAlign w:val="center"/>
          </w:tcPr>
          <w:p>
            <w:pPr>
              <w:rPr>
                <w:noProof/>
                <w:sz w:val="20"/>
                <w:szCs w:val="20"/>
              </w:rPr>
            </w:pPr>
            <w:r>
              <w:rPr>
                <w:b/>
                <w:noProof/>
                <w:sz w:val="20"/>
              </w:rPr>
              <w:t>ОБЩО</w:t>
            </w:r>
          </w:p>
        </w:tc>
        <w:tc>
          <w:tcPr>
            <w:tcW w:w="1154" w:type="dxa"/>
          </w:tcPr>
          <w:p>
            <w:pPr>
              <w:jc w:val="right"/>
              <w:rPr>
                <w:noProof/>
                <w:sz w:val="20"/>
                <w:szCs w:val="20"/>
              </w:rPr>
            </w:pPr>
            <w:r>
              <w:rPr>
                <w:noProof/>
                <w:sz w:val="20"/>
              </w:rPr>
              <w:t>н.п.</w:t>
            </w:r>
          </w:p>
        </w:tc>
        <w:tc>
          <w:tcPr>
            <w:tcW w:w="1154"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r>
    </w:tbl>
    <w:p>
      <w:pPr>
        <w:pStyle w:val="ManualHeading3"/>
        <w:spacing w:before="360"/>
        <w:ind w:left="851" w:hanging="851"/>
        <w:rPr>
          <w:noProof/>
        </w:rPr>
      </w:pPr>
      <w:r>
        <w:rPr>
          <w:noProof/>
        </w:rPr>
        <w:t>8.2.2.</w:t>
      </w:r>
      <w:r>
        <w:rPr>
          <w:noProof/>
        </w:rPr>
        <w:tab/>
        <w:t>Описание на задачите, произтичащи от действието</w:t>
      </w:r>
    </w:p>
    <w:p>
      <w:pPr>
        <w:rPr>
          <w:noProof/>
        </w:rPr>
      </w:pPr>
      <w:r>
        <w:rPr>
          <w:noProof/>
        </w:rPr>
        <w:t>Н.П.</w:t>
      </w:r>
    </w:p>
    <w:p>
      <w:pPr>
        <w:pStyle w:val="ManualHeading3"/>
        <w:rPr>
          <w:noProof/>
        </w:rPr>
      </w:pPr>
      <w:r>
        <w:rPr>
          <w:noProof/>
        </w:rPr>
        <w:t>8.2.3.</w:t>
      </w:r>
      <w:r>
        <w:rPr>
          <w:noProof/>
        </w:rPr>
        <w:tab/>
        <w:t>Източници на човешки ресурси (законово установени)</w:t>
      </w:r>
    </w:p>
    <w:p>
      <w:pPr>
        <w:rPr>
          <w:i/>
          <w:noProof/>
        </w:rPr>
      </w:pPr>
      <w:r>
        <w:rPr>
          <w:i/>
          <w:noProof/>
        </w:rPr>
        <w:t>(Когато са дадени повече източници, да се посочи броят на длъжностите, свързани с всеки от тях).</w:t>
      </w:r>
    </w:p>
    <w:p>
      <w:pPr>
        <w:pStyle w:val="Text1"/>
        <w:rPr>
          <w:noProof/>
        </w:rPr>
      </w:pPr>
      <w:r>
        <w:rPr>
          <w:noProof/>
        </w:rPr>
        <w:sym w:font="Wingdings" w:char="F0A8"/>
      </w:r>
      <w:r>
        <w:rPr>
          <w:noProof/>
        </w:rPr>
        <w:t>Длъжности, понастоящем разпределени за управлението на програмата, които трябва да бъдат заменени или чийто срок трябва да се удължи</w:t>
      </w:r>
    </w:p>
    <w:p>
      <w:pPr>
        <w:pStyle w:val="Text1"/>
        <w:rPr>
          <w:noProof/>
          <w:sz w:val="20"/>
          <w:szCs w:val="20"/>
        </w:rPr>
      </w:pPr>
      <w:r>
        <w:rPr>
          <w:noProof/>
        </w:rPr>
        <w:sym w:font="Wingdings" w:char="F0A8"/>
      </w:r>
      <w:r>
        <w:rPr>
          <w:noProof/>
        </w:rPr>
        <w:t>Длъжности, предварително разпределени в рамките на Годишната политическа стратегия (ГПС)/Предварителния проектобюджет (ППБ) за година n</w:t>
      </w:r>
    </w:p>
    <w:p>
      <w:pPr>
        <w:pStyle w:val="Text1"/>
        <w:rPr>
          <w:noProof/>
        </w:rPr>
      </w:pPr>
      <w:r>
        <w:rPr>
          <w:noProof/>
        </w:rPr>
        <w:sym w:font="Wingdings" w:char="F0A8"/>
      </w:r>
      <w:r>
        <w:rPr>
          <w:noProof/>
        </w:rPr>
        <w:t>Длъжности, които трябва да бъдат поискани в рамките на следващата процедура за ГПС/ППБ</w:t>
      </w:r>
    </w:p>
    <w:p>
      <w:pPr>
        <w:pStyle w:val="Text1"/>
        <w:rPr>
          <w:noProof/>
        </w:rPr>
      </w:pPr>
      <w:r>
        <w:rPr>
          <w:noProof/>
        </w:rPr>
        <w:sym w:font="Wingdings" w:char="F0A8"/>
      </w:r>
      <w:r>
        <w:rPr>
          <w:noProof/>
        </w:rPr>
        <w:t>Длъжности, които трябва да бъдат преразпределени, като се използват съществуващите ресурси в управляващата служба (вътрешно преназначаване)</w:t>
      </w:r>
    </w:p>
    <w:p>
      <w:pPr>
        <w:pStyle w:val="Text1"/>
        <w:rPr>
          <w:noProof/>
        </w:rPr>
      </w:pPr>
      <w:r>
        <w:rPr>
          <w:noProof/>
        </w:rPr>
        <w:sym w:font="Wingdings" w:char="F0A8"/>
      </w:r>
      <w:r>
        <w:rPr>
          <w:noProof/>
        </w:rPr>
        <w:t>Длъжности, необходими за година n, но непредвидени в ГПС/ППБ за съответната година</w:t>
      </w:r>
    </w:p>
    <w:p>
      <w:pPr>
        <w:pStyle w:val="Text1"/>
        <w:spacing w:after="0"/>
        <w:rPr>
          <w:noProof/>
        </w:rPr>
        <w:sectPr>
          <w:headerReference w:type="default" r:id="rId17"/>
          <w:footerReference w:type="default" r:id="rId18"/>
          <w:headerReference w:type="first" r:id="rId19"/>
          <w:footerReference w:type="first" r:id="rId20"/>
          <w:pgSz w:w="12240" w:h="15840"/>
          <w:pgMar w:top="1440" w:right="1800" w:bottom="1440" w:left="1800" w:header="708" w:footer="708" w:gutter="0"/>
          <w:cols w:space="708"/>
          <w:docGrid w:linePitch="360"/>
        </w:sectPr>
      </w:pPr>
    </w:p>
    <w:p>
      <w:pPr>
        <w:pStyle w:val="ManualHeading3"/>
        <w:rPr>
          <w:noProof/>
        </w:rPr>
      </w:pPr>
      <w:r>
        <w:rPr>
          <w:noProof/>
        </w:rPr>
        <w:t>8.2.4.</w:t>
      </w:r>
      <w:r>
        <w:rPr>
          <w:noProof/>
        </w:rPr>
        <w:tab/>
        <w:t>Други административни разходи, включени в референтната сума (XX 01 04/05 – Разходи за административно управление)</w:t>
      </w:r>
    </w:p>
    <w:p>
      <w:pPr>
        <w:jc w:val="right"/>
        <w:rPr>
          <w:i/>
          <w:noProof/>
          <w:sz w:val="20"/>
          <w:szCs w:val="20"/>
        </w:rPr>
      </w:pPr>
      <w:r>
        <w:rPr>
          <w:i/>
          <w:noProof/>
          <w:sz w:val="20"/>
        </w:rPr>
        <w:t>млн. евро (до 3-ия знак след десетичната запетая)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3"/>
        <w:gridCol w:w="837"/>
        <w:gridCol w:w="837"/>
        <w:gridCol w:w="837"/>
        <w:gridCol w:w="837"/>
        <w:gridCol w:w="837"/>
        <w:gridCol w:w="1216"/>
        <w:gridCol w:w="822"/>
      </w:tblGrid>
      <w:tr>
        <w:trPr>
          <w:trHeight w:val="625"/>
        </w:trPr>
        <w:tc>
          <w:tcPr>
            <w:tcW w:w="3688" w:type="dxa"/>
          </w:tcPr>
          <w:p>
            <w:pPr>
              <w:rPr>
                <w:noProof/>
                <w:sz w:val="20"/>
              </w:rPr>
            </w:pPr>
            <w:r>
              <w:rPr>
                <w:noProof/>
                <w:sz w:val="20"/>
              </w:rPr>
              <w:t>Бюджетен ред</w:t>
            </w:r>
          </w:p>
          <w:p>
            <w:pPr>
              <w:rPr>
                <w:noProof/>
                <w:sz w:val="20"/>
              </w:rPr>
            </w:pPr>
            <w:r>
              <w:rPr>
                <w:noProof/>
                <w:sz w:val="20"/>
              </w:rPr>
              <w:t>(№ и наименование)</w:t>
            </w:r>
          </w:p>
        </w:tc>
        <w:tc>
          <w:tcPr>
            <w:tcW w:w="701" w:type="dxa"/>
            <w:vAlign w:val="center"/>
          </w:tcPr>
          <w:p>
            <w:pPr>
              <w:jc w:val="center"/>
              <w:rPr>
                <w:noProof/>
                <w:sz w:val="20"/>
              </w:rPr>
            </w:pPr>
            <w:r>
              <w:rPr>
                <w:noProof/>
                <w:sz w:val="20"/>
              </w:rPr>
              <w:t>Година n</w:t>
            </w:r>
          </w:p>
        </w:tc>
        <w:tc>
          <w:tcPr>
            <w:tcW w:w="0" w:type="auto"/>
            <w:vAlign w:val="center"/>
          </w:tcPr>
          <w:p>
            <w:pPr>
              <w:jc w:val="center"/>
              <w:rPr>
                <w:noProof/>
                <w:sz w:val="20"/>
              </w:rPr>
            </w:pPr>
            <w:r>
              <w:rPr>
                <w:noProof/>
                <w:sz w:val="20"/>
              </w:rPr>
              <w:t>Година n+1</w:t>
            </w:r>
          </w:p>
        </w:tc>
        <w:tc>
          <w:tcPr>
            <w:tcW w:w="0" w:type="auto"/>
            <w:vAlign w:val="center"/>
          </w:tcPr>
          <w:p>
            <w:pPr>
              <w:jc w:val="center"/>
              <w:rPr>
                <w:noProof/>
                <w:sz w:val="20"/>
              </w:rPr>
            </w:pPr>
            <w:r>
              <w:rPr>
                <w:noProof/>
                <w:sz w:val="20"/>
              </w:rPr>
              <w:t>Година n+2</w:t>
            </w:r>
          </w:p>
        </w:tc>
        <w:tc>
          <w:tcPr>
            <w:tcW w:w="0" w:type="auto"/>
            <w:vAlign w:val="center"/>
          </w:tcPr>
          <w:p>
            <w:pPr>
              <w:jc w:val="center"/>
              <w:rPr>
                <w:noProof/>
                <w:sz w:val="20"/>
              </w:rPr>
            </w:pPr>
            <w:r>
              <w:rPr>
                <w:noProof/>
                <w:sz w:val="20"/>
              </w:rPr>
              <w:t>Година n+3</w:t>
            </w:r>
          </w:p>
        </w:tc>
        <w:tc>
          <w:tcPr>
            <w:tcW w:w="0" w:type="auto"/>
            <w:vAlign w:val="center"/>
          </w:tcPr>
          <w:p>
            <w:pPr>
              <w:jc w:val="center"/>
              <w:rPr>
                <w:noProof/>
                <w:sz w:val="20"/>
              </w:rPr>
            </w:pPr>
            <w:r>
              <w:rPr>
                <w:noProof/>
                <w:sz w:val="20"/>
              </w:rPr>
              <w:t>Година n+4</w:t>
            </w:r>
          </w:p>
        </w:tc>
        <w:tc>
          <w:tcPr>
            <w:tcW w:w="0" w:type="auto"/>
          </w:tcPr>
          <w:p>
            <w:pPr>
              <w:jc w:val="center"/>
              <w:rPr>
                <w:noProof/>
                <w:sz w:val="20"/>
              </w:rPr>
            </w:pPr>
            <w:r>
              <w:rPr>
                <w:noProof/>
                <w:sz w:val="20"/>
              </w:rPr>
              <w:t xml:space="preserve">Година n+5 </w:t>
            </w:r>
          </w:p>
          <w:p>
            <w:pPr>
              <w:jc w:val="center"/>
              <w:rPr>
                <w:noProof/>
                <w:sz w:val="20"/>
              </w:rPr>
            </w:pPr>
            <w:r>
              <w:rPr>
                <w:noProof/>
                <w:sz w:val="20"/>
              </w:rPr>
              <w:t>и следващите</w:t>
            </w:r>
          </w:p>
        </w:tc>
        <w:tc>
          <w:tcPr>
            <w:tcW w:w="0" w:type="auto"/>
            <w:vAlign w:val="center"/>
          </w:tcPr>
          <w:p>
            <w:pPr>
              <w:jc w:val="center"/>
              <w:rPr>
                <w:noProof/>
                <w:sz w:val="20"/>
              </w:rPr>
            </w:pPr>
            <w:r>
              <w:rPr>
                <w:noProof/>
                <w:sz w:val="20"/>
              </w:rPr>
              <w:t>ОБЩО</w:t>
            </w:r>
          </w:p>
        </w:tc>
      </w:tr>
      <w:tr>
        <w:trPr>
          <w:trHeight w:val="420"/>
        </w:trPr>
        <w:tc>
          <w:tcPr>
            <w:tcW w:w="3688" w:type="dxa"/>
            <w:vAlign w:val="center"/>
          </w:tcPr>
          <w:p>
            <w:pPr>
              <w:ind w:left="360" w:hanging="360"/>
              <w:jc w:val="left"/>
              <w:rPr>
                <w:b/>
                <w:noProof/>
                <w:sz w:val="20"/>
              </w:rPr>
            </w:pPr>
            <w:r>
              <w:rPr>
                <w:b/>
                <w:noProof/>
                <w:sz w:val="20"/>
              </w:rPr>
              <w:t>1</w:t>
            </w:r>
            <w:r>
              <w:rPr>
                <w:noProof/>
              </w:rPr>
              <w:tab/>
            </w:r>
            <w:r>
              <w:rPr>
                <w:b/>
                <w:noProof/>
                <w:sz w:val="20"/>
              </w:rPr>
              <w:t>Техническа и административна помощ (включително съответните разходи за персонал)</w:t>
            </w:r>
          </w:p>
        </w:tc>
        <w:tc>
          <w:tcPr>
            <w:tcW w:w="701" w:type="dxa"/>
            <w:tcBorders>
              <w:right w:val="nil"/>
            </w:tcBorders>
            <w:shd w:val="pct10" w:color="auto" w:fill="auto"/>
            <w:vAlign w:val="center"/>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tcBorders>
            <w:shd w:val="pct10" w:color="auto" w:fill="auto"/>
            <w:vAlign w:val="center"/>
          </w:tcPr>
          <w:p>
            <w:pPr>
              <w:rPr>
                <w:noProof/>
                <w:sz w:val="20"/>
              </w:rPr>
            </w:pPr>
          </w:p>
        </w:tc>
      </w:tr>
      <w:tr>
        <w:trPr>
          <w:trHeight w:val="420"/>
        </w:trPr>
        <w:tc>
          <w:tcPr>
            <w:tcW w:w="3688" w:type="dxa"/>
            <w:vAlign w:val="center"/>
          </w:tcPr>
          <w:p>
            <w:pPr>
              <w:jc w:val="left"/>
              <w:rPr>
                <w:noProof/>
                <w:sz w:val="20"/>
              </w:rPr>
            </w:pPr>
            <w:r>
              <w:rPr>
                <w:noProof/>
                <w:sz w:val="20"/>
              </w:rPr>
              <w:t>Изпълнителни агенции</w:t>
            </w:r>
          </w:p>
        </w:tc>
        <w:tc>
          <w:tcPr>
            <w:tcW w:w="701" w:type="dxa"/>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r>
      <w:tr>
        <w:trPr>
          <w:trHeight w:val="420"/>
        </w:trPr>
        <w:tc>
          <w:tcPr>
            <w:tcW w:w="3688" w:type="dxa"/>
            <w:vAlign w:val="center"/>
          </w:tcPr>
          <w:p>
            <w:pPr>
              <w:jc w:val="left"/>
              <w:rPr>
                <w:noProof/>
                <w:sz w:val="20"/>
              </w:rPr>
            </w:pPr>
            <w:r>
              <w:rPr>
                <w:noProof/>
                <w:sz w:val="20"/>
              </w:rPr>
              <w:t>Друга техническа и административна помощ</w:t>
            </w:r>
          </w:p>
        </w:tc>
        <w:tc>
          <w:tcPr>
            <w:tcW w:w="701" w:type="dxa"/>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r>
      <w:tr>
        <w:trPr>
          <w:trHeight w:val="420"/>
        </w:trPr>
        <w:tc>
          <w:tcPr>
            <w:tcW w:w="3688" w:type="dxa"/>
            <w:vAlign w:val="center"/>
          </w:tcPr>
          <w:p>
            <w:pPr>
              <w:pStyle w:val="Text1"/>
              <w:ind w:left="600"/>
              <w:rPr>
                <w:b/>
                <w:noProof/>
              </w:rPr>
            </w:pPr>
            <w:r>
              <w:rPr>
                <w:b/>
                <w:noProof/>
              </w:rPr>
              <w:t>-</w:t>
            </w:r>
            <w:r>
              <w:rPr>
                <w:noProof/>
              </w:rPr>
              <w:t xml:space="preserve"> intra muros</w:t>
            </w:r>
            <w:r>
              <w:rPr>
                <w:b/>
                <w:noProof/>
              </w:rPr>
              <w:t xml:space="preserve"> </w:t>
            </w:r>
          </w:p>
        </w:tc>
        <w:tc>
          <w:tcPr>
            <w:tcW w:w="701" w:type="dxa"/>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r>
      <w:tr>
        <w:trPr>
          <w:trHeight w:val="420"/>
        </w:trPr>
        <w:tc>
          <w:tcPr>
            <w:tcW w:w="3688" w:type="dxa"/>
            <w:vAlign w:val="center"/>
          </w:tcPr>
          <w:p>
            <w:pPr>
              <w:pStyle w:val="Text1"/>
              <w:ind w:left="600"/>
              <w:rPr>
                <w:b/>
                <w:noProof/>
              </w:rPr>
            </w:pPr>
            <w:r>
              <w:rPr>
                <w:b/>
                <w:noProof/>
              </w:rPr>
              <w:t>-</w:t>
            </w:r>
            <w:r>
              <w:rPr>
                <w:noProof/>
              </w:rPr>
              <w:t xml:space="preserve"> extra muros</w:t>
            </w:r>
          </w:p>
        </w:tc>
        <w:tc>
          <w:tcPr>
            <w:tcW w:w="701" w:type="dxa"/>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r>
      <w:tr>
        <w:trPr>
          <w:trHeight w:val="420"/>
        </w:trPr>
        <w:tc>
          <w:tcPr>
            <w:tcW w:w="3688" w:type="dxa"/>
            <w:vAlign w:val="center"/>
          </w:tcPr>
          <w:p>
            <w:pPr>
              <w:jc w:val="left"/>
              <w:rPr>
                <w:b/>
                <w:noProof/>
                <w:sz w:val="20"/>
              </w:rPr>
            </w:pPr>
            <w:r>
              <w:rPr>
                <w:b/>
                <w:noProof/>
                <w:sz w:val="20"/>
              </w:rPr>
              <w:t>Общо техническа и административна помощ</w:t>
            </w:r>
          </w:p>
        </w:tc>
        <w:tc>
          <w:tcPr>
            <w:tcW w:w="701" w:type="dxa"/>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r>
    </w:tbl>
    <w:p>
      <w:pPr>
        <w:pStyle w:val="ManualHeading3"/>
        <w:spacing w:before="360"/>
        <w:ind w:left="851" w:hanging="851"/>
        <w:rPr>
          <w:noProof/>
        </w:rPr>
      </w:pPr>
      <w:r>
        <w:rPr>
          <w:noProof/>
        </w:rPr>
        <w:t>8.2.5.</w:t>
      </w:r>
      <w:r>
        <w:rPr>
          <w:noProof/>
        </w:rPr>
        <w:tab/>
        <w:t>Разходи за човешки ресурси и свързаните с тях разходи, които не са включени в референтната сума</w:t>
      </w:r>
    </w:p>
    <w:p>
      <w:pPr>
        <w:jc w:val="right"/>
        <w:rPr>
          <w:i/>
          <w:noProof/>
          <w:sz w:val="20"/>
          <w:szCs w:val="20"/>
        </w:rPr>
      </w:pPr>
      <w:r>
        <w:rPr>
          <w:i/>
          <w:noProof/>
          <w:sz w:val="20"/>
        </w:rPr>
        <w:t>млн. евро (до 3-ия знак след десетичната запетая)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008"/>
        <w:gridCol w:w="1009"/>
        <w:gridCol w:w="1008"/>
        <w:gridCol w:w="1009"/>
        <w:gridCol w:w="1008"/>
        <w:gridCol w:w="1216"/>
      </w:tblGrid>
      <w:tr>
        <w:trPr>
          <w:trHeight w:val="391"/>
        </w:trPr>
        <w:tc>
          <w:tcPr>
            <w:tcW w:w="0" w:type="auto"/>
            <w:vAlign w:val="center"/>
          </w:tcPr>
          <w:p>
            <w:pPr>
              <w:jc w:val="center"/>
              <w:rPr>
                <w:noProof/>
                <w:sz w:val="20"/>
              </w:rPr>
            </w:pPr>
            <w:r>
              <w:rPr>
                <w:noProof/>
                <w:sz w:val="20"/>
              </w:rPr>
              <w:t>Вид човешки ресурси</w:t>
            </w:r>
          </w:p>
        </w:tc>
        <w:tc>
          <w:tcPr>
            <w:tcW w:w="1008" w:type="dxa"/>
            <w:vAlign w:val="center"/>
          </w:tcPr>
          <w:p>
            <w:pPr>
              <w:jc w:val="center"/>
              <w:rPr>
                <w:noProof/>
                <w:sz w:val="20"/>
              </w:rPr>
            </w:pPr>
            <w:r>
              <w:rPr>
                <w:noProof/>
                <w:sz w:val="20"/>
              </w:rPr>
              <w:t>Година n</w:t>
            </w:r>
          </w:p>
        </w:tc>
        <w:tc>
          <w:tcPr>
            <w:tcW w:w="1009" w:type="dxa"/>
            <w:vAlign w:val="center"/>
          </w:tcPr>
          <w:p>
            <w:pPr>
              <w:jc w:val="center"/>
              <w:rPr>
                <w:noProof/>
                <w:sz w:val="20"/>
              </w:rPr>
            </w:pPr>
            <w:r>
              <w:rPr>
                <w:noProof/>
                <w:sz w:val="20"/>
              </w:rPr>
              <w:t>Година n+1</w:t>
            </w:r>
          </w:p>
        </w:tc>
        <w:tc>
          <w:tcPr>
            <w:tcW w:w="1008" w:type="dxa"/>
            <w:vAlign w:val="center"/>
          </w:tcPr>
          <w:p>
            <w:pPr>
              <w:jc w:val="center"/>
              <w:rPr>
                <w:noProof/>
                <w:sz w:val="20"/>
              </w:rPr>
            </w:pPr>
            <w:r>
              <w:rPr>
                <w:noProof/>
                <w:sz w:val="20"/>
              </w:rPr>
              <w:t>Година n+2</w:t>
            </w:r>
          </w:p>
        </w:tc>
        <w:tc>
          <w:tcPr>
            <w:tcW w:w="1009" w:type="dxa"/>
            <w:vAlign w:val="center"/>
          </w:tcPr>
          <w:p>
            <w:pPr>
              <w:jc w:val="center"/>
              <w:rPr>
                <w:noProof/>
                <w:sz w:val="20"/>
              </w:rPr>
            </w:pPr>
            <w:r>
              <w:rPr>
                <w:noProof/>
                <w:sz w:val="20"/>
              </w:rPr>
              <w:t>Година n+3</w:t>
            </w:r>
          </w:p>
        </w:tc>
        <w:tc>
          <w:tcPr>
            <w:tcW w:w="1008" w:type="dxa"/>
            <w:vAlign w:val="center"/>
          </w:tcPr>
          <w:p>
            <w:pPr>
              <w:jc w:val="center"/>
              <w:rPr>
                <w:noProof/>
                <w:sz w:val="20"/>
              </w:rPr>
            </w:pPr>
            <w:r>
              <w:rPr>
                <w:noProof/>
                <w:sz w:val="20"/>
              </w:rPr>
              <w:t>Година n+4</w:t>
            </w:r>
          </w:p>
        </w:tc>
        <w:tc>
          <w:tcPr>
            <w:tcW w:w="1009" w:type="dxa"/>
          </w:tcPr>
          <w:p>
            <w:pPr>
              <w:jc w:val="center"/>
              <w:rPr>
                <w:noProof/>
                <w:sz w:val="20"/>
              </w:rPr>
            </w:pPr>
            <w:r>
              <w:rPr>
                <w:noProof/>
                <w:sz w:val="20"/>
              </w:rPr>
              <w:t xml:space="preserve">Година n+5 </w:t>
            </w:r>
          </w:p>
          <w:p>
            <w:pPr>
              <w:jc w:val="center"/>
              <w:rPr>
                <w:noProof/>
                <w:sz w:val="20"/>
              </w:rPr>
            </w:pPr>
            <w:r>
              <w:rPr>
                <w:noProof/>
                <w:sz w:val="20"/>
              </w:rPr>
              <w:t>и следващите</w:t>
            </w:r>
          </w:p>
        </w:tc>
      </w:tr>
      <w:tr>
        <w:trPr>
          <w:cantSplit/>
          <w:trHeight w:val="684"/>
        </w:trPr>
        <w:tc>
          <w:tcPr>
            <w:tcW w:w="0" w:type="auto"/>
            <w:vAlign w:val="center"/>
          </w:tcPr>
          <w:p>
            <w:pPr>
              <w:rPr>
                <w:noProof/>
                <w:sz w:val="20"/>
              </w:rPr>
            </w:pPr>
            <w:r>
              <w:rPr>
                <w:noProof/>
                <w:sz w:val="20"/>
              </w:rPr>
              <w:t>Длъжностни лица и временно наети лица (ХХ 01 01)</w:t>
            </w:r>
          </w:p>
        </w:tc>
        <w:tc>
          <w:tcPr>
            <w:tcW w:w="0" w:type="auto"/>
          </w:tcPr>
          <w:p>
            <w:pPr>
              <w:jc w:val="right"/>
              <w:rPr>
                <w:noProof/>
                <w:sz w:val="20"/>
                <w:szCs w:val="20"/>
              </w:rPr>
            </w:pPr>
            <w:r>
              <w:rPr>
                <w:noProof/>
                <w:sz w:val="20"/>
              </w:rPr>
              <w:t>н.п.</w:t>
            </w:r>
          </w:p>
        </w:tc>
        <w:tc>
          <w:tcPr>
            <w:tcW w:w="0" w:type="auto"/>
          </w:tcPr>
          <w:p>
            <w:pPr>
              <w:jc w:val="right"/>
              <w:rPr>
                <w:noProof/>
                <w:sz w:val="20"/>
                <w:szCs w:val="20"/>
              </w:rPr>
            </w:pPr>
            <w:r>
              <w:rPr>
                <w:noProof/>
                <w:sz w:val="20"/>
              </w:rPr>
              <w:t>н.п.</w:t>
            </w:r>
          </w:p>
        </w:tc>
        <w:tc>
          <w:tcPr>
            <w:tcW w:w="0" w:type="auto"/>
          </w:tcPr>
          <w:p>
            <w:pPr>
              <w:jc w:val="right"/>
              <w:rPr>
                <w:noProof/>
                <w:sz w:val="20"/>
                <w:szCs w:val="20"/>
              </w:rPr>
            </w:pPr>
            <w:r>
              <w:rPr>
                <w:noProof/>
                <w:sz w:val="20"/>
              </w:rPr>
              <w:t>н.п.</w:t>
            </w:r>
          </w:p>
        </w:tc>
        <w:tc>
          <w:tcPr>
            <w:tcW w:w="0" w:type="auto"/>
          </w:tcPr>
          <w:p>
            <w:pPr>
              <w:jc w:val="right"/>
              <w:rPr>
                <w:noProof/>
                <w:sz w:val="20"/>
                <w:szCs w:val="20"/>
              </w:rPr>
            </w:pPr>
            <w:r>
              <w:rPr>
                <w:noProof/>
                <w:sz w:val="20"/>
              </w:rPr>
              <w:t>н.п.</w:t>
            </w:r>
          </w:p>
        </w:tc>
        <w:tc>
          <w:tcPr>
            <w:tcW w:w="0" w:type="auto"/>
          </w:tcPr>
          <w:p>
            <w:pPr>
              <w:jc w:val="right"/>
              <w:rPr>
                <w:noProof/>
                <w:sz w:val="20"/>
                <w:szCs w:val="20"/>
              </w:rPr>
            </w:pPr>
            <w:r>
              <w:rPr>
                <w:noProof/>
                <w:sz w:val="20"/>
              </w:rPr>
              <w:t>н.п.</w:t>
            </w:r>
          </w:p>
        </w:tc>
        <w:tc>
          <w:tcPr>
            <w:tcW w:w="0" w:type="auto"/>
          </w:tcPr>
          <w:p>
            <w:pPr>
              <w:jc w:val="right"/>
              <w:rPr>
                <w:noProof/>
                <w:sz w:val="20"/>
                <w:szCs w:val="20"/>
              </w:rPr>
            </w:pPr>
            <w:r>
              <w:rPr>
                <w:noProof/>
                <w:sz w:val="20"/>
              </w:rPr>
              <w:t>н.п.</w:t>
            </w:r>
          </w:p>
        </w:tc>
      </w:tr>
      <w:tr>
        <w:trPr>
          <w:cantSplit/>
          <w:trHeight w:val="684"/>
        </w:trPr>
        <w:tc>
          <w:tcPr>
            <w:tcW w:w="0" w:type="auto"/>
            <w:vAlign w:val="center"/>
          </w:tcPr>
          <w:p>
            <w:pPr>
              <w:rPr>
                <w:noProof/>
                <w:sz w:val="20"/>
              </w:rPr>
            </w:pPr>
            <w:r>
              <w:rPr>
                <w:noProof/>
                <w:sz w:val="20"/>
              </w:rPr>
              <w:t>Персонал, финансиран по статия XX 01 02 (помощен персонал, външни национални експерти, договорно нает персонал и др.)</w:t>
            </w:r>
          </w:p>
          <w:p>
            <w:pPr>
              <w:jc w:val="right"/>
              <w:rPr>
                <w:noProof/>
                <w:sz w:val="20"/>
              </w:rPr>
            </w:pPr>
            <w:r>
              <w:rPr>
                <w:noProof/>
                <w:sz w:val="20"/>
              </w:rPr>
              <w:t>(посочете бюджетния ред)</w:t>
            </w:r>
          </w:p>
        </w:tc>
        <w:tc>
          <w:tcPr>
            <w:tcW w:w="1008" w:type="dxa"/>
          </w:tcPr>
          <w:p>
            <w:pPr>
              <w:jc w:val="right"/>
              <w:rPr>
                <w:noProof/>
                <w:sz w:val="20"/>
                <w:szCs w:val="20"/>
              </w:rPr>
            </w:pPr>
            <w:r>
              <w:rPr>
                <w:noProof/>
                <w:sz w:val="20"/>
              </w:rPr>
              <w:t>н.п.</w:t>
            </w:r>
          </w:p>
        </w:tc>
        <w:tc>
          <w:tcPr>
            <w:tcW w:w="1009" w:type="dxa"/>
          </w:tcPr>
          <w:p>
            <w:pPr>
              <w:jc w:val="right"/>
              <w:rPr>
                <w:noProof/>
                <w:sz w:val="20"/>
                <w:szCs w:val="20"/>
              </w:rPr>
            </w:pPr>
            <w:r>
              <w:rPr>
                <w:noProof/>
                <w:sz w:val="20"/>
              </w:rPr>
              <w:t>н.п.</w:t>
            </w:r>
          </w:p>
        </w:tc>
        <w:tc>
          <w:tcPr>
            <w:tcW w:w="1008" w:type="dxa"/>
          </w:tcPr>
          <w:p>
            <w:pPr>
              <w:jc w:val="right"/>
              <w:rPr>
                <w:noProof/>
                <w:sz w:val="20"/>
                <w:szCs w:val="20"/>
              </w:rPr>
            </w:pPr>
            <w:r>
              <w:rPr>
                <w:noProof/>
                <w:sz w:val="20"/>
              </w:rPr>
              <w:t>н.п.</w:t>
            </w:r>
          </w:p>
        </w:tc>
        <w:tc>
          <w:tcPr>
            <w:tcW w:w="1009" w:type="dxa"/>
          </w:tcPr>
          <w:p>
            <w:pPr>
              <w:jc w:val="right"/>
              <w:rPr>
                <w:noProof/>
                <w:sz w:val="20"/>
                <w:szCs w:val="20"/>
              </w:rPr>
            </w:pPr>
            <w:r>
              <w:rPr>
                <w:noProof/>
                <w:sz w:val="20"/>
              </w:rPr>
              <w:t>н.п.</w:t>
            </w:r>
          </w:p>
        </w:tc>
        <w:tc>
          <w:tcPr>
            <w:tcW w:w="1008" w:type="dxa"/>
          </w:tcPr>
          <w:p>
            <w:pPr>
              <w:jc w:val="right"/>
              <w:rPr>
                <w:noProof/>
                <w:sz w:val="20"/>
                <w:szCs w:val="20"/>
              </w:rPr>
            </w:pPr>
            <w:r>
              <w:rPr>
                <w:noProof/>
                <w:sz w:val="20"/>
              </w:rPr>
              <w:t>н.п.</w:t>
            </w:r>
          </w:p>
        </w:tc>
        <w:tc>
          <w:tcPr>
            <w:tcW w:w="1009" w:type="dxa"/>
          </w:tcPr>
          <w:p>
            <w:pPr>
              <w:jc w:val="right"/>
              <w:rPr>
                <w:noProof/>
                <w:sz w:val="20"/>
                <w:szCs w:val="20"/>
              </w:rPr>
            </w:pPr>
            <w:r>
              <w:rPr>
                <w:noProof/>
                <w:sz w:val="20"/>
              </w:rPr>
              <w:t>н.п.</w:t>
            </w:r>
          </w:p>
        </w:tc>
      </w:tr>
      <w:tr>
        <w:trPr>
          <w:cantSplit/>
          <w:trHeight w:val="303"/>
        </w:trPr>
        <w:tc>
          <w:tcPr>
            <w:tcW w:w="0" w:type="auto"/>
            <w:vAlign w:val="center"/>
          </w:tcPr>
          <w:p>
            <w:pPr>
              <w:jc w:val="left"/>
              <w:rPr>
                <w:b/>
                <w:noProof/>
                <w:sz w:val="20"/>
              </w:rPr>
            </w:pPr>
            <w:r>
              <w:rPr>
                <w:b/>
                <w:noProof/>
                <w:sz w:val="20"/>
              </w:rPr>
              <w:t>Общо разходи за човешки ресурси и свързаните с тях разходи (които НЕ са включени в референтната сума)</w:t>
            </w:r>
          </w:p>
        </w:tc>
        <w:tc>
          <w:tcPr>
            <w:tcW w:w="1008" w:type="dxa"/>
          </w:tcPr>
          <w:p>
            <w:pPr>
              <w:jc w:val="right"/>
              <w:rPr>
                <w:b/>
                <w:noProof/>
                <w:sz w:val="20"/>
                <w:szCs w:val="20"/>
              </w:rPr>
            </w:pPr>
            <w:r>
              <w:rPr>
                <w:noProof/>
                <w:sz w:val="20"/>
              </w:rPr>
              <w:t>н.п.</w:t>
            </w:r>
          </w:p>
        </w:tc>
        <w:tc>
          <w:tcPr>
            <w:tcW w:w="1009" w:type="dxa"/>
          </w:tcPr>
          <w:p>
            <w:pPr>
              <w:jc w:val="right"/>
              <w:rPr>
                <w:b/>
                <w:noProof/>
                <w:sz w:val="20"/>
                <w:szCs w:val="20"/>
              </w:rPr>
            </w:pPr>
            <w:r>
              <w:rPr>
                <w:noProof/>
                <w:sz w:val="20"/>
              </w:rPr>
              <w:t>н.п.</w:t>
            </w:r>
          </w:p>
        </w:tc>
        <w:tc>
          <w:tcPr>
            <w:tcW w:w="1008" w:type="dxa"/>
          </w:tcPr>
          <w:p>
            <w:pPr>
              <w:jc w:val="right"/>
              <w:rPr>
                <w:b/>
                <w:noProof/>
                <w:sz w:val="20"/>
                <w:szCs w:val="20"/>
              </w:rPr>
            </w:pPr>
            <w:r>
              <w:rPr>
                <w:noProof/>
                <w:sz w:val="20"/>
              </w:rPr>
              <w:t>н.п.</w:t>
            </w:r>
          </w:p>
        </w:tc>
        <w:tc>
          <w:tcPr>
            <w:tcW w:w="1009" w:type="dxa"/>
          </w:tcPr>
          <w:p>
            <w:pPr>
              <w:jc w:val="right"/>
              <w:rPr>
                <w:b/>
                <w:noProof/>
                <w:sz w:val="20"/>
                <w:szCs w:val="20"/>
              </w:rPr>
            </w:pPr>
            <w:r>
              <w:rPr>
                <w:noProof/>
                <w:sz w:val="20"/>
              </w:rPr>
              <w:t>н.п.</w:t>
            </w:r>
          </w:p>
        </w:tc>
        <w:tc>
          <w:tcPr>
            <w:tcW w:w="1008" w:type="dxa"/>
          </w:tcPr>
          <w:p>
            <w:pPr>
              <w:jc w:val="right"/>
              <w:rPr>
                <w:b/>
                <w:noProof/>
                <w:sz w:val="20"/>
                <w:szCs w:val="20"/>
              </w:rPr>
            </w:pPr>
            <w:r>
              <w:rPr>
                <w:noProof/>
                <w:sz w:val="20"/>
              </w:rPr>
              <w:t>н.п.</w:t>
            </w:r>
          </w:p>
        </w:tc>
        <w:tc>
          <w:tcPr>
            <w:tcW w:w="1009" w:type="dxa"/>
          </w:tcPr>
          <w:p>
            <w:pPr>
              <w:jc w:val="right"/>
              <w:rPr>
                <w:b/>
                <w:noProof/>
                <w:sz w:val="20"/>
                <w:szCs w:val="20"/>
              </w:rPr>
            </w:pPr>
            <w:r>
              <w:rPr>
                <w:noProof/>
                <w:sz w:val="20"/>
              </w:rPr>
              <w:t>н.п.</w:t>
            </w:r>
          </w:p>
        </w:tc>
      </w:tr>
    </w:tbl>
    <w:p>
      <w:pPr>
        <w:rPr>
          <w:noProof/>
        </w:rPr>
        <w:sectPr>
          <w:pgSz w:w="12240" w:h="15840"/>
          <w:pgMar w:top="1440" w:right="1800" w:bottom="1440" w:left="1800" w:header="708" w:footer="708" w:gutter="0"/>
          <w:cols w:space="708"/>
          <w:docGrid w:linePitch="360"/>
        </w:sectPr>
      </w:pPr>
    </w:p>
    <w:p>
      <w:pPr>
        <w:pBdr>
          <w:top w:val="single" w:sz="4" w:space="1" w:color="auto"/>
          <w:left w:val="single" w:sz="4" w:space="4" w:color="auto"/>
          <w:bottom w:val="single" w:sz="4" w:space="1" w:color="auto"/>
          <w:right w:val="single" w:sz="4" w:space="4" w:color="auto"/>
        </w:pBdr>
        <w:rPr>
          <w:noProof/>
        </w:rPr>
      </w:pPr>
      <w:r>
        <w:rPr>
          <w:noProof/>
        </w:rPr>
        <w:t xml:space="preserve">Изчисление — </w:t>
      </w:r>
      <w:r>
        <w:rPr>
          <w:b/>
          <w:i/>
          <w:noProof/>
        </w:rPr>
        <w:t>Длъжностни лица и временно наети лица</w:t>
      </w:r>
    </w:p>
    <w:p>
      <w:pPr>
        <w:pBdr>
          <w:top w:val="single" w:sz="4" w:space="1" w:color="auto"/>
          <w:left w:val="single" w:sz="4" w:space="4" w:color="auto"/>
          <w:bottom w:val="single" w:sz="4" w:space="1" w:color="auto"/>
          <w:right w:val="single" w:sz="4" w:space="4" w:color="auto"/>
        </w:pBdr>
        <w:rPr>
          <w:i/>
          <w:noProof/>
        </w:rPr>
      </w:pPr>
      <w:r>
        <w:rPr>
          <w:i/>
          <w:noProof/>
        </w:rPr>
        <w:t>Препратка към точка 8.2.1, ако е приложимо</w:t>
      </w:r>
    </w:p>
    <w:p>
      <w:pPr>
        <w:pBdr>
          <w:top w:val="single" w:sz="4" w:space="1" w:color="auto"/>
          <w:left w:val="single" w:sz="4" w:space="4" w:color="auto"/>
          <w:bottom w:val="single" w:sz="4" w:space="1" w:color="auto"/>
          <w:right w:val="single" w:sz="4" w:space="4" w:color="auto"/>
        </w:pBdr>
        <w:rPr>
          <w:i/>
          <w:noProof/>
        </w:rPr>
      </w:pPr>
      <w:r>
        <w:rPr>
          <w:noProof/>
        </w:rPr>
        <w:t>н.п.</w:t>
      </w:r>
    </w:p>
    <w:p>
      <w:pPr>
        <w:pBdr>
          <w:top w:val="single" w:sz="4" w:space="1" w:color="auto"/>
          <w:left w:val="single" w:sz="4" w:space="4" w:color="auto"/>
          <w:bottom w:val="single" w:sz="4" w:space="1" w:color="auto"/>
          <w:right w:val="single" w:sz="4" w:space="4" w:color="auto"/>
        </w:pBdr>
        <w:rPr>
          <w:noProof/>
        </w:rPr>
      </w:pPr>
      <w:r>
        <w:rPr>
          <w:noProof/>
        </w:rPr>
        <w:t xml:space="preserve">Изчисление — </w:t>
      </w:r>
      <w:r>
        <w:rPr>
          <w:b/>
          <w:i/>
          <w:noProof/>
        </w:rPr>
        <w:t>Персонал, финансиран по статия ХХ 01 02</w:t>
      </w:r>
    </w:p>
    <w:p>
      <w:pPr>
        <w:pBdr>
          <w:top w:val="single" w:sz="4" w:space="1" w:color="auto"/>
          <w:left w:val="single" w:sz="4" w:space="4" w:color="auto"/>
          <w:bottom w:val="single" w:sz="4" w:space="1" w:color="auto"/>
          <w:right w:val="single" w:sz="4" w:space="4" w:color="auto"/>
        </w:pBdr>
        <w:rPr>
          <w:i/>
          <w:noProof/>
        </w:rPr>
      </w:pPr>
      <w:r>
        <w:rPr>
          <w:i/>
          <w:noProof/>
        </w:rPr>
        <w:t>Препратка към точка 8.2.1, ако е приложимо</w:t>
      </w:r>
    </w:p>
    <w:p>
      <w:pPr>
        <w:pBdr>
          <w:top w:val="single" w:sz="4" w:space="1" w:color="auto"/>
          <w:left w:val="single" w:sz="4" w:space="4" w:color="auto"/>
          <w:bottom w:val="single" w:sz="4" w:space="1" w:color="auto"/>
          <w:right w:val="single" w:sz="4" w:space="4" w:color="auto"/>
        </w:pBdr>
        <w:rPr>
          <w:noProof/>
        </w:rPr>
      </w:pPr>
      <w:r>
        <w:rPr>
          <w:noProof/>
        </w:rPr>
        <w:t>н.п.</w:t>
      </w:r>
    </w:p>
    <w:p>
      <w:pPr>
        <w:pStyle w:val="ManualHeading3"/>
        <w:rPr>
          <w:noProof/>
        </w:rPr>
      </w:pPr>
      <w:r>
        <w:rPr>
          <w:noProof/>
        </w:rPr>
        <w:t>8.2.6.</w:t>
      </w:r>
      <w:r>
        <w:rPr>
          <w:noProof/>
        </w:rPr>
        <w:tab/>
        <w:t>Други административни разходи, които не са включени в референтната сума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03"/>
        <w:gridCol w:w="703"/>
        <w:gridCol w:w="703"/>
        <w:gridCol w:w="703"/>
        <w:gridCol w:w="703"/>
        <w:gridCol w:w="703"/>
        <w:gridCol w:w="907"/>
      </w:tblGrid>
      <w:tr>
        <w:trPr>
          <w:trHeight w:val="420"/>
        </w:trPr>
        <w:tc>
          <w:tcPr>
            <w:tcW w:w="8811" w:type="dxa"/>
            <w:gridSpan w:val="8"/>
            <w:tcBorders>
              <w:top w:val="nil"/>
              <w:left w:val="nil"/>
              <w:right w:val="nil"/>
            </w:tcBorders>
            <w:vAlign w:val="center"/>
          </w:tcPr>
          <w:p>
            <w:pPr>
              <w:jc w:val="right"/>
              <w:rPr>
                <w:i/>
                <w:noProof/>
                <w:sz w:val="20"/>
                <w:szCs w:val="20"/>
              </w:rPr>
            </w:pPr>
            <w:r>
              <w:rPr>
                <w:i/>
                <w:noProof/>
                <w:sz w:val="20"/>
              </w:rPr>
              <w:t>млн. евро (до 3-ия знак след десетичната запетая)</w:t>
            </w:r>
          </w:p>
        </w:tc>
      </w:tr>
      <w:tr>
        <w:trPr>
          <w:trHeight w:val="420"/>
        </w:trPr>
        <w:tc>
          <w:tcPr>
            <w:tcW w:w="3686" w:type="dxa"/>
            <w:vAlign w:val="center"/>
          </w:tcPr>
          <w:p>
            <w:pPr>
              <w:ind w:left="360" w:hanging="360"/>
              <w:rPr>
                <w:b/>
                <w:noProof/>
                <w:sz w:val="20"/>
              </w:rPr>
            </w:pPr>
          </w:p>
        </w:tc>
        <w:tc>
          <w:tcPr>
            <w:tcW w:w="703" w:type="dxa"/>
            <w:vAlign w:val="center"/>
          </w:tcPr>
          <w:p>
            <w:pPr>
              <w:jc w:val="center"/>
              <w:rPr>
                <w:noProof/>
                <w:sz w:val="20"/>
              </w:rPr>
            </w:pPr>
          </w:p>
          <w:p>
            <w:pPr>
              <w:jc w:val="center"/>
              <w:rPr>
                <w:noProof/>
                <w:sz w:val="20"/>
              </w:rPr>
            </w:pPr>
            <w:r>
              <w:rPr>
                <w:noProof/>
                <w:sz w:val="20"/>
              </w:rPr>
              <w:t>Година n</w:t>
            </w:r>
          </w:p>
        </w:tc>
        <w:tc>
          <w:tcPr>
            <w:tcW w:w="703" w:type="dxa"/>
            <w:vAlign w:val="center"/>
          </w:tcPr>
          <w:p>
            <w:pPr>
              <w:jc w:val="center"/>
              <w:rPr>
                <w:noProof/>
                <w:sz w:val="20"/>
              </w:rPr>
            </w:pPr>
            <w:r>
              <w:rPr>
                <w:noProof/>
                <w:sz w:val="20"/>
              </w:rPr>
              <w:t>Година n+1</w:t>
            </w:r>
          </w:p>
        </w:tc>
        <w:tc>
          <w:tcPr>
            <w:tcW w:w="703" w:type="dxa"/>
            <w:vAlign w:val="center"/>
          </w:tcPr>
          <w:p>
            <w:pPr>
              <w:jc w:val="center"/>
              <w:rPr>
                <w:noProof/>
                <w:sz w:val="20"/>
              </w:rPr>
            </w:pPr>
            <w:r>
              <w:rPr>
                <w:noProof/>
                <w:sz w:val="20"/>
              </w:rPr>
              <w:t>Година n+2</w:t>
            </w:r>
          </w:p>
        </w:tc>
        <w:tc>
          <w:tcPr>
            <w:tcW w:w="703" w:type="dxa"/>
            <w:vAlign w:val="center"/>
          </w:tcPr>
          <w:p>
            <w:pPr>
              <w:jc w:val="center"/>
              <w:rPr>
                <w:noProof/>
                <w:sz w:val="20"/>
              </w:rPr>
            </w:pPr>
            <w:r>
              <w:rPr>
                <w:noProof/>
                <w:sz w:val="20"/>
              </w:rPr>
              <w:t>Година n+3</w:t>
            </w:r>
          </w:p>
        </w:tc>
        <w:tc>
          <w:tcPr>
            <w:tcW w:w="703" w:type="dxa"/>
            <w:vAlign w:val="center"/>
          </w:tcPr>
          <w:p>
            <w:pPr>
              <w:jc w:val="center"/>
              <w:rPr>
                <w:noProof/>
                <w:sz w:val="20"/>
              </w:rPr>
            </w:pPr>
            <w:r>
              <w:rPr>
                <w:noProof/>
                <w:sz w:val="20"/>
              </w:rPr>
              <w:t>Година n+4</w:t>
            </w:r>
          </w:p>
        </w:tc>
        <w:tc>
          <w:tcPr>
            <w:tcW w:w="703" w:type="dxa"/>
          </w:tcPr>
          <w:p>
            <w:pPr>
              <w:jc w:val="center"/>
              <w:rPr>
                <w:noProof/>
                <w:sz w:val="20"/>
              </w:rPr>
            </w:pPr>
            <w:r>
              <w:rPr>
                <w:noProof/>
                <w:sz w:val="20"/>
              </w:rPr>
              <w:t>Година n+5</w:t>
            </w:r>
          </w:p>
          <w:p>
            <w:pPr>
              <w:jc w:val="center"/>
              <w:rPr>
                <w:noProof/>
                <w:sz w:val="20"/>
              </w:rPr>
            </w:pPr>
            <w:r>
              <w:rPr>
                <w:noProof/>
                <w:sz w:val="20"/>
              </w:rPr>
              <w:t>и следващите</w:t>
            </w:r>
          </w:p>
        </w:tc>
        <w:tc>
          <w:tcPr>
            <w:tcW w:w="907" w:type="dxa"/>
            <w:vAlign w:val="center"/>
          </w:tcPr>
          <w:p>
            <w:pPr>
              <w:jc w:val="center"/>
              <w:rPr>
                <w:noProof/>
                <w:sz w:val="20"/>
              </w:rPr>
            </w:pPr>
            <w:r>
              <w:rPr>
                <w:noProof/>
                <w:sz w:val="20"/>
              </w:rPr>
              <w:t>ОБЩО</w:t>
            </w:r>
          </w:p>
        </w:tc>
      </w:tr>
      <w:tr>
        <w:trPr>
          <w:trHeight w:val="455"/>
        </w:trPr>
        <w:tc>
          <w:tcPr>
            <w:tcW w:w="3686" w:type="dxa"/>
            <w:vAlign w:val="center"/>
          </w:tcPr>
          <w:p>
            <w:pPr>
              <w:rPr>
                <w:noProof/>
                <w:sz w:val="18"/>
                <w:szCs w:val="18"/>
              </w:rPr>
            </w:pPr>
            <w:r>
              <w:rPr>
                <w:noProof/>
                <w:sz w:val="18"/>
              </w:rPr>
              <w:t>XX 01 02 11 01 — Командировки</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907" w:type="dxa"/>
            <w:vAlign w:val="center"/>
          </w:tcPr>
          <w:p>
            <w:pPr>
              <w:jc w:val="right"/>
              <w:rPr>
                <w:noProof/>
                <w:sz w:val="20"/>
                <w:szCs w:val="20"/>
              </w:rPr>
            </w:pPr>
            <w:r>
              <w:rPr>
                <w:noProof/>
                <w:sz w:val="20"/>
              </w:rPr>
              <w:t>н.п.</w:t>
            </w:r>
          </w:p>
        </w:tc>
      </w:tr>
      <w:tr>
        <w:trPr>
          <w:trHeight w:val="454"/>
        </w:trPr>
        <w:tc>
          <w:tcPr>
            <w:tcW w:w="3686" w:type="dxa"/>
            <w:vAlign w:val="center"/>
          </w:tcPr>
          <w:p>
            <w:pPr>
              <w:rPr>
                <w:noProof/>
                <w:sz w:val="18"/>
                <w:szCs w:val="18"/>
              </w:rPr>
            </w:pPr>
            <w:r>
              <w:rPr>
                <w:noProof/>
                <w:sz w:val="18"/>
              </w:rPr>
              <w:t>XX 01 02 11 02 — Заседания и конференции</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907" w:type="dxa"/>
          </w:tcPr>
          <w:p>
            <w:pPr>
              <w:jc w:val="right"/>
              <w:rPr>
                <w:noProof/>
                <w:sz w:val="20"/>
                <w:szCs w:val="20"/>
              </w:rPr>
            </w:pPr>
            <w:r>
              <w:rPr>
                <w:noProof/>
                <w:sz w:val="20"/>
              </w:rPr>
              <w:t>н.п.</w:t>
            </w:r>
          </w:p>
        </w:tc>
      </w:tr>
      <w:tr>
        <w:trPr>
          <w:trHeight w:val="454"/>
        </w:trPr>
        <w:tc>
          <w:tcPr>
            <w:tcW w:w="3686" w:type="dxa"/>
            <w:vAlign w:val="center"/>
          </w:tcPr>
          <w:p>
            <w:pPr>
              <w:rPr>
                <w:noProof/>
                <w:sz w:val="18"/>
                <w:szCs w:val="18"/>
              </w:rPr>
            </w:pPr>
            <w:r>
              <w:rPr>
                <w:noProof/>
                <w:sz w:val="18"/>
              </w:rPr>
              <w:t xml:space="preserve">XX 01 02 11 03 — Комитети </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907" w:type="dxa"/>
          </w:tcPr>
          <w:p>
            <w:pPr>
              <w:jc w:val="right"/>
              <w:rPr>
                <w:noProof/>
                <w:sz w:val="20"/>
                <w:szCs w:val="20"/>
              </w:rPr>
            </w:pPr>
            <w:r>
              <w:rPr>
                <w:noProof/>
                <w:sz w:val="20"/>
              </w:rPr>
              <w:t>н.п.</w:t>
            </w:r>
          </w:p>
        </w:tc>
      </w:tr>
      <w:tr>
        <w:trPr>
          <w:trHeight w:val="454"/>
        </w:trPr>
        <w:tc>
          <w:tcPr>
            <w:tcW w:w="3686" w:type="dxa"/>
            <w:vAlign w:val="center"/>
          </w:tcPr>
          <w:p>
            <w:pPr>
              <w:rPr>
                <w:noProof/>
                <w:sz w:val="18"/>
                <w:szCs w:val="18"/>
              </w:rPr>
            </w:pPr>
            <w:r>
              <w:rPr>
                <w:noProof/>
                <w:sz w:val="18"/>
              </w:rPr>
              <w:t>XX 01 02 11 04 — Проучвания и консултации</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907" w:type="dxa"/>
          </w:tcPr>
          <w:p>
            <w:pPr>
              <w:jc w:val="right"/>
              <w:rPr>
                <w:noProof/>
                <w:sz w:val="20"/>
                <w:szCs w:val="20"/>
              </w:rPr>
            </w:pPr>
            <w:r>
              <w:rPr>
                <w:noProof/>
                <w:sz w:val="20"/>
              </w:rPr>
              <w:t>н.п.</w:t>
            </w:r>
          </w:p>
        </w:tc>
      </w:tr>
      <w:tr>
        <w:trPr>
          <w:trHeight w:val="435"/>
        </w:trPr>
        <w:tc>
          <w:tcPr>
            <w:tcW w:w="3686" w:type="dxa"/>
            <w:vAlign w:val="center"/>
          </w:tcPr>
          <w:p>
            <w:pPr>
              <w:rPr>
                <w:noProof/>
                <w:sz w:val="18"/>
                <w:szCs w:val="18"/>
              </w:rPr>
            </w:pPr>
            <w:r>
              <w:rPr>
                <w:noProof/>
                <w:sz w:val="18"/>
              </w:rPr>
              <w:t>XX 01 02 11 05 — Информационни системи</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907" w:type="dxa"/>
          </w:tcPr>
          <w:p>
            <w:pPr>
              <w:jc w:val="right"/>
              <w:rPr>
                <w:noProof/>
                <w:sz w:val="20"/>
                <w:szCs w:val="20"/>
              </w:rPr>
            </w:pPr>
            <w:r>
              <w:rPr>
                <w:noProof/>
                <w:sz w:val="20"/>
              </w:rPr>
              <w:t>н.п.</w:t>
            </w:r>
          </w:p>
        </w:tc>
      </w:tr>
      <w:tr>
        <w:trPr>
          <w:trHeight w:val="426"/>
        </w:trPr>
        <w:tc>
          <w:tcPr>
            <w:tcW w:w="3686" w:type="dxa"/>
            <w:vAlign w:val="center"/>
          </w:tcPr>
          <w:p>
            <w:pPr>
              <w:ind w:left="360" w:hanging="360"/>
              <w:jc w:val="left"/>
              <w:rPr>
                <w:b/>
                <w:noProof/>
                <w:sz w:val="20"/>
              </w:rPr>
            </w:pPr>
            <w:r>
              <w:rPr>
                <w:b/>
                <w:noProof/>
                <w:sz w:val="20"/>
              </w:rPr>
              <w:t xml:space="preserve"> 2</w:t>
            </w:r>
            <w:r>
              <w:rPr>
                <w:noProof/>
              </w:rPr>
              <w:tab/>
            </w:r>
            <w:r>
              <w:rPr>
                <w:b/>
                <w:noProof/>
                <w:sz w:val="20"/>
              </w:rPr>
              <w:t>Общо други разходи за управление (XX 01 02 11)</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907" w:type="dxa"/>
          </w:tcPr>
          <w:p>
            <w:pPr>
              <w:jc w:val="right"/>
              <w:rPr>
                <w:noProof/>
                <w:sz w:val="20"/>
                <w:szCs w:val="20"/>
              </w:rPr>
            </w:pPr>
            <w:r>
              <w:rPr>
                <w:noProof/>
                <w:sz w:val="20"/>
              </w:rPr>
              <w:t>н.п.</w:t>
            </w:r>
          </w:p>
        </w:tc>
      </w:tr>
      <w:tr>
        <w:trPr>
          <w:trHeight w:val="426"/>
        </w:trPr>
        <w:tc>
          <w:tcPr>
            <w:tcW w:w="3686" w:type="dxa"/>
            <w:vAlign w:val="center"/>
          </w:tcPr>
          <w:p>
            <w:pPr>
              <w:ind w:left="360" w:hanging="360"/>
              <w:jc w:val="left"/>
              <w:rPr>
                <w:noProof/>
                <w:sz w:val="20"/>
              </w:rPr>
            </w:pPr>
            <w:r>
              <w:rPr>
                <w:b/>
                <w:noProof/>
                <w:sz w:val="20"/>
              </w:rPr>
              <w:t>3</w:t>
            </w:r>
            <w:r>
              <w:rPr>
                <w:noProof/>
              </w:rPr>
              <w:tab/>
            </w:r>
            <w:r>
              <w:rPr>
                <w:b/>
                <w:noProof/>
                <w:sz w:val="20"/>
              </w:rPr>
              <w:t>Други разходи от административен характер</w:t>
            </w:r>
            <w:r>
              <w:rPr>
                <w:noProof/>
              </w:rPr>
              <w:t xml:space="preserve"> (уточнете, като посочите и бюджетния ред)</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907" w:type="dxa"/>
          </w:tcPr>
          <w:p>
            <w:pPr>
              <w:jc w:val="right"/>
              <w:rPr>
                <w:noProof/>
                <w:sz w:val="20"/>
                <w:szCs w:val="20"/>
              </w:rPr>
            </w:pPr>
            <w:r>
              <w:rPr>
                <w:noProof/>
                <w:sz w:val="20"/>
              </w:rPr>
              <w:t>н.п.</w:t>
            </w:r>
          </w:p>
        </w:tc>
      </w:tr>
      <w:tr>
        <w:trPr>
          <w:trHeight w:val="473"/>
        </w:trPr>
        <w:tc>
          <w:tcPr>
            <w:tcW w:w="3686" w:type="dxa"/>
            <w:vAlign w:val="center"/>
          </w:tcPr>
          <w:p>
            <w:pPr>
              <w:jc w:val="left"/>
              <w:rPr>
                <w:b/>
                <w:noProof/>
                <w:sz w:val="20"/>
              </w:rPr>
            </w:pPr>
            <w:r>
              <w:rPr>
                <w:b/>
                <w:noProof/>
                <w:sz w:val="20"/>
              </w:rPr>
              <w:t>Общо административни разходи, без тези за човешки ресурси и свързаните с тях разходи (които НЕ са включени в референтната сума)</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907" w:type="dxa"/>
            <w:vAlign w:val="center"/>
          </w:tcPr>
          <w:p>
            <w:pPr>
              <w:jc w:val="right"/>
              <w:rPr>
                <w:noProof/>
                <w:sz w:val="20"/>
                <w:szCs w:val="20"/>
              </w:rPr>
            </w:pPr>
            <w:r>
              <w:rPr>
                <w:noProof/>
                <w:sz w:val="20"/>
              </w:rPr>
              <w:t>н.п.</w:t>
            </w:r>
          </w:p>
        </w:tc>
      </w:tr>
    </w:tbl>
    <w:p>
      <w:pPr>
        <w:pBdr>
          <w:top w:val="single" w:sz="4" w:space="1" w:color="auto"/>
          <w:left w:val="single" w:sz="4" w:space="4" w:color="auto"/>
          <w:bottom w:val="single" w:sz="4" w:space="1" w:color="auto"/>
          <w:right w:val="single" w:sz="4" w:space="4" w:color="auto"/>
        </w:pBdr>
        <w:rPr>
          <w:noProof/>
        </w:rPr>
      </w:pPr>
      <w:r>
        <w:rPr>
          <w:noProof/>
        </w:rPr>
        <w:t xml:space="preserve">Изчисление — </w:t>
      </w:r>
      <w:r>
        <w:rPr>
          <w:b/>
          <w:i/>
          <w:noProof/>
        </w:rPr>
        <w:t xml:space="preserve">Други административни разходи, които </w:t>
      </w:r>
      <w:r>
        <w:rPr>
          <w:b/>
          <w:i/>
          <w:noProof/>
          <w:u w:val="single"/>
        </w:rPr>
        <w:t>не</w:t>
      </w:r>
      <w:r>
        <w:rPr>
          <w:b/>
          <w:i/>
          <w:noProof/>
        </w:rPr>
        <w:t xml:space="preserve"> са включени в референтната сума</w:t>
      </w:r>
    </w:p>
    <w:p>
      <w:pPr>
        <w:pBdr>
          <w:top w:val="single" w:sz="4" w:space="1" w:color="auto"/>
          <w:left w:val="single" w:sz="4" w:space="4" w:color="auto"/>
          <w:bottom w:val="single" w:sz="4" w:space="1" w:color="auto"/>
          <w:right w:val="single" w:sz="4" w:space="4" w:color="auto"/>
        </w:pBdr>
        <w:rPr>
          <w:noProof/>
          <w:u w:val="single"/>
        </w:rPr>
      </w:pPr>
      <w:r>
        <w:rPr>
          <w:noProof/>
        </w:rPr>
        <w:t>н.п.</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C , , стр. .</w:t>
      </w:r>
    </w:p>
  </w:footnote>
  <w:footnote w:id="2">
    <w:p>
      <w:pPr>
        <w:pStyle w:val="FootnoteText"/>
      </w:pPr>
      <w:r>
        <w:rPr>
          <w:rStyle w:val="FootnoteReference"/>
        </w:rPr>
        <w:footnoteRef/>
      </w:r>
      <w:r>
        <w:tab/>
        <w:t>ОВ C , , стр. .</w:t>
      </w:r>
    </w:p>
  </w:footnote>
  <w:footnote w:id="3">
    <w:p>
      <w:pPr>
        <w:pStyle w:val="FootnoteText"/>
      </w:pPr>
      <w:r>
        <w:rPr>
          <w:rStyle w:val="FootnoteReference"/>
        </w:rPr>
        <w:footnoteRef/>
      </w:r>
      <w:r>
        <w:tab/>
        <w:t>Регламент (ЕС) № 1301/2013 на Европейския парламент и на Съвета от 17 декември 2013 г.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 ОВ L 347, 20.12.2013 г., стр. 289).</w:t>
      </w:r>
    </w:p>
  </w:footnote>
  <w:footnote w:id="4">
    <w:p>
      <w:pPr>
        <w:pStyle w:val="FootnoteText"/>
      </w:pPr>
      <w:r>
        <w:rPr>
          <w:rStyle w:val="FootnoteReference"/>
        </w:rPr>
        <w:footnoteRef/>
      </w:r>
      <w:r>
        <w:tab/>
        <w:t>Регламент (ЕО) № 2012/2002 на Съвета от 11 ноември 2002 г. за създаване на фонд „Солидарност“ на Европейския съюз (ОВ L 311, 14.11.2002 г., стр. 3).</w:t>
      </w:r>
    </w:p>
  </w:footnote>
  <w:footnote w:id="5">
    <w:p>
      <w:pPr>
        <w:pStyle w:val="FootnoteText"/>
      </w:pPr>
      <w:r>
        <w:rPr>
          <w:rStyle w:val="FootnoteReference"/>
        </w:rPr>
        <w:footnoteRef/>
      </w:r>
      <w:r>
        <w:tab/>
        <w:t>Разходи, които не спадат към глава xx 01 от съответния дял xx.</w:t>
      </w:r>
    </w:p>
  </w:footnote>
  <w:footnote w:id="6">
    <w:p>
      <w:pPr>
        <w:pStyle w:val="FootnoteText"/>
      </w:pPr>
      <w:r>
        <w:rPr>
          <w:rStyle w:val="FootnoteReference"/>
        </w:rPr>
        <w:footnoteRef/>
      </w:r>
      <w:r>
        <w:tab/>
        <w:t>Разходи по статия xx 01 04 от дял xx.</w:t>
      </w:r>
    </w:p>
  </w:footnote>
  <w:footnote w:id="7">
    <w:p>
      <w:pPr>
        <w:pStyle w:val="FootnoteText"/>
      </w:pPr>
      <w:r>
        <w:rPr>
          <w:rStyle w:val="FootnoteReference"/>
        </w:rPr>
        <w:footnoteRef/>
      </w:r>
      <w:r>
        <w:tab/>
        <w:t>Разходи по глава xx 01, различни от тези по статия xx 01 04 или статия xx 01 05.</w:t>
      </w:r>
    </w:p>
  </w:footnote>
  <w:footnote w:id="8">
    <w:p>
      <w:pPr>
        <w:pStyle w:val="FootnoteText"/>
      </w:pPr>
      <w:r>
        <w:rPr>
          <w:rStyle w:val="FootnoteReference"/>
        </w:rPr>
        <w:footnoteRef/>
      </w:r>
      <w:r>
        <w:tab/>
        <w:t>Вж. точки 19 и 24 от Междуинституционалното споразумение.</w:t>
      </w:r>
    </w:p>
  </w:footnote>
  <w:footnote w:id="9">
    <w:p>
      <w:pPr>
        <w:pStyle w:val="FootnoteText"/>
      </w:pPr>
      <w:r>
        <w:rPr>
          <w:rStyle w:val="FootnoteReference"/>
        </w:rPr>
        <w:footnoteRef/>
      </w:r>
      <w:r>
        <w:tab/>
        <w:t>При необходимост следва да се добавят допълнителни колони, т.е. ако срокът на действието надвишава 6 години.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70660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E9E6E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4CE0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604B8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B02CF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8E11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E8FB8C"/>
    <w:lvl w:ilvl="0">
      <w:start w:val="1"/>
      <w:numFmt w:val="decimal"/>
      <w:pStyle w:val="ListNumber"/>
      <w:lvlText w:val="%1."/>
      <w:lvlJc w:val="left"/>
      <w:pPr>
        <w:tabs>
          <w:tab w:val="num" w:pos="360"/>
        </w:tabs>
        <w:ind w:left="360" w:hanging="360"/>
      </w:pPr>
    </w:lvl>
  </w:abstractNum>
  <w:abstractNum w:abstractNumId="7">
    <w:nsid w:val="FFFFFF89"/>
    <w:multiLevelType w:val="singleLevel"/>
    <w:tmpl w:val="69A8E5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6901C1"/>
    <w:multiLevelType w:val="singleLevel"/>
    <w:tmpl w:val="208841AE"/>
    <w:name w:val="0,227714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13 10:34:2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12"/>
    <w:docVar w:name="DQCStatus" w:val="Green"/>
    <w:docVar w:name="DQCVersion" w:val="3"/>
    <w:docVar w:name="DQCWithWarnings" w:val="0"/>
    <w:docVar w:name="LW_CONFIDENCE" w:val=" "/>
    <w:docVar w:name="LW_CONST_RESTREINT_UE" w:val="RESTREINT UE"/>
    <w:docVar w:name="LW_CORRIGENDUM" w:val="&lt;UNUSED&gt;"/>
    <w:docVar w:name="LW_COVERPAGE_GUID" w:val="A31A40B01EA64431A8CBA868B0684AC5"/>
    <w:docVar w:name="LW_CROSSREFERENCE" w:val="&lt;UNUSED&gt;"/>
    <w:docVar w:name="LW_DocType" w:val="COM"/>
    <w:docVar w:name="LW_EMISSION" w:val="30.11.2016"/>
    <w:docVar w:name="LW_EMISSION_ISODATE" w:val="2016-11-3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84"/>
    <w:docVar w:name="LW_REF.II.NEW.CP_YEAR" w:val="2016"/>
    <w:docVar w:name="LW_REF.INST.NEW" w:val="COM"/>
    <w:docVar w:name="LW_REF.INST.NEW_ADOPTED" w:val="final"/>
    <w:docVar w:name="LW_REF.INST.NEW_TEXT" w:val="(2016) 778"/>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03/2013 \u1087?\u1086? \u1086?\u1090?\u1085?\u1086?\u1096?\u1077?\u1085?\u1080?\u1077? \u1085?\u1072? \u1089?\u1087?\u1077?\u1094?\u1080?\u1092?\u1080?\u1095?\u1085?\u1080?\u1090?\u1077? \u1084?\u1077?\u1088?\u1082?\u1080? \u1079?\u1072? \u1087?\u1088?\u1077?\u1076?\u1086?\u1089?\u1090?\u1072?\u1074?\u1103?\u1085?\u1077? \u1085?\u1072? \u1076?\u1086?\u1087?\u1098?\u1083?\u1085?\u1080?\u1090?\u1077?\u1083?\u1085?\u1072? \u1087?\u1086?\u1084?\u1086?\u1097? \u1085?\u1072? \u1076?\u1098?\u1088?\u1078?\u1072?\u1074?\u1080?\u1090?\u1077? \u1095?\u1083?\u1077?\u1085?\u1082?\u1080?, \u1079?\u1072?\u1089?\u1077?\u1075?\u1085?\u1072?\u1090?\u1080? \u1086?\u1090? \u1087?\u1088?\u1080?\u1088?\u1086?\u1076?\u1085?\u1080? \u1073?\u1077?\u1076?\u1089?\u1090?\u1074?\u1080?\u110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ListBullet1">
    <w:name w:val="List Bullet 1"/>
    <w:basedOn w:val="Normal"/>
    <w:pPr>
      <w:numPr>
        <w:numId w:val="10"/>
      </w:numP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ListBullet1">
    <w:name w:val="List Bullet 1"/>
    <w:basedOn w:val="Normal"/>
    <w:pPr>
      <w:numPr>
        <w:numId w:val="10"/>
      </w:numP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5157">
      <w:bodyDiv w:val="1"/>
      <w:marLeft w:val="0"/>
      <w:marRight w:val="0"/>
      <w:marTop w:val="0"/>
      <w:marBottom w:val="0"/>
      <w:divBdr>
        <w:top w:val="none" w:sz="0" w:space="0" w:color="auto"/>
        <w:left w:val="none" w:sz="0" w:space="0" w:color="auto"/>
        <w:bottom w:val="none" w:sz="0" w:space="0" w:color="auto"/>
        <w:right w:val="none" w:sz="0" w:space="0" w:color="auto"/>
      </w:divBdr>
      <w:divsChild>
        <w:div w:id="1125738764">
          <w:marLeft w:val="0"/>
          <w:marRight w:val="0"/>
          <w:marTop w:val="0"/>
          <w:marBottom w:val="0"/>
          <w:divBdr>
            <w:top w:val="none" w:sz="0" w:space="0" w:color="auto"/>
            <w:left w:val="none" w:sz="0" w:space="0" w:color="auto"/>
            <w:bottom w:val="none" w:sz="0" w:space="0" w:color="auto"/>
            <w:right w:val="none" w:sz="0" w:space="0" w:color="auto"/>
          </w:divBdr>
          <w:divsChild>
            <w:div w:id="600843982">
              <w:marLeft w:val="0"/>
              <w:marRight w:val="0"/>
              <w:marTop w:val="0"/>
              <w:marBottom w:val="0"/>
              <w:divBdr>
                <w:top w:val="none" w:sz="0" w:space="0" w:color="auto"/>
                <w:left w:val="none" w:sz="0" w:space="0" w:color="auto"/>
                <w:bottom w:val="none" w:sz="0" w:space="0" w:color="auto"/>
                <w:right w:val="none" w:sz="0" w:space="0" w:color="auto"/>
              </w:divBdr>
              <w:divsChild>
                <w:div w:id="1861316206">
                  <w:marLeft w:val="0"/>
                  <w:marRight w:val="0"/>
                  <w:marTop w:val="0"/>
                  <w:marBottom w:val="0"/>
                  <w:divBdr>
                    <w:top w:val="none" w:sz="0" w:space="0" w:color="auto"/>
                    <w:left w:val="none" w:sz="0" w:space="0" w:color="auto"/>
                    <w:bottom w:val="none" w:sz="0" w:space="0" w:color="auto"/>
                    <w:right w:val="none" w:sz="0" w:space="0" w:color="auto"/>
                  </w:divBdr>
                  <w:divsChild>
                    <w:div w:id="391780874">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051694">
      <w:bodyDiv w:val="1"/>
      <w:marLeft w:val="0"/>
      <w:marRight w:val="0"/>
      <w:marTop w:val="0"/>
      <w:marBottom w:val="0"/>
      <w:divBdr>
        <w:top w:val="none" w:sz="0" w:space="0" w:color="auto"/>
        <w:left w:val="none" w:sz="0" w:space="0" w:color="auto"/>
        <w:bottom w:val="none" w:sz="0" w:space="0" w:color="auto"/>
        <w:right w:val="none" w:sz="0" w:space="0" w:color="auto"/>
      </w:divBdr>
      <w:divsChild>
        <w:div w:id="565646947">
          <w:marLeft w:val="0"/>
          <w:marRight w:val="0"/>
          <w:marTop w:val="0"/>
          <w:marBottom w:val="0"/>
          <w:divBdr>
            <w:top w:val="none" w:sz="0" w:space="0" w:color="auto"/>
            <w:left w:val="none" w:sz="0" w:space="0" w:color="auto"/>
            <w:bottom w:val="none" w:sz="0" w:space="0" w:color="auto"/>
            <w:right w:val="none" w:sz="0" w:space="0" w:color="auto"/>
          </w:divBdr>
          <w:divsChild>
            <w:div w:id="412242187">
              <w:marLeft w:val="0"/>
              <w:marRight w:val="0"/>
              <w:marTop w:val="0"/>
              <w:marBottom w:val="0"/>
              <w:divBdr>
                <w:top w:val="none" w:sz="0" w:space="0" w:color="auto"/>
                <w:left w:val="none" w:sz="0" w:space="0" w:color="auto"/>
                <w:bottom w:val="none" w:sz="0" w:space="0" w:color="auto"/>
                <w:right w:val="none" w:sz="0" w:space="0" w:color="auto"/>
              </w:divBdr>
              <w:divsChild>
                <w:div w:id="1427965372">
                  <w:marLeft w:val="0"/>
                  <w:marRight w:val="0"/>
                  <w:marTop w:val="0"/>
                  <w:marBottom w:val="0"/>
                  <w:divBdr>
                    <w:top w:val="none" w:sz="0" w:space="0" w:color="auto"/>
                    <w:left w:val="none" w:sz="0" w:space="0" w:color="auto"/>
                    <w:bottom w:val="none" w:sz="0" w:space="0" w:color="auto"/>
                    <w:right w:val="none" w:sz="0" w:space="0" w:color="auto"/>
                  </w:divBdr>
                  <w:divsChild>
                    <w:div w:id="1569148212">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EC045-E57B-4C9C-B4E8-6873D5E8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Pages>
  <Words>3404</Words>
  <Characters>19613</Characters>
  <Application>Microsoft Office Word</Application>
  <DocSecurity>0</DocSecurity>
  <Lines>1089</Lines>
  <Paragraphs>697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2016-12-12T15:51:00Z</dcterms:created>
  <dcterms:modified xsi:type="dcterms:W3CDTF">2016-12-13T09:34:00Z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