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CD61BFCDE1494996233063A47F7169" style="width:450.75pt;height:447.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rFonts w:eastAsia="Calibri"/>
          <w:noProof/>
          <w:color w:val="000000"/>
          <w:szCs w:val="20"/>
        </w:rPr>
      </w:pPr>
      <w:r>
        <w:rPr>
          <w:noProof/>
        </w:rPr>
        <w:t>Приложеното предложение представлява правният инструмент за разрешаване на позицията, която Съюзът да заеме в рамките на Подкомитета по санитарните и фитосанитарните въпроси („Подкомитет по СФСВ“), Подкомитета по търговия и устойчиво развитие („Подкомитет по ТУР“), Митническия подкомитет и Подкомитета по географските означения („Подкомитет по ГО“), създадени по силата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във връзка с приемането на процедурните правилници на Подкомитета по СФСВ, Подкомитета по търговия и устойчиво развитие, Митническия подкомитет и Подкомитета по ГО.</w:t>
      </w:r>
      <w:r>
        <w:rPr>
          <w:noProof/>
          <w:color w:val="000000"/>
        </w:rPr>
        <w:t xml:space="preserve"> </w:t>
      </w:r>
    </w:p>
    <w:p>
      <w:pPr>
        <w:ind w:firstLine="1"/>
        <w:rPr>
          <w:rFonts w:eastAsia="Times New Roman"/>
          <w:noProof/>
          <w:szCs w:val="24"/>
        </w:rPr>
      </w:pPr>
      <w:r>
        <w:rPr>
          <w:noProof/>
        </w:rPr>
        <w:t xml:space="preserve">Споразумението беше подписано в Брюксел на 27 юни 2014 г., като дял IV от него „Търговия и свързани с търговията въпроси“ (Задълбочена и всеобхватна зона за свободна търговия — ЗВЗСТ) се прилага временно, считано от 1 януари 2016 г. </w:t>
      </w:r>
    </w:p>
    <w:p>
      <w:pPr>
        <w:rPr>
          <w:rFonts w:eastAsia="Calibri"/>
          <w:noProof/>
          <w:color w:val="000000"/>
          <w:szCs w:val="20"/>
        </w:rPr>
      </w:pPr>
      <w:r>
        <w:rPr>
          <w:noProof/>
          <w:color w:val="000000"/>
        </w:rPr>
        <w:t xml:space="preserve">Със Споразумението бяха създадени Подкомитетът по санитарните и фитосанитарните въпроси, Подкомитет по търговия и устойчиво развитие, Митническият подкомитет и Подкомитетът по географските означения. Тези подкомитети трябва да упражняват контрол върху прилагането на разпоредбите от частта относно ЗВЗСТ от Споразумението и да решават свързаните с това въпроси. Подкомитетите трябва да приемат свои процедурни правилници. Очаква се първите заседания на подкомитетите да се проведат през втората половина на 2016 г. Процедурните правилници на тези подкомитети, приложени към настоящото предложение, се основават на процедурния правилник на Комитета за асоцииране. </w:t>
      </w:r>
    </w:p>
    <w:p>
      <w:pPr>
        <w:pStyle w:val="ManualHeading2"/>
        <w:rPr>
          <w:rFonts w:eastAsia="Arial Unicode MS"/>
          <w:noProof/>
        </w:rPr>
      </w:pPr>
      <w:r>
        <w:rPr>
          <w:noProof/>
        </w:rPr>
        <w:t>•</w:t>
      </w:r>
      <w:r>
        <w:rPr>
          <w:noProof/>
        </w:rPr>
        <w:tab/>
        <w:t>Съгласуваност със съществуващите разпоредби в тази област на политиката</w:t>
      </w:r>
    </w:p>
    <w:p>
      <w:pPr>
        <w:rPr>
          <w:rFonts w:eastAsia="Calibri"/>
          <w:b/>
          <w:noProof/>
          <w:color w:val="000000"/>
          <w:szCs w:val="20"/>
        </w:rPr>
      </w:pPr>
      <w:r>
        <w:rPr>
          <w:noProof/>
          <w:color w:val="000000"/>
        </w:rPr>
        <w:t xml:space="preserve">Настоящото предложение е в изпълнение на общата търговска политика на Съюза по отношение на Украйна като държава партньор в рамките на Европейската политика за съседство и Източното партньорство, основаваща се на разпоредбите на горепосоченото споразумение, и в частност — на целта му за създаване на задълбочена и всеобхватна зона за свободна търговия между страните по него. </w:t>
      </w:r>
    </w:p>
    <w:p>
      <w:pPr>
        <w:pStyle w:val="ManualHeading2"/>
        <w:rPr>
          <w:rFonts w:eastAsia="Arial Unicode MS"/>
          <w:noProof/>
        </w:rPr>
      </w:pPr>
      <w:r>
        <w:rPr>
          <w:noProof/>
        </w:rPr>
        <w:t>•</w:t>
      </w:r>
      <w:r>
        <w:rPr>
          <w:noProof/>
        </w:rPr>
        <w:tab/>
        <w:t>Съгласуваност с другите политики на Съюза</w:t>
      </w:r>
    </w:p>
    <w:p>
      <w:pPr>
        <w:rPr>
          <w:rFonts w:eastAsia="Calibri"/>
          <w:noProof/>
          <w:color w:val="000000"/>
          <w:szCs w:val="20"/>
        </w:rPr>
      </w:pPr>
      <w:r>
        <w:rPr>
          <w:noProof/>
          <w:color w:val="000000"/>
        </w:rPr>
        <w:t>Настоящото предложение е в духа на другите външни политики на Съюза и същевременно допринася за тяхното осъществяване, особено що се отнася до Европейската политика на съседство и политиката на сътрудничество за развитие по отношение на Украйна.</w:t>
      </w:r>
    </w:p>
    <w:p>
      <w:pPr>
        <w:keepNext/>
        <w:tabs>
          <w:tab w:val="left" w:pos="850"/>
        </w:tabs>
        <w:spacing w:before="360"/>
        <w:outlineLvl w:val="0"/>
        <w:rPr>
          <w:rFonts w:eastAsia="Calibri"/>
          <w:b/>
          <w:noProof/>
        </w:rPr>
      </w:pPr>
      <w:r>
        <w:rPr>
          <w:b/>
          <w:noProof/>
        </w:rPr>
        <w:t>2.</w:t>
      </w:r>
      <w:r>
        <w:rPr>
          <w:noProof/>
        </w:rPr>
        <w:tab/>
      </w:r>
      <w:r>
        <w:rPr>
          <w:b/>
          <w:smallCaps/>
          <w:noProof/>
        </w:rPr>
        <w:t>ПРАВНО ОСНОВАНИЕ, СУБСИДИАРНОСТ И ПРОПОРЦИОНАЛНОСТ</w:t>
      </w:r>
    </w:p>
    <w:p>
      <w:pPr>
        <w:pStyle w:val="ManualHeading2"/>
        <w:rPr>
          <w:rFonts w:eastAsia="Arial Unicode MS"/>
          <w:noProof/>
        </w:rPr>
      </w:pPr>
      <w:r>
        <w:rPr>
          <w:noProof/>
        </w:rPr>
        <w:t>•</w:t>
      </w:r>
      <w:r>
        <w:rPr>
          <w:noProof/>
        </w:rPr>
        <w:tab/>
        <w:t>Правно основание</w:t>
      </w:r>
    </w:p>
    <w:p>
      <w:pPr>
        <w:rPr>
          <w:rFonts w:eastAsia="Calibri"/>
          <w:noProof/>
          <w:color w:val="000000"/>
          <w:szCs w:val="20"/>
        </w:rPr>
      </w:pPr>
      <w:r>
        <w:rPr>
          <w:noProof/>
          <w:color w:val="000000"/>
        </w:rPr>
        <w:t xml:space="preserve">Правното основание за определяне на позицията, която Съюзът да заеме в рамките на създадените със споразумението комитети и подкомитети, е Договорът за функционирането на Европейския съюз (ДФЕС), и по-специално член 207, параграф 4 във връзка с член 218, параграф 9 от него. </w:t>
      </w:r>
    </w:p>
    <w:p>
      <w:pPr>
        <w:autoSpaceDE w:val="0"/>
        <w:autoSpaceDN w:val="0"/>
        <w:adjustRightInd w:val="0"/>
        <w:rPr>
          <w:noProof/>
        </w:rPr>
      </w:pPr>
      <w:r>
        <w:rPr>
          <w:noProof/>
        </w:rPr>
        <w:t>Предвид одобрението от страна на Украйна на четирите проекта на текстовете на процедурните правилници, на основание член 207, параграф 4 и член 218, параграф 9 от ДФЕС Европейската комисия предлага Съветът да приеме Решението за разрешаване на Съюза да заеме позиция по отношение на решенията, които да бъдат взети на първите заседания на Подкомитета по СФСВ ЕС — Украйна, Подкомитета по търговия и устойчиво развитие ЕС — Украйна, Митническия подкомитет ЕС — Украйна и Подкомитета по ГО ЕС — Украйна във връзка с техните процедурни правилници.</w:t>
      </w:r>
    </w:p>
    <w:p>
      <w:pPr>
        <w:rPr>
          <w:noProof/>
          <w:color w:val="000000"/>
          <w:szCs w:val="20"/>
        </w:rPr>
      </w:pPr>
      <w:r>
        <w:rPr>
          <w:noProof/>
          <w:color w:val="000000"/>
        </w:rPr>
        <w:t>С член 74 от Споразумението се създава Подкомитетът по СФСВ и се предвижда той да приеме своите работни процедури на първото си заседание. Очаква се заседанието на Подкомитета по СФСВ да се проведе през втората половина на 2016 г. С оглед на това първо заседание е необходимо да се подготви позицията на Съюза по проекта на процедурен правилник на посочения подкомитет. Приложеният проект на правилник беше одобрен от Украйна.</w:t>
      </w:r>
    </w:p>
    <w:p>
      <w:pPr>
        <w:rPr>
          <w:noProof/>
          <w:color w:val="000000"/>
          <w:szCs w:val="20"/>
        </w:rPr>
      </w:pPr>
      <w:r>
        <w:rPr>
          <w:noProof/>
          <w:color w:val="000000"/>
        </w:rPr>
        <w:t>С член 300 от Споразумението се създава Подкомитетът по търговия и устойчиво развитие и се предвижда той да приеме свой процедурен правилник. Очаква се първото му заседание да се проведе през втората половина на 2016 г. Поради това е необходимо да се подготви позицията на Съюза по процедурния правилник на посочения подкомитет. Приложеният проект на правилник беше одобрен от Украйна.</w:t>
      </w:r>
    </w:p>
    <w:p>
      <w:pPr>
        <w:rPr>
          <w:noProof/>
          <w:color w:val="000000"/>
          <w:szCs w:val="20"/>
        </w:rPr>
      </w:pPr>
      <w:r>
        <w:rPr>
          <w:noProof/>
          <w:color w:val="000000"/>
        </w:rPr>
        <w:t>С член 83 от Споразумението се създава Митническият подкомитет и се предвижда той да приеме свой вътрешен процедурен правилник. Очаква се първото му заседание да се проведе през втората половина на 2016 г. Поради това е необходимо да се подготви позицията на Съюза по процедурния правилник на посочения подкомитет. Приложеният проект на правилник беше одобрен от Украйна.</w:t>
      </w:r>
    </w:p>
    <w:p>
      <w:pPr>
        <w:rPr>
          <w:noProof/>
          <w:color w:val="000000"/>
          <w:szCs w:val="20"/>
        </w:rPr>
      </w:pPr>
      <w:r>
        <w:rPr>
          <w:noProof/>
          <w:color w:val="000000"/>
        </w:rPr>
        <w:t>С член 211 от Споразумението се създава Подкомитетът по ГО и се предвижда той да приеме свой процедурен правилник. Очаква се първото му заседание да се проведе през втората половина на 2016 г. Поради това е необходимо да се подготви позицията на Съюза по процедурния правилник на посочения подкомитет. Приложеният проект на правилник беше одобрен от Украйна.</w:t>
      </w:r>
    </w:p>
    <w:p>
      <w:pPr>
        <w:pStyle w:val="ManualHeading2"/>
        <w:rPr>
          <w:rFonts w:eastAsia="Arial Unicode MS"/>
          <w:noProof/>
        </w:rPr>
      </w:pPr>
      <w:r>
        <w:rPr>
          <w:noProof/>
        </w:rPr>
        <w:t>•</w:t>
      </w:r>
      <w:r>
        <w:rPr>
          <w:noProof/>
        </w:rPr>
        <w:tab/>
        <w:t>Субсидиарност (при неизключителна компетентност)</w:t>
      </w:r>
    </w:p>
    <w:p>
      <w:pPr>
        <w:rPr>
          <w:rFonts w:eastAsia="Calibri"/>
          <w:noProof/>
        </w:rPr>
      </w:pPr>
      <w:r>
        <w:rPr>
          <w:noProof/>
        </w:rPr>
        <w:t>В съответствие с член 3 от ДФЕС общата търговска политика е от изключителната компетентност на Съюза. Поради това принципът на субсидиарност не се прилага.</w:t>
      </w:r>
    </w:p>
    <w:p>
      <w:pPr>
        <w:pStyle w:val="ManualHeading2"/>
        <w:rPr>
          <w:rFonts w:eastAsia="Arial Unicode MS"/>
          <w:noProof/>
        </w:rPr>
      </w:pPr>
      <w:r>
        <w:rPr>
          <w:noProof/>
        </w:rPr>
        <w:t>•</w:t>
      </w:r>
      <w:r>
        <w:rPr>
          <w:noProof/>
        </w:rPr>
        <w:tab/>
        <w:t>Пропорционалност</w:t>
      </w:r>
    </w:p>
    <w:p>
      <w:pPr>
        <w:rPr>
          <w:rFonts w:eastAsia="Calibri"/>
          <w:noProof/>
        </w:rPr>
      </w:pPr>
      <w:r>
        <w:rPr>
          <w:noProof/>
        </w:rPr>
        <w:t xml:space="preserve">Настоящото предложение е необходимо за изпълнението на международните ангажименти на Съюза, залегнали в споразумението с Украйна. </w:t>
      </w:r>
    </w:p>
    <w:p>
      <w:pPr>
        <w:pStyle w:val="ManualHeading2"/>
        <w:rPr>
          <w:rFonts w:eastAsia="Arial Unicode MS"/>
          <w:noProof/>
        </w:rPr>
      </w:pPr>
      <w:r>
        <w:rPr>
          <w:noProof/>
        </w:rPr>
        <w:t>•</w:t>
      </w:r>
      <w:r>
        <w:rPr>
          <w:noProof/>
        </w:rPr>
        <w:tab/>
        <w:t>Избор на инструмент</w:t>
      </w:r>
    </w:p>
    <w:p>
      <w:pPr>
        <w:rPr>
          <w:rFonts w:eastAsia="Calibri"/>
          <w:noProof/>
        </w:rPr>
      </w:pPr>
      <w:r>
        <w:rPr>
          <w:noProof/>
        </w:rPr>
        <w:t xml:space="preserve">Настоящото предложение е в съответствие с член 218, параграф 9 от ДФЕС, в който се предвижда Съветът да приема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Не съществува друг правен инструмент, който да може да бъде използван за постигане на целта, изложена в настоящото предложение. </w:t>
      </w:r>
    </w:p>
    <w:p>
      <w:pPr>
        <w:keepNext/>
        <w:tabs>
          <w:tab w:val="left" w:pos="850"/>
        </w:tabs>
        <w:spacing w:before="360"/>
        <w:outlineLvl w:val="0"/>
        <w:rPr>
          <w:rFonts w:eastAsia="Calibri"/>
          <w:b/>
          <w:smallCaps/>
          <w:noProof/>
        </w:rPr>
      </w:pPr>
      <w:r>
        <w:rPr>
          <w:b/>
          <w:smallCaps/>
          <w:noProof/>
        </w:rPr>
        <w:t>3.</w:t>
      </w:r>
      <w:r>
        <w:rPr>
          <w:noProof/>
        </w:rPr>
        <w:tab/>
      </w:r>
      <w:r>
        <w:rPr>
          <w:b/>
          <w:smallCaps/>
          <w:noProof/>
        </w:rPr>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rPr>
        <w:t>•</w:t>
      </w:r>
      <w:r>
        <w:rPr>
          <w:noProof/>
        </w:rPr>
        <w:tab/>
        <w:t>Консултации със заинтересованите страни</w:t>
      </w:r>
    </w:p>
    <w:p>
      <w:pPr>
        <w:keepNext/>
        <w:tabs>
          <w:tab w:val="left" w:pos="850"/>
        </w:tabs>
        <w:outlineLvl w:val="1"/>
        <w:rPr>
          <w:rFonts w:eastAsia="Calibri"/>
          <w:noProof/>
          <w:color w:val="000000"/>
          <w:szCs w:val="20"/>
        </w:rPr>
      </w:pPr>
      <w:r>
        <w:rPr>
          <w:noProof/>
          <w:color w:val="000000"/>
        </w:rPr>
        <w:t>Провеждането на консултации със заинтересованите страни не се прилага за настоящото предложение, тъй като то цели само да бъдат изпълнени ангажиментите на Съюза по Споразумението.</w:t>
      </w:r>
    </w:p>
    <w:p>
      <w:pPr>
        <w:pStyle w:val="ManualHeading2"/>
        <w:rPr>
          <w:rFonts w:eastAsia="Arial Unicode MS"/>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rPr>
        <w:t>•</w:t>
      </w:r>
      <w:r>
        <w:rPr>
          <w:noProof/>
        </w:rPr>
        <w:tab/>
        <w:t>Оценка на въздействието</w:t>
      </w:r>
    </w:p>
    <w:p>
      <w:pPr>
        <w:rPr>
          <w:rFonts w:eastAsia="Arial Unicode MS"/>
          <w:noProof/>
        </w:rPr>
      </w:pPr>
      <w:r>
        <w:rPr>
          <w:noProof/>
        </w:rPr>
        <w:t>Бе извършена предварителна оценка на въздействието на търговските и свързаните с търговията разпоредби на споразумението (оценката на въздействието относно устойчивостта на търговията от 2007 г., поръчана от ГД „Търговия“), като това допринесе за напредъка по преговорите относно ЗВЗСТ. При посоченото проучване бе потвърдено, че изпълнението на търговските и свързаните с търговията разпоредби ще има благоприятно икономическо въздействие както за ЕС, така и за Украйна. Предложението няма отрицателно отражение върху икономическата, социалната и екологичната политика на Съюза.</w:t>
      </w:r>
    </w:p>
    <w:p>
      <w:pPr>
        <w:rPr>
          <w:rFonts w:eastAsia="Arial Unicode MS"/>
          <w:b/>
          <w:noProof/>
          <w:u w:color="000000"/>
          <w:bdr w:val="nil"/>
        </w:rPr>
      </w:pPr>
      <w:r>
        <w:rPr>
          <w:noProof/>
        </w:rPr>
        <w:t>•</w:t>
      </w:r>
      <w:r>
        <w:rPr>
          <w:noProof/>
        </w:rPr>
        <w:tab/>
      </w: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Calibri"/>
          <w:noProof/>
        </w:rPr>
      </w:pPr>
      <w:r>
        <w:rPr>
          <w:noProof/>
        </w:rPr>
        <w:t xml:space="preserve">На този етап споразумението не е предмет на процедури по програмата REFIT; то не предполага никакви разходи за МСП в Съюза и не поражда проблеми от гледна точка на цифровата среда. </w:t>
      </w:r>
    </w:p>
    <w:p>
      <w:pPr>
        <w:pStyle w:val="ManualHeading2"/>
        <w:rPr>
          <w:rFonts w:eastAsia="Arial Unicode MS"/>
          <w:noProof/>
        </w:rPr>
      </w:pPr>
      <w:r>
        <w:rPr>
          <w:noProof/>
        </w:rPr>
        <w:t>•</w:t>
      </w:r>
      <w:r>
        <w:rPr>
          <w:noProof/>
        </w:rPr>
        <w:tab/>
        <w:t>Основни права</w:t>
      </w:r>
    </w:p>
    <w:p>
      <w:pPr>
        <w:keepNext/>
        <w:tabs>
          <w:tab w:val="left" w:pos="850"/>
        </w:tabs>
        <w:outlineLvl w:val="1"/>
        <w:rPr>
          <w:rFonts w:eastAsia="Arial Unicode MS"/>
          <w:noProof/>
          <w:u w:color="000000"/>
          <w:bdr w:val="nil"/>
        </w:rPr>
      </w:pPr>
      <w:r>
        <w:rPr>
          <w:noProof/>
        </w:rPr>
        <w:t xml:space="preserve">Предложението няма последствия за защитата на основните права в Съюза. </w:t>
      </w:r>
    </w:p>
    <w:p>
      <w:pPr>
        <w:keepNext/>
        <w:tabs>
          <w:tab w:val="left" w:pos="850"/>
        </w:tabs>
        <w:spacing w:before="360"/>
        <w:outlineLvl w:val="0"/>
        <w:rPr>
          <w:rFonts w:eastAsia="Calibri"/>
          <w:b/>
          <w:noProof/>
        </w:rPr>
      </w:pPr>
      <w:r>
        <w:rPr>
          <w:b/>
          <w:noProof/>
        </w:rPr>
        <w:t>4.</w:t>
      </w:r>
      <w:r>
        <w:rPr>
          <w:noProof/>
        </w:rPr>
        <w:tab/>
      </w:r>
      <w:r>
        <w:rPr>
          <w:b/>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spacing w:before="360"/>
        <w:outlineLvl w:val="0"/>
        <w:rPr>
          <w:rFonts w:eastAsia="Calibri"/>
          <w:b/>
          <w:noProof/>
        </w:rPr>
      </w:pPr>
      <w:r>
        <w:rPr>
          <w:b/>
          <w:noProof/>
        </w:rPr>
        <w:t>5.</w:t>
      </w:r>
      <w:r>
        <w:rPr>
          <w:noProof/>
        </w:rPr>
        <w:tab/>
      </w:r>
      <w:r>
        <w:rPr>
          <w:b/>
          <w:noProof/>
        </w:rPr>
        <w:t>ДРУГИ ЕЛЕМЕНТИ</w:t>
      </w:r>
    </w:p>
    <w:p>
      <w:pPr>
        <w:rPr>
          <w:rFonts w:eastAsia="Arial Unicode MS"/>
          <w:b/>
          <w:noProof/>
          <w:u w:color="000000"/>
          <w:bdr w:val="nil"/>
        </w:rPr>
      </w:pPr>
      <w:r>
        <w:rPr>
          <w:noProof/>
        </w:rPr>
        <w:t>•</w:t>
      </w:r>
      <w:r>
        <w:rPr>
          <w:noProof/>
        </w:rPr>
        <w:tab/>
      </w:r>
      <w:r>
        <w:rPr>
          <w:b/>
          <w:noProof/>
          <w:u w:color="000000"/>
          <w:bdr w:val="nil"/>
        </w:rPr>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Изпълнението на Споразумението подлежи на редовен преглед от страна на Съвета за асоцииране ЕС — Украйна и на подчинените на него органи, създадени по силата на същото споразумение. Европейската комисия също така докладва на Европейския парламент и на Съвета след заседанията на комитета за асоцииране ЕС — Украйна в състав „Търговия“, които се провеждат поне веднъж годишно, включително относно елементите, включени в настоящото предложение.</w:t>
      </w:r>
    </w:p>
    <w:p>
      <w:pPr>
        <w:pStyle w:val="ManualHeading2"/>
        <w:rPr>
          <w:rFonts w:eastAsia="Arial Unicode MS"/>
          <w:noProof/>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Calibri"/>
          <w:noProof/>
        </w:rPr>
      </w:pPr>
      <w:r>
        <w:rPr>
          <w:noProof/>
        </w:rPr>
        <w:t>Не се прилага.</w:t>
      </w:r>
    </w:p>
    <w:p>
      <w:pPr>
        <w:pStyle w:val="ManualHeading2"/>
        <w:rPr>
          <w:rFonts w:eastAsia="Arial Unicode MS"/>
          <w:noProof/>
        </w:rPr>
      </w:pPr>
      <w:r>
        <w:rPr>
          <w:noProof/>
        </w:rPr>
        <w:t>•</w:t>
      </w:r>
      <w:r>
        <w:rPr>
          <w:noProof/>
        </w:rPr>
        <w:tab/>
        <w:t>Подробно разяснение на конкретни разпоредби от предложението</w:t>
      </w:r>
    </w:p>
    <w:p>
      <w:pPr>
        <w:pBdr>
          <w:top w:val="nil"/>
          <w:left w:val="nil"/>
          <w:bottom w:val="nil"/>
          <w:right w:val="nil"/>
          <w:between w:val="nil"/>
          <w:bar w:val="nil"/>
        </w:pBdr>
        <w:spacing w:before="0" w:after="240"/>
        <w:rPr>
          <w:rFonts w:eastAsia="Calibri"/>
          <w:noProof/>
          <w:color w:val="000000"/>
          <w:szCs w:val="20"/>
        </w:rPr>
      </w:pPr>
      <w:r>
        <w:rPr>
          <w:noProof/>
          <w:color w:val="000000"/>
        </w:rPr>
        <w:t xml:space="preserve">Целта на предложението е да се приеме позиция на Съюза във връзка със: </w:t>
      </w:r>
    </w:p>
    <w:p>
      <w:pPr>
        <w:rPr>
          <w:noProof/>
          <w:szCs w:val="24"/>
        </w:rPr>
      </w:pPr>
      <w:r>
        <w:rPr>
          <w:noProof/>
        </w:rPr>
        <w:t xml:space="preserve">Задълбочената и всеобхватна зона за свободна търговия (ЗВЗСТ) като част от Споразумението за асоцииране между ЕС и Украйна („Споразумението“), която се прилага от 1 януари 2016 г. Със Споразумението бяха създадени някои съвместни институции, сред които Подкомитетът по санитарните и фитосанитарните въпроси, и Подкомитетът по търговия и устойчиво развитие, Митническият подкомитет и Подкомитетът по географските означения, които са отговорни за изпълнението на ангажиментите по ЗВССТ, свързани със съответните им области на компетентност. </w:t>
      </w:r>
    </w:p>
    <w:p>
      <w:pPr>
        <w:rPr>
          <w:noProof/>
          <w:szCs w:val="20"/>
        </w:rPr>
      </w:pPr>
      <w:r>
        <w:rPr>
          <w:noProof/>
        </w:rPr>
        <w:t xml:space="preserve">В съответствие с член 218, параграф 9 от ДФЕС за всяко съвместно решение с правни последици, което трябва да бъде прието от орган по Споразумението за асоцииране, се изисква вземането на предварително решение на Съвета относно позицията на Съюза.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color w:val="000000"/>
          <w:u w:color="000000"/>
          <w:bdr w:val="nil"/>
        </w:rPr>
        <w:t>•</w:t>
      </w:r>
    </w:p>
    <w:p>
      <w:pPr>
        <w:pStyle w:val="Rfrenceinterinstitutionnelle"/>
        <w:rPr>
          <w:noProof/>
        </w:rPr>
      </w:pPr>
      <w:r>
        <w:rPr>
          <w:noProof/>
        </w:rPr>
        <w:t>2016/0324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Съюзът да заеме в рамките на Подкомитета по санитарните и фитосанитарните въпроси, Подкомитета по търговия и устойчиво развитие, Митническия подкомитет и Подкомитета по географските означения, създадени по силата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във връзка с приемането на процедурните правилници на Подкомитета по санитарните и фитосанитарните въпроси, Подкомитета по търговия и устойчиво развитие, Митническия подкомитет и Подкомитета по географските означения</w:t>
      </w:r>
    </w:p>
    <w:p>
      <w:pPr>
        <w:pStyle w:val="Institutionquiagit"/>
        <w:rPr>
          <w:noProof/>
        </w:rPr>
      </w:pPr>
      <w:r>
        <w:rPr>
          <w:noProof/>
        </w:rPr>
        <w:t>СЪВЕТЪТ НА ЕВРОПЕЙСКИЯ СЪЮЗ,</w:t>
      </w:r>
    </w:p>
    <w:p>
      <w:pPr>
        <w:rPr>
          <w:rFonts w:eastAsia="Times New Roman"/>
          <w:noProof/>
          <w:szCs w:val="24"/>
        </w:rPr>
      </w:pPr>
      <w:r>
        <w:rPr>
          <w:noProof/>
        </w:rPr>
        <w:t>като взе предвид Договора за функционирането на Европейския съюз, и по-специално член 207, параграф 4 във връзка с член 218, параграф 9 от него,</w:t>
      </w:r>
    </w:p>
    <w:p>
      <w:pPr>
        <w:rPr>
          <w:rFonts w:eastAsia="Times New Roman"/>
          <w:noProof/>
          <w:szCs w:val="24"/>
        </w:rPr>
      </w:pPr>
      <w:r>
        <w:rPr>
          <w:noProof/>
        </w:rPr>
        <w:t>като взе предвид предложението на Комисията,</w:t>
      </w:r>
    </w:p>
    <w:p>
      <w:pPr>
        <w:rPr>
          <w:rFonts w:eastAsia="Times New Roman"/>
          <w:noProof/>
          <w:szCs w:val="24"/>
        </w:rPr>
      </w:pPr>
      <w:r>
        <w:rPr>
          <w:noProof/>
        </w:rPr>
        <w:t>като има предвид, че:</w:t>
      </w:r>
    </w:p>
    <w:p>
      <w:pPr>
        <w:pStyle w:val="ManualConsidrant"/>
        <w:rPr>
          <w:noProof/>
        </w:rPr>
      </w:pPr>
      <w:r>
        <w:t>(1)</w:t>
      </w:r>
      <w:r>
        <w:tab/>
      </w:r>
      <w:r>
        <w:rPr>
          <w:noProof/>
        </w:rPr>
        <w:t>В член 486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се предвижда временното прилагане на части от Споразумението.</w:t>
      </w:r>
    </w:p>
    <w:p>
      <w:pPr>
        <w:pStyle w:val="ManualConsidrant"/>
        <w:rPr>
          <w:noProof/>
        </w:rPr>
      </w:pPr>
      <w:r>
        <w:t>(2)</w:t>
      </w:r>
      <w:r>
        <w:tab/>
      </w:r>
      <w:r>
        <w:rPr>
          <w:noProof/>
        </w:rPr>
        <w:t>В член 4 от Решение 2014/668/ЕС на Съвета</w:t>
      </w:r>
      <w:r>
        <w:rPr>
          <w:rStyle w:val="FootnoteReference"/>
          <w:noProof/>
        </w:rPr>
        <w:footnoteReference w:id="1"/>
      </w:r>
      <w:r>
        <w:rPr>
          <w:noProof/>
        </w:rPr>
        <w:t xml:space="preserve"> от 23 юни 2014 г. се определят разпоредбите на Споразумението, които да се прилагат временно, включително разпоредбите относно създаването и работата на Подкомитета по санитарните и фитосанитарните въпроси („Подкомитет по СФСВ“), Подкомитета по търговия и устойчиво развитие („Подкомитет по ТУР“), Митническия подкомитет и Подкомитета по географските означения („Подкомитет по ГО“).</w:t>
      </w:r>
    </w:p>
    <w:p>
      <w:pPr>
        <w:pStyle w:val="ManualConsidrant"/>
        <w:rPr>
          <w:noProof/>
        </w:rPr>
      </w:pPr>
      <w:r>
        <w:t>(3)</w:t>
      </w:r>
      <w:r>
        <w:tab/>
      </w:r>
      <w:r>
        <w:rPr>
          <w:noProof/>
        </w:rPr>
        <w:t xml:space="preserve">В член 74 от Споразумението се предвижда, че Подкомитетът по СФСВ следва да приеме своите работни процедури на първото си заседание. </w:t>
      </w:r>
    </w:p>
    <w:p>
      <w:pPr>
        <w:pStyle w:val="ManualConsidrant"/>
        <w:rPr>
          <w:noProof/>
        </w:rPr>
      </w:pPr>
      <w:r>
        <w:t>(4)</w:t>
      </w:r>
      <w:r>
        <w:tab/>
      </w:r>
      <w:r>
        <w:rPr>
          <w:noProof/>
        </w:rPr>
        <w:t>В член 300 от Споразумението се предвижда, че Подкомитетът по търговия и устойчиво развитие следва да приеме свой процедурен правилник.</w:t>
      </w:r>
    </w:p>
    <w:p>
      <w:pPr>
        <w:pStyle w:val="ManualConsidrant"/>
        <w:rPr>
          <w:noProof/>
        </w:rPr>
      </w:pPr>
      <w:r>
        <w:t>(5)</w:t>
      </w:r>
      <w:r>
        <w:tab/>
      </w:r>
      <w:r>
        <w:rPr>
          <w:noProof/>
        </w:rPr>
        <w:t>В член 83 от Споразумението се предвижда, че Митническият подкомитет следва да приеме свой процедурен правилник.</w:t>
      </w:r>
    </w:p>
    <w:p>
      <w:pPr>
        <w:pStyle w:val="ManualConsidrant"/>
        <w:rPr>
          <w:noProof/>
        </w:rPr>
      </w:pPr>
      <w:r>
        <w:t>(6)</w:t>
      </w:r>
      <w:r>
        <w:tab/>
      </w:r>
      <w:r>
        <w:rPr>
          <w:noProof/>
        </w:rPr>
        <w:t>В член 211 от Споразумението се предвижда, че Подкомитетът по ГО следва да приеме свой процедурен правилник,</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rPr>
          <w:noProof/>
        </w:rPr>
        <w:t>1.</w:t>
      </w:r>
      <w:r>
        <w:rPr>
          <w:noProof/>
        </w:rPr>
        <w:tab/>
        <w:t xml:space="preserve">Позицията, която Съюзът да заеме в рамките на Подкомитета по СФСВ, създаден по силата на член 74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w:t>
      </w:r>
      <w:r>
        <w:rPr>
          <w:noProof/>
          <w:color w:val="444444"/>
        </w:rPr>
        <w:t>се основава на</w:t>
      </w:r>
      <w:r>
        <w:rPr>
          <w:noProof/>
        </w:rPr>
        <w:t xml:space="preserve"> приложения към настоящото решение проект на решение относно процедурния правилник на Подкомитета по СФСВ. </w:t>
      </w:r>
    </w:p>
    <w:p>
      <w:pPr>
        <w:pStyle w:val="ManualNumPar1"/>
        <w:rPr>
          <w:noProof/>
        </w:rPr>
      </w:pPr>
      <w:r>
        <w:rPr>
          <w:noProof/>
        </w:rPr>
        <w:t>2.</w:t>
      </w:r>
      <w:r>
        <w:rPr>
          <w:noProof/>
        </w:rPr>
        <w:tab/>
        <w:t>Представителите на Съюза в Подкомитета по СФСВ могат да одобрят незначителни промени в проекта на решението, без да е необходимо допълнително решение на Съвета.</w:t>
      </w:r>
    </w:p>
    <w:p>
      <w:pPr>
        <w:pStyle w:val="Titrearticle"/>
        <w:rPr>
          <w:rFonts w:eastAsia="Times New Roman"/>
          <w:noProof/>
          <w:szCs w:val="24"/>
        </w:rPr>
      </w:pPr>
      <w:r>
        <w:rPr>
          <w:noProof/>
        </w:rPr>
        <w:t>Член 2</w:t>
      </w:r>
    </w:p>
    <w:p>
      <w:pPr>
        <w:pStyle w:val="ManualNumPar1"/>
        <w:rPr>
          <w:noProof/>
        </w:rPr>
      </w:pPr>
      <w:r>
        <w:rPr>
          <w:noProof/>
        </w:rPr>
        <w:t>1.</w:t>
      </w:r>
      <w:r>
        <w:rPr>
          <w:noProof/>
        </w:rPr>
        <w:tab/>
        <w:t xml:space="preserve">Позицията, която Съюзът да заеме в рамките на Подкомитета по търговия и устойчиво развитие, създаден по силата на член 300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w:t>
      </w:r>
      <w:r>
        <w:rPr>
          <w:noProof/>
          <w:color w:val="444444"/>
        </w:rPr>
        <w:t>се основава на</w:t>
      </w:r>
      <w:r>
        <w:rPr>
          <w:noProof/>
        </w:rPr>
        <w:t xml:space="preserve"> приложения към настоящото решение проект на решение относно процедурния правилник на Подкомитета по търговия и устойчиво развитие.</w:t>
      </w:r>
    </w:p>
    <w:p>
      <w:pPr>
        <w:pStyle w:val="ManualNumPar1"/>
        <w:rPr>
          <w:noProof/>
        </w:rPr>
      </w:pPr>
      <w:r>
        <w:rPr>
          <w:noProof/>
        </w:rPr>
        <w:t>2.</w:t>
      </w:r>
      <w:r>
        <w:rPr>
          <w:noProof/>
        </w:rPr>
        <w:tab/>
        <w:t>Представителите на Съюза в Подкомитета по търговия и устойчиво развитие могат да одобрят незначителни промени в проекта на решението, без да е необходимо допълнително решение на Съвета.</w:t>
      </w:r>
    </w:p>
    <w:p>
      <w:pPr>
        <w:pStyle w:val="Titrearticle"/>
        <w:rPr>
          <w:rFonts w:eastAsia="Times New Roman"/>
          <w:noProof/>
          <w:szCs w:val="24"/>
        </w:rPr>
      </w:pPr>
      <w:r>
        <w:rPr>
          <w:noProof/>
        </w:rPr>
        <w:t>Член 3</w:t>
      </w:r>
    </w:p>
    <w:p>
      <w:pPr>
        <w:pStyle w:val="ManualNumPar1"/>
        <w:rPr>
          <w:noProof/>
        </w:rPr>
      </w:pPr>
      <w:r>
        <w:rPr>
          <w:noProof/>
        </w:rPr>
        <w:t>1.</w:t>
      </w:r>
      <w:r>
        <w:rPr>
          <w:noProof/>
        </w:rPr>
        <w:tab/>
        <w:t xml:space="preserve">Позицията, която Съюзът да заеме в рамките на Митническия подкомитет, създаден по силата на член 83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w:t>
      </w:r>
      <w:r>
        <w:rPr>
          <w:noProof/>
          <w:color w:val="444444"/>
        </w:rPr>
        <w:t xml:space="preserve">се основава на </w:t>
      </w:r>
      <w:r>
        <w:rPr>
          <w:noProof/>
        </w:rPr>
        <w:t>приложения към настоящото решение проект на решение относно процедурния правилник на Митническия подкомитет.</w:t>
      </w:r>
    </w:p>
    <w:p>
      <w:pPr>
        <w:pStyle w:val="ManualNumPar1"/>
        <w:rPr>
          <w:noProof/>
        </w:rPr>
      </w:pPr>
      <w:r>
        <w:rPr>
          <w:noProof/>
        </w:rPr>
        <w:t>2.</w:t>
      </w:r>
      <w:r>
        <w:rPr>
          <w:noProof/>
        </w:rPr>
        <w:tab/>
        <w:t>Представителите на Съюза в Митническия подкомитет могат да одобрят незначителни промени в проекта на решението, без да е необходимо допълнително решение на Съвета.</w:t>
      </w:r>
    </w:p>
    <w:p>
      <w:pPr>
        <w:pStyle w:val="Titrearticle"/>
        <w:rPr>
          <w:noProof/>
        </w:rPr>
      </w:pPr>
      <w:r>
        <w:rPr>
          <w:noProof/>
        </w:rPr>
        <w:t>Член 4</w:t>
      </w:r>
    </w:p>
    <w:p>
      <w:pPr>
        <w:pStyle w:val="ManualNumPar1"/>
        <w:rPr>
          <w:noProof/>
        </w:rPr>
      </w:pPr>
      <w:r>
        <w:rPr>
          <w:noProof/>
        </w:rPr>
        <w:t>1.</w:t>
      </w:r>
      <w:r>
        <w:rPr>
          <w:noProof/>
        </w:rPr>
        <w:tab/>
        <w:t xml:space="preserve">Позицията, която Съюзът да заеме в рамките на Подкомитета по ГО, създаден по силата на член 211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w:t>
      </w:r>
      <w:r>
        <w:rPr>
          <w:noProof/>
          <w:color w:val="444444"/>
        </w:rPr>
        <w:t xml:space="preserve">се основава на </w:t>
      </w:r>
      <w:r>
        <w:rPr>
          <w:noProof/>
        </w:rPr>
        <w:t>приложения към настоящото решение проект на решение относно процедурния правилник на Подкомитета по ГО.</w:t>
      </w:r>
    </w:p>
    <w:p>
      <w:pPr>
        <w:pStyle w:val="ManualNumPar1"/>
        <w:rPr>
          <w:noProof/>
        </w:rPr>
      </w:pPr>
      <w:r>
        <w:rPr>
          <w:noProof/>
        </w:rPr>
        <w:t>2.</w:t>
      </w:r>
      <w:r>
        <w:rPr>
          <w:noProof/>
        </w:rPr>
        <w:tab/>
        <w:t>Представителите на Съюза в Подкомитета по ГО могат да одобрят незначителни промени в проектите на решения, без да е необходимо допълнително решение на Съвета.</w:t>
      </w:r>
    </w:p>
    <w:p>
      <w:pPr>
        <w:pStyle w:val="Titrearticle"/>
        <w:rPr>
          <w:noProof/>
        </w:rPr>
      </w:pPr>
      <w:r>
        <w:rPr>
          <w:noProof/>
        </w:rPr>
        <w:t>Член 5</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23 юни 2014 г.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дял III (с изключение на разпоредбите относно третирането на граждани на трети държави, които са законно наети като работници на територията на другата страна) и дялове IV, V, VI и VII от него, както и на свързаните приложения и протоколи (ОВ L 278, 20.9.2014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001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D863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0EEA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06A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3263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02A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50E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AAB2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5: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DCD61BFCDE1494996233063A47F7169"/>
    <w:docVar w:name="LW_CROSSREFERENCE" w:val="&lt;UNUSED&gt;"/>
    <w:docVar w:name="LW_DocType" w:val="COM"/>
    <w:docVar w:name="LW_EMISSION" w:val="13.10.2016"/>
    <w:docVar w:name="LW_EMISSION_ISODATE" w:val="2016-10-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4"/>
    <w:docVar w:name="LW_REF.II.NEW.CP_YEAR" w:val="2016"/>
    <w:docVar w:name="LW_REF.INST.NEW" w:val="COM"/>
    <w:docVar w:name="LW_REF.INST.NEW_ADOPTED" w:val="final"/>
    <w:docVar w:name="LW_REF.INST.NEW_TEXT" w:val="(2016) 65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57?\u1098?\u1102?\u1079?\u1098?\u1090? \u1076?\u1072? \u1079?\u1072?\u1077?\u1084?\u1077? \u1074? \u1088?\u1072?\u1084?\u1082?\u1080?\u1090?\u1077? \u1085?\u1072? \u1055?\u1086?\u1076?\u1082?\u1086?\u1084?\u1080?\u1090?\u1077?\u1090?\u1072? \u1087?\u1086? \u1089?\u1072?\u1085?\u1080?\u1090?\u1072?\u1088?\u1085?\u1080?\u1090?\u1077? \u1080? \u1092?\u1080?\u1090?\u1086?\u1089?\u1072?\u1085?\u1080?\u1090?\u1072?\u1088?\u1085?\u1080?\u1090?\u1077? \u1074?\u1098?\u1087?\u1088?\u1086?\u1089?\u1080?, \u1055?\u1086?\u1076?\u1082?\u1086?\u1084?\u1080?\u1090?\u1077?\u1090?\u1072? \u1087?\u1086? \u1090?\u1098?\u1088?\u1075?\u1086?\u1074?\u1080?\u1103? \u1080? \u1091?\u1089?\u1090?\u1086?\u1081?\u1095?\u1080?\u1074?\u1086? \u1088?\u1072?\u1079?\u1074?\u1080?\u1090?\u1080?\u1077?, \u1052?\u1080?\u1090?\u1085?\u1080?\u1095?\u1077?\u1089?\u1082?\u1080?\u1103? \u1087?\u1086?\u1076?\u1082?\u1086?\u1084?\u1080?\u1090?\u1077?\u1090? \u1080? \u1055?\u1086?\u1076?\u1082?\u1086?\u1084?\u1080?\u1090?\u1077?\u1090?\u1072? \u1087?\u1086? \u1075?\u1077?\u1086?\u1075?\u1088?\u1072?\u1092?\u1089?\u1082?\u1080?\u1090?\u1077? \u1086?\u1079?\u1085?\u1072?\u1095?\u1077?\u1085?\u1080?\u1103?, \u1089?\u1098?\u1079?\u1076?\u1072?\u1076?\u1077?\u1085?\u1080?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87?\u1088?\u1080?\u1077?\u1084?\u1072?\u1085?\u1077?\u1090?\u1086? \u1085?\u1072? \u1087?\u1088?\u1086?\u1094?\u1077?\u1076?\u1091?\u1088?\u1085?\u1080?\u1090?\u1077? \u1087?\u1088?\u1072?\u1074?\u1080?\u1083?\u1085?\u1080?\u1094?\u1080? \u1085?\u1072? \u1055?\u1086?\u1076?\u1082?\u1086?\u1084?\u1080?\u1090?\u1077?\u1090?\u1072? \u1087?\u1086? \u1089?\u1072?\u1085?\u1080?\u1090?\u1072?\u1088?\u1085?\u1080?\u1090?\u1077? \u1080? \u1092?\u1080?\u1090?\u1086?\u1089?\u1072?\u1085?\u1080?\u1090?\u1072?\u1088?\u1085?\u1080?\u1090?\u1077? \u1074?\u1098?\u1087?\u1088?\u1086?\u1089?\u1080?, \u1055?\u1086?\u1076?\u1082?\u1086?\u1084?\u1080?\u1090?\u1077?\u1090?\u1072? \u1087?\u1086? \u1090?\u1098?\u1088?\u1075?\u1086?\u1074?\u1080?\u1103? \u1080? \u1091?\u1089?\u1090?\u1086?\u1081?\u1095?\u1080?\u1074?\u1086? \u1088?\u1072?\u1079?\u1074?\u1080?\u1090?\u1080?\u1077?, \u1052?\u1080?\u1090?\u1085?\u1080?\u1095?\u1077?\u1089?\u1082?\u1080?\u1103? \u1087?\u1086?\u1076?\u1082?\u1086?\u1084?\u1080?\u1090?\u1077?\u1090? \u1080? \u1055?\u1086?\u1076?\u1082?\u1086?\u1084?\u1080?\u1090?\u1077?\u1090?\u1072? \u1087?\u1086? \u1075?\u1077?\u1086?\u1075?\u1088?\u1072?\u1092?\u1089?\u1082?\u1080?\u1090?\u1077? \u1086?\u1079?\u1085?\u1072?\u1095?\u1077?\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797E-4410-4506-8829-312F6140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1927</Words>
  <Characters>11299</Characters>
  <Application>Microsoft Office Word</Application>
  <DocSecurity>0</DocSecurity>
  <Lines>221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2016-09-28T10:00:00Z</cp:lastPrinted>
  <dcterms:created xsi:type="dcterms:W3CDTF">2016-09-28T17:13:00Z</dcterms:created>
  <dcterms:modified xsi:type="dcterms:W3CDTF">2016-10-06T08:05:00Z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