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F3A957F13C7405492BEB3AA0FB49FE3" style="width:450.45pt;height:379.6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Приложеното предложение представлява правен инструмент за одобрение на позицията, която ЕС да заеме в Комитета за ГНСС на Европейския съюз и Швейцария („Съвместния комитет“), създаден съгласно Споразумението за сътрудничество между Европейския съюз и неговите държави членки, от една страна, и Конфедерация Швейцария, от друга, в областта на Европейските програми за спътникова навигация („Споразумението“).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На 23 септември 2013 г. Съветът прие решение за подписване на Споразумението от страна на Европейския съюз и за временно прилагане на някои от разпоредбите му.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Впоследствие Споразумението бе подписано в Брюксел на 18 декември 2013 г., успоредно със съответното заседание на Съвета на Европейския съюз. В съответствие с член 27, параграф 2 от Споразумението, то се прилага временно от 1 януари 2014 г.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Швейцария ратифицира Споразумението на 7 юли 2015 г., а ратификацията от страна на ЕС продължава. </w:t>
      </w:r>
    </w:p>
    <w:p>
      <w:pPr>
        <w:rPr>
          <w:noProof/>
          <w:color w:val="000000"/>
          <w:szCs w:val="20"/>
        </w:rPr>
      </w:pPr>
      <w:r>
        <w:rPr>
          <w:noProof/>
        </w:rPr>
        <w:t>Със Споразумението бе учреден Комитет за ГНСС на Европейския съюз и Швейцария, който отговаря за управлението и правилното прилагане на Споразумението.</w:t>
      </w:r>
      <w:r>
        <w:rPr>
          <w:noProof/>
          <w:color w:val="000000"/>
        </w:rPr>
        <w:t xml:space="preserve"> Съвместният комитет трябва да приеме свой процедурен правилник. 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ПРЕГОВОРИТЕ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В член 20, параграф 2 от Споразумението е предвидено Съвместният комитет да приеме свой процедурен правилник, в който да се съдържат, </w:t>
      </w:r>
      <w:r>
        <w:rPr>
          <w:i/>
          <w:noProof/>
          <w:color w:val="000000"/>
        </w:rPr>
        <w:t>inter alia</w:t>
      </w:r>
      <w:r>
        <w:rPr>
          <w:noProof/>
          <w:color w:val="000000"/>
        </w:rPr>
        <w:t>, разпоредби относно свикването на заседания, избора на председател и неговия мандат.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Приложеният проектоправилник е изготвен след процес на преговори със Швейцария.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ПРАВНИ ЕЛЕМЕНТИ НА ПРЕДЛОЖЕНИЕТО</w:t>
      </w:r>
    </w:p>
    <w:p>
      <w:pPr>
        <w:autoSpaceDE w:val="0"/>
        <w:autoSpaceDN w:val="0"/>
        <w:adjustRightInd w:val="0"/>
        <w:rPr>
          <w:noProof/>
          <w:color w:val="000000"/>
          <w:szCs w:val="20"/>
        </w:rPr>
      </w:pPr>
      <w:r>
        <w:rPr>
          <w:noProof/>
        </w:rPr>
        <w:t>Правното основание за одобрение на позицията, която ЕС да заеме в Съвместния комитет, учреден със Споразумението за сътрудничество, е член 172 във връзка с член 218, параграф 9 от Договора за функционирането на Европейския съюз.</w:t>
      </w:r>
      <w:r>
        <w:rPr>
          <w:noProof/>
          <w:color w:val="000000"/>
        </w:rPr>
        <w:t xml:space="preserve">  </w:t>
      </w:r>
    </w:p>
    <w:p>
      <w:pPr>
        <w:autoSpaceDE w:val="0"/>
        <w:autoSpaceDN w:val="0"/>
        <w:adjustRightInd w:val="0"/>
        <w:rPr>
          <w:noProof/>
        </w:rPr>
      </w:pPr>
      <w:r>
        <w:rPr>
          <w:noProof/>
        </w:rPr>
        <w:t>Предвид горепосочените преговори Европейската комисия предлага Съветът да приеме решение за одобрение на позицията, която ЕС да заеме в Съвместния комитет във връзка с неговия процедурен правилник.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2016/0300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ЕС да заеме в Комитета за ГНСС на Европейския съюз и Швейцария, учреден със Споразумението за сътрудничество между Европейския съюз и неговите държави членки, от една страна, и Конфедерация Швейцария, от друга, в областта на Европейските програми за спътникова навигация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 172, първа алинея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Споразумението за сътрудничество между Европейския съюз и неговите държави членки, от една страна, и Конфедерация Швейцария, от друга, в областта на Европейските програми за спътникова навигация („Споразумението“) се прилага временно от 1 януари 2014 г.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 член 20 от Споразумението се учредява Съвместен комитет с наименованието „Комитет за ГНСС на Европейския съюз и Швейцария“ („Съвместният комитет“), който следва да определи свой процедурен правилник.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Поради това е целесъобразно да се определи позицията на ЕС относно процедурния правилник, който предстои да бъде приет от Съвместния комитет,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Позицията, която да бъде заета от ЕС в Съвместния комитет, учреден със Споразумението за сътрудничество между Европейския съюз и неговите държави членки, от една страна, и Конфедерация Швейцария, от друга, в областта на Европейските програми за спътникова навигация, във връзка с приемането на процедурен правилник на Съвместния комитет, се определя в проекторешението, приложено към настоящото решение.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Представителите на ЕС в Съвместния комитет могат да приемат незначителни промени в проекторешението, без да е необходимо допълнително решение на Съвета.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Член 2</w:t>
      </w:r>
    </w:p>
    <w:p>
      <w:pPr>
        <w:pStyle w:val="ManualNumPar1"/>
        <w:keepNext/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38E9C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3145C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50632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FFC1F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4BCF5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E587F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792B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BE629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11 15:01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5F3A957F13C7405492BEB3AA0FB49FE3"/>
    <w:docVar w:name="LW_CROSSREFERENCE" w:val="&lt;UNUSED&gt;"/>
    <w:docVar w:name="LW_DocType" w:val="COM"/>
    <w:docVar w:name="LW_EMISSION" w:val="12.10.2016"/>
    <w:docVar w:name="LW_EMISSION_ISODATE" w:val="2016-10-12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00"/>
    <w:docVar w:name="LW_REF.II.NEW.CP_YEAR" w:val="2016"/>
    <w:docVar w:name="LW_REF.INST.NEW" w:val="COM"/>
    <w:docVar w:name="LW_REF.INST.NEW_ADOPTED" w:val="final"/>
    <w:docVar w:name="LW_REF.INST.NEW_TEXT" w:val="(2016) 620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45?\u1057? \u1076?\u1072? \u1079?\u1072?\u1077?\u1084?\u1077? \u1074? \u1050?\u1086?\u1084?\u1080?\u1090?\u1077?\u1090?\u1072? \u1079?\u1072? \u1043?\u1053?\u1057?\u1057? \u1085?\u1072? \u1045?\u1074?\u1088?\u1086?\u1087?\u1077?\u1081?\u1089?\u1082?\u1080?\u1103? \u1089?\u1098?\u1102?\u1079? \u1080? \u1064?\u1074?\u1077?\u1081?\u1094?\u1072?\u1088?\u1080?\u1103?, \u1091?\u1095?\u1088?\u1077?\u1076?\u1077?\u1085? \u1089?\u1098?\u1089? \u1057?\u1087?\u1086?\u1088?\u1072?\u1079?\u1091?\u1084?\u1077?\u1085?\u1080?\u1077?\u1090?\u1086? \u1079?\u1072? \u1089?\u1098?\u1090?\u1088?\u1091?\u1076?\u1085?\u1080?\u1095?\u1077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0?\u1086?\u1085?\u1092?\u1077?\u1076?\u1077?\u1088?\u1072?\u1094?\u1080?\u1103? \u1064?\u1074?\u1077?\u1081?\u1094?\u1072?\u1088?\u1080?\u1103?, \u1086?\u1090? \u1076?\u1088?\u1091?\u1075?\u1072?, \u1074? \u1086?\u1073?\u1083?\u1072?\u1089?\u1090?\u1090?\u1072? \u1085?\u1072? \u1045?\u1074?\u1088?\u1086?\u1087?\u1077?\u1081?\u1089?\u1082?\u1080?\u1090?\u1077? \u1087?\u1088?\u1086?\u1075?\u1088?\u1072?\u1084?\u1080? \u1079?\u1072? \u1089?\u1087?\u1098?\u1090?\u1085?\u1080?\u1082?\u1086?\u1074?\u1072? \u1085?\u1072?\u1074?\u1080?\u1075?\u1072?\u1094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564</Words>
  <Characters>3350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2016-04-27T09:43:00Z</cp:lastPrinted>
  <dcterms:created xsi:type="dcterms:W3CDTF">2016-08-19T10:55:00Z</dcterms:created>
  <dcterms:modified xsi:type="dcterms:W3CDTF">2016-10-11T13:01:00Z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