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CD832593A9747CCA864E85451B2A3AB"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pStyle w:val="TOCHeading"/>
        <w:rPr>
          <w:noProof/>
        </w:rPr>
      </w:pPr>
      <w:bookmarkStart w:id="1" w:name="_GoBack"/>
      <w:bookmarkEnd w:id="1"/>
    </w:p>
    <w:p>
      <w:pPr>
        <w:pStyle w:val="TOCHeading"/>
        <w:rPr>
          <w:noProof/>
        </w:rPr>
      </w:pPr>
      <w:r>
        <w:rPr>
          <w:noProof/>
        </w:rPr>
        <w:t>СЪДЪРЖАНИЕ</w:t>
      </w:r>
    </w:p>
    <w:p>
      <w:pPr>
        <w:spacing w:after="0"/>
        <w:rPr>
          <w:noProof/>
        </w:rPr>
      </w:pPr>
      <w:r>
        <w:rPr>
          <w:noProof/>
        </w:rPr>
        <w:t xml:space="preserve"> </w:t>
      </w:r>
    </w:p>
    <w:p>
      <w:pPr>
        <w:pStyle w:val="TOC1"/>
        <w:rPr>
          <w:rFonts w:asciiTheme="minorHAnsi" w:eastAsiaTheme="minorEastAsia" w:hAnsiTheme="minorHAnsi" w:cstheme="minorBidi"/>
          <w:noProof/>
          <w:sz w:val="22"/>
          <w:szCs w:val="22"/>
          <w:lang w:bidi="ar-SA"/>
        </w:rPr>
      </w:pPr>
      <w:r>
        <w:rPr>
          <w:noProof/>
        </w:rPr>
        <w:fldChar w:fldCharType="begin"/>
      </w:r>
      <w:r>
        <w:rPr>
          <w:noProof/>
        </w:rPr>
        <w:instrText xml:space="preserve"> TOC \o "1-3" \h \z \u </w:instrText>
      </w:r>
      <w:r>
        <w:rPr>
          <w:noProof/>
        </w:rPr>
        <w:fldChar w:fldCharType="separate"/>
      </w:r>
      <w:hyperlink w:anchor="_Toc468777776" w:history="1">
        <w:r>
          <w:rPr>
            <w:rStyle w:val="Hyperlink"/>
            <w:noProof/>
          </w:rPr>
          <w:t>1.</w:t>
        </w:r>
        <w:r>
          <w:rPr>
            <w:rFonts w:asciiTheme="minorHAnsi" w:eastAsiaTheme="minorEastAsia" w:hAnsiTheme="minorHAnsi" w:cstheme="minorBidi"/>
            <w:noProof/>
            <w:sz w:val="22"/>
            <w:szCs w:val="22"/>
            <w:lang w:bidi="ar-SA"/>
          </w:rPr>
          <w:tab/>
        </w:r>
        <w:r>
          <w:rPr>
            <w:rStyle w:val="Hyperlink"/>
            <w:noProof/>
          </w:rPr>
          <w:t>Въведение</w:t>
        </w:r>
        <w:r>
          <w:rPr>
            <w:noProof/>
            <w:webHidden/>
          </w:rPr>
          <w:tab/>
        </w:r>
        <w:r>
          <w:rPr>
            <w:noProof/>
            <w:webHidden/>
          </w:rPr>
          <w:fldChar w:fldCharType="begin"/>
        </w:r>
        <w:r>
          <w:rPr>
            <w:noProof/>
            <w:webHidden/>
          </w:rPr>
          <w:instrText xml:space="preserve"> PAGEREF _Toc468777776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68777777" w:history="1">
        <w:r>
          <w:rPr>
            <w:rStyle w:val="Hyperlink"/>
            <w:noProof/>
          </w:rPr>
          <w:t>2.</w:t>
        </w:r>
        <w:r>
          <w:rPr>
            <w:rFonts w:asciiTheme="minorHAnsi" w:eastAsiaTheme="minorEastAsia" w:hAnsiTheme="minorHAnsi" w:cstheme="minorBidi"/>
            <w:noProof/>
            <w:sz w:val="22"/>
            <w:szCs w:val="22"/>
            <w:lang w:bidi="ar-SA"/>
          </w:rPr>
          <w:tab/>
        </w:r>
        <w:r>
          <w:rPr>
            <w:rStyle w:val="Hyperlink"/>
            <w:noProof/>
          </w:rPr>
          <w:t>Целеви приходи, предназначени за ЕФГЗ</w:t>
        </w:r>
        <w:r>
          <w:rPr>
            <w:noProof/>
            <w:webHidden/>
          </w:rPr>
          <w:tab/>
        </w:r>
        <w:r>
          <w:rPr>
            <w:noProof/>
            <w:webHidden/>
          </w:rPr>
          <w:fldChar w:fldCharType="begin"/>
        </w:r>
        <w:r>
          <w:rPr>
            <w:noProof/>
            <w:webHidden/>
          </w:rPr>
          <w:instrText xml:space="preserve"> PAGEREF _Toc468777777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68777778" w:history="1">
        <w:r>
          <w:rPr>
            <w:rStyle w:val="Hyperlink"/>
            <w:noProof/>
          </w:rPr>
          <w:t>3.</w:t>
        </w:r>
        <w:r>
          <w:rPr>
            <w:rFonts w:asciiTheme="minorHAnsi" w:eastAsiaTheme="minorEastAsia" w:hAnsiTheme="minorHAnsi" w:cstheme="minorBidi"/>
            <w:noProof/>
            <w:sz w:val="22"/>
            <w:szCs w:val="22"/>
            <w:lang w:bidi="ar-SA"/>
          </w:rPr>
          <w:tab/>
        </w:r>
        <w:r>
          <w:rPr>
            <w:rStyle w:val="Hyperlink"/>
            <w:noProof/>
          </w:rPr>
          <w:t>Коментар относно предварителните данни за изпълнението на бюджета на ЕФГЗ за 2016 г.</w:t>
        </w:r>
        <w:r>
          <w:rPr>
            <w:noProof/>
            <w:webHidden/>
          </w:rPr>
          <w:tab/>
        </w:r>
        <w:r>
          <w:rPr>
            <w:noProof/>
            <w:webHidden/>
          </w:rPr>
          <w:fldChar w:fldCharType="begin"/>
        </w:r>
        <w:r>
          <w:rPr>
            <w:noProof/>
            <w:webHidden/>
          </w:rPr>
          <w:instrText xml:space="preserve"> PAGEREF _Toc468777778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68777791" w:history="1">
        <w:r>
          <w:rPr>
            <w:rStyle w:val="Hyperlink"/>
            <w:noProof/>
          </w:rPr>
          <w:t>4.</w:t>
        </w:r>
        <w:r>
          <w:rPr>
            <w:rFonts w:asciiTheme="minorHAnsi" w:eastAsiaTheme="minorEastAsia" w:hAnsiTheme="minorHAnsi" w:cstheme="minorBidi"/>
            <w:noProof/>
            <w:sz w:val="22"/>
            <w:szCs w:val="22"/>
            <w:lang w:bidi="ar-SA"/>
          </w:rPr>
          <w:tab/>
        </w:r>
        <w:r>
          <w:rPr>
            <w:rStyle w:val="Hyperlink"/>
            <w:noProof/>
          </w:rPr>
          <w:t>Изпълнение на целевите приходи, предназначени за ЕФГЗ</w:t>
        </w:r>
        <w:r>
          <w:rPr>
            <w:noProof/>
            <w:webHidden/>
          </w:rPr>
          <w:tab/>
        </w:r>
        <w:r>
          <w:rPr>
            <w:noProof/>
            <w:webHidden/>
          </w:rPr>
          <w:fldChar w:fldCharType="begin"/>
        </w:r>
        <w:r>
          <w:rPr>
            <w:noProof/>
            <w:webHidden/>
          </w:rPr>
          <w:instrText xml:space="preserve"> PAGEREF _Toc468777791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68777792" w:history="1">
        <w:r>
          <w:rPr>
            <w:rStyle w:val="Hyperlink"/>
            <w:noProof/>
          </w:rPr>
          <w:t>5.</w:t>
        </w:r>
        <w:r>
          <w:rPr>
            <w:rFonts w:asciiTheme="minorHAnsi" w:eastAsiaTheme="minorEastAsia" w:hAnsiTheme="minorHAnsi" w:cstheme="minorBidi"/>
            <w:noProof/>
            <w:sz w:val="22"/>
            <w:szCs w:val="22"/>
            <w:lang w:bidi="ar-SA"/>
          </w:rPr>
          <w:tab/>
        </w:r>
        <w:r>
          <w:rPr>
            <w:rStyle w:val="Hyperlink"/>
            <w:noProof/>
          </w:rPr>
          <w:t>Заключения</w:t>
        </w:r>
        <w:r>
          <w:rPr>
            <w:noProof/>
            <w:webHidden/>
          </w:rPr>
          <w:tab/>
        </w:r>
        <w:r>
          <w:rPr>
            <w:noProof/>
            <w:webHidden/>
          </w:rPr>
          <w:fldChar w:fldCharType="begin"/>
        </w:r>
        <w:r>
          <w:rPr>
            <w:noProof/>
            <w:webHidden/>
          </w:rPr>
          <w:instrText xml:space="preserve"> PAGEREF _Toc468777792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Calibri" w:hAnsi="Calibri"/>
          <w:noProof/>
          <w:sz w:val="22"/>
          <w:szCs w:val="22"/>
        </w:rPr>
      </w:pPr>
      <w:r>
        <w:rPr>
          <w:b/>
          <w:bCs/>
          <w:noProof/>
        </w:rPr>
        <w:fldChar w:fldCharType="end"/>
      </w:r>
    </w:p>
    <w:tbl>
      <w:tblPr>
        <w:tblW w:w="0" w:type="auto"/>
        <w:tblLook w:val="01E0" w:firstRow="1" w:lastRow="1" w:firstColumn="1" w:lastColumn="1" w:noHBand="0" w:noVBand="0"/>
      </w:tblPr>
      <w:tblGrid>
        <w:gridCol w:w="1908"/>
        <w:gridCol w:w="7320"/>
      </w:tblGrid>
      <w:tr>
        <w:tc>
          <w:tcPr>
            <w:tcW w:w="1908" w:type="dxa"/>
            <w:hideMark/>
          </w:tcPr>
          <w:p>
            <w:pPr>
              <w:tabs>
                <w:tab w:val="left" w:pos="1560"/>
              </w:tabs>
              <w:spacing w:before="360" w:after="120"/>
              <w:ind w:right="132"/>
              <w:rPr>
                <w:rFonts w:ascii="Times New Roman" w:hAnsi="Times New Roman"/>
                <w:smallCaps/>
                <w:noProof/>
                <w:sz w:val="24"/>
                <w:szCs w:val="24"/>
              </w:rPr>
            </w:pPr>
            <w:r>
              <w:rPr>
                <w:rFonts w:ascii="Times New Roman" w:hAnsi="Times New Roman"/>
                <w:smallCaps/>
                <w:noProof/>
              </w:rPr>
              <w:t>Приложение 1:</w:t>
            </w:r>
          </w:p>
        </w:tc>
        <w:tc>
          <w:tcPr>
            <w:tcW w:w="7320" w:type="dxa"/>
            <w:hideMark/>
          </w:tcPr>
          <w:p>
            <w:pPr>
              <w:spacing w:before="360" w:after="120"/>
              <w:rPr>
                <w:rFonts w:ascii="Times New Roman" w:hAnsi="Times New Roman"/>
                <w:smallCaps/>
                <w:noProof/>
                <w:sz w:val="24"/>
                <w:szCs w:val="24"/>
              </w:rPr>
            </w:pPr>
            <w:r>
              <w:rPr>
                <w:rFonts w:ascii="Times New Roman" w:hAnsi="Times New Roman"/>
                <w:smallCaps/>
                <w:noProof/>
              </w:rPr>
              <w:t>Предварителни данни за усвояването на бюджетни кредити по линия на ЕФГЗ към 31.12.2016 г.</w:t>
            </w:r>
          </w:p>
        </w:tc>
      </w:tr>
    </w:tbl>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pgNumType w:start="2"/>
          <w:cols w:space="720"/>
        </w:sectPr>
      </w:pPr>
    </w:p>
    <w:p>
      <w:pPr>
        <w:pStyle w:val="Heading1"/>
        <w:rPr>
          <w:noProof/>
        </w:rPr>
      </w:pPr>
      <w:bookmarkStart w:id="2" w:name="_Toc468777776"/>
      <w:bookmarkStart w:id="3" w:name="_Toc229306111"/>
      <w:bookmarkStart w:id="4" w:name="_Toc244054012"/>
      <w:bookmarkStart w:id="5" w:name="_Toc244054013"/>
      <w:r>
        <w:rPr>
          <w:noProof/>
        </w:rPr>
        <w:t>Въведение</w:t>
      </w:r>
      <w:bookmarkEnd w:id="2"/>
    </w:p>
    <w:bookmarkEnd w:id="3"/>
    <w:bookmarkEnd w:id="4"/>
    <w:p>
      <w:pPr>
        <w:pStyle w:val="Text1"/>
        <w:rPr>
          <w:noProof/>
        </w:rPr>
      </w:pPr>
      <w:r>
        <w:rPr>
          <w:noProof/>
        </w:rPr>
        <w:t xml:space="preserve">Предварителните данни за изпълнението на бюджета за 2016 г. по линия на Европейския фонд за гарантиране на земеделието (ЕФГЗ) са представени в приложението, като разходите възлизат на 43 899,1 млн. евро. В тази сума се включват главно разходите по линия на ЕФГЗ при споделено управление, декларирани от държавите членки между 16 октомври 2015 г. и 15 октомври 2016 г., както и намаляванията на месечните плащания по възстановяване на направените разходи, наложени в течение на бюджетната година. В нея освен това е включен и разчет на преките разходи — в размер на около 10,9 млн. евро, които се предвижда да бъдат направени до 31 декември 2016 г. </w:t>
      </w:r>
    </w:p>
    <w:p>
      <w:pPr>
        <w:pStyle w:val="Heading1"/>
        <w:rPr>
          <w:noProof/>
        </w:rPr>
      </w:pPr>
      <w:bookmarkStart w:id="6" w:name="_Toc468777777"/>
      <w:r>
        <w:rPr>
          <w:noProof/>
        </w:rPr>
        <w:t>Целеви приходи, предназначени за ЕФГЗ</w:t>
      </w:r>
      <w:bookmarkEnd w:id="5"/>
      <w:bookmarkEnd w:id="6"/>
    </w:p>
    <w:p>
      <w:pPr>
        <w:pStyle w:val="Text1"/>
        <w:rPr>
          <w:noProof/>
        </w:rPr>
      </w:pPr>
      <w:r>
        <w:rPr>
          <w:noProof/>
        </w:rPr>
        <w:t>Въз основа на разпоредбите на член 43 от Регламент (ЕС) № 1306/2013</w:t>
      </w:r>
      <w:r>
        <w:rPr>
          <w:rStyle w:val="FootnoteReference"/>
          <w:noProof/>
        </w:rPr>
        <w:footnoteReference w:id="1"/>
      </w:r>
      <w:r>
        <w:rPr>
          <w:noProof/>
        </w:rPr>
        <w:t xml:space="preserve"> приходите, получени от финансови корекции по силата на решения за счетоводно уравняване и за уравняване по съответствие, от възстановявания вследствие на нередности, както и от налога в сектора на млякото, се считат за целеви приходи, предназначени за финансиране на разходите по линия на ЕФГЗ. В съответствие с посочените разпоредби целевите приходи могат да се използват за финансиране на всички разходи по линия на ЕФГЗ. В случай че част от тези приходи не е усвоена в рамките на бюджетната година, тя автоматично се пренася към следващата бюджетна година</w:t>
      </w:r>
      <w:r>
        <w:rPr>
          <w:rStyle w:val="FootnoteReference"/>
          <w:noProof/>
        </w:rPr>
        <w:footnoteReference w:id="2"/>
      </w:r>
      <w:r>
        <w:rPr>
          <w:noProof/>
        </w:rPr>
        <w:t>. Следва да се отбележи, че поради изтичането на срока на действие на квотите за мляко на 31 март 2015 г. бюджетната 2016 г. е последната година, в която се събират приходи от налога в сектора на млякото.</w:t>
      </w:r>
    </w:p>
    <w:p>
      <w:pPr>
        <w:pStyle w:val="Text1"/>
        <w:spacing w:after="0"/>
        <w:ind w:left="851"/>
        <w:rPr>
          <w:noProof/>
        </w:rPr>
      </w:pPr>
      <w:r>
        <w:rPr>
          <w:noProof/>
        </w:rPr>
        <w:t xml:space="preserve">Бюджетът на ЕФГЗ за 2016 г. включва не само най-актуалните прогнози на Комисията относно нуждите от финансиране на очакваните разходи в областта на пазарните мерки и директните плащания, но също така и прогнозите относно целевите приходи, които според очакванията е трябвало да бъдат събрани през съответната бюджетна година, и пренесените суми от целевите приходи, останали неизползвани от предходната бюджетна година. В предложението си относно бюджетните кредити за ЕФГЗ за 2016 г. Комисията взе предвид общия размер на очакваните целеви приходи и поиска в бюджета за 2016 г. да бъдат включени кредити, изчислени чрез приспадане на прогнозните целеви приходи от прогнозните нужди. Бюджетният орган прие бюджета на ЕФГЗ, като взе предвид очакваните целеви приходи. </w:t>
      </w:r>
    </w:p>
    <w:p>
      <w:pPr>
        <w:pStyle w:val="Text1"/>
        <w:rPr>
          <w:noProof/>
        </w:rPr>
      </w:pPr>
      <w:r>
        <w:rPr>
          <w:noProof/>
        </w:rPr>
        <w:t xml:space="preserve">Според прогнозните изчисления на Комисията наличните целеви приходи към момента на изготвянето на бюджета за 2016 г. бяха 2980 млн. евро. По-конкретно: </w:t>
      </w:r>
    </w:p>
    <w:p>
      <w:pPr>
        <w:pStyle w:val="Tiret1"/>
        <w:ind w:left="1418"/>
        <w:rPr>
          <w:noProof/>
        </w:rPr>
      </w:pPr>
      <w:r>
        <w:rPr>
          <w:noProof/>
        </w:rPr>
        <w:t>целевите приходи, които се очакваше да бъдат генерирани в течение на бюджетната 2016 г., се оценяваха на 2090 млн. евро. От финансови корекции във връзка с уравняването по съответствие и от възстановявания вследствие на нередности се очакваха съответно 1125 млн. евро и 155 млн. евро. Прогнозираните приходи от налога в сектора на млякото се изчисляваха на 810 млн. евро,</w:t>
      </w:r>
    </w:p>
    <w:p>
      <w:pPr>
        <w:pStyle w:val="Tiret1"/>
        <w:ind w:left="1418"/>
        <w:rPr>
          <w:noProof/>
        </w:rPr>
      </w:pPr>
      <w:r>
        <w:rPr>
          <w:noProof/>
        </w:rPr>
        <w:t>сумата на целевите приходи, която се очакваше да бъде пренесена от бюджетната 2015 г. към бюджетната 2016 г., се изчисляваше на 890 млн. евро.</w:t>
      </w:r>
    </w:p>
    <w:p>
      <w:pPr>
        <w:pStyle w:val="Text1"/>
        <w:rPr>
          <w:noProof/>
        </w:rPr>
      </w:pPr>
      <w:r>
        <w:rPr>
          <w:noProof/>
        </w:rPr>
        <w:t xml:space="preserve">В бюджета за 2016 г. Комисията разпредели тези първоначално прогнозирани целеви приходи от 2980 млн. евро по следните схеми: </w:t>
      </w:r>
    </w:p>
    <w:p>
      <w:pPr>
        <w:pStyle w:val="Tiret1"/>
        <w:rPr>
          <w:noProof/>
        </w:rPr>
      </w:pPr>
      <w:r>
        <w:rPr>
          <w:noProof/>
        </w:rPr>
        <w:t>600 млн. евро бяха разпределени за оперативните фондове на организациите на производители в сектора на плодовете и зеленчуците, а</w:t>
      </w:r>
    </w:p>
    <w:p>
      <w:pPr>
        <w:pStyle w:val="Tiret1"/>
        <w:rPr>
          <w:noProof/>
        </w:rPr>
      </w:pPr>
      <w:r>
        <w:rPr>
          <w:noProof/>
        </w:rPr>
        <w:t xml:space="preserve">2380 млн. евро — за схемата за основно плащане. </w:t>
      </w:r>
    </w:p>
    <w:p>
      <w:pPr>
        <w:pStyle w:val="Text1"/>
        <w:rPr>
          <w:noProof/>
        </w:rPr>
      </w:pPr>
      <w:r>
        <w:rPr>
          <w:noProof/>
        </w:rPr>
        <w:t>За тези схеми бюджетният орган в крайна сметка одобри бюджетни кредити съгласно предложението на Комисията. Сумата на одобрените бюджетни кредити и на гореспоменатите целеви приходи съответства на:</w:t>
      </w:r>
    </w:p>
    <w:p>
      <w:pPr>
        <w:pStyle w:val="Tiret1"/>
        <w:rPr>
          <w:noProof/>
        </w:rPr>
      </w:pPr>
      <w:r>
        <w:rPr>
          <w:noProof/>
        </w:rPr>
        <w:t xml:space="preserve">898 млн. евро — за оперативните фондове на организациите на производители в сектора на плодовете и зеленчуците, </w:t>
      </w:r>
    </w:p>
    <w:p>
      <w:pPr>
        <w:pStyle w:val="Tiret1"/>
        <w:rPr>
          <w:noProof/>
        </w:rPr>
      </w:pPr>
      <w:r>
        <w:rPr>
          <w:noProof/>
        </w:rPr>
        <w:t>18 307 млн. евро — за схемата за основно плащане.</w:t>
      </w:r>
    </w:p>
    <w:p>
      <w:pPr>
        <w:pStyle w:val="Text1"/>
        <w:rPr>
          <w:noProof/>
        </w:rPr>
      </w:pPr>
      <w:r>
        <w:rPr>
          <w:noProof/>
        </w:rPr>
        <w:t xml:space="preserve">В приложението, в което се съдържат предварителните данни за изпълнението на бюджета за 2016 г. за периода до 15 октомври 2016 г., гореспоменатите целеви приходи не са взети предвид в данните за бюджетните кредити по статиите за плодовете и зеленчуците и за отделените от производството директни плащания. Данните представляват одобрените бюджетни кредити по тези статии, възлизащи съответно на 611,8 млн. евро и 34 269,2 млн. евро. С включването на разпределените за тези статии целеви приходи общите суми, предвидени в бюджета за 2016 г., са 1211,8 млн. евро за сектора на плодовете и зеленчуците и 36 649,2 млн. евро за отделените от производството директни плащания. </w:t>
      </w:r>
    </w:p>
    <w:p>
      <w:pPr>
        <w:pStyle w:val="Heading1"/>
        <w:rPr>
          <w:noProof/>
        </w:rPr>
      </w:pPr>
      <w:bookmarkStart w:id="7" w:name="_Toc244054015"/>
      <w:bookmarkStart w:id="8" w:name="_Toc468777778"/>
      <w:r>
        <w:rPr>
          <w:noProof/>
        </w:rPr>
        <w:t>Коментар относно предварителните данни за изпълнението на бюджета на ЕФГЗ за 2016 г.</w:t>
      </w:r>
      <w:bookmarkEnd w:id="7"/>
      <w:bookmarkEnd w:id="8"/>
    </w:p>
    <w:p>
      <w:pPr>
        <w:pStyle w:val="Text1"/>
        <w:rPr>
          <w:noProof/>
        </w:rPr>
      </w:pPr>
      <w:bookmarkStart w:id="9" w:name="_Toc244054016"/>
      <w:r>
        <w:rPr>
          <w:noProof/>
        </w:rPr>
        <w:t>Предварителните данни за изпълнението на бюджета за периода от 16 октомври 2015 г. до 15 октомври 2016 г. са представени в приложението. По-долу следва кратък коментар по някои бюджетни статии, по които се наблюдават най-значителните отклонения между действително направените разходи и съответните бюджетни кредити, предвидени в бюджета за 2016 г.</w:t>
      </w:r>
    </w:p>
    <w:p>
      <w:pPr>
        <w:pStyle w:val="Heading2"/>
        <w:rPr>
          <w:noProof/>
        </w:rPr>
      </w:pPr>
      <w:bookmarkStart w:id="10" w:name="_Toc440274044"/>
      <w:bookmarkStart w:id="11" w:name="_Toc468777779"/>
      <w:r>
        <w:rPr>
          <w:noProof/>
        </w:rPr>
        <w:t>Пазарни мерки</w:t>
      </w:r>
      <w:bookmarkEnd w:id="9"/>
      <w:bookmarkEnd w:id="10"/>
      <w:bookmarkEnd w:id="11"/>
    </w:p>
    <w:p>
      <w:pPr>
        <w:pStyle w:val="Text1"/>
        <w:rPr>
          <w:noProof/>
        </w:rPr>
      </w:pPr>
      <w:r>
        <w:rPr>
          <w:noProof/>
        </w:rPr>
        <w:t>От таблицата в приложението е видно преизпълнение в размер на 483,2 млн. евро. Като се вземат предвид обаче целевите приходи, се получава неизпълнение в размер на 116,8 млн. евро (за повече информация вж. точка 2 по-горе), което представлява нетен ефект от тенденциите в изпълнението на бюджета — преди всичко в секторите на виното, на плодовете и зеленчуците и на животинските продукти.</w:t>
      </w:r>
    </w:p>
    <w:p>
      <w:pPr>
        <w:pStyle w:val="Heading3"/>
        <w:rPr>
          <w:noProof/>
        </w:rPr>
      </w:pPr>
      <w:bookmarkStart w:id="12" w:name="_Toc440274047"/>
      <w:bookmarkStart w:id="13" w:name="_Toc468777780"/>
      <w:r>
        <w:rPr>
          <w:noProof/>
        </w:rPr>
        <w:t>Плодове и зеленчуци (+ 560,9 млн. евро в сравнение с одобрените бюджетни кредити)</w:t>
      </w:r>
      <w:bookmarkEnd w:id="12"/>
      <w:bookmarkEnd w:id="13"/>
    </w:p>
    <w:p>
      <w:pPr>
        <w:pStyle w:val="Text1"/>
        <w:rPr>
          <w:noProof/>
        </w:rPr>
      </w:pPr>
      <w:r>
        <w:rPr>
          <w:noProof/>
        </w:rPr>
        <w:t>Както беше посочено по-горе, тази степен на изпълнение се дължи предимно на разходите за оперативните фондове по схемата за организациите на производители, които се финансират както от одобрените бюджетни кредити, така и от целевите приходи.</w:t>
      </w:r>
    </w:p>
    <w:p>
      <w:pPr>
        <w:pStyle w:val="Text1"/>
        <w:rPr>
          <w:noProof/>
        </w:rPr>
      </w:pPr>
      <w:r>
        <w:rPr>
          <w:noProof/>
        </w:rPr>
        <w:t xml:space="preserve">В бележка под линия * към таблицата с предварителните данни за изпълнението в приложението е показано какво би било положението, ако показателят беше приложен към общия размер на бюджетните кредити по тази статия, включително целевите приходи в размер на 600 млн. евро. Ако показателят беше приложен към общия размер на очакваните налични средства по тази статия (1211,8 млн. евро), би било отчетено неизпълнение в размер на - 39,1 млн. евро. </w:t>
      </w:r>
    </w:p>
    <w:p>
      <w:pPr>
        <w:pStyle w:val="Text1"/>
        <w:rPr>
          <w:noProof/>
        </w:rPr>
      </w:pPr>
      <w:r>
        <w:rPr>
          <w:noProof/>
        </w:rPr>
        <w:t>Това неизпълнение се отнася за схемата за предлагане на плодове в училищата и за помощите за предварително признати групи производители.</w:t>
      </w:r>
    </w:p>
    <w:p>
      <w:pPr>
        <w:pStyle w:val="Heading3"/>
        <w:rPr>
          <w:noProof/>
        </w:rPr>
      </w:pPr>
      <w:bookmarkStart w:id="14" w:name="_Toc440274048"/>
      <w:bookmarkStart w:id="15" w:name="_Toc468777781"/>
      <w:r>
        <w:rPr>
          <w:noProof/>
        </w:rPr>
        <w:t>Продукти от лозаро-винарския сектор (- 46,6 млн. евро)</w:t>
      </w:r>
      <w:bookmarkEnd w:id="14"/>
      <w:bookmarkEnd w:id="15"/>
    </w:p>
    <w:p>
      <w:pPr>
        <w:pStyle w:val="Text1"/>
        <w:tabs>
          <w:tab w:val="left" w:pos="851"/>
        </w:tabs>
        <w:rPr>
          <w:noProof/>
        </w:rPr>
      </w:pPr>
      <w:r>
        <w:rPr>
          <w:noProof/>
        </w:rPr>
        <w:t xml:space="preserve">Това неизпълнение се дължи на по-ниските разходи, направени през 2016 г. от някои държави членки, в сравнение със сумите, предвидени в програмите на държавите членки в лозаро-винарския сектор.  </w:t>
      </w:r>
    </w:p>
    <w:p>
      <w:pPr>
        <w:pStyle w:val="Heading3"/>
        <w:rPr>
          <w:noProof/>
        </w:rPr>
      </w:pPr>
      <w:bookmarkStart w:id="16" w:name="_Toc440274051"/>
      <w:bookmarkStart w:id="17" w:name="_Toc468777782"/>
      <w:r>
        <w:rPr>
          <w:noProof/>
        </w:rPr>
        <w:t>Мляко и млечни продукти (- 130,5 млн. евро)</w:t>
      </w:r>
      <w:bookmarkEnd w:id="16"/>
      <w:bookmarkEnd w:id="17"/>
    </w:p>
    <w:p>
      <w:pPr>
        <w:pStyle w:val="Heading2"/>
        <w:keepNext w:val="0"/>
        <w:numPr>
          <w:ilvl w:val="0"/>
          <w:numId w:val="0"/>
        </w:numPr>
        <w:ind w:left="851"/>
        <w:rPr>
          <w:b w:val="0"/>
          <w:noProof/>
        </w:rPr>
      </w:pPr>
      <w:bookmarkStart w:id="18" w:name="_Toc468777783"/>
      <w:r>
        <w:rPr>
          <w:b w:val="0"/>
          <w:noProof/>
        </w:rPr>
        <w:t>Неизпълнението в размер на 130,5 млн. евро се дължи основно на съчетаните последици от по-слабото усвояване по схемата за предлагане на мляко в училищата и по схемите за складиране. Що се отнася до извънредната схема за целева помощ за земеделските стопани в секторите на животновъдството, цялата сума в размер на 420 млн. евро бюджетни кредити за тази схема беше вписана в бюджетна позиция 05 02 12 99 – Други мерки (мляко и млечни продукти), независимо от факта, че държавите членки имаха възможността да я използват за всички сектори на животновъдството. Този подход бе възприет, тъй като в момента на изготвянето на бюджета не бе налична предварителна информация относно планираното усвояване в различните сектори на животновъдството.</w:t>
      </w:r>
      <w:bookmarkEnd w:id="18"/>
    </w:p>
    <w:p>
      <w:pPr>
        <w:pStyle w:val="Heading2"/>
        <w:keepNext w:val="0"/>
        <w:numPr>
          <w:ilvl w:val="0"/>
          <w:numId w:val="0"/>
        </w:numPr>
        <w:ind w:left="851"/>
        <w:rPr>
          <w:b w:val="0"/>
          <w:noProof/>
        </w:rPr>
      </w:pPr>
      <w:bookmarkStart w:id="19" w:name="_Toc468777784"/>
      <w:r>
        <w:rPr>
          <w:b w:val="0"/>
          <w:noProof/>
        </w:rPr>
        <w:t>Държавите членки декларираха разходи в размер на 324 млн. евро за тази схема от помощи по линия на сектора на млякото, докато са използвали част от тази помощ за земеделски стопани в други сектори на животновъдството. По този начин усвоените бюджетни кредити по тази статия са по-малко с размера на бюджетните трансфери, които трябваше да бъдат направени с цел покриване на разходите, декларирани в другите сектори на животновъдството, т.е. за говеждо и телешко месо — 29,6 млн. евро, за овче и козе месо — 1,8 млн. евро, и за свинско месо — 74,9 млн. евро.</w:t>
      </w:r>
      <w:bookmarkEnd w:id="19"/>
    </w:p>
    <w:p>
      <w:pPr>
        <w:pStyle w:val="Heading2"/>
        <w:keepNext w:val="0"/>
        <w:numPr>
          <w:ilvl w:val="0"/>
          <w:numId w:val="0"/>
        </w:numPr>
        <w:ind w:left="851"/>
        <w:rPr>
          <w:b w:val="0"/>
          <w:bCs w:val="0"/>
          <w:iCs w:val="0"/>
          <w:noProof/>
          <w:szCs w:val="24"/>
        </w:rPr>
      </w:pPr>
      <w:bookmarkStart w:id="20" w:name="_Toc468777785"/>
      <w:r>
        <w:rPr>
          <w:b w:val="0"/>
          <w:noProof/>
        </w:rPr>
        <w:t>Що се отнася до общата сума на изпълнението на целевата помощ, наличните бюджетни кредити (разходи в размер на 414,6 млн. евро или 98,7 % от общите средства в размер на 420 млн. евро) бяха почти изцяло изразходвани преди 30 юни 2016 г., когато изтече крайният срок за допустимост.</w:t>
      </w:r>
      <w:bookmarkEnd w:id="20"/>
      <w:r>
        <w:rPr>
          <w:b w:val="0"/>
          <w:noProof/>
        </w:rPr>
        <w:t xml:space="preserve"> </w:t>
      </w:r>
    </w:p>
    <w:p>
      <w:pPr>
        <w:pStyle w:val="Text1"/>
        <w:rPr>
          <w:noProof/>
        </w:rPr>
      </w:pPr>
    </w:p>
    <w:p>
      <w:pPr>
        <w:pStyle w:val="Heading3"/>
        <w:rPr>
          <w:noProof/>
        </w:rPr>
      </w:pPr>
      <w:bookmarkStart w:id="21" w:name="_Toc468777786"/>
      <w:r>
        <w:rPr>
          <w:noProof/>
        </w:rPr>
        <w:t>Говеждо и телешко месо (+ 30,1 млн. евро), овце и кози (+ 1,8 млн. евро) и свинско месо, яйца и птиче месо (+ 76,6 млн. евро)</w:t>
      </w:r>
      <w:bookmarkEnd w:id="21"/>
      <w:r>
        <w:rPr>
          <w:noProof/>
        </w:rPr>
        <w:t xml:space="preserve"> </w:t>
      </w:r>
    </w:p>
    <w:p>
      <w:pPr>
        <w:pStyle w:val="Heading2"/>
        <w:keepNext w:val="0"/>
        <w:numPr>
          <w:ilvl w:val="0"/>
          <w:numId w:val="0"/>
        </w:numPr>
        <w:ind w:left="851"/>
        <w:rPr>
          <w:b w:val="0"/>
          <w:bCs w:val="0"/>
          <w:iCs w:val="0"/>
          <w:noProof/>
          <w:szCs w:val="24"/>
        </w:rPr>
      </w:pPr>
      <w:bookmarkStart w:id="22" w:name="_Toc468777787"/>
      <w:r>
        <w:rPr>
          <w:b w:val="0"/>
          <w:noProof/>
        </w:rPr>
        <w:t>Преизпълнението по тези статии е огледален образ на по-слабото изпълнение при млякото и млечните продукти в резултат на прилагането на целевата помощ за секторите на животновъдството. Разходите, декларирани за тези сектори, се покриват чрез прехвърляния от наличните за мярката бюджетни кредити по статия 05 02 12.</w:t>
      </w:r>
      <w:bookmarkEnd w:id="22"/>
    </w:p>
    <w:p>
      <w:pPr>
        <w:pStyle w:val="Text1"/>
        <w:rPr>
          <w:noProof/>
        </w:rPr>
      </w:pPr>
    </w:p>
    <w:p>
      <w:pPr>
        <w:pStyle w:val="Heading2"/>
        <w:rPr>
          <w:noProof/>
        </w:rPr>
      </w:pPr>
      <w:bookmarkStart w:id="23" w:name="_Toc244054022"/>
      <w:bookmarkStart w:id="24" w:name="_Toc440274053"/>
      <w:bookmarkStart w:id="25" w:name="_Toc468777788"/>
      <w:r>
        <w:rPr>
          <w:noProof/>
        </w:rPr>
        <w:t xml:space="preserve">Директни </w:t>
      </w:r>
      <w:bookmarkEnd w:id="23"/>
      <w:bookmarkEnd w:id="24"/>
      <w:r>
        <w:rPr>
          <w:noProof/>
        </w:rPr>
        <w:t>плащания</w:t>
      </w:r>
      <w:bookmarkEnd w:id="25"/>
    </w:p>
    <w:p>
      <w:pPr>
        <w:pStyle w:val="Text1"/>
        <w:rPr>
          <w:noProof/>
        </w:rPr>
      </w:pPr>
      <w:bookmarkStart w:id="26" w:name="_Toc244054023"/>
      <w:r>
        <w:rPr>
          <w:noProof/>
        </w:rPr>
        <w:t xml:space="preserve">От таблицата в приложението е видно преизпълнение в размер на 1585,4 млн. евро. Като се вземат предвид обаче целевите приходи, се получава неизпълнение в размер на 794,6 млн. евро </w:t>
      </w:r>
    </w:p>
    <w:p>
      <w:pPr>
        <w:pStyle w:val="Text1"/>
        <w:numPr>
          <w:ilvl w:val="2"/>
          <w:numId w:val="1"/>
        </w:numPr>
        <w:rPr>
          <w:bCs/>
          <w:i/>
          <w:noProof/>
        </w:rPr>
      </w:pPr>
      <w:r>
        <w:rPr>
          <w:i/>
          <w:noProof/>
        </w:rPr>
        <w:t>Отделени от производството преки помощи (+ 935,5 млн. евро в сравнение с одобрените бюджетни кредити)</w:t>
      </w:r>
    </w:p>
    <w:p>
      <w:pPr>
        <w:pStyle w:val="Text1"/>
        <w:rPr>
          <w:noProof/>
        </w:rPr>
      </w:pPr>
      <w:r>
        <w:rPr>
          <w:noProof/>
        </w:rPr>
        <w:t>От таблицата в приложението е видно преизпълнение в размер на 935,5 млн. евро. Сравнено обаче с общите разполагаеми бюджетни кредити в размер на 36 649,2 млн. евро, видни в бележката под линия и включващи разпределените за този сектор целеви приходи, това преизпълнение става неизпълнение в размер на 1444,5 млн. евро  (за повече информация вж. точка 2 по-горе).</w:t>
      </w:r>
    </w:p>
    <w:p>
      <w:pPr>
        <w:pStyle w:val="Text1"/>
        <w:rPr>
          <w:noProof/>
        </w:rPr>
      </w:pPr>
      <w:r>
        <w:rPr>
          <w:noProof/>
        </w:rPr>
        <w:t xml:space="preserve">Схемата за дребни земеделски стопани (СДЗС) обаче, която е по „Други директни плащания“, е финансирана от таваните на всички други схеми, независимо дали са отделени от производството или не. Поради липсата на каквато и да било информация относно евентуалното изпълнение през първата година на прилагане на реформираните директни плащания, договорени в Реформата на ОСП от 2013 г., в бюджета за 2016 г. не беше предвиден бюджет за СДЗС. Поради това за СДЗС беше декларирана сума в размер на 874 млн. евро по „Други директни плащания“, но тя беше финансирана от бюджетните средства, отпуснати за отделените от производството директни плащания. </w:t>
      </w:r>
    </w:p>
    <w:p>
      <w:pPr>
        <w:pStyle w:val="Text1"/>
        <w:rPr>
          <w:noProof/>
        </w:rPr>
      </w:pPr>
      <w:r>
        <w:rPr>
          <w:noProof/>
        </w:rPr>
        <w:t>Оставащото неизпълнение в размер на 570 млн. евро е свързано основно със схемата за основно плащане (СОП), с плащането за земеделски практики, които са благоприятни за климата и околната среда, и с плащането за млади земеделски стопани.</w:t>
      </w:r>
    </w:p>
    <w:p>
      <w:pPr>
        <w:pStyle w:val="Text1"/>
        <w:rPr>
          <w:noProof/>
        </w:rPr>
      </w:pPr>
    </w:p>
    <w:p>
      <w:pPr>
        <w:pStyle w:val="Heading3"/>
        <w:rPr>
          <w:noProof/>
        </w:rPr>
      </w:pPr>
      <w:bookmarkStart w:id="27" w:name="_Toc468777789"/>
      <w:r>
        <w:rPr>
          <w:noProof/>
        </w:rPr>
        <w:t>Други директни плащания (+ 650,1 млн. евро в сравнение с одобрените бюджетни кредити)</w:t>
      </w:r>
      <w:bookmarkEnd w:id="27"/>
    </w:p>
    <w:p>
      <w:pPr>
        <w:pStyle w:val="Text1"/>
        <w:rPr>
          <w:noProof/>
        </w:rPr>
      </w:pPr>
      <w:r>
        <w:rPr>
          <w:noProof/>
        </w:rPr>
        <w:t>Както е обяснено във връзка с отделените от производството директни плащания, СДЗС е финансирана от различни други схеми. Като се изключи този ефект, налице е неизпълнение в размер на 224 млн. евро, което почти изцяло може да са отдаде на доброволното обвързано с производството подпомагане.</w:t>
      </w:r>
    </w:p>
    <w:p>
      <w:pPr>
        <w:pStyle w:val="Text1"/>
        <w:rPr>
          <w:noProof/>
        </w:rPr>
      </w:pPr>
    </w:p>
    <w:p>
      <w:pPr>
        <w:pStyle w:val="Heading2"/>
        <w:rPr>
          <w:noProof/>
        </w:rPr>
      </w:pPr>
      <w:bookmarkStart w:id="28" w:name="_Toc440274054"/>
      <w:bookmarkStart w:id="29" w:name="_Toc468777790"/>
      <w:bookmarkStart w:id="30" w:name="_Toc244054027"/>
      <w:bookmarkEnd w:id="26"/>
      <w:r>
        <w:rPr>
          <w:noProof/>
        </w:rPr>
        <w:t>Одит на разходите за земеделие (+ 52,4 млн. евро)</w:t>
      </w:r>
      <w:bookmarkEnd w:id="28"/>
      <w:bookmarkEnd w:id="29"/>
    </w:p>
    <w:p>
      <w:pPr>
        <w:pStyle w:val="Text1"/>
        <w:rPr>
          <w:noProof/>
        </w:rPr>
      </w:pPr>
      <w:r>
        <w:rPr>
          <w:noProof/>
        </w:rPr>
        <w:t xml:space="preserve">Преизпълнението по тази глава се дължи на по-големите от очакваните корекции за счетоводно уравняване и уравняване с оглед на съответствието в полза на държавите членки, както и на по-големите плащания, отнасящи се до уреждането на спорове. </w:t>
      </w:r>
    </w:p>
    <w:p>
      <w:pPr>
        <w:pStyle w:val="Heading1"/>
        <w:rPr>
          <w:noProof/>
        </w:rPr>
      </w:pPr>
      <w:bookmarkStart w:id="31" w:name="_Toc468777791"/>
      <w:r>
        <w:rPr>
          <w:noProof/>
        </w:rPr>
        <w:t>Изпълнение на целевите приходи, предназначени за ЕФГЗ</w:t>
      </w:r>
      <w:bookmarkEnd w:id="30"/>
      <w:bookmarkEnd w:id="31"/>
    </w:p>
    <w:p>
      <w:pPr>
        <w:pStyle w:val="Text1"/>
        <w:rPr>
          <w:noProof/>
        </w:rPr>
      </w:pPr>
      <w:bookmarkStart w:id="32" w:name="_Toc244054028"/>
      <w:r>
        <w:rPr>
          <w:noProof/>
        </w:rPr>
        <w:t>От приложението се вижда, че окончателно наличните за 2016 г. общи целеви приходи възлизат на 3423,5 млн. евро.</w:t>
      </w:r>
    </w:p>
    <w:p>
      <w:pPr>
        <w:pStyle w:val="Text1"/>
        <w:rPr>
          <w:noProof/>
        </w:rPr>
      </w:pPr>
      <w:r>
        <w:rPr>
          <w:noProof/>
        </w:rPr>
        <w:t>Целевите приходи, прогнозирани в бюджета за 2016 г., възлизаха на 2980 млн. евро, 890 млн. от които бяха пренесени от 2015 г., 1125 млн. евро се очакваха от уравняване на сметките на ЕФГЗ, 155 млн. евро — от възстановявания вследствие на нередности, а 810 млн. евро — от позиция „Допълнителен налог от производителите на мляко“.</w:t>
      </w:r>
    </w:p>
    <w:p>
      <w:pPr>
        <w:spacing w:after="0" w:line="240" w:lineRule="auto"/>
        <w:ind w:left="851"/>
        <w:jc w:val="both"/>
        <w:rPr>
          <w:rFonts w:ascii="Times New Roman" w:eastAsia="Times New Roman" w:hAnsi="Times New Roman"/>
          <w:noProof/>
          <w:sz w:val="24"/>
          <w:szCs w:val="24"/>
        </w:rPr>
      </w:pPr>
      <w:r>
        <w:rPr>
          <w:rFonts w:ascii="Times New Roman" w:hAnsi="Times New Roman"/>
          <w:noProof/>
          <w:sz w:val="24"/>
        </w:rPr>
        <w:t>Макар действителните приходи от допълнителния налог да бяха сходни на очакваните, приходите от възстановявания вследствие на нередности са с 37 млн. евро по-малко, а тези от уравняването на сметките — с 469 млн. евро повече.</w:t>
      </w:r>
    </w:p>
    <w:p>
      <w:pPr>
        <w:pStyle w:val="Text1"/>
        <w:rPr>
          <w:noProof/>
        </w:rPr>
      </w:pPr>
      <w:r>
        <w:rPr>
          <w:noProof/>
        </w:rPr>
        <w:t>Тези разлики при уравняването на сметките и възстановяванията вследствие на нередности вече бяха забелязани към юни и бяха взети предвид при изготвянето на писмото за внасяне на корекции в проектобюджета за 2017 г. Остатъкът от неизползваните през 2016 г. целеви приходи ще бъде пренесен в бюджета за 2017 г. и ще бъде използван за финансиране на разходите по линия на ЕФГЗ, декларирани от държавите членки през посочената година.</w:t>
      </w:r>
    </w:p>
    <w:p>
      <w:pPr>
        <w:pStyle w:val="Heading1"/>
        <w:rPr>
          <w:noProof/>
        </w:rPr>
      </w:pPr>
      <w:bookmarkStart w:id="33" w:name="_Toc244054030"/>
      <w:bookmarkStart w:id="34" w:name="_Toc468777792"/>
      <w:bookmarkEnd w:id="32"/>
      <w:r>
        <w:rPr>
          <w:noProof/>
        </w:rPr>
        <w:t>Заключения</w:t>
      </w:r>
      <w:bookmarkEnd w:id="33"/>
      <w:bookmarkEnd w:id="34"/>
    </w:p>
    <w:p>
      <w:pPr>
        <w:pStyle w:val="Text1"/>
        <w:rPr>
          <w:noProof/>
        </w:rPr>
      </w:pPr>
      <w:r>
        <w:rPr>
          <w:noProof/>
        </w:rPr>
        <w:t xml:space="preserve">Предварителните данни за изпълнението на бюджета на ЕФГЗ за 2016 г., включително разчетите за преките разходи до 31 декември 2016 г., показват преизпълнение на предвидените бюджетни кредити с 2120,4 млн. евро, в сравнение с одобрените в бюджета кредити. Това преизпълнение е покрито от наличните целеви приходи в размер на 3423,5 млн. евро. Освен това резервът за криза не бе мобилизиран през 2016 г., като по този начин сумата от 441,6 млн. евро неизползвани бюджетни кредити остава в бюджета за 2016 г. </w:t>
      </w:r>
    </w:p>
    <w:p>
      <w:pPr>
        <w:pStyle w:val="Text1"/>
        <w:rPr>
          <w:noProof/>
        </w:rPr>
      </w:pPr>
      <w:r>
        <w:rPr>
          <w:noProof/>
        </w:rPr>
        <w:t>В съответствие с член 26, параграф 6 от Регламент (ЕС) № 1306/2013</w:t>
      </w:r>
      <w:r>
        <w:rPr>
          <w:rStyle w:val="FootnoteReference"/>
          <w:noProof/>
        </w:rPr>
        <w:footnoteReference w:id="3"/>
      </w:r>
      <w:r>
        <w:rPr>
          <w:noProof/>
        </w:rPr>
        <w:t xml:space="preserve"> Комисията приема регламент, с който се определят сумите, които ще бъдат възстановени през 2017 г. на бенефициерите на директни плащания, обхванати от механизма за финансова дисциплина през тази финансова година. Сумата от 435 млн. евро бюджетни кредити, за които няма поети задължения, съответстваща на сумата, приспадната от директните плащания във връзка с финансовата дисциплина в държавите членки през 2016 г., следва да се пренесе към финансовата 2017 година и да се използва за възстановяване на свързаните с това разходи на държавите членки. </w:t>
      </w:r>
    </w:p>
    <w:p>
      <w:pPr>
        <w:pStyle w:val="Text1"/>
        <w:rPr>
          <w:noProof/>
        </w:rPr>
      </w:pPr>
      <w:r>
        <w:rPr>
          <w:noProof/>
        </w:rPr>
        <w:t>За приключване на годината все още предстоят редица корекции и прехвърляния на бюджетни кредити. Като се вземат предвид тези корекции, както и горепосочените нужди от финансиране на бюджета за 2016 г., се очаква остатъкът от целевите приходи за пренасяне да възлезе на около 1,3 млн. евро и да бъде включен в бюджета за 2017 г.</w:t>
      </w:r>
    </w:p>
    <w:sectPr>
      <w:headerReference w:type="even" r:id="rId22"/>
      <w:headerReference w:type="default" r:id="rId23"/>
      <w:footerReference w:type="even" r:id="rId24"/>
      <w:footerReference w:type="default" r:id="rId25"/>
      <w:headerReference w:type="first" r:id="rId26"/>
      <w:footerReference w:type="first" r:id="rId27"/>
      <w:pgSz w:w="11906" w:h="16838"/>
      <w:pgMar w:top="1418" w:right="1346" w:bottom="1418"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8</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jc w:val="both"/>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w:t>
      </w:r>
    </w:p>
  </w:footnote>
  <w:footnote w:id="2">
    <w:p>
      <w:pPr>
        <w:pStyle w:val="FootnoteText"/>
        <w:spacing w:after="60"/>
        <w:ind w:left="851" w:hanging="851"/>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В член 14 от Регламент (ЕС, Евратом) № 966/2012 на Европейския парламент и на Съвета относно финансовите правила, приложими за общия бюджет на Съюза, се определя, че вътрешните целеви приходи се пренасят само за една година. Поради това, в интерес на доброто бюджетно управление, тези целеви приходи по принцип се използват преди всички одобрени бюджетни кредити по съответната бюджетна статия. </w:t>
      </w:r>
    </w:p>
  </w:footnote>
  <w:footnote w:id="3">
    <w:p>
      <w:pPr>
        <w:pStyle w:val="FootnoteText"/>
        <w:ind w:left="720" w:hanging="720"/>
        <w:jc w:val="both"/>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3">
    <w:nsid w:val="64A12FA4"/>
    <w:multiLevelType w:val="multilevel"/>
    <w:tmpl w:val="9D5EC39C"/>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i w:val="0"/>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5">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3"/>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3"/>
  </w:num>
  <w:num w:numId="9">
    <w:abstractNumId w:val="3"/>
  </w:num>
  <w:num w:numId="10">
    <w:abstractNumId w:val="3"/>
  </w:num>
  <w:num w:numId="11">
    <w:abstractNumId w:val="3"/>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6CD832593A9747CCA864E85451B2A3AB"/>
    <w:docVar w:name="LW_CROSSREFERENCE" w:val="&lt;UNUSED&gt;"/>
    <w:docVar w:name="LW_DocType" w:val="NORMAL"/>
    <w:docVar w:name="LW_EMISSION" w:val="8.12.2016"/>
    <w:docVar w:name="LW_EMISSION_ISODATE" w:val="2016-12-08"/>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807"/>
    <w:docVar w:name="LW_REF.INTERNE" w:val="&lt;UNUSED&gt;"/>
    <w:docVar w:name="LW_SOUS.TITRE.OBJ.CP" w:val="&lt;UNUSED&gt;"/>
    <w:docVar w:name="LW_SUPERTITRE" w:val="&lt;UNUSED&gt;"/>
    <w:docVar w:name="LW_TITRE.OBJ.CP" w:val="\u1086?\u1090?\u1085?\u1086?\u1089?\u1085?\u1086? \u1088?\u1072?\u1079?\u1093?\u1086?\u1076?\u1080?\u1090?\u1077? \u1087?\u1086? \u1083?\u1080?\u1085?\u1080?\u1103? \u1085?\u1072? \u1045?\u1060?\u1043?\u1047?_x000b__x000b_\u1057?\u1080?\u1089?\u1090?\u1077?\u1084?\u1072? \u1079?\u1072? \u1088?\u1072?\u1085?\u1085?\u1086? \u1087?\u1088?\u1077?\u1076?\u1091?\u1087?\u1088?\u1077?\u1078?\u1076?\u1077?\u1085?\u1080?\u1077? \u8470? 11-12/2016"/>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bg-BG"/>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semiHidden/>
    <w:rPr>
      <w:rFonts w:ascii="Times New Roman" w:eastAsia="Times New Roman" w:hAnsi="Times New Roman"/>
      <w:bCs/>
      <w:sz w:val="24"/>
      <w:szCs w:val="28"/>
      <w:lang w:eastAsia="bg-BG"/>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bg-BG"/>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rPr>
  </w:style>
  <w:style w:type="character" w:customStyle="1" w:styleId="ClosingChar">
    <w:name w:val="Closing Char"/>
    <w:link w:val="Closing"/>
    <w:rPr>
      <w:rFonts w:ascii="Times New Roman" w:eastAsia="Times New Roman" w:hAnsi="Times New Roman"/>
      <w:sz w:val="24"/>
      <w:lang w:val="bg-BG" w:eastAsia="bg-BG"/>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50099">
      <w:bodyDiv w:val="1"/>
      <w:marLeft w:val="0"/>
      <w:marRight w:val="0"/>
      <w:marTop w:val="0"/>
      <w:marBottom w:val="0"/>
      <w:divBdr>
        <w:top w:val="none" w:sz="0" w:space="0" w:color="auto"/>
        <w:left w:val="none" w:sz="0" w:space="0" w:color="auto"/>
        <w:bottom w:val="none" w:sz="0" w:space="0" w:color="auto"/>
        <w:right w:val="none" w:sz="0" w:space="0" w:color="auto"/>
      </w:divBdr>
    </w:div>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 w:id="21197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8154-F3FB-452A-94A8-B241EF3C0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2172</Words>
  <Characters>11708</Characters>
  <Application>Microsoft Office Word</Application>
  <DocSecurity>0</DocSecurity>
  <Lines>234</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13810</CharactersWithSpaces>
  <SharedDoc>false</SharedDoc>
  <HLinks>
    <vt:vector size="30" baseType="variant">
      <vt:variant>
        <vt:i4>1048627</vt:i4>
      </vt:variant>
      <vt:variant>
        <vt:i4>26</vt:i4>
      </vt:variant>
      <vt:variant>
        <vt:i4>0</vt:i4>
      </vt:variant>
      <vt:variant>
        <vt:i4>5</vt:i4>
      </vt:variant>
      <vt:variant>
        <vt:lpwstr/>
      </vt:variant>
      <vt:variant>
        <vt:lpwstr>_Toc440274056</vt:lpwstr>
      </vt:variant>
      <vt:variant>
        <vt:i4>1048627</vt:i4>
      </vt:variant>
      <vt:variant>
        <vt:i4>20</vt:i4>
      </vt:variant>
      <vt:variant>
        <vt:i4>0</vt:i4>
      </vt:variant>
      <vt:variant>
        <vt:i4>5</vt:i4>
      </vt:variant>
      <vt:variant>
        <vt:lpwstr/>
      </vt:variant>
      <vt:variant>
        <vt:lpwstr>_Toc440274055</vt:lpwstr>
      </vt:variant>
      <vt:variant>
        <vt:i4>1114163</vt:i4>
      </vt:variant>
      <vt:variant>
        <vt:i4>14</vt:i4>
      </vt:variant>
      <vt:variant>
        <vt:i4>0</vt:i4>
      </vt:variant>
      <vt:variant>
        <vt:i4>5</vt:i4>
      </vt:variant>
      <vt:variant>
        <vt:lpwstr/>
      </vt:variant>
      <vt:variant>
        <vt:lpwstr>_Toc440274043</vt:lpwstr>
      </vt:variant>
      <vt:variant>
        <vt:i4>1114163</vt:i4>
      </vt:variant>
      <vt:variant>
        <vt:i4>8</vt:i4>
      </vt:variant>
      <vt:variant>
        <vt:i4>0</vt:i4>
      </vt:variant>
      <vt:variant>
        <vt:i4>5</vt:i4>
      </vt:variant>
      <vt:variant>
        <vt:lpwstr/>
      </vt:variant>
      <vt:variant>
        <vt:lpwstr>_Toc440274042</vt:lpwstr>
      </vt:variant>
      <vt:variant>
        <vt:i4>1114163</vt:i4>
      </vt:variant>
      <vt:variant>
        <vt:i4>2</vt:i4>
      </vt:variant>
      <vt:variant>
        <vt:i4>0</vt:i4>
      </vt:variant>
      <vt:variant>
        <vt:i4>5</vt:i4>
      </vt:variant>
      <vt:variant>
        <vt:lpwstr/>
      </vt:variant>
      <vt:variant>
        <vt:lpwstr>_Toc440274041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2016-11-09T14:51:00Z</cp:lastPrinted>
  <dcterms:created xsi:type="dcterms:W3CDTF">2016-11-25T10:27:00Z</dcterms:created>
  <dcterms:modified xsi:type="dcterms:W3CDTF">2016-12-08T13:25:00Z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