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44570F830BAE41FA9428DF018FD2D715" style="width:450.75pt;height:321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1" w:name="_GoBack"/>
      <w:bookmarkEnd w:id="1"/>
      <w:r>
        <w:rPr>
          <w:noProof/>
        </w:rPr>
        <w:lastRenderedPageBreak/>
        <w:t>СЪОБЩЕНИЕ НА КОМИСИЯТА ДО СЪВЕТА И ЕВРОПЕЙСКИЯ ПАРЛАМЕНТ</w:t>
      </w:r>
    </w:p>
    <w:p>
      <w:pPr>
        <w:pStyle w:val="Titreobjet"/>
        <w:rPr>
          <w:noProof/>
        </w:rPr>
      </w:pPr>
      <w:r>
        <w:rPr>
          <w:noProof/>
        </w:rPr>
        <w:t>Официално обявяване на някои актове от правото на Съюза в областта на околната среда, приети по Директива 91/692/ЕИО на Съвета, за остарели</w:t>
      </w:r>
    </w:p>
    <w:p>
      <w:pPr>
        <w:rPr>
          <w:noProof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1440" w:bottom="1440" w:left="1440" w:header="708" w:footer="708" w:gutter="0"/>
          <w:pgNumType w:start="2"/>
          <w:cols w:space="720"/>
          <w:docGrid w:linePitch="360"/>
        </w:sectPr>
      </w:pPr>
    </w:p>
    <w:p>
      <w:pPr>
        <w:pStyle w:val="Heading1"/>
        <w:rPr>
          <w:noProof/>
        </w:rPr>
      </w:pPr>
      <w:r>
        <w:rPr>
          <w:noProof/>
        </w:rPr>
        <w:t>Въведение</w:t>
      </w:r>
    </w:p>
    <w:p>
      <w:pPr>
        <w:pStyle w:val="Text1"/>
        <w:spacing w:after="0"/>
        <w:ind w:left="0"/>
        <w:rPr>
          <w:noProof/>
        </w:rPr>
      </w:pPr>
      <w:r>
        <w:rPr>
          <w:noProof/>
        </w:rPr>
        <w:t xml:space="preserve">Настоящото съобщение се отнася до отмяната на Директива на Съвета от 23 декември 1991 г. относно стандартизиране и рационализиране на докладите за прилагане на някои директиви, свързани с околната среда („Директива 91/692/ЕИО“). В съобщението се посочват остарелите вече актове на Комисията, свързани с Директива 91/692/ЕИО, които засягат няколко сектора от политиката на ЕС за околната среда, а именно отпадъците, изменението на климата и емисиите на парникови газове, контрола на опасностите от големи аварии и водите. </w:t>
      </w:r>
    </w:p>
    <w:p>
      <w:pPr>
        <w:pStyle w:val="Text1"/>
        <w:spacing w:after="0"/>
        <w:ind w:left="0"/>
        <w:rPr>
          <w:noProof/>
        </w:rPr>
      </w:pPr>
    </w:p>
    <w:p>
      <w:pPr>
        <w:pStyle w:val="Text1"/>
        <w:spacing w:after="0"/>
        <w:ind w:left="0"/>
        <w:rPr>
          <w:noProof/>
        </w:rPr>
      </w:pPr>
      <w:r>
        <w:rPr>
          <w:noProof/>
        </w:rPr>
        <w:t>Отмяната на Директива 91/692/ЕИО беше едно от първите действия, обявени в контекста на проверката за пригодност на мониторинга и докладването в областта на околната среда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. </w:t>
      </w:r>
    </w:p>
    <w:p>
      <w:pPr>
        <w:pStyle w:val="Text1"/>
        <w:spacing w:after="0"/>
        <w:ind w:left="0"/>
        <w:rPr>
          <w:noProof/>
        </w:rPr>
      </w:pPr>
    </w:p>
    <w:p>
      <w:pPr>
        <w:pStyle w:val="Text1"/>
        <w:spacing w:after="0"/>
        <w:ind w:left="0"/>
        <w:rPr>
          <w:noProof/>
        </w:rPr>
      </w:pPr>
      <w:r>
        <w:rPr>
          <w:noProof/>
        </w:rPr>
        <w:t>Резултатите от правния анализ на докладването по Директива 91/692/ЕИО са обобщени в обяснителния меморандум към свързаното с него предложение за решение на Европейския парламент и на Съвета, с което се премахват изискванията за стандартизирано докладване и, като следствие, се изменят няколко акта от законодателството на ЕС</w:t>
      </w:r>
      <w:r>
        <w:rPr>
          <w:rStyle w:val="FootnoteReference"/>
          <w:noProof/>
        </w:rPr>
        <w:footnoteReference w:id="2"/>
      </w:r>
      <w:r>
        <w:rPr>
          <w:noProof/>
        </w:rPr>
        <w:t>.  По-подробен анализ се съдържа също така в подпомагащото проучване, което беше публикувано отделно като информационен документ</w:t>
      </w:r>
      <w:r>
        <w:rPr>
          <w:noProof/>
          <w:vertAlign w:val="superscript"/>
        </w:rPr>
        <w:footnoteReference w:id="3"/>
      </w:r>
      <w:r>
        <w:rPr>
          <w:noProof/>
        </w:rPr>
        <w:t>.</w:t>
      </w:r>
    </w:p>
    <w:p>
      <w:pPr>
        <w:pStyle w:val="Heading1"/>
        <w:rPr>
          <w:noProof/>
        </w:rPr>
      </w:pPr>
      <w:r>
        <w:rPr>
          <w:noProof/>
        </w:rPr>
        <w:t>Предложени действия за отмяна на Директива 91/692/ЕИО</w:t>
      </w:r>
    </w:p>
    <w:p>
      <w:pPr>
        <w:pStyle w:val="Text1"/>
        <w:ind w:left="0"/>
        <w:rPr>
          <w:noProof/>
        </w:rPr>
      </w:pPr>
      <w:r>
        <w:rPr>
          <w:noProof/>
        </w:rPr>
        <w:t>С настоящото съобщение официално се признава, че 11 решения за изпълнение по Директива 91/692/ЕИО, които все още са в сила, са остарели. Съобщението допълва предложеното решение, посочено в точка 1 по-горе, както и две предложения за решения на Комисията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за отмяна на два акта за изпълнение, които вече не намират приложение, но които поради процедурни причини ще бъдат отменени от Комисията чрез по-късна процедура по комитология.  </w:t>
      </w:r>
    </w:p>
    <w:p>
      <w:pPr>
        <w:pStyle w:val="Text1"/>
        <w:ind w:left="0"/>
        <w:rPr>
          <w:noProof/>
        </w:rPr>
      </w:pPr>
      <w:r>
        <w:rPr>
          <w:noProof/>
        </w:rPr>
        <w:t xml:space="preserve">В приложение I са посочени съответните решения за изпълнение на Комисията и причините, поради които всеки един акт се счита за остарял. Всички те вече не намират приложение и са остарели поради това, че периодът, който обхващат, е изтекъл или поради това, че тяхното правно основание повече не е в сила. Актовете са определени въз основа на обективни критерии, които гарантират, че те вече не намират приложение и че всички  задължения по тях са изпълнени. </w:t>
      </w:r>
    </w:p>
    <w:p>
      <w:pPr>
        <w:pStyle w:val="Heading1"/>
        <w:rPr>
          <w:noProof/>
        </w:rPr>
      </w:pPr>
      <w:r>
        <w:rPr>
          <w:noProof/>
        </w:rPr>
        <w:t>Решения, които продължават да бъдат в сила</w:t>
      </w:r>
    </w:p>
    <w:p>
      <w:pPr>
        <w:pStyle w:val="Text1"/>
        <w:ind w:left="0"/>
        <w:rPr>
          <w:noProof/>
        </w:rPr>
      </w:pPr>
      <w:r>
        <w:rPr>
          <w:noProof/>
        </w:rPr>
        <w:t xml:space="preserve">Въпреки предложението за отмяна на Директива 91/692/ЕИО, няколко решения за изпълнение, приети в контекста на тази директива, ще останат в сила. </w:t>
      </w:r>
    </w:p>
    <w:p>
      <w:pPr>
        <w:pStyle w:val="Text1"/>
        <w:ind w:left="0"/>
        <w:rPr>
          <w:noProof/>
        </w:rPr>
      </w:pPr>
      <w:r>
        <w:rPr>
          <w:noProof/>
        </w:rPr>
        <w:t>Решенията, с които се определят въпросници във връзка с Директива 2003/87/ЕО за установяване на схема за търговия с квоти за емисии на парникови газове в рамките на Общността и за изменение на Директива 96/61/ЕО на Съвета, ще продължат да действат и да бъдат актуални. Годишните доклади от държавите членки, изисквани съгласно член 21, параграф 1 от Директива 2003/87/ЕО, са на основата на тези въпросници, осигуряват основна информация относно прилагането на директивата и служат като основа за изготвянето на доклад за целия ЕС. Засегнатите решения са както следва:</w:t>
      </w:r>
    </w:p>
    <w:p>
      <w:pPr>
        <w:pStyle w:val="Text1"/>
        <w:numPr>
          <w:ilvl w:val="0"/>
          <w:numId w:val="2"/>
        </w:numPr>
        <w:rPr>
          <w:noProof/>
        </w:rPr>
      </w:pPr>
      <w:r>
        <w:rPr>
          <w:noProof/>
        </w:rPr>
        <w:t>Решение за изпълнение 2014/166/ЕС на Комисията от 21 март 2014 г. за изменение на Решение 2005/381/ЕО по отношение на въпросника за докладване на прилагането на Директива 2003/87/ЕО на Европейския парламент и на Съвета (нотифицирано под номер C(2014) 1726)</w:t>
      </w:r>
      <w:r>
        <w:rPr>
          <w:noProof/>
        </w:rPr>
        <w:footnoteReference w:id="5"/>
      </w:r>
      <w:r>
        <w:rPr>
          <w:noProof/>
        </w:rPr>
        <w:t>,</w:t>
      </w:r>
    </w:p>
    <w:p>
      <w:pPr>
        <w:pStyle w:val="Text1"/>
        <w:numPr>
          <w:ilvl w:val="0"/>
          <w:numId w:val="2"/>
        </w:numPr>
        <w:rPr>
          <w:noProof/>
        </w:rPr>
      </w:pPr>
      <w:r>
        <w:rPr>
          <w:noProof/>
        </w:rPr>
        <w:t>Решение 2005/381/ЕО на Комисията от 4 май 2005 г. за установяване на въпросник за отчитане прилагането на Директива 2003/87/ЕО на Европейския парламент и на Съвета за установяване на схема за търговия с квоти за емисии на парникови газове в рамките на Общността и за изменение на Директива 96/61/ЕО на Съвета (нотифицирано под номер C(2005) 1359)</w:t>
      </w:r>
      <w:r>
        <w:rPr>
          <w:noProof/>
          <w:vertAlign w:val="superscript"/>
        </w:rPr>
        <w:footnoteReference w:id="6"/>
      </w:r>
      <w:r>
        <w:rPr>
          <w:noProof/>
          <w:vertAlign w:val="superscript"/>
        </w:rPr>
        <w:t xml:space="preserve"> </w:t>
      </w:r>
      <w:r>
        <w:rPr>
          <w:noProof/>
        </w:rPr>
        <w:t xml:space="preserve"> и </w:t>
      </w:r>
    </w:p>
    <w:p>
      <w:pPr>
        <w:pStyle w:val="Text1"/>
        <w:numPr>
          <w:ilvl w:val="0"/>
          <w:numId w:val="2"/>
        </w:numPr>
        <w:rPr>
          <w:noProof/>
        </w:rPr>
      </w:pPr>
      <w:r>
        <w:rPr>
          <w:noProof/>
        </w:rPr>
        <w:t>Решение 2006/803/ЕО на Комисията от 23 ноември 2006 г. за изменение на Решение 2005/381/ЕО за установяване на въпросник за отчитане прилагането на Директива 2003/87/ЕО на Европейския парламент и на Съвета за установяване на схема за търговия с квоти за емисии на парникови газове в рамките на Общността и за изменение на Директива 96/61/ЕО на Съвета (нотифицирано под номер С(2006) 5546)</w:t>
      </w:r>
      <w:r>
        <w:rPr>
          <w:noProof/>
          <w:vertAlign w:val="superscript"/>
        </w:rPr>
        <w:footnoteReference w:id="7"/>
      </w:r>
      <w:r>
        <w:rPr>
          <w:noProof/>
        </w:rPr>
        <w:t>.</w:t>
      </w:r>
    </w:p>
    <w:p>
      <w:pPr>
        <w:pStyle w:val="Text1"/>
        <w:ind w:left="0"/>
        <w:rPr>
          <w:noProof/>
        </w:rPr>
      </w:pPr>
      <w:r>
        <w:rPr>
          <w:noProof/>
        </w:rPr>
        <w:t>Освен това следните решения в областта на законодателството за отпадъците също ще продължат да бъдат в сила, тъй като те са единствените инструменти за мониторинг на изпълнението на съответните директиви:</w:t>
      </w:r>
    </w:p>
    <w:p>
      <w:pPr>
        <w:pStyle w:val="Text1"/>
        <w:numPr>
          <w:ilvl w:val="0"/>
          <w:numId w:val="2"/>
        </w:numPr>
        <w:rPr>
          <w:noProof/>
        </w:rPr>
      </w:pPr>
      <w:r>
        <w:rPr>
          <w:noProof/>
        </w:rPr>
        <w:t>Решение на Комисията от 18.4.2012 г. за формулиране на въпросник, който да бъде използван за докладване относно прилагането на Директива 2008/98/ЕО на Европейския парламент и на Съвета относно отпадъците</w:t>
      </w:r>
      <w:r>
        <w:rPr>
          <w:rStyle w:val="FootnoteReference"/>
          <w:noProof/>
        </w:rPr>
        <w:footnoteReference w:id="8"/>
      </w:r>
      <w:r>
        <w:rPr>
          <w:noProof/>
        </w:rPr>
        <w:t>,</w:t>
      </w:r>
    </w:p>
    <w:p>
      <w:pPr>
        <w:pStyle w:val="Text1"/>
        <w:numPr>
          <w:ilvl w:val="0"/>
          <w:numId w:val="2"/>
        </w:numPr>
        <w:rPr>
          <w:noProof/>
        </w:rPr>
      </w:pPr>
      <w:r>
        <w:rPr>
          <w:noProof/>
        </w:rPr>
        <w:t>Решение 2004/249/ЕО на Комисията от 11 март 2004 г. относно изпълнението на Директива 2002/96/ЕО (ОЕЕО)</w:t>
      </w:r>
      <w:r>
        <w:rPr>
          <w:noProof/>
          <w:vertAlign w:val="superscript"/>
        </w:rPr>
        <w:footnoteReference w:id="9"/>
      </w:r>
      <w:r>
        <w:rPr>
          <w:noProof/>
        </w:rPr>
        <w:t xml:space="preserve">, </w:t>
      </w:r>
    </w:p>
    <w:p>
      <w:pPr>
        <w:pStyle w:val="Text1"/>
        <w:numPr>
          <w:ilvl w:val="0"/>
          <w:numId w:val="2"/>
        </w:numPr>
        <w:rPr>
          <w:noProof/>
        </w:rPr>
      </w:pPr>
      <w:r>
        <w:rPr>
          <w:noProof/>
        </w:rPr>
        <w:t>Решение 2007/151/ЕО на Комисията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от 6 март 2007 г. за изменение на решения 94/741/ЕО и 97/622/ЕО относно въпросниците за докладите за прилагането на Директива 2006/12/ЕО на Европейския парламент и на Съвета относно отпадъците и за прилагането на Директива 91/689/ЕИО на Съвета относно опасните отпадъци,</w:t>
      </w:r>
    </w:p>
    <w:p>
      <w:pPr>
        <w:pStyle w:val="Text1"/>
        <w:numPr>
          <w:ilvl w:val="0"/>
          <w:numId w:val="2"/>
        </w:numPr>
        <w:rPr>
          <w:noProof/>
          <w:szCs w:val="24"/>
        </w:rPr>
      </w:pPr>
      <w:r>
        <w:rPr>
          <w:noProof/>
        </w:rPr>
        <w:t>Решение 2000/738/ЕО</w:t>
      </w:r>
      <w:r>
        <w:rPr>
          <w:noProof/>
          <w:vertAlign w:val="superscript"/>
        </w:rPr>
        <w:footnoteReference w:id="11"/>
      </w:r>
      <w:r>
        <w:rPr>
          <w:noProof/>
        </w:rPr>
        <w:t xml:space="preserve"> на Комисията от 17 ноември 2000 г. относно въпросника към докладите на държавите членки за прилагането на Директива 1999/31/ЕО относно депонирането на отпадъци, </w:t>
      </w:r>
    </w:p>
    <w:p>
      <w:pPr>
        <w:pStyle w:val="Text1"/>
        <w:numPr>
          <w:ilvl w:val="0"/>
          <w:numId w:val="2"/>
        </w:numPr>
        <w:rPr>
          <w:noProof/>
        </w:rPr>
      </w:pPr>
      <w:r>
        <w:rPr>
          <w:noProof/>
        </w:rPr>
        <w:t>Решение 2001/753/ЕО</w:t>
      </w:r>
      <w:r>
        <w:rPr>
          <w:noProof/>
          <w:vertAlign w:val="superscript"/>
        </w:rPr>
        <w:footnoteReference w:id="12"/>
      </w:r>
      <w:r>
        <w:rPr>
          <w:noProof/>
        </w:rPr>
        <w:t xml:space="preserve"> на Комисията от 17 октомври 2001 г. относно въпросник за докладите на държавите членки във връзка с прилагане на Директива 2000/53/ЕО на Европейския парламент и на Съвета относно излезлите от употреба превозни средства, </w:t>
      </w:r>
    </w:p>
    <w:p>
      <w:pPr>
        <w:pStyle w:val="Text1"/>
        <w:numPr>
          <w:ilvl w:val="0"/>
          <w:numId w:val="2"/>
        </w:numPr>
        <w:rPr>
          <w:noProof/>
        </w:rPr>
      </w:pPr>
      <w:r>
        <w:rPr>
          <w:noProof/>
        </w:rPr>
        <w:t>Решение 97/622/ЕО на Комисията от 27 май 1997 г. относно въпросниците за докладите на държавите членки за прилагането на някои директиви в областта на отпадъците</w:t>
      </w:r>
      <w:r>
        <w:rPr>
          <w:noProof/>
          <w:vertAlign w:val="superscript"/>
        </w:rPr>
        <w:footnoteReference w:id="13"/>
      </w:r>
      <w:r>
        <w:rPr>
          <w:noProof/>
        </w:rPr>
        <w:t xml:space="preserve"> и </w:t>
      </w:r>
    </w:p>
    <w:p>
      <w:pPr>
        <w:pStyle w:val="Text1"/>
        <w:numPr>
          <w:ilvl w:val="0"/>
          <w:numId w:val="2"/>
        </w:numPr>
        <w:rPr>
          <w:noProof/>
        </w:rPr>
      </w:pPr>
      <w:r>
        <w:rPr>
          <w:noProof/>
        </w:rPr>
        <w:t>Решение 94/741/ЕО на Комисията от 24 октомври 1994 г. относно въпросниците за докладите на държавите членки за прилагането на някои директиви в областта на отпадъците</w:t>
      </w:r>
      <w:r>
        <w:rPr>
          <w:noProof/>
          <w:vertAlign w:val="superscript"/>
        </w:rPr>
        <w:footnoteReference w:id="14"/>
      </w:r>
      <w:r>
        <w:rPr>
          <w:noProof/>
        </w:rPr>
        <w:t xml:space="preserve">. </w:t>
      </w:r>
    </w:p>
    <w:p>
      <w:pPr>
        <w:pStyle w:val="Heading1"/>
        <w:rPr>
          <w:b w:val="0"/>
          <w:noProof/>
        </w:rPr>
      </w:pPr>
      <w:r>
        <w:rPr>
          <w:noProof/>
        </w:rPr>
        <w:t>Заключение</w:t>
      </w:r>
    </w:p>
    <w:p>
      <w:pPr>
        <w:pStyle w:val="Text1"/>
        <w:ind w:left="0"/>
        <w:rPr>
          <w:noProof/>
        </w:rPr>
      </w:pPr>
      <w:r>
        <w:rPr>
          <w:noProof/>
        </w:rPr>
        <w:t>В рамките на действията за опростяване, предприемани по отношение на актовете на Комисията, Комисията взе решение:</w:t>
      </w:r>
    </w:p>
    <w:p>
      <w:pPr>
        <w:pStyle w:val="Text1"/>
        <w:numPr>
          <w:ilvl w:val="0"/>
          <w:numId w:val="2"/>
        </w:numPr>
        <w:rPr>
          <w:noProof/>
        </w:rPr>
      </w:pPr>
      <w:r>
        <w:rPr>
          <w:noProof/>
        </w:rPr>
        <w:t>актовете, посочени в приложение ІІ, да бъдат премахнати от действащото законодателство на ЕС (достижения на правото на ЕС);</w:t>
      </w:r>
    </w:p>
    <w:p>
      <w:pPr>
        <w:pStyle w:val="Text1"/>
        <w:numPr>
          <w:ilvl w:val="0"/>
          <w:numId w:val="2"/>
        </w:numPr>
        <w:rPr>
          <w:noProof/>
        </w:rPr>
      </w:pPr>
      <w:r>
        <w:rPr>
          <w:noProof/>
        </w:rPr>
        <w:t>Службата за публикации на Европейския съюз се приканва да премахне тези актове от Регистъра на действащото законодателство на Съюза;</w:t>
      </w:r>
    </w:p>
    <w:p>
      <w:pPr>
        <w:pStyle w:val="Text1"/>
        <w:numPr>
          <w:ilvl w:val="0"/>
          <w:numId w:val="2"/>
        </w:numPr>
        <w:rPr>
          <w:noProof/>
        </w:rPr>
      </w:pPr>
      <w:r>
        <w:rPr>
          <w:noProof/>
        </w:rPr>
        <w:t>приложение ІІ се публикува в серия С на Официален вестник на Европейския съюз.</w:t>
      </w:r>
    </w:p>
    <w:p>
      <w:pPr>
        <w:pStyle w:val="NoteHead"/>
        <w:rPr>
          <w:noProof/>
        </w:rPr>
      </w:pPr>
      <w:r>
        <w:rPr>
          <w:noProof/>
        </w:rPr>
        <w:br w:type="page"/>
        <w:t>Приложение I</w:t>
      </w:r>
    </w:p>
    <w:p>
      <w:pPr>
        <w:jc w:val="center"/>
        <w:rPr>
          <w:b/>
          <w:noProof/>
          <w:szCs w:val="24"/>
        </w:rPr>
      </w:pPr>
      <w:r>
        <w:rPr>
          <w:b/>
          <w:noProof/>
        </w:rPr>
        <w:t>Специални мотиви по отношение на обявяването на решенията, приети на основание Директива 91/692/ЕИО, за остарели</w:t>
      </w:r>
    </w:p>
    <w:p>
      <w:pPr>
        <w:pStyle w:val="ListParagraph"/>
        <w:numPr>
          <w:ilvl w:val="0"/>
          <w:numId w:val="4"/>
        </w:numPr>
        <w:spacing w:after="200" w:line="276" w:lineRule="auto"/>
        <w:rPr>
          <w:noProof/>
          <w:szCs w:val="24"/>
        </w:rPr>
      </w:pPr>
      <w:r>
        <w:rPr>
          <w:noProof/>
        </w:rPr>
        <w:t>Решение за изпълнение 2011/632/ЕС</w:t>
      </w:r>
      <w:r>
        <w:rPr>
          <w:rStyle w:val="FootnoteReference"/>
          <w:noProof/>
        </w:rPr>
        <w:footnoteReference w:id="15"/>
      </w:r>
      <w:r>
        <w:rPr>
          <w:noProof/>
        </w:rPr>
        <w:t xml:space="preserve"> на Комисията от 21 септември 2011 г. за създаване на въпросник, предвиден за използване при изготвянето на доклади за прилагането на Директива 2000/76/ЕО на Европейския парламент и на Съвета относно изгарянето на отпадъци. Правното основание — Директива 2000/76/ЕО — беше отменено, считано от 7 януари 2014 г., с Директива 2010/75/ЕС на Европейския парламент и на Съвета от 24 ноември 2010 г. относно емисиите от промишлеността, поради което въпросникът вече не се използва и е остарял.</w:t>
      </w:r>
    </w:p>
    <w:p>
      <w:pPr>
        <w:pStyle w:val="ListParagraph"/>
        <w:numPr>
          <w:ilvl w:val="0"/>
          <w:numId w:val="4"/>
        </w:numPr>
        <w:spacing w:after="200" w:line="276" w:lineRule="auto"/>
        <w:rPr>
          <w:noProof/>
          <w:szCs w:val="24"/>
        </w:rPr>
      </w:pPr>
      <w:r>
        <w:rPr>
          <w:noProof/>
        </w:rPr>
        <w:t>Решение 2007/531/ЕО</w:t>
      </w:r>
      <w:r>
        <w:rPr>
          <w:rStyle w:val="FootnoteReference"/>
          <w:noProof/>
        </w:rPr>
        <w:footnoteReference w:id="16"/>
      </w:r>
      <w:r>
        <w:rPr>
          <w:noProof/>
        </w:rPr>
        <w:t xml:space="preserve"> на Комисията oт 26 юли 2007 г. относно въпросник към докладите на държавите членки относно прилагането на Директива 1999/13/ЕО на Съвета за ограничаване на емисиите на летливи органични съединения, дължащи се на употребата на органични разтворители в определени дейности и инсталации през периода 2008—2010 г. Правното основание — Директива 1999/13/ЕО на Съвета — беше отменено, считано от 7 януари 2014 г., с Директива 2010/75/ЕС, поради което въпросникът вече не се използва и е остарял.</w:t>
      </w:r>
    </w:p>
    <w:p>
      <w:pPr>
        <w:pStyle w:val="ListParagraph"/>
        <w:numPr>
          <w:ilvl w:val="0"/>
          <w:numId w:val="4"/>
        </w:numPr>
        <w:spacing w:after="200" w:line="276" w:lineRule="auto"/>
        <w:rPr>
          <w:noProof/>
          <w:szCs w:val="24"/>
        </w:rPr>
      </w:pPr>
      <w:r>
        <w:rPr>
          <w:noProof/>
        </w:rPr>
        <w:t>Решение 2003/241/ЕО</w:t>
      </w:r>
      <w:r>
        <w:rPr>
          <w:noProof/>
          <w:vertAlign w:val="superscript"/>
        </w:rPr>
        <w:footnoteReference w:id="17"/>
      </w:r>
      <w:r>
        <w:rPr>
          <w:noProof/>
        </w:rPr>
        <w:t xml:space="preserve"> на Комисията от 26 март 2003 г. за изменение на Решение 1999/391/ЕО на Комисията от 31 май 1999 г. относно въпросника във връзка с Директива 96/61/ЕО на Съвета относно комплексно предотвратяване и контрол на замърсяването на околната среда (IPPC) (прилагане на Директива 91/692/ЕИО на Съвета). Правното основание — Директива 96/61/ЕО на Съвета — беше отменено, считано от 18 февруари 2008 г., с Директива 2008/1/ЕО на Европейския парламент и на Съвета от 15 януари 2008 г. за комплексно предотвратяване и контрол на замърсяването, която на свой ред беше отменена с Директива 2010/75/ЕС, поради което въпросникът вече не се използва и е остарял.</w:t>
      </w:r>
    </w:p>
    <w:p>
      <w:pPr>
        <w:pStyle w:val="ListParagraph"/>
        <w:numPr>
          <w:ilvl w:val="0"/>
          <w:numId w:val="4"/>
        </w:numPr>
        <w:spacing w:after="200" w:line="276" w:lineRule="auto"/>
        <w:rPr>
          <w:b/>
          <w:noProof/>
          <w:szCs w:val="24"/>
        </w:rPr>
      </w:pPr>
      <w:r>
        <w:rPr>
          <w:rStyle w:val="Strong"/>
          <w:b w:val="0"/>
          <w:noProof/>
        </w:rPr>
        <w:t>Решение 2002/605/ЕО на Комисията</w:t>
      </w:r>
      <w:r>
        <w:rPr>
          <w:rStyle w:val="FootnoteReference"/>
          <w:noProof/>
        </w:rPr>
        <w:footnoteReference w:id="18"/>
      </w:r>
      <w:r>
        <w:rPr>
          <w:rStyle w:val="Strong"/>
          <w:b w:val="0"/>
          <w:noProof/>
        </w:rPr>
        <w:t xml:space="preserve"> от 17 юли 2002 г. относно въпросника във връзка с Директива 96/82/ЕО на Съвета относно контрола на опасностите от големи аварии, които включват опасни вещества Правното основание — Директива 96/82/ЕО на Съвета — беше отменено, считано от 1 юни 2015 г., с Директива 2012/18/ЕС на Европейския парламент и на Съвета от 4 юли 2012 г. относно контрола на опасностите от големи аварии, които включват опасни вещества, за изменение и последваща отмяна на Директива 96/82/ЕО на Съвета, поради което въпросникът вече не се използва и е остарял.</w:t>
      </w:r>
    </w:p>
    <w:p>
      <w:pPr>
        <w:pStyle w:val="ListParagraph"/>
        <w:numPr>
          <w:ilvl w:val="0"/>
          <w:numId w:val="4"/>
        </w:numPr>
        <w:spacing w:after="200" w:line="276" w:lineRule="auto"/>
        <w:rPr>
          <w:noProof/>
          <w:szCs w:val="24"/>
        </w:rPr>
      </w:pPr>
      <w:r>
        <w:rPr>
          <w:noProof/>
        </w:rPr>
        <w:t>Решение 1999/391/ЕО на Комисията</w:t>
      </w:r>
      <w:r>
        <w:rPr>
          <w:rStyle w:val="FootnoteReference"/>
          <w:noProof/>
        </w:rPr>
        <w:footnoteReference w:id="19"/>
      </w:r>
      <w:r>
        <w:rPr>
          <w:noProof/>
        </w:rPr>
        <w:t xml:space="preserve"> от 31 май 1999 г. относно въпросника във връзка с Директива 96/61/ЕО на Съвета относно комплексно предотвратяване и контрол на замърсяването на околната среда (IPPC) (прилагане на Директива 91/692/ЕИО на Съвета). Правното основание — Директива 96/61/ЕО на Съвета — беше отменено, считано от 18 февруари 2008 г. с Директива 2008/1/ЕО, която на свой ред беше отменена с Директива 2010/75/ЕС, поради което въпросникът вече не се използва и е остарял.</w:t>
      </w:r>
    </w:p>
    <w:p>
      <w:pPr>
        <w:pStyle w:val="ListParagraph"/>
        <w:numPr>
          <w:ilvl w:val="0"/>
          <w:numId w:val="4"/>
        </w:numPr>
        <w:spacing w:after="200" w:line="276" w:lineRule="auto"/>
        <w:rPr>
          <w:noProof/>
          <w:szCs w:val="24"/>
        </w:rPr>
      </w:pPr>
      <w:r>
        <w:rPr>
          <w:noProof/>
        </w:rPr>
        <w:t>Решение 1999/314/ЕО на Комисията</w:t>
      </w:r>
      <w:r>
        <w:rPr>
          <w:rStyle w:val="FootnoteReference"/>
          <w:noProof/>
        </w:rPr>
        <w:footnoteReference w:id="20"/>
      </w:r>
      <w:r>
        <w:rPr>
          <w:noProof/>
        </w:rPr>
        <w:t xml:space="preserve"> от 9 април 1999 г. относно въпросника във връзка с Директива 96/82/ЕО на Съвета относно контрола на опасностите от големи аварии, които включват опасни вещества. Правното основание — Директива 96/82/ЕО на Съвета — беше отменено, считано от 1 юни 2015 г., с Директива 2012/18/ЕС на Европейския парламент и на Съвета от 4 юли 2012 г. относно контрола на опасностите от големи аварии, които включват опасни вещества, за изменение и последваща отмяна на Директива 96/82/ЕО на Съвета, поради което въпросникът вече не се използва и е остарял.</w:t>
      </w:r>
    </w:p>
    <w:p>
      <w:pPr>
        <w:pStyle w:val="ListParagraph"/>
        <w:numPr>
          <w:ilvl w:val="0"/>
          <w:numId w:val="4"/>
        </w:numPr>
        <w:spacing w:after="200" w:line="276" w:lineRule="auto"/>
        <w:rPr>
          <w:noProof/>
          <w:szCs w:val="24"/>
        </w:rPr>
      </w:pPr>
      <w:r>
        <w:rPr>
          <w:noProof/>
        </w:rPr>
        <w:t>Решение 98/184/ЕО на Комисията</w:t>
      </w:r>
      <w:r>
        <w:rPr>
          <w:rStyle w:val="FootnoteReference"/>
          <w:noProof/>
        </w:rPr>
        <w:footnoteReference w:id="21"/>
      </w:r>
      <w:r>
        <w:rPr>
          <w:noProof/>
        </w:rPr>
        <w:t xml:space="preserve"> от 25 февруари 1998 г. относно въпросник за докладите на държавите членки по прилагането на Директива 94/67/EО на Съвета относно изгарянето на опасни отпадъци (прилагане на Директива 91/692/EИО на Съвета). Правното основание — Директива 94/67/ЕО на Съвета — беше отменено, считано от 28 декември 2005 г., с Директива 2000/76/ЕО на Европейския парламент и на Съвета от 4 декември 2000 г. относно изгарянето на отпадъците, която беше отменена, считано от 7 януари 2014 г. с Директива 2010/75/ЕС на Европейския парламент и на Съвета от 24 ноември 2010 г. относно емисиите от промишлеността, поради което въпросникът вече не се използва и е остарял. </w:t>
      </w:r>
    </w:p>
    <w:p>
      <w:pPr>
        <w:pStyle w:val="ListParagraph"/>
        <w:numPr>
          <w:ilvl w:val="0"/>
          <w:numId w:val="4"/>
        </w:numPr>
        <w:spacing w:after="200" w:line="276" w:lineRule="auto"/>
        <w:rPr>
          <w:noProof/>
          <w:szCs w:val="24"/>
        </w:rPr>
      </w:pPr>
      <w:r>
        <w:rPr>
          <w:noProof/>
        </w:rPr>
        <w:t>Решение 96/511/ЕО</w:t>
      </w:r>
      <w:r>
        <w:rPr>
          <w:rStyle w:val="FootnoteReference"/>
          <w:noProof/>
        </w:rPr>
        <w:footnoteReference w:id="22"/>
      </w:r>
      <w:r>
        <w:rPr>
          <w:noProof/>
        </w:rPr>
        <w:t xml:space="preserve"> на Комисията от 29 юли 1996 г. относно въпросниците, предвидени в Директиви 80/779/ЕИО, 82/884/ЕИО, 84/360/ЕИО и 85/203/ЕИО на Съвета. Правното основание — Директива 84/360/ЕИО беше отменена с Директива 2008/1/ЕО на Европейския парламент и на Съвета от 15 януари 2008 г.  за комплексно предотвратяване и контрол на замърсяването</w:t>
      </w:r>
      <w:r>
        <w:rPr>
          <w:rStyle w:val="FootnoteReference"/>
          <w:noProof/>
        </w:rPr>
        <w:footnoteReference w:id="23"/>
      </w:r>
      <w:r>
        <w:rPr>
          <w:noProof/>
        </w:rPr>
        <w:t>, считано от 30 октомври 2007 г. Другите правни основания — директиви 80/779/ЕИО, 82/884/ЕИО на Съвета — бяха отменени, считано от 1 януари 2005 г., а Директива 85/203/ЕИО на Съвета беше отменена, считано от 19 юли 2001 г., с Директива 1999/30/ЕО на Съвета от 22 април 1999 г. относно пределно допустимите стойности за серен двуоксид, азотен двуоксид и азотни оксиди, прахови частици и олово в околния въздух, която на свой ред беше отменена, считано от 10 юни 2010 г., с Директива 2008/50/ЕО на Европейския парламент и на Съвета от 21 май 2008 г. относно качеството на атмосферния въздух и за по-чист въздух за Европа</w:t>
      </w:r>
      <w:r>
        <w:rPr>
          <w:rStyle w:val="FootnoteReference"/>
          <w:noProof/>
        </w:rPr>
        <w:footnoteReference w:id="24"/>
      </w:r>
      <w:r>
        <w:rPr>
          <w:noProof/>
        </w:rPr>
        <w:t xml:space="preserve">, поради което въпросниците вече не се използват и са остарели. </w:t>
      </w:r>
    </w:p>
    <w:p>
      <w:pPr>
        <w:pStyle w:val="ListParagraph"/>
        <w:numPr>
          <w:ilvl w:val="0"/>
          <w:numId w:val="4"/>
        </w:numPr>
        <w:spacing w:after="200" w:line="276" w:lineRule="auto"/>
        <w:rPr>
          <w:noProof/>
          <w:szCs w:val="24"/>
        </w:rPr>
      </w:pPr>
      <w:r>
        <w:rPr>
          <w:noProof/>
        </w:rPr>
        <w:t>Решение 96/302/ЕО</w:t>
      </w:r>
      <w:r>
        <w:rPr>
          <w:rStyle w:val="FootnoteReference"/>
          <w:noProof/>
        </w:rPr>
        <w:footnoteReference w:id="25"/>
      </w:r>
      <w:r>
        <w:rPr>
          <w:noProof/>
        </w:rPr>
        <w:t xml:space="preserve"> на Комисията от 17 април 1996 г. за установяване на формата, в която да бъде предоставена информацията по член 8, параграф 3 от Директива 91/689/ЕИО на Съвета за опасните отпадъци. Правното основание — член 8, параграф 3 от Директива 91/689/ЕИО на Съвета — беше отменено, считано от 24 февруари 2006 г. с Регламент (ЕО) № 166/2006 на Европейския парламент и на Съвета от 18 януари 2006 г.  за създаване на Европейски регистър за изпускането и преноса на замърсители и за изменение на Директиви 91/689/ЕИО и 96/61/ЕО на Съвета</w:t>
      </w:r>
      <w:r>
        <w:rPr>
          <w:rStyle w:val="FootnoteReference"/>
          <w:noProof/>
        </w:rPr>
        <w:footnoteReference w:id="26"/>
      </w:r>
      <w:r>
        <w:rPr>
          <w:noProof/>
        </w:rPr>
        <w:t xml:space="preserve">, поради което въпросникът вече не се използва и е остарял. </w:t>
      </w:r>
    </w:p>
    <w:p>
      <w:pPr>
        <w:pStyle w:val="ListParagraph"/>
        <w:numPr>
          <w:ilvl w:val="0"/>
          <w:numId w:val="4"/>
        </w:numPr>
        <w:spacing w:after="200" w:line="276" w:lineRule="auto"/>
        <w:rPr>
          <w:noProof/>
          <w:szCs w:val="24"/>
        </w:rPr>
      </w:pPr>
      <w:r>
        <w:rPr>
          <w:noProof/>
        </w:rPr>
        <w:t>Решение 92/446/ЕИО</w:t>
      </w:r>
      <w:r>
        <w:rPr>
          <w:rStyle w:val="FootnoteReference"/>
          <w:noProof/>
        </w:rPr>
        <w:footnoteReference w:id="27"/>
      </w:r>
      <w:r>
        <w:rPr>
          <w:noProof/>
        </w:rPr>
        <w:t xml:space="preserve"> на Комисията от 27 юли 1992 г. относно въпросниците към директивите за водния сектор беше изменено с Решение 95/337/ЕО на Комисията от 25 юли 1995 г. относно въпросниците към директивите за водния сектор. Въпросниците, формулирани с посочените решения, съдържаха препратки към няколко акта от законодателството в сферата на водите, които или бяха отменени с Директива 2000/60/ЕО на Европейския парламент и на Съвета за установяване на рамка за действията на Общността в областта на политиката за водите, или бяха изменени, като Директива 91/692/ЕИО на Съвета отпадна за целите на докладването. Поради това тези въпросници вече не се използват и са остарели.  </w:t>
      </w:r>
    </w:p>
    <w:p>
      <w:pPr>
        <w:pStyle w:val="ListParagraph"/>
        <w:numPr>
          <w:ilvl w:val="0"/>
          <w:numId w:val="4"/>
        </w:numPr>
        <w:spacing w:after="200" w:line="276" w:lineRule="auto"/>
        <w:rPr>
          <w:noProof/>
          <w:szCs w:val="24"/>
        </w:rPr>
      </w:pPr>
      <w:r>
        <w:rPr>
          <w:noProof/>
        </w:rPr>
        <w:t>Решение 95/337/ЕО</w:t>
      </w:r>
      <w:r>
        <w:rPr>
          <w:rStyle w:val="FootnoteReference"/>
          <w:noProof/>
        </w:rPr>
        <w:footnoteReference w:id="28"/>
      </w:r>
      <w:r>
        <w:rPr>
          <w:noProof/>
        </w:rPr>
        <w:t xml:space="preserve"> на Комисията от 25 юли 1995 г. за изменение на Решение 92/446/ЕИО от 27 юли 1992 г. относно въпросниците към директивите за водния сектор. Въпросникът, формулиран с посоченото решение, съдържаше препратки към няколко акта от законодателството в сферата на водите, които или бяха отменени с Директива 2000/60/ЕО на Европейския парламент и на Съвета за установяване на рамка за действията на Общността в областта на политиката за водите, или бяха изменени, като Директива 91/692/ЕИО на Съвета отпадна за целите на докладването. Поради това този въпросник вече не се използва и е остарял.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br w:type="page"/>
      </w:r>
    </w:p>
    <w:p>
      <w:pPr>
        <w:pStyle w:val="NoteHead"/>
        <w:rPr>
          <w:noProof/>
        </w:rPr>
      </w:pPr>
      <w:r>
        <w:rPr>
          <w:noProof/>
        </w:rPr>
        <w:t>ПРИЛОЖЕНИЕ IІ</w:t>
      </w:r>
    </w:p>
    <w:p>
      <w:pPr>
        <w:jc w:val="center"/>
        <w:rPr>
          <w:b/>
          <w:noProof/>
          <w:szCs w:val="24"/>
        </w:rPr>
      </w:pPr>
      <w:r>
        <w:rPr>
          <w:b/>
          <w:noProof/>
        </w:rPr>
        <w:t>Списък на актовете, които трябва да бъдат премахнати от достиженията на правото</w:t>
      </w:r>
    </w:p>
    <w:p>
      <w:pPr>
        <w:pStyle w:val="ListParagraph"/>
        <w:numPr>
          <w:ilvl w:val="0"/>
          <w:numId w:val="3"/>
        </w:numPr>
        <w:spacing w:after="200" w:line="276" w:lineRule="auto"/>
        <w:ind w:hanging="720"/>
        <w:rPr>
          <w:noProof/>
          <w:szCs w:val="24"/>
        </w:rPr>
      </w:pPr>
      <w:r>
        <w:rPr>
          <w:noProof/>
        </w:rPr>
        <w:t xml:space="preserve">Решение за изпълнение 2011/632/ЕС на Комисията от 21 септември 2011 г. (ОВ L 247, 24.9.2011 г., стр. 54–58). </w:t>
      </w:r>
    </w:p>
    <w:p>
      <w:pPr>
        <w:pStyle w:val="ListParagraph"/>
        <w:numPr>
          <w:ilvl w:val="0"/>
          <w:numId w:val="3"/>
        </w:numPr>
        <w:spacing w:after="200" w:line="276" w:lineRule="auto"/>
        <w:ind w:hanging="720"/>
        <w:rPr>
          <w:noProof/>
          <w:szCs w:val="24"/>
        </w:rPr>
      </w:pPr>
      <w:r>
        <w:rPr>
          <w:noProof/>
        </w:rPr>
        <w:t>Решение 2007/531/ЕО на Комисията от 26 юли 2007 г. (ОВ L 195, 27.7.2007 г., стр. 47–49)</w:t>
      </w:r>
    </w:p>
    <w:p>
      <w:pPr>
        <w:pStyle w:val="ListParagraph"/>
        <w:numPr>
          <w:ilvl w:val="0"/>
          <w:numId w:val="3"/>
        </w:numPr>
        <w:spacing w:after="200" w:line="276" w:lineRule="auto"/>
        <w:ind w:hanging="720"/>
        <w:rPr>
          <w:iCs/>
          <w:noProof/>
          <w:szCs w:val="24"/>
        </w:rPr>
      </w:pPr>
      <w:r>
        <w:rPr>
          <w:noProof/>
        </w:rPr>
        <w:t xml:space="preserve">Решение 2003/241/ЕО на Комисията от 26 март 2003 г. (ОВ L 89, 5.4.2003 г., </w:t>
      </w:r>
      <w:r>
        <w:rPr>
          <w:noProof/>
        </w:rPr>
        <w:br/>
        <w:t>стр. 17-23)</w:t>
      </w:r>
    </w:p>
    <w:p>
      <w:pPr>
        <w:pStyle w:val="ListParagraph"/>
        <w:numPr>
          <w:ilvl w:val="0"/>
          <w:numId w:val="3"/>
        </w:numPr>
        <w:spacing w:after="200" w:line="276" w:lineRule="auto"/>
        <w:ind w:hanging="720"/>
        <w:rPr>
          <w:iCs/>
          <w:noProof/>
          <w:szCs w:val="24"/>
        </w:rPr>
      </w:pPr>
      <w:r>
        <w:rPr>
          <w:noProof/>
        </w:rPr>
        <w:t>Решение 2002/605/ЕО на Комисията от 17 юли 2002 г. (ОВ L 195, 24.7.2002 г., стр. 74-80)</w:t>
      </w:r>
    </w:p>
    <w:p>
      <w:pPr>
        <w:pStyle w:val="ListParagraph"/>
        <w:numPr>
          <w:ilvl w:val="0"/>
          <w:numId w:val="3"/>
        </w:numPr>
        <w:spacing w:after="200" w:line="276" w:lineRule="auto"/>
        <w:ind w:hanging="720"/>
        <w:rPr>
          <w:noProof/>
          <w:szCs w:val="24"/>
        </w:rPr>
      </w:pPr>
      <w:r>
        <w:rPr>
          <w:noProof/>
        </w:rPr>
        <w:t>Решение 1999/391/ЕО на Комисията от 31 май 1999 г. (ОВ L 148, 15.6.1999 г., стр. 39-43)</w:t>
      </w:r>
    </w:p>
    <w:p>
      <w:pPr>
        <w:pStyle w:val="ListParagraph"/>
        <w:numPr>
          <w:ilvl w:val="0"/>
          <w:numId w:val="3"/>
        </w:numPr>
        <w:spacing w:after="200" w:line="276" w:lineRule="auto"/>
        <w:ind w:hanging="720"/>
        <w:rPr>
          <w:noProof/>
          <w:szCs w:val="24"/>
        </w:rPr>
      </w:pPr>
      <w:r>
        <w:rPr>
          <w:noProof/>
        </w:rPr>
        <w:t>Решение 1999/314/ЕО на Комисията от 9 април 1999 г. (ОВ L 120, 8.5.1999 г., стр. 43-45)</w:t>
      </w:r>
    </w:p>
    <w:p>
      <w:pPr>
        <w:pStyle w:val="ListParagraph"/>
        <w:numPr>
          <w:ilvl w:val="0"/>
          <w:numId w:val="3"/>
        </w:numPr>
        <w:spacing w:after="200" w:line="276" w:lineRule="auto"/>
        <w:ind w:hanging="720"/>
        <w:rPr>
          <w:noProof/>
          <w:szCs w:val="24"/>
        </w:rPr>
      </w:pPr>
      <w:r>
        <w:rPr>
          <w:noProof/>
        </w:rPr>
        <w:t>Решение 98/184/ЕО на Комисията от 25 февруари 1998 г. (ОВ L 67, 7.3.1998 г., стр. 48-50)</w:t>
      </w:r>
    </w:p>
    <w:p>
      <w:pPr>
        <w:pStyle w:val="ListParagraph"/>
        <w:numPr>
          <w:ilvl w:val="0"/>
          <w:numId w:val="3"/>
        </w:numPr>
        <w:spacing w:after="200" w:line="276" w:lineRule="auto"/>
        <w:ind w:hanging="720"/>
        <w:rPr>
          <w:noProof/>
          <w:szCs w:val="24"/>
        </w:rPr>
      </w:pPr>
      <w:r>
        <w:rPr>
          <w:noProof/>
        </w:rPr>
        <w:t xml:space="preserve">Решение 96/511/ЕО на Комисията от 29 юли 1996 г. (ОВ L 213, 22.8.1996 г., </w:t>
      </w:r>
      <w:r>
        <w:rPr>
          <w:noProof/>
        </w:rPr>
        <w:br/>
        <w:t>стр. 16-24)</w:t>
      </w:r>
    </w:p>
    <w:p>
      <w:pPr>
        <w:pStyle w:val="ListParagraph"/>
        <w:numPr>
          <w:ilvl w:val="0"/>
          <w:numId w:val="3"/>
        </w:numPr>
        <w:spacing w:after="200" w:line="276" w:lineRule="auto"/>
        <w:ind w:hanging="720"/>
        <w:rPr>
          <w:noProof/>
          <w:szCs w:val="24"/>
        </w:rPr>
      </w:pPr>
      <w:r>
        <w:rPr>
          <w:noProof/>
        </w:rPr>
        <w:t>Решение 96/302/ЕО на Комисията от 17 април 1996 г. (ОВ L 116, 11.5.1996 г., стр. 26-27)</w:t>
      </w:r>
    </w:p>
    <w:p>
      <w:pPr>
        <w:pStyle w:val="ListParagraph"/>
        <w:numPr>
          <w:ilvl w:val="0"/>
          <w:numId w:val="3"/>
        </w:numPr>
        <w:spacing w:after="200" w:line="276" w:lineRule="auto"/>
        <w:ind w:hanging="720"/>
        <w:rPr>
          <w:noProof/>
          <w:szCs w:val="24"/>
        </w:rPr>
      </w:pPr>
      <w:r>
        <w:rPr>
          <w:noProof/>
        </w:rPr>
        <w:t>Решение 92/446/ЕИО на Комисията от 27 юли 1992 г. (ОВ L 247, 27.8.1992 г., стр. 10-36)</w:t>
      </w:r>
    </w:p>
    <w:p>
      <w:pPr>
        <w:pStyle w:val="ListParagraph"/>
        <w:numPr>
          <w:ilvl w:val="0"/>
          <w:numId w:val="3"/>
        </w:numPr>
        <w:spacing w:after="200" w:line="276" w:lineRule="auto"/>
        <w:ind w:hanging="720"/>
        <w:rPr>
          <w:noProof/>
          <w:szCs w:val="24"/>
        </w:rPr>
      </w:pPr>
      <w:r>
        <w:rPr>
          <w:noProof/>
        </w:rPr>
        <w:t>Решение 95/337/ЕО на Комисията от 25 юли 1995 г. за изменение на Решение 92/446/ЕИО от 27 юли 1992 г. (ОВ L 200, 24.8.1995 г., стр. 1–34.)</w:t>
      </w:r>
    </w:p>
    <w:p>
      <w:pPr>
        <w:rPr>
          <w:noProof/>
        </w:rPr>
      </w:pPr>
    </w:p>
    <w:p>
      <w:pPr>
        <w:rPr>
          <w:noProof/>
        </w:rPr>
      </w:pPr>
    </w:p>
    <w:sectPr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020" w:right="1701" w:bottom="1020" w:left="1587" w:header="601" w:footer="1077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35197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886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>
    <w:pPr>
      <w:pStyle w:val="Footer"/>
      <w:jc w:val="cen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spacing w:after="0"/>
        <w:jc w:val="left"/>
        <w:rPr>
          <w:lang w:val="en"/>
        </w:rPr>
      </w:pPr>
      <w:r>
        <w:rPr>
          <w:rStyle w:val="FootnoteReference"/>
        </w:rPr>
        <w:footnoteRef/>
      </w:r>
      <w:r>
        <w:t xml:space="preserve"> </w:t>
      </w:r>
      <w:r>
        <w:tab/>
        <w:t>Вж. пътната карта: http://ec.europa.eu/smart-regulation/roadmaps/docs/2017_env_002_monitoring_and_reporting_obligations_en.pdf</w:t>
      </w:r>
    </w:p>
  </w:footnote>
  <w:footnote w:id="2">
    <w:p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tab/>
        <w:t>Предложение за Решение на Европейския парламент и на Съвета за изменение на Директива 87/217/ЕИО на Европейския парламент и на Съвета, Директива 2003/87/ЕО на Европейския парламент и на Съвета, Директива 2009/31/ЕО на Европейския парламент и на Съвета, Регламент (ЕС) № 1257/2013 на Европейския парламент и на Съвета, Директива 86/278/ЕИО на Съвета и Директива 94/63/ЕО на Съвета  по отношение на процедурните правила при докладването в областта на околната среда и за отмяна на Директива 91/692/ЕИО.</w:t>
      </w:r>
    </w:p>
  </w:footnote>
  <w:footnote w:id="3">
    <w:p>
      <w:pPr>
        <w:pStyle w:val="FootnoteText"/>
        <w:spacing w:after="0"/>
      </w:pPr>
      <w:r>
        <w:rPr>
          <w:rStyle w:val="FootnoteReference"/>
        </w:rPr>
        <w:footnoteRef/>
      </w:r>
      <w:r>
        <w:tab/>
        <w:t>Достъпно на: http://ec.europa.eu/environment/legal/reporting/other_actions_en.htm</w:t>
      </w:r>
    </w:p>
  </w:footnote>
  <w:footnote w:id="4">
    <w:p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  </w:t>
      </w:r>
      <w:r>
        <w:tab/>
        <w:t>Планирани решения на Комисията за отмяна на Решение № 2011/92/ЕС на Комисията относно въпросник, който трябва да се използва за първоначалния доклад за прилагането на Директива 2009/31/ЕО на Европейския парламент и на Съвета относно съхранението на въглероден диоксид в геоложки формации (ОВ L 37, 11.2.2011 г., стр. 19–24) и за отмяна на Решение № 2011/92/ЕС на Комисията относно въпросника за докладите на държавите членки за прилагането на Директива 1999/13/ЕО на Съвета за ограничаване на емисиите на летливи органични съединения, дължащи се на употребата на органични разтворители при определени дейности и инсталации през периода 2011—2013 г. (ОВ L 292, 10.11.2010 г., стр. 65–67).</w:t>
      </w:r>
    </w:p>
  </w:footnote>
  <w:footnote w:id="5">
    <w:p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ОВ L 89, 25.3.2014 г., стр. 45–76.</w:t>
      </w:r>
    </w:p>
  </w:footnote>
  <w:footnote w:id="6">
    <w:p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hyperlink r:id="rId1">
        <w:r>
          <w:t>ОВ L 126, 19.5.2005 г., стр. 43</w:t>
        </w:r>
      </w:hyperlink>
      <w:r>
        <w:t>.</w:t>
      </w:r>
    </w:p>
  </w:footnote>
  <w:footnote w:id="7">
    <w:p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ОВ L 329, 25.11.2006 г., стр. 38–63.</w:t>
      </w:r>
    </w:p>
  </w:footnote>
  <w:footnote w:id="8">
    <w:p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С(2012) 2384 final.</w:t>
      </w:r>
    </w:p>
  </w:footnote>
  <w:footnote w:id="9">
    <w:p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 ОВ L 78, 16.3.2004 г., стр. 56–59.</w:t>
      </w:r>
    </w:p>
  </w:footnote>
  <w:footnote w:id="10">
    <w:p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ОВ L 67, 7.3.2007 г., стр. 7–9.</w:t>
      </w:r>
    </w:p>
  </w:footnote>
  <w:footnote w:id="11">
    <w:p>
      <w:pPr>
        <w:spacing w:after="0"/>
        <w:rPr>
          <w:lang w:val="hu-HU"/>
        </w:rPr>
      </w:pPr>
      <w:r>
        <w:rPr>
          <w:rStyle w:val="FootnoteReference"/>
          <w:sz w:val="20"/>
        </w:rPr>
        <w:footnoteRef/>
      </w:r>
      <w:r>
        <w:rPr>
          <w:rStyle w:val="FootnoteReference"/>
        </w:rPr>
        <w:t xml:space="preserve"> </w:t>
      </w:r>
      <w:r>
        <w:rPr>
          <w:sz w:val="20"/>
        </w:rPr>
        <w:t>ОВ L 298, 25.11.2000 г., стр. 24–26.</w:t>
      </w:r>
    </w:p>
  </w:footnote>
  <w:footnote w:id="12">
    <w:p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ОВ L 282, 26.10.2001 г., стр. 77–80.</w:t>
      </w:r>
      <w:r>
        <w:rPr>
          <w:rStyle w:val="apple-converted-space"/>
          <w:rFonts w:ascii="Lucida Sans Unicode" w:hAnsi="Lucida Sans Unicode"/>
          <w:i/>
          <w:color w:val="444444"/>
          <w:sz w:val="19"/>
        </w:rPr>
        <w:t> </w:t>
      </w:r>
    </w:p>
  </w:footnote>
  <w:footnote w:id="13">
    <w:p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ОВ L 256, 19.9.1997 г., стр. 13–19.</w:t>
      </w:r>
    </w:p>
  </w:footnote>
  <w:footnote w:id="14">
    <w:p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ОВ L 296, 17.11.1994 г., стр. 42–55.</w:t>
      </w:r>
    </w:p>
  </w:footnote>
  <w:footnote w:id="15">
    <w:p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ОВ L 247, 24.9.2011 г., стр. 54–58.</w:t>
      </w:r>
    </w:p>
  </w:footnote>
  <w:footnote w:id="16">
    <w:p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ОВ L 195, 27.7.2007 г., стр. 47–49.</w:t>
      </w:r>
    </w:p>
  </w:footnote>
  <w:footnote w:id="17">
    <w:p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ОВ L 89, 5.4.2003 г., стр. 17–23.</w:t>
      </w:r>
    </w:p>
  </w:footnote>
  <w:footnote w:id="18">
    <w:p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ОВ L 195, 24.7.2002 г., стр. 74–80.</w:t>
      </w:r>
    </w:p>
  </w:footnote>
  <w:footnote w:id="19">
    <w:p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ОВ L 148, 15.6.1999 г., стр. 39–43.</w:t>
      </w:r>
    </w:p>
  </w:footnote>
  <w:footnote w:id="20">
    <w:p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ОВ L 120, 8.5.1999 г., стр. 43–45.</w:t>
      </w:r>
    </w:p>
  </w:footnote>
  <w:footnote w:id="21">
    <w:p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ОВ L 67, 7.3.1998 г., стр. 48–50.</w:t>
      </w:r>
    </w:p>
  </w:footnote>
  <w:footnote w:id="22">
    <w:p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ОВ L 213, 22.8.1996 г., стр. 16–24.</w:t>
      </w:r>
    </w:p>
  </w:footnote>
  <w:footnote w:id="23">
    <w:p>
      <w:pPr>
        <w:pStyle w:val="FootnoteText"/>
      </w:pPr>
      <w:r>
        <w:rPr>
          <w:rStyle w:val="FootnoteReference"/>
        </w:rPr>
        <w:footnoteRef/>
      </w:r>
      <w:r>
        <w:t xml:space="preserve"> ОВ L 24, 29.1.2008 г., стр. 8–29.</w:t>
      </w:r>
    </w:p>
  </w:footnote>
  <w:footnote w:id="24">
    <w:p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ОВ L 152, 11.6.2008 г., стр. 1.</w:t>
      </w:r>
    </w:p>
  </w:footnote>
  <w:footnote w:id="25">
    <w:p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ОВ L 116, 11.5.1996 г., стр. 26–27.</w:t>
      </w:r>
    </w:p>
  </w:footnote>
  <w:footnote w:id="26">
    <w:p>
      <w:pPr>
        <w:pStyle w:val="FootnoteText"/>
      </w:pPr>
      <w:r>
        <w:rPr>
          <w:rStyle w:val="FootnoteReference"/>
        </w:rPr>
        <w:footnoteRef/>
      </w:r>
      <w:r>
        <w:t xml:space="preserve"> ОВ L 33, 4.2.2006 г., стр. 1–17.</w:t>
      </w:r>
    </w:p>
  </w:footnote>
  <w:footnote w:id="27">
    <w:p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Emphasis"/>
        </w:rPr>
        <w:t>ОВ L 247 , 27.8.1992 г., стр. 0010 – 0036.</w:t>
      </w:r>
    </w:p>
  </w:footnote>
  <w:footnote w:id="28">
    <w:p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ОВ L 200, 24.8.1995 г., стр. 1–34.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C6584"/>
    <w:multiLevelType w:val="hybridMultilevel"/>
    <w:tmpl w:val="9A8685B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4E997B6A"/>
    <w:multiLevelType w:val="hybridMultilevel"/>
    <w:tmpl w:val="C32E45B0"/>
    <w:lvl w:ilvl="0" w:tplc="10C60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60824"/>
    <w:multiLevelType w:val="hybridMultilevel"/>
    <w:tmpl w:val="03043076"/>
    <w:lvl w:ilvl="0" w:tplc="486825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&lt;UNUSED&gt;"/>
    <w:docVar w:name="LW_CONFIDENCE" w:val=" "/>
    <w:docVar w:name="LW_CONST_RESTREINT_UE" w:val="RESTREINT UE"/>
    <w:docVar w:name="LW_CORRIGENDUM" w:val="&lt;UNUSED&gt;"/>
    <w:docVar w:name="LW_COVERPAGE_GUID" w:val="44570F830BAE41FA9428DF018FD2D715"/>
    <w:docVar w:name="LW_CROSSREFERENCE" w:val="&lt;UNUSED&gt;"/>
    <w:docVar w:name="LW_DATE.ADOPT.CP_ISODATE" w:val="&lt;EMPTY&gt;"/>
    <w:docVar w:name="LW_DocType" w:val="NORMAL"/>
    <w:docVar w:name="LW_EMISSION" w:val="15.12.2016"/>
    <w:docVar w:name="LW_EMISSION_ISODATE" w:val="2016-12-15"/>
    <w:docVar w:name="LW_EMISSION_LOCATION" w:val="BRX"/>
    <w:docVar w:name="LW_EMISSION_PREFIX" w:val="Брюксел, "/>
    <w:docVar w:name="LW_EMISSION_SUFFIX" w:val=" \u1075?."/>
    <w:docVar w:name="LW_ID_DOCTYPE_NONLW" w:val="CP-011"/>
    <w:docVar w:name="LW_INTERETEEE.CP" w:val="&lt;UNUSED&gt;"/>
    <w:docVar w:name="LW_LANGUE" w:val="BG"/>
    <w:docVar w:name="LW_LANGUESFAISANTFOI.CP" w:val="&lt;UNUSED&gt;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6"/>
    <w:docVar w:name="LW_REF.INST.NEW" w:val="COM"/>
    <w:docVar w:name="LW_REF.INST.NEW_ADOPTED" w:val="final"/>
    <w:docVar w:name="LW_REF.INST.NEW_TEXT" w:val="(2016) 793"/>
    <w:docVar w:name="LW_REF.INTERNE" w:val="&lt;UNUSED&gt;"/>
    <w:docVar w:name="LW_SOUS.TITRE.OBJ.CP" w:val="&lt;UNUSED&gt;"/>
    <w:docVar w:name="LW_SUPERTITRE" w:val="&lt;UNUSED&gt;"/>
    <w:docVar w:name="LW_TITRE.OBJ.CP" w:val="\u1054?\u1092?\u1080?\u1094?\u1080?\u1072?\u1083?\u1085?\u1086? \u1086?\u1073?\u1103?\u1074?\u1103?\u1074?\u1072?\u1085?\u1077? \u1085?\u1072? \u1085?\u1103?\u1082?\u1086?\u1080? \u1072?\u1082?\u1090?\u1086?\u1074?\u1077? \u1086?\u1090? \u1087?\u1088?\u1072?\u1074?\u1086?\u1090?\u1086? \u1085?\u1072? \u1057?\u1098?\u1102?\u1079?\u1072? \u1074? \u1086?\u1073?\u1083?\u1072?\u1089?\u1090?\u1090?\u1072? \u1085?\u1072? \u1086?\u1082?\u1086?\u1083?\u1085?\u1072?\u1090?\u1072? \u1089?\u1088?\u1077?\u1076?\u1072?, \u1087?\u1088?\u1080?\u1077?\u1090?\u1080? \u1087?\u1086? \u1044?\u1080?\u1088?\u1077?\u1082?\u1090?\u1080?\u1074?\u1072? 91/692/\u1045?\u1048?\u1054? \u1085?\u1072? \u1057?\u1098?\u1074?\u1077?\u1090?\u1072?, \u1079?\u1072? \u1086?\u1089?\u1090?\u1072?\u1088?\u1077?\u1083?\u1080?"/>
    <w:docVar w:name="LW_TYPE.DOC.CP" w:val="\u1057?\u1066?\u1054?\u1041?\u1065?\u1045?\u1053?\u1048?\u1045? \u1053?\u1040? \u1050?\u1054?\u1052?\u1048?\u1057?\u1048?\u1071?\u1058?\u1040? \u1044?\u1054? \u1057?\u1066?\u1042?\u1045?\u1058?\u1040? \u1048? \u1045?\u1042?\u1056?\u1054?\u1055?\u1045?\u1049?\u1057?\u1050?\u1048?\u1071? \u1055?\u1040?\u1056?\u1051?\u1040?\u1052?\u1045?\u1053?\u1058?"/>
    <w:docVar w:name="LW_TYPE.DOC.CP.USERTEXT" w:val="&lt;EMPTY&gt;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240" w:after="240" w:line="240" w:lineRule="auto"/>
      <w:jc w:val="both"/>
      <w:outlineLvl w:val="0"/>
    </w:pPr>
    <w:rPr>
      <w:rFonts w:eastAsia="Times New Roman"/>
      <w:b/>
      <w:smallCap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eastAsia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eastAsia="Times New Roman"/>
      <w:i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 w:line="240" w:lineRule="auto"/>
      <w:jc w:val="center"/>
    </w:pPr>
    <w:rPr>
      <w:b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b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sz w:val="24"/>
    </w:rPr>
  </w:style>
  <w:style w:type="character" w:customStyle="1" w:styleId="TypedudocumentChar">
    <w:name w:val="Type du document Char"/>
    <w:basedOn w:val="DefaultParagraphFont"/>
    <w:link w:val="Typedudocument"/>
    <w:rPr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b w:val="0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sz w:val="24"/>
    </w:rPr>
  </w:style>
  <w:style w:type="character" w:customStyle="1" w:styleId="HeaderCoverPageChar">
    <w:name w:val="Header Cover Page Char"/>
    <w:basedOn w:val="TypedudocumentChar"/>
    <w:link w:val="HeaderCoverPage"/>
    <w:rPr>
      <w:b w:val="0"/>
      <w:sz w:val="24"/>
    </w:rPr>
  </w:style>
  <w:style w:type="character" w:customStyle="1" w:styleId="Heading1Char">
    <w:name w:val="Heading 1 Char"/>
    <w:basedOn w:val="DefaultParagraphFont"/>
    <w:link w:val="Heading1"/>
    <w:rPr>
      <w:rFonts w:eastAsia="Times New Roman"/>
      <w:b/>
      <w:small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Pr>
      <w:rFonts w:eastAsia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Pr>
      <w:rFonts w:eastAsia="Times New Roman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sz w:val="24"/>
      <w:szCs w:val="20"/>
    </w:rPr>
  </w:style>
  <w:style w:type="paragraph" w:customStyle="1" w:styleId="Text1">
    <w:name w:val="Text 1"/>
    <w:basedOn w:val="Normal"/>
    <w:pPr>
      <w:spacing w:after="240" w:line="240" w:lineRule="auto"/>
      <w:ind w:left="482"/>
      <w:jc w:val="both"/>
    </w:pPr>
    <w:rPr>
      <w:rFonts w:eastAsia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240" w:line="240" w:lineRule="auto"/>
      <w:ind w:left="357" w:hanging="357"/>
      <w:jc w:val="both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="Times New Roman"/>
      <w:sz w:val="20"/>
      <w:szCs w:val="20"/>
    </w:rPr>
  </w:style>
  <w:style w:type="paragraph" w:customStyle="1" w:styleId="NoteHead">
    <w:name w:val="NoteHead"/>
    <w:basedOn w:val="Normal"/>
    <w:next w:val="Normal"/>
    <w:pPr>
      <w:spacing w:before="720" w:after="720" w:line="240" w:lineRule="auto"/>
      <w:jc w:val="center"/>
    </w:pPr>
    <w:rPr>
      <w:rFonts w:eastAsia="Times New Roman"/>
      <w:b/>
      <w:smallCaps/>
      <w:sz w:val="24"/>
      <w:szCs w:val="20"/>
    </w:rPr>
  </w:style>
  <w:style w:type="character" w:styleId="FootnoteReference">
    <w:name w:val="footnote reference"/>
    <w:uiPriority w:val="99"/>
    <w:semiHidden/>
    <w:unhideWhenUsed/>
    <w:rPr>
      <w:shd w:val="clear" w:color="auto" w:fill="auto"/>
      <w:vertAlign w:val="superscript"/>
    </w:rPr>
  </w:style>
  <w:style w:type="character" w:styleId="Emphasis">
    <w:name w:val="Emphasis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pPr>
      <w:spacing w:after="240" w:line="240" w:lineRule="auto"/>
      <w:ind w:left="720"/>
      <w:contextualSpacing/>
      <w:jc w:val="both"/>
    </w:pPr>
    <w:rPr>
      <w:rFonts w:eastAsia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240" w:after="240" w:line="240" w:lineRule="auto"/>
      <w:jc w:val="both"/>
      <w:outlineLvl w:val="0"/>
    </w:pPr>
    <w:rPr>
      <w:rFonts w:eastAsia="Times New Roman"/>
      <w:b/>
      <w:smallCap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eastAsia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eastAsia="Times New Roman"/>
      <w:i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 w:line="240" w:lineRule="auto"/>
      <w:jc w:val="center"/>
    </w:pPr>
    <w:rPr>
      <w:b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b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sz w:val="24"/>
    </w:rPr>
  </w:style>
  <w:style w:type="character" w:customStyle="1" w:styleId="TypedudocumentChar">
    <w:name w:val="Type du document Char"/>
    <w:basedOn w:val="DefaultParagraphFont"/>
    <w:link w:val="Typedudocument"/>
    <w:rPr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b w:val="0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sz w:val="24"/>
    </w:rPr>
  </w:style>
  <w:style w:type="character" w:customStyle="1" w:styleId="HeaderCoverPageChar">
    <w:name w:val="Header Cover Page Char"/>
    <w:basedOn w:val="TypedudocumentChar"/>
    <w:link w:val="HeaderCoverPage"/>
    <w:rPr>
      <w:b w:val="0"/>
      <w:sz w:val="24"/>
    </w:rPr>
  </w:style>
  <w:style w:type="character" w:customStyle="1" w:styleId="Heading1Char">
    <w:name w:val="Heading 1 Char"/>
    <w:basedOn w:val="DefaultParagraphFont"/>
    <w:link w:val="Heading1"/>
    <w:rPr>
      <w:rFonts w:eastAsia="Times New Roman"/>
      <w:b/>
      <w:small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Pr>
      <w:rFonts w:eastAsia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Pr>
      <w:rFonts w:eastAsia="Times New Roman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sz w:val="24"/>
      <w:szCs w:val="20"/>
    </w:rPr>
  </w:style>
  <w:style w:type="paragraph" w:customStyle="1" w:styleId="Text1">
    <w:name w:val="Text 1"/>
    <w:basedOn w:val="Normal"/>
    <w:pPr>
      <w:spacing w:after="240" w:line="240" w:lineRule="auto"/>
      <w:ind w:left="482"/>
      <w:jc w:val="both"/>
    </w:pPr>
    <w:rPr>
      <w:rFonts w:eastAsia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240" w:line="240" w:lineRule="auto"/>
      <w:ind w:left="357" w:hanging="357"/>
      <w:jc w:val="both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="Times New Roman"/>
      <w:sz w:val="20"/>
      <w:szCs w:val="20"/>
    </w:rPr>
  </w:style>
  <w:style w:type="paragraph" w:customStyle="1" w:styleId="NoteHead">
    <w:name w:val="NoteHead"/>
    <w:basedOn w:val="Normal"/>
    <w:next w:val="Normal"/>
    <w:pPr>
      <w:spacing w:before="720" w:after="720" w:line="240" w:lineRule="auto"/>
      <w:jc w:val="center"/>
    </w:pPr>
    <w:rPr>
      <w:rFonts w:eastAsia="Times New Roman"/>
      <w:b/>
      <w:smallCaps/>
      <w:sz w:val="24"/>
      <w:szCs w:val="20"/>
    </w:rPr>
  </w:style>
  <w:style w:type="character" w:styleId="FootnoteReference">
    <w:name w:val="footnote reference"/>
    <w:uiPriority w:val="99"/>
    <w:semiHidden/>
    <w:unhideWhenUsed/>
    <w:rPr>
      <w:shd w:val="clear" w:color="auto" w:fill="auto"/>
      <w:vertAlign w:val="superscript"/>
    </w:rPr>
  </w:style>
  <w:style w:type="character" w:styleId="Emphasis">
    <w:name w:val="Emphasis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pPr>
      <w:spacing w:after="240" w:line="240" w:lineRule="auto"/>
      <w:ind w:left="720"/>
      <w:contextualSpacing/>
      <w:jc w:val="both"/>
    </w:pPr>
    <w:rPr>
      <w:rFonts w:eastAsia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EN/AUTO/?uri=OJ:L:2005:126:T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17B8-41A4-40AF-B3BF-51514DB0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2225</Words>
  <Characters>12083</Characters>
  <Application>Microsoft Office Word</Application>
  <DocSecurity>0</DocSecurity>
  <Lines>236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25</cp:revision>
  <dcterms:created xsi:type="dcterms:W3CDTF">2016-11-28T11:59:00Z</dcterms:created>
  <dcterms:modified xsi:type="dcterms:W3CDTF">2016-12-08T14:21:00Z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