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40028495"/>
      <w:bookmarkStart w:id="1" w:name="_Toc440614173"/>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1446AC649CC4B91950406EE720F328A" style="width:451pt;height:362.05pt">
            <v:imagedata r:id="rId12" o:title=""/>
          </v:shape>
        </w:pict>
      </w:r>
    </w:p>
    <w:bookmarkEnd w:id="2"/>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keepNext/>
        <w:keepLines/>
        <w:spacing w:before="360"/>
        <w:ind w:left="431" w:hanging="431"/>
        <w:outlineLvl w:val="0"/>
        <w:rPr>
          <w:rFonts w:ascii="Times New Roman" w:eastAsiaTheme="majorEastAsia" w:hAnsi="Times New Roman"/>
          <w:b/>
          <w:bCs/>
          <w:smallCaps/>
          <w:noProof/>
          <w:sz w:val="24"/>
          <w:szCs w:val="24"/>
        </w:rPr>
      </w:pPr>
      <w:bookmarkStart w:id="3" w:name="_GoBack"/>
      <w:bookmarkEnd w:id="3"/>
      <w:r>
        <w:rPr>
          <w:rFonts w:ascii="Times New Roman" w:eastAsiaTheme="majorEastAsia" w:hAnsi="Times New Roman"/>
          <w:b/>
          <w:smallCaps/>
          <w:noProof/>
          <w:sz w:val="24"/>
        </w:rPr>
        <w:lastRenderedPageBreak/>
        <w:t>1. Въведение: ангажимент на ЕС за устойчиво развитие</w:t>
      </w:r>
    </w:p>
    <w:p>
      <w:pPr>
        <w:autoSpaceDE w:val="0"/>
        <w:autoSpaceDN w:val="0"/>
        <w:adjustRightInd w:val="0"/>
        <w:spacing w:after="0"/>
        <w:rPr>
          <w:rFonts w:ascii="Times New Roman" w:hAnsi="Times New Roman"/>
          <w:noProof/>
          <w:sz w:val="24"/>
        </w:rPr>
      </w:pPr>
      <w:r>
        <w:rPr>
          <w:rFonts w:ascii="Times New Roman" w:hAnsi="Times New Roman"/>
          <w:noProof/>
          <w:sz w:val="24"/>
        </w:rPr>
        <w:t>Устойчивото развитие от дълго време е в основата на европейския проект. В Договорите за ЕС се признават икономическите, социалните и екологичните измерения на Съюза, които следва да бъдат разглеждани заедно. ЕС е решен да осигури развитие, което отговаря на нуждите на настоящето, без да излага на риск способността на бъдещите поколения да посрещат своите нужди. Същността на устойчивото развитие се състои в достоен живот за всички в рамките на възможностите на планетата, което съчетава икономически просперитет и ефективност, мирни общества, социално приобщаване и отговорност към околната среда.</w:t>
      </w:r>
    </w:p>
    <w:p>
      <w:pPr>
        <w:autoSpaceDE w:val="0"/>
        <w:autoSpaceDN w:val="0"/>
        <w:adjustRightInd w:val="0"/>
        <w:spacing w:after="0"/>
        <w:rPr>
          <w:rFonts w:ascii="Times New Roman" w:hAnsi="Times New Roman"/>
          <w:noProof/>
          <w:sz w:val="24"/>
        </w:rPr>
      </w:pPr>
    </w:p>
    <w:p>
      <w:pPr>
        <w:rPr>
          <w:rFonts w:ascii="Times New Roman" w:hAnsi="Times New Roman"/>
          <w:noProof/>
          <w:sz w:val="24"/>
          <w:szCs w:val="24"/>
        </w:rPr>
      </w:pPr>
      <w:r>
        <w:rPr>
          <w:rFonts w:ascii="Times New Roman" w:hAnsi="Times New Roman"/>
          <w:noProof/>
          <w:sz w:val="24"/>
        </w:rPr>
        <w:t>Европейските общества днес се сблъскват с редица предизвикателства, свързани с устойчивостта — от младежка безработица до застаряване на населението, климатични промени,</w:t>
      </w:r>
      <w:r>
        <w:rPr>
          <w:noProof/>
        </w:rPr>
        <w:t xml:space="preserve"> </w:t>
      </w:r>
      <w:r>
        <w:rPr>
          <w:rFonts w:ascii="Times New Roman" w:hAnsi="Times New Roman"/>
          <w:noProof/>
          <w:sz w:val="24"/>
        </w:rPr>
        <w:t>замърсяване, устойчива енергия и миграция. Трябва да се справим с настоящите предизвикателства и да се подготвим за бъдещето, като реагираме на темпото и сложността на глобалните промени и нуждите на увеличаващото се световно население. За да бъде запазен европейският социален модел и социалното сближаване, е важно да инвестираме в нашите млади хора, да насърчаваме приобщаващия и устойчив растеж, да премахнем неравнопоставеността и да управляваме добре миграцията. Стремежът към отговорни фискални политики и осъществяването на реформи ще засилят устойчивостта на нашите здравни и пенсионни системи. За да бъде запазен природният ни капитал, е изключително важно да се ускори преходът към нисковъглеродна и устойчива на изменението на климата кръгова икономика с ефективно използване на ресурсите. За да могат тези предизвикателства да се превърнат във възможности за нови предприятия и нови работни места, е необходима сериозна ангажираност в областта на научните изследвания и иновациите.</w:t>
      </w:r>
    </w:p>
    <w:p>
      <w:pPr>
        <w:autoSpaceDE w:val="0"/>
        <w:autoSpaceDN w:val="0"/>
        <w:adjustRightInd w:val="0"/>
        <w:rPr>
          <w:rFonts w:ascii="Times New Roman" w:hAnsi="Times New Roman"/>
          <w:noProof/>
          <w:sz w:val="24"/>
          <w:szCs w:val="24"/>
        </w:rPr>
      </w:pPr>
      <w:r>
        <w:rPr>
          <w:rFonts w:ascii="Times New Roman" w:hAnsi="Times New Roman"/>
          <w:noProof/>
          <w:sz w:val="24"/>
        </w:rPr>
        <w:t>ЕС разполага със солидна изходна позиция и опит, високо ниво на икономическо развитие, социално сближаване, демократични общества и ангажимент за устойчиво развитие, който е силно застъпен в европейските Договори</w:t>
      </w:r>
      <w:r>
        <w:rPr>
          <w:rStyle w:val="FootnoteReference"/>
          <w:rFonts w:ascii="Times New Roman" w:hAnsi="Times New Roman"/>
          <w:noProof/>
          <w:sz w:val="24"/>
        </w:rPr>
        <w:footnoteReference w:id="2"/>
      </w:r>
      <w:r>
        <w:rPr>
          <w:rFonts w:ascii="Times New Roman" w:hAnsi="Times New Roman"/>
          <w:noProof/>
          <w:sz w:val="24"/>
        </w:rPr>
        <w:t>. В Договора за Европейския съюз</w:t>
      </w:r>
      <w:r>
        <w:rPr>
          <w:rStyle w:val="FootnoteReference"/>
          <w:rFonts w:ascii="Times New Roman" w:hAnsi="Times New Roman"/>
          <w:noProof/>
          <w:sz w:val="24"/>
        </w:rPr>
        <w:footnoteReference w:id="3"/>
      </w:r>
      <w:r>
        <w:rPr>
          <w:rFonts w:ascii="Times New Roman" w:hAnsi="Times New Roman"/>
          <w:noProof/>
          <w:sz w:val="24"/>
        </w:rPr>
        <w:t xml:space="preserve"> се изисква Съюзът да гарантира съгласуваност между различните области на външната си дейност, както и между тези области и другите политики на Съюза. </w:t>
      </w:r>
    </w:p>
    <w:p>
      <w:pPr>
        <w:autoSpaceDE w:val="0"/>
        <w:autoSpaceDN w:val="0"/>
        <w:adjustRightInd w:val="0"/>
        <w:rPr>
          <w:rFonts w:ascii="Times New Roman" w:hAnsi="Times New Roman"/>
          <w:noProof/>
          <w:sz w:val="24"/>
          <w:szCs w:val="24"/>
        </w:rPr>
      </w:pPr>
      <w:r>
        <w:rPr>
          <w:rFonts w:ascii="Times New Roman" w:hAnsi="Times New Roman"/>
          <w:noProof/>
          <w:sz w:val="24"/>
        </w:rPr>
        <w:t>При настоящата Комисия устойчивото развитие е интегрирано в ключови междусекторни проекти, както и в секторни политики и инициативи. В миналото, през 2001 г., беше стартирана стратегия на ЕС за устойчиво развитие</w:t>
      </w:r>
      <w:r>
        <w:rPr>
          <w:rStyle w:val="FootnoteReference"/>
          <w:rFonts w:ascii="Times New Roman" w:hAnsi="Times New Roman"/>
          <w:noProof/>
          <w:sz w:val="24"/>
        </w:rPr>
        <w:footnoteReference w:id="4"/>
      </w:r>
      <w:r>
        <w:rPr>
          <w:rFonts w:ascii="Times New Roman" w:hAnsi="Times New Roman"/>
          <w:noProof/>
          <w:sz w:val="24"/>
        </w:rPr>
        <w:t>, която беше преработена през 2006 г.</w:t>
      </w:r>
      <w:r>
        <w:rPr>
          <w:rStyle w:val="FootnoteReference"/>
          <w:rFonts w:ascii="Times New Roman" w:hAnsi="Times New Roman"/>
          <w:noProof/>
          <w:sz w:val="24"/>
        </w:rPr>
        <w:footnoteReference w:id="5"/>
      </w:r>
      <w:r>
        <w:rPr>
          <w:rFonts w:ascii="Times New Roman" w:hAnsi="Times New Roman"/>
          <w:noProof/>
          <w:sz w:val="24"/>
        </w:rPr>
        <w:t xml:space="preserve"> и преразгледана през 2009 г.</w:t>
      </w:r>
      <w:r>
        <w:rPr>
          <w:rStyle w:val="FootnoteReference"/>
          <w:rFonts w:ascii="Times New Roman" w:hAnsi="Times New Roman"/>
          <w:noProof/>
          <w:sz w:val="24"/>
        </w:rPr>
        <w:footnoteReference w:id="6"/>
      </w:r>
      <w:r>
        <w:rPr>
          <w:rFonts w:ascii="Times New Roman" w:hAnsi="Times New Roman"/>
          <w:noProof/>
          <w:sz w:val="24"/>
        </w:rPr>
        <w:t>. От 2010 г. насам устойчивото развитие е включено в стратегията „Европа 2020“</w:t>
      </w:r>
      <w:r>
        <w:rPr>
          <w:rStyle w:val="FootnoteReference"/>
          <w:rFonts w:ascii="Times New Roman" w:hAnsi="Times New Roman"/>
          <w:noProof/>
          <w:sz w:val="24"/>
        </w:rPr>
        <w:footnoteReference w:id="7"/>
      </w:r>
      <w:r>
        <w:rPr>
          <w:rFonts w:ascii="Times New Roman" w:hAnsi="Times New Roman"/>
          <w:noProof/>
          <w:sz w:val="24"/>
        </w:rPr>
        <w:t xml:space="preserve">, потвърдена от настоящата Комисия и основаваща се на образование и иновации („интелигентна“), ниски нива на въглеродни емисии, устойчивост спрямо изменението на климата и въздействие върху околната среда („устойчива“) и създаване на работни места и намаляване на бедността („приобщаваща“). </w:t>
      </w:r>
    </w:p>
    <w:p>
      <w:pPr>
        <w:rPr>
          <w:rFonts w:ascii="Times New Roman" w:hAnsi="Times New Roman"/>
          <w:b/>
          <w:noProof/>
          <w:sz w:val="24"/>
          <w:szCs w:val="24"/>
        </w:rPr>
      </w:pPr>
      <w:r>
        <w:rPr>
          <w:rFonts w:ascii="Times New Roman" w:hAnsi="Times New Roman"/>
          <w:b/>
          <w:noProof/>
          <w:sz w:val="24"/>
        </w:rPr>
        <w:t>1.1 Програма за устойчиво развитие и цели за устойчиво развитие (ЦУР) до 2030 г.</w:t>
      </w:r>
    </w:p>
    <w:p>
      <w:pPr>
        <w:pBdr>
          <w:top w:val="nil"/>
          <w:left w:val="nil"/>
          <w:bottom w:val="nil"/>
          <w:right w:val="nil"/>
          <w:between w:val="nil"/>
          <w:bar w:val="nil"/>
        </w:pBdr>
        <w:spacing w:after="0"/>
        <w:rPr>
          <w:rFonts w:ascii="Times New Roman" w:eastAsia="Arial Unicode MS" w:hAnsi="Times New Roman" w:cs="Arial Unicode MS"/>
          <w:noProof/>
          <w:sz w:val="24"/>
          <w:szCs w:val="24"/>
          <w:bdr w:val="nil"/>
        </w:rPr>
      </w:pPr>
      <w:r>
        <w:rPr>
          <w:rFonts w:ascii="Times New Roman" w:hAnsi="Times New Roman"/>
          <w:noProof/>
          <w:sz w:val="24"/>
          <w:bdr w:val="nil"/>
        </w:rPr>
        <w:t>2015 година е посочена като определяща за устойчивото развитие в цял свят. На 70-то Общо събрание на ООН на 25 септември 2015 г. световните лидери приеха нова глобална рамка за устойчиво развитие, а именно Програмата за устойчиво развитие до 2030 г. (наричана по-нататък „Програмата до 2030 г.“)</w:t>
      </w:r>
      <w:r>
        <w:rPr>
          <w:rStyle w:val="FootnoteReference"/>
          <w:rFonts w:ascii="Times New Roman" w:hAnsi="Times New Roman"/>
          <w:noProof/>
          <w:sz w:val="24"/>
          <w:bdr w:val="nil"/>
        </w:rPr>
        <w:footnoteReference w:id="8"/>
      </w:r>
      <w:r>
        <w:rPr>
          <w:rFonts w:ascii="Times New Roman" w:hAnsi="Times New Roman"/>
          <w:noProof/>
          <w:sz w:val="24"/>
          <w:bdr w:val="nil"/>
        </w:rPr>
        <w:t>, в основата на която са залегнали целите за устойчиво развитие (ЦУР). През същата година бяха одобрени Споразумението за климата от Париж (COP21)</w:t>
      </w:r>
      <w:r>
        <w:rPr>
          <w:rStyle w:val="FootnoteReference"/>
          <w:rFonts w:ascii="Times New Roman" w:hAnsi="Times New Roman"/>
          <w:noProof/>
          <w:sz w:val="24"/>
          <w:bdr w:val="nil"/>
        </w:rPr>
        <w:footnoteReference w:id="9"/>
      </w:r>
      <w:r>
        <w:rPr>
          <w:rFonts w:ascii="Times New Roman" w:hAnsi="Times New Roman"/>
          <w:noProof/>
          <w:sz w:val="24"/>
          <w:bdr w:val="nil"/>
        </w:rPr>
        <w:t>, програмата за действие от Адис Абеба</w:t>
      </w:r>
      <w:r>
        <w:rPr>
          <w:rStyle w:val="FootnoteReference"/>
          <w:rFonts w:ascii="Times New Roman" w:hAnsi="Times New Roman"/>
          <w:noProof/>
          <w:sz w:val="24"/>
          <w:bdr w:val="nil"/>
        </w:rPr>
        <w:footnoteReference w:id="10"/>
      </w:r>
      <w:r>
        <w:rPr>
          <w:rFonts w:ascii="Times New Roman" w:hAnsi="Times New Roman"/>
          <w:noProof/>
          <w:sz w:val="24"/>
          <w:bdr w:val="nil"/>
        </w:rPr>
        <w:t xml:space="preserve"> като неразделна част от Програмата до 2030 г. и Рамката от Сендай за намаляване на риска от бедствия</w:t>
      </w:r>
      <w:r>
        <w:rPr>
          <w:rStyle w:val="FootnoteReference"/>
          <w:rFonts w:ascii="Times New Roman" w:hAnsi="Times New Roman"/>
          <w:noProof/>
          <w:sz w:val="24"/>
          <w:bdr w:val="nil"/>
        </w:rPr>
        <w:footnoteReference w:id="11"/>
      </w:r>
      <w:r>
        <w:rPr>
          <w:rFonts w:ascii="Times New Roman" w:hAnsi="Times New Roman"/>
          <w:noProof/>
          <w:sz w:val="24"/>
          <w:bdr w:val="nil"/>
        </w:rPr>
        <w:t xml:space="preserve">. </w:t>
      </w:r>
    </w:p>
    <w:p>
      <w:pPr>
        <w:pBdr>
          <w:top w:val="nil"/>
          <w:left w:val="nil"/>
          <w:bottom w:val="nil"/>
          <w:right w:val="nil"/>
          <w:between w:val="nil"/>
          <w:bar w:val="nil"/>
        </w:pBdr>
        <w:spacing w:after="0"/>
        <w:rPr>
          <w:rFonts w:ascii="Times New Roman" w:eastAsia="Arial Unicode MS" w:hAnsi="Times New Roman" w:cs="Arial Unicode MS"/>
          <w:noProof/>
          <w:sz w:val="24"/>
          <w:szCs w:val="24"/>
          <w:bdr w:val="nil"/>
        </w:rPr>
      </w:pPr>
    </w:p>
    <w:p>
      <w:pPr>
        <w:pBdr>
          <w:top w:val="nil"/>
          <w:left w:val="nil"/>
          <w:bottom w:val="nil"/>
          <w:right w:val="nil"/>
          <w:between w:val="nil"/>
          <w:bar w:val="nil"/>
        </w:pBdr>
        <w:spacing w:after="0"/>
        <w:rPr>
          <w:rFonts w:ascii="Times New Roman" w:eastAsia="Arial Unicode MS" w:hAnsi="Times New Roman" w:cs="Arial Unicode MS"/>
          <w:noProof/>
          <w:sz w:val="24"/>
          <w:szCs w:val="24"/>
          <w:bdr w:val="none" w:sz="0" w:space="0" w:color="auto" w:frame="1"/>
        </w:rPr>
      </w:pPr>
      <w:r>
        <w:rPr>
          <w:rFonts w:ascii="Times New Roman" w:hAnsi="Times New Roman"/>
          <w:noProof/>
          <w:sz w:val="24"/>
          <w:bdr w:val="nil"/>
        </w:rPr>
        <w:t>ЕС имаше основна роля за оформяне на глобалната Програма до 2030 г., която е в пълно съответствие с визията на Европа и се превърна в световна концепция относно глобалното устойчиво развитие. Програмата до 2030 г. представлява ангажимент за изкореняване на бедността и постигане на устойчиво развитие до 2030 г. в световен мащаб, като се гарантира, че никой не е забравен. 17-те ЦУР и свързаните с тях 169 задачи са глобални по своето естество, общоприложими и взаимосвързани. Всички държави, развити и развиващи се, носят споделена отговорност за постигането на ЦУР. Програмата до 2030 г. интегрира по балансиран начин трите измерения на устойчивото развитие — икономическо, социално и екологично — и</w:t>
      </w:r>
      <w:r>
        <w:rPr>
          <w:rFonts w:ascii="Times New Roman" w:hAnsi="Times New Roman"/>
          <w:noProof/>
          <w:sz w:val="24"/>
          <w:bdr w:val="none" w:sz="0" w:space="0" w:color="auto" w:frame="1"/>
        </w:rPr>
        <w:t xml:space="preserve"> отразява за първи път международен консенсус, че мирът, сигурността, справедливостта за всички и социалното приобщаване не трябва да са само отделни цели, а да се подсилват взаимно. </w:t>
      </w:r>
    </w:p>
    <w:p>
      <w:pPr>
        <w:pBdr>
          <w:top w:val="nil"/>
          <w:left w:val="nil"/>
          <w:bottom w:val="nil"/>
          <w:right w:val="nil"/>
          <w:between w:val="nil"/>
          <w:bar w:val="nil"/>
        </w:pBdr>
        <w:spacing w:after="0"/>
        <w:rPr>
          <w:rFonts w:ascii="Times New Roman" w:eastAsia="Arial Unicode MS" w:hAnsi="Times New Roman" w:cs="Arial Unicode MS"/>
          <w:noProof/>
          <w:sz w:val="24"/>
          <w:szCs w:val="24"/>
          <w:bdr w:val="none" w:sz="0" w:space="0" w:color="auto" w:frame="1"/>
        </w:rPr>
      </w:pPr>
    </w:p>
    <w:p>
      <w:pPr>
        <w:autoSpaceDE w:val="0"/>
        <w:autoSpaceDN w:val="0"/>
        <w:adjustRightInd w:val="0"/>
        <w:rPr>
          <w:rFonts w:ascii="Times New Roman" w:eastAsia="Arial Unicode MS" w:hAnsi="Times New Roman" w:cs="Arial Unicode MS"/>
          <w:noProof/>
          <w:sz w:val="24"/>
          <w:szCs w:val="24"/>
          <w:bdr w:val="nil"/>
        </w:rPr>
      </w:pPr>
      <w:r>
        <w:rPr>
          <w:rFonts w:ascii="Times New Roman" w:hAnsi="Times New Roman"/>
          <w:noProof/>
          <w:sz w:val="24"/>
          <w:bdr w:val="nil"/>
        </w:rPr>
        <w:t xml:space="preserve">Програмата до 2030 г. се основава на глобално партньорство с участието на всички заинтересовани страни, изисква мобилизация на всички средства за изпълнение и стабилно проследяване и механизъм за преглед, за да се гарантира напредък и отчетност. </w:t>
      </w:r>
      <w:r>
        <w:rPr>
          <w:rFonts w:ascii="Times New Roman" w:hAnsi="Times New Roman"/>
          <w:noProof/>
          <w:sz w:val="24"/>
        </w:rPr>
        <w:t>17-те ЦУР включват качествени и количествени цели</w:t>
      </w:r>
      <w:r>
        <w:rPr>
          <w:noProof/>
        </w:rPr>
        <w:t xml:space="preserve"> </w:t>
      </w:r>
      <w:r>
        <w:rPr>
          <w:rFonts w:ascii="Times New Roman" w:hAnsi="Times New Roman"/>
          <w:noProof/>
          <w:sz w:val="24"/>
        </w:rPr>
        <w:t xml:space="preserve">за следващите 15 години, за да се подготвим за бъдещето и да работим за осигуряването на човешко достойнство, стабилност, здравословна околна среда, справедливи и устойчиви общества и благоденстващи икономики. Те спомагат за насочване на процеса на сближаване между държавите членки, в рамките на обществата и с останалата част от света. </w:t>
      </w:r>
    </w:p>
    <w:p>
      <w:pPr>
        <w:autoSpaceDE w:val="0"/>
        <w:autoSpaceDN w:val="0"/>
        <w:adjustRightInd w:val="0"/>
        <w:rPr>
          <w:rFonts w:ascii="Times New Roman" w:hAnsi="Times New Roman"/>
          <w:b/>
          <w:noProof/>
          <w:sz w:val="24"/>
          <w:szCs w:val="24"/>
        </w:rPr>
      </w:pPr>
      <w:r>
        <w:rPr>
          <w:rFonts w:ascii="Times New Roman" w:hAnsi="Times New Roman"/>
          <w:b/>
          <w:noProof/>
          <w:sz w:val="24"/>
        </w:rPr>
        <w:t>1.2 Следващи стъпки за устойчиво европейско бъдеще</w:t>
      </w:r>
    </w:p>
    <w:p>
      <w:pPr>
        <w:pBdr>
          <w:top w:val="nil"/>
          <w:left w:val="nil"/>
          <w:bottom w:val="nil"/>
          <w:right w:val="nil"/>
          <w:between w:val="nil"/>
          <w:bar w:val="nil"/>
        </w:pBdr>
        <w:spacing w:after="0"/>
        <w:rPr>
          <w:rFonts w:ascii="Times New Roman" w:eastAsia="Arial Unicode MS" w:hAnsi="Times New Roman" w:cs="Arial Unicode MS"/>
          <w:b/>
          <w:noProof/>
          <w:sz w:val="24"/>
          <w:szCs w:val="24"/>
          <w:bdr w:val="nil"/>
        </w:rPr>
      </w:pPr>
      <w:r>
        <w:rPr>
          <w:rFonts w:ascii="Times New Roman" w:hAnsi="Times New Roman"/>
          <w:noProof/>
          <w:sz w:val="24"/>
          <w:bdr w:val="nil"/>
        </w:rPr>
        <w:t xml:space="preserve">ЕС е твърдо решен да има водеща роля в прилагането на Програмата до 2030 г. и в постигането на ЦУР заедно със своите държави членки в съответствие с принципа на субсидиарност. </w:t>
      </w:r>
      <w:r>
        <w:rPr>
          <w:rFonts w:ascii="Times New Roman" w:hAnsi="Times New Roman"/>
          <w:noProof/>
          <w:sz w:val="24"/>
        </w:rPr>
        <w:t>Програмата до 2030 г. допълнително ще насърчи общ подход между външната дейност на ЕС и другите му политики, както и съгласуваност между различните финансови инструменти на ЕС.</w:t>
      </w:r>
    </w:p>
    <w:p>
      <w:pPr>
        <w:pBdr>
          <w:top w:val="nil"/>
          <w:left w:val="nil"/>
          <w:bottom w:val="nil"/>
          <w:right w:val="nil"/>
          <w:between w:val="nil"/>
          <w:bar w:val="nil"/>
        </w:pBdr>
        <w:spacing w:after="0"/>
        <w:rPr>
          <w:rFonts w:ascii="Times New Roman" w:eastAsia="Arial Unicode MS" w:hAnsi="Times New Roman" w:cs="Arial Unicode MS"/>
          <w:noProof/>
          <w:sz w:val="24"/>
          <w:szCs w:val="24"/>
          <w:bdr w:val="nil"/>
        </w:rPr>
      </w:pPr>
    </w:p>
    <w:p>
      <w:pPr>
        <w:autoSpaceDE w:val="0"/>
        <w:autoSpaceDN w:val="0"/>
        <w:adjustRightInd w:val="0"/>
        <w:rPr>
          <w:rFonts w:ascii="Times New Roman" w:hAnsi="Times New Roman"/>
          <w:noProof/>
          <w:sz w:val="24"/>
        </w:rPr>
      </w:pPr>
      <w:r>
        <w:rPr>
          <w:rFonts w:ascii="Times New Roman" w:hAnsi="Times New Roman"/>
          <w:noProof/>
          <w:sz w:val="24"/>
        </w:rPr>
        <w:t xml:space="preserve">Отговорът на ЕС във връзка с Програмата до 2030 г. ще включва две работни направления. Първото работно направление, представено в настоящото съобщение, включва цялостно интегриране на ЦУР в европейската политическа рамка и настоящите приоритети на Комисията, преценка къде се намираме и идентифициране на най-значимите опасения във връзка с устойчивостта. Второто направление ще инициира размисъл върху по-нататъшното развитие на по-дългосрочната ни визия и целта на секторните политики след 2020 г. като подготовка за дългосрочното изпълнение на ЦУР. Новата многогодишна финансова рамка след 2020 г. ще пренасочи също така вноски в бюджета на ЕС към постигането на дългосрочните цели на ЕС. </w:t>
      </w:r>
    </w:p>
    <w:p>
      <w:pPr>
        <w:keepNext/>
        <w:keepLines/>
        <w:spacing w:before="480"/>
        <w:ind w:left="432" w:hanging="432"/>
        <w:outlineLvl w:val="0"/>
        <w:rPr>
          <w:rFonts w:ascii="Times New Roman" w:eastAsiaTheme="majorEastAsia" w:hAnsi="Times New Roman"/>
          <w:b/>
          <w:bCs/>
          <w:smallCaps/>
          <w:noProof/>
          <w:sz w:val="24"/>
          <w:szCs w:val="24"/>
        </w:rPr>
      </w:pPr>
      <w:r>
        <w:rPr>
          <w:rFonts w:ascii="Times New Roman" w:eastAsiaTheme="majorEastAsia" w:hAnsi="Times New Roman"/>
          <w:b/>
          <w:smallCaps/>
          <w:noProof/>
          <w:sz w:val="24"/>
        </w:rPr>
        <w:t>2. Европейският отговор на Програмата до 2030 г.</w:t>
      </w:r>
    </w:p>
    <w:p>
      <w:pPr>
        <w:rPr>
          <w:rFonts w:ascii="Times New Roman" w:hAnsi="Times New Roman"/>
          <w:noProof/>
          <w:sz w:val="24"/>
        </w:rPr>
      </w:pPr>
      <w:r>
        <w:rPr>
          <w:rFonts w:ascii="Times New Roman" w:hAnsi="Times New Roman"/>
          <w:noProof/>
          <w:sz w:val="24"/>
        </w:rPr>
        <w:t>В Програмата до 2030 г. се дава възможност на ЕС да обвърже стабилно стратегическата си ориентация с глобалните усилия за изграждане на устойчиво бъдеще, което Съюзът е начертал заедно със своите партньори. ЦУР вече са заложени в много от политиките на ЕС и са интегрирани във всички от десетте приоритета на Комисията.</w:t>
      </w:r>
    </w:p>
    <w:p>
      <w:pPr>
        <w:rPr>
          <w:rFonts w:ascii="Times New Roman" w:hAnsi="Times New Roman"/>
          <w:b/>
          <w:noProof/>
          <w:sz w:val="24"/>
        </w:rPr>
      </w:pPr>
      <w:r>
        <w:rPr>
          <w:rFonts w:ascii="Times New Roman" w:hAnsi="Times New Roman"/>
          <w:b/>
          <w:noProof/>
          <w:sz w:val="24"/>
        </w:rPr>
        <w:t>2.1 Планиране на европейските политики, допринасящи за ЦУР</w:t>
      </w:r>
    </w:p>
    <w:p>
      <w:pPr>
        <w:spacing w:after="120"/>
        <w:rPr>
          <w:rFonts w:ascii="Times New Roman" w:hAnsi="Times New Roman"/>
          <w:noProof/>
          <w:sz w:val="24"/>
        </w:rPr>
      </w:pPr>
      <w:r>
        <w:rPr>
          <w:rFonts w:ascii="Times New Roman" w:hAnsi="Times New Roman"/>
          <w:noProof/>
          <w:sz w:val="24"/>
        </w:rPr>
        <w:t>Пълен преглед на това как европейските</w:t>
      </w:r>
      <w:r>
        <w:rPr>
          <w:rFonts w:ascii="Times New Roman" w:hAnsi="Times New Roman"/>
          <w:b/>
          <w:noProof/>
          <w:sz w:val="24"/>
        </w:rPr>
        <w:t xml:space="preserve"> </w:t>
      </w:r>
      <w:r>
        <w:rPr>
          <w:rFonts w:ascii="Times New Roman" w:hAnsi="Times New Roman"/>
          <w:noProof/>
          <w:sz w:val="24"/>
        </w:rPr>
        <w:t xml:space="preserve">политики и действия допринасят за целите за устойчиво развитие в рамките на ЕС и чрез външната дейност на ЕС е представен в работния документ на службите на Комисията, придружаващ настоящото съобщение. За всяка от 17-те ЦУР са обобщени най-подходящите действия, които предприема Европейският съюз. </w:t>
      </w:r>
    </w:p>
    <w:p>
      <w:pPr>
        <w:rPr>
          <w:rFonts w:ascii="Times New Roman" w:hAnsi="Times New Roman"/>
          <w:noProof/>
          <w:sz w:val="24"/>
        </w:rPr>
      </w:pPr>
      <w:r>
        <w:rPr>
          <w:rFonts w:ascii="Times New Roman" w:hAnsi="Times New Roman"/>
          <w:noProof/>
          <w:sz w:val="24"/>
        </w:rPr>
        <w:t xml:space="preserve">Това планиране показва, че настоящите политики на ЕС са насочени към всичките 17 цели. Стратегията „Европа 2020“ има важна роля за изпълнението на някои от ЦУР. Въпреки че Европа може да посочи добри постижения и напредък по всички цели, за цялостното изпълнение на Програмата до 2030 г. ще се изисква засилено изпълнение и допълнителни целенасочени действия във всички области до 2030 г. </w:t>
      </w:r>
    </w:p>
    <w:p>
      <w:pPr>
        <w:rPr>
          <w:rFonts w:ascii="Times New Roman" w:hAnsi="Times New Roman"/>
          <w:noProof/>
          <w:sz w:val="24"/>
        </w:rPr>
      </w:pPr>
      <w:r>
        <w:rPr>
          <w:rFonts w:ascii="Times New Roman" w:hAnsi="Times New Roman"/>
          <w:noProof/>
          <w:sz w:val="24"/>
        </w:rPr>
        <w:t xml:space="preserve">Инструментите, използвани за изпълнение на индивидуалните ЦУР, зависят също така от начина на разпределение на отговорностите между ЕС и държавите членки. </w:t>
      </w:r>
    </w:p>
    <w:p>
      <w:pPr>
        <w:rPr>
          <w:rFonts w:ascii="Times New Roman" w:hAnsi="Times New Roman"/>
          <w:noProof/>
          <w:sz w:val="24"/>
        </w:rPr>
      </w:pPr>
      <w:r>
        <w:rPr>
          <w:rFonts w:ascii="Times New Roman" w:hAnsi="Times New Roman"/>
          <w:noProof/>
          <w:sz w:val="24"/>
        </w:rPr>
        <w:t>Някои от основните действия, допринасящи за постигане на ЦУР в рамките на ЕС, включват:</w:t>
      </w:r>
    </w:p>
    <w:p>
      <w:pPr>
        <w:rPr>
          <w:rFonts w:ascii="Times New Roman" w:hAnsi="Times New Roman"/>
          <w:noProof/>
          <w:sz w:val="24"/>
        </w:rPr>
      </w:pPr>
      <w:r>
        <w:rPr>
          <w:rFonts w:ascii="Times New Roman" w:hAnsi="Times New Roman"/>
          <w:noProof/>
          <w:sz w:val="24"/>
        </w:rPr>
        <w:t xml:space="preserve">По отношение на </w:t>
      </w:r>
      <w:r>
        <w:rPr>
          <w:rFonts w:ascii="Times New Roman" w:hAnsi="Times New Roman"/>
          <w:i/>
          <w:noProof/>
          <w:sz w:val="24"/>
          <w:u w:val="single"/>
        </w:rPr>
        <w:t>ЦУР 1 „Премахване на бедността във всичките ѝ форми навсякъде“,</w:t>
      </w:r>
      <w:r>
        <w:rPr>
          <w:rFonts w:ascii="Times New Roman" w:hAnsi="Times New Roman"/>
          <w:i/>
          <w:noProof/>
          <w:sz w:val="24"/>
        </w:rPr>
        <w:t xml:space="preserve"> </w:t>
      </w:r>
      <w:r>
        <w:rPr>
          <w:rFonts w:ascii="Times New Roman" w:hAnsi="Times New Roman"/>
          <w:noProof/>
          <w:sz w:val="24"/>
        </w:rPr>
        <w:t>ролята на Европейския съюз във вътрешен план</w:t>
      </w:r>
      <w:r>
        <w:rPr>
          <w:noProof/>
        </w:rPr>
        <w:t xml:space="preserve"> </w:t>
      </w:r>
      <w:r>
        <w:rPr>
          <w:rFonts w:ascii="Times New Roman" w:hAnsi="Times New Roman"/>
          <w:noProof/>
          <w:sz w:val="24"/>
        </w:rPr>
        <w:t xml:space="preserve">в съответствие с принципа на субсидиарност се състои главно в подкрепа на държавите членки в борбата срещу бедността, за да им помогне да постигнат водещата цел по отношение на бедността, заложена в стратегията „Европа 2020“, в контекст на криза, която е засегнала напредъка към целта. </w:t>
      </w:r>
    </w:p>
    <w:p>
      <w:pPr>
        <w:rPr>
          <w:rFonts w:ascii="Times New Roman" w:hAnsi="Times New Roman"/>
          <w:noProof/>
          <w:sz w:val="24"/>
        </w:rPr>
      </w:pPr>
      <w:r>
        <w:rPr>
          <w:rFonts w:ascii="Times New Roman" w:hAnsi="Times New Roman"/>
          <w:noProof/>
          <w:sz w:val="24"/>
        </w:rPr>
        <w:t>По отношение на</w:t>
      </w:r>
      <w:r>
        <w:rPr>
          <w:rFonts w:ascii="Times New Roman" w:hAnsi="Times New Roman"/>
          <w:i/>
          <w:noProof/>
          <w:sz w:val="24"/>
        </w:rPr>
        <w:t xml:space="preserve"> </w:t>
      </w:r>
      <w:r>
        <w:rPr>
          <w:rFonts w:ascii="Times New Roman" w:hAnsi="Times New Roman"/>
          <w:i/>
          <w:noProof/>
          <w:sz w:val="24"/>
          <w:u w:val="single"/>
        </w:rPr>
        <w:t>ЦУР 2 „Премахване на глада, постигане на продоволствена сигурност и подобряване на храненето, както и насърчаване на устойчивото селско стопанство“</w:t>
      </w:r>
      <w:r>
        <w:rPr>
          <w:rFonts w:ascii="Times New Roman" w:hAnsi="Times New Roman"/>
          <w:i/>
          <w:noProof/>
          <w:sz w:val="24"/>
        </w:rPr>
        <w:t xml:space="preserve">, </w:t>
      </w:r>
      <w:r>
        <w:rPr>
          <w:rFonts w:ascii="Times New Roman" w:hAnsi="Times New Roman"/>
          <w:noProof/>
          <w:sz w:val="24"/>
        </w:rPr>
        <w:t>в рамките на реформираната Обща селскостопанска политика (ОСП) са определени три цели, които продължават да бъдат много актуални и приоритетни в програмата: стабилно производство на храни, устойчиво управление на природните ресурси и действията, свързани с климата, и балансирано териториално развитие. По същия начин реформираната обща политика в областта на рибарството има за цел да допринесе за устойчивото снабдяване с храни чрез устойчиви дейности</w:t>
      </w:r>
      <w:r>
        <w:rPr>
          <w:noProof/>
        </w:rPr>
        <w:t xml:space="preserve"> </w:t>
      </w:r>
      <w:r>
        <w:rPr>
          <w:rFonts w:ascii="Times New Roman" w:hAnsi="Times New Roman"/>
          <w:noProof/>
          <w:sz w:val="24"/>
        </w:rPr>
        <w:t>в областта на риболова и аквакултурите. Чрез Фонда за европейско подпомагане на най-нуждаещите се лица ЕС подкрепя действията на държавите членки за осигуряване на достатъчно количество безопасна и питателна храна на най-нуждаещите се хора. Тези политики са допълнени от научноизследователски и иновационни дейности в областта на продоволствената и хранителната сигурност, като например FOOD 2030.</w:t>
      </w:r>
    </w:p>
    <w:p>
      <w:pPr>
        <w:rPr>
          <w:rFonts w:ascii="Times New Roman" w:hAnsi="Times New Roman"/>
          <w:noProof/>
          <w:sz w:val="24"/>
        </w:rPr>
      </w:pPr>
      <w:r>
        <w:rPr>
          <w:rFonts w:ascii="Times New Roman" w:hAnsi="Times New Roman"/>
          <w:noProof/>
          <w:sz w:val="24"/>
        </w:rPr>
        <w:t xml:space="preserve">По отношение на </w:t>
      </w:r>
      <w:r>
        <w:rPr>
          <w:rFonts w:ascii="Times New Roman" w:hAnsi="Times New Roman"/>
          <w:i/>
          <w:noProof/>
          <w:sz w:val="24"/>
          <w:u w:val="single"/>
        </w:rPr>
        <w:t>ЦУР 3 „Осигуряване на здравословен начин на живот и насърчаване на благоденствието за всички хора от всички възрастови групи“</w:t>
      </w:r>
      <w:r>
        <w:rPr>
          <w:rFonts w:ascii="Times New Roman" w:hAnsi="Times New Roman"/>
          <w:noProof/>
          <w:sz w:val="24"/>
        </w:rPr>
        <w:t>, ЕС допълва действията на държавите членки чрез законодателни и други инициативи в областта на общественото здраве, здравните системи и здравните проблеми, свързани с околната среда (включително качество на въздуха, химикали и отпадъци). Здравето е важно за индивидуалното благосъстояние на хората и за създаване на устойчива икономика, тъй като е от ключово значение за подобряване на участието на пазара на труда и производителността</w:t>
      </w:r>
      <w:r>
        <w:rPr>
          <w:rStyle w:val="FootnoteReference"/>
          <w:rFonts w:ascii="Times New Roman" w:hAnsi="Times New Roman"/>
          <w:noProof/>
          <w:sz w:val="24"/>
        </w:rPr>
        <w:footnoteReference w:id="12"/>
      </w:r>
      <w:r>
        <w:rPr>
          <w:rFonts w:ascii="Times New Roman" w:hAnsi="Times New Roman"/>
          <w:noProof/>
          <w:sz w:val="24"/>
        </w:rPr>
        <w:t xml:space="preserve">. Комисията ще подпомогне държавите членки за постигане на целите съгласно ЦУР, по-специално за намаляване на смъртността вследствие на хронични заболявания, осигуряване на качествено здравеопазване, укрепване на капацитета за предотвратяване и управление на глобални заплахи за здравето (включително антимикробната резистентност), изкореняване ХИВ/СПИН и туберкулозата (и намаляване на хепатита), както и за изпълнение на Рамковата конвенция за контрол на тютюна. </w:t>
      </w:r>
    </w:p>
    <w:p>
      <w:pPr>
        <w:rPr>
          <w:rFonts w:ascii="Times New Roman" w:hAnsi="Times New Roman"/>
          <w:noProof/>
          <w:sz w:val="24"/>
        </w:rPr>
      </w:pPr>
      <w:r>
        <w:rPr>
          <w:rFonts w:ascii="Times New Roman" w:hAnsi="Times New Roman"/>
          <w:noProof/>
          <w:sz w:val="24"/>
        </w:rPr>
        <w:t xml:space="preserve">По отношение на </w:t>
      </w:r>
      <w:r>
        <w:rPr>
          <w:rFonts w:ascii="Times New Roman" w:hAnsi="Times New Roman"/>
          <w:i/>
          <w:noProof/>
          <w:sz w:val="24"/>
          <w:u w:val="single"/>
        </w:rPr>
        <w:t>ЦУР 4 „Осигуряване на приобщаващо и справедливо качествено образование и насърчаване на възможностите за учене през целия живот за всички“</w:t>
      </w:r>
      <w:r>
        <w:rPr>
          <w:rFonts w:ascii="Times New Roman" w:hAnsi="Times New Roman"/>
          <w:noProof/>
          <w:sz w:val="24"/>
        </w:rPr>
        <w:t>, ЕС определи водещите цели на „Европа 2020“ относно броя на преждевременно напускащите училище и относно завършилите висше образование. Чрез програмата за умения — стратегическата рамка „Образование и обучение 2020“ за партньорско обучение и обмен и програма „Еразъм+“, ЕС насочва усилията си към активна подкрепа на държавите членки за подобряване на качеството на образование и обучение, за да се гарантират възможности за младите хора.</w:t>
      </w:r>
    </w:p>
    <w:p>
      <w:pPr>
        <w:rPr>
          <w:rFonts w:ascii="Times New Roman" w:hAnsi="Times New Roman"/>
          <w:noProof/>
          <w:sz w:val="24"/>
        </w:rPr>
      </w:pPr>
      <w:r>
        <w:rPr>
          <w:rFonts w:ascii="Times New Roman" w:hAnsi="Times New Roman"/>
          <w:noProof/>
          <w:sz w:val="24"/>
        </w:rPr>
        <w:t xml:space="preserve">По отношение на </w:t>
      </w:r>
      <w:r>
        <w:rPr>
          <w:rFonts w:ascii="Times New Roman" w:hAnsi="Times New Roman"/>
          <w:i/>
          <w:noProof/>
          <w:sz w:val="24"/>
          <w:u w:val="single"/>
        </w:rPr>
        <w:t>ЦУР 5 „Постигане на равенство между половете и предоставяне на повече права на всички жени и момичета</w:t>
      </w:r>
      <w:r>
        <w:rPr>
          <w:rFonts w:ascii="Times New Roman" w:hAnsi="Times New Roman"/>
          <w:noProof/>
          <w:sz w:val="24"/>
        </w:rPr>
        <w:t xml:space="preserve">“, равенството между половете е залегнало в политическата и правната рамка на ЕС от самото начало на европейската интеграция и се разработват нови политики за справяне с продължаващото неравенство между половете. По същия начин </w:t>
      </w:r>
      <w:r>
        <w:rPr>
          <w:rFonts w:ascii="Times New Roman" w:hAnsi="Times New Roman"/>
          <w:i/>
          <w:noProof/>
          <w:sz w:val="24"/>
          <w:u w:val="single"/>
        </w:rPr>
        <w:t>ЦУР 10 „Намаляване на различията в държавите и между тях</w:t>
      </w:r>
      <w:r>
        <w:rPr>
          <w:rFonts w:ascii="Times New Roman" w:hAnsi="Times New Roman"/>
          <w:noProof/>
          <w:sz w:val="24"/>
        </w:rPr>
        <w:t xml:space="preserve">“ е в основата на действията със социална насоченост и политиката на сближаване на ЕС. </w:t>
      </w:r>
    </w:p>
    <w:p>
      <w:pPr>
        <w:rPr>
          <w:rFonts w:ascii="Times New Roman" w:hAnsi="Times New Roman"/>
          <w:noProof/>
          <w:sz w:val="24"/>
        </w:rPr>
      </w:pPr>
      <w:r>
        <w:rPr>
          <w:rFonts w:ascii="Times New Roman" w:hAnsi="Times New Roman"/>
          <w:noProof/>
          <w:sz w:val="24"/>
        </w:rPr>
        <w:t xml:space="preserve">Опазването на околната среда е от ключово значение за качеството на живот на настоящите и бъдещите поколения. Няколко ЦУР имат силно екологично измерение, включително </w:t>
      </w:r>
      <w:r>
        <w:rPr>
          <w:rFonts w:ascii="Times New Roman" w:hAnsi="Times New Roman"/>
          <w:i/>
          <w:noProof/>
          <w:sz w:val="24"/>
          <w:u w:val="single"/>
        </w:rPr>
        <w:t>ЦУР 6</w:t>
      </w:r>
      <w:r>
        <w:rPr>
          <w:rFonts w:ascii="Times New Roman" w:hAnsi="Times New Roman"/>
          <w:noProof/>
          <w:sz w:val="24"/>
          <w:u w:val="single"/>
        </w:rPr>
        <w:t xml:space="preserve"> </w:t>
      </w:r>
      <w:r>
        <w:rPr>
          <w:rFonts w:ascii="Times New Roman" w:hAnsi="Times New Roman"/>
          <w:i/>
          <w:noProof/>
          <w:sz w:val="24"/>
          <w:u w:val="single"/>
        </w:rPr>
        <w:t>„Осигуряване на наличност и устойчиво управление на водите и канализация за всички</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u w:val="single"/>
        </w:rPr>
        <w:t>ЦУР 14 „Опазване и устойчиво използване на океаните, моретата и морските ресурси за устойчиво развитие</w:t>
      </w:r>
      <w:r>
        <w:rPr>
          <w:rFonts w:ascii="Times New Roman" w:hAnsi="Times New Roman"/>
          <w:i/>
          <w:noProof/>
          <w:sz w:val="24"/>
        </w:rPr>
        <w:t>“</w:t>
      </w:r>
      <w:r>
        <w:rPr>
          <w:rFonts w:ascii="Times New Roman" w:hAnsi="Times New Roman"/>
          <w:noProof/>
          <w:sz w:val="24"/>
        </w:rPr>
        <w:t xml:space="preserve"> и </w:t>
      </w:r>
      <w:r>
        <w:rPr>
          <w:rFonts w:ascii="Times New Roman" w:hAnsi="Times New Roman"/>
          <w:i/>
          <w:noProof/>
          <w:sz w:val="24"/>
          <w:u w:val="single"/>
        </w:rPr>
        <w:t>ЦУР 15</w:t>
      </w:r>
      <w:r>
        <w:rPr>
          <w:rFonts w:ascii="Times New Roman" w:hAnsi="Times New Roman"/>
          <w:noProof/>
          <w:sz w:val="24"/>
          <w:u w:val="single"/>
        </w:rPr>
        <w:t xml:space="preserve"> „</w:t>
      </w:r>
      <w:r>
        <w:rPr>
          <w:rFonts w:ascii="Times New Roman" w:hAnsi="Times New Roman"/>
          <w:i/>
          <w:noProof/>
          <w:sz w:val="24"/>
          <w:u w:val="single"/>
        </w:rPr>
        <w:t>Защита, възстановяване и насърчаване на устойчивото използване на сухоземните екосистеми, устойчиво управление на горите, борба с опустиняването, спиране и постигане на обрат в процеса на увреждане на почвата и преустановяване на загубата на биологично разнообразие</w:t>
      </w:r>
      <w:r>
        <w:rPr>
          <w:rFonts w:ascii="Times New Roman" w:hAnsi="Times New Roman"/>
          <w:i/>
          <w:noProof/>
          <w:sz w:val="24"/>
        </w:rPr>
        <w:t>“</w:t>
      </w:r>
      <w:r>
        <w:rPr>
          <w:rFonts w:ascii="Times New Roman" w:hAnsi="Times New Roman"/>
          <w:noProof/>
          <w:sz w:val="24"/>
        </w:rPr>
        <w:t>. Екологичните подобрения в Европа през последните десетилетия са инициирани от законодателството на ЕС, което осигурява висока степен на защита в области като качество на водата и опазване на природата. Директивите за птиците и за местообитанията защитават екосистемите, а разширяването на мрежата от защитени зони „Натура 2000“ до 18 % от територията в ЕС е важно постижение. Необходими са по-нататъшни усилия за постигане на целите на ЕС за спиране на загубата на биоразнообразие до 2020 г. и за възстановяване на поне 15 % от нарушените екосистеми. Докато в миналото рибните запаси в Европа са страдали от прекомерен улов, днес много от тях се възстановяват в резултат на основаната в значителна степен на науката обща политика в областта на рибарството. В приетото неотдавна съвместно съобщение относно международното управление на океаните</w:t>
      </w:r>
      <w:r>
        <w:rPr>
          <w:rFonts w:ascii="Times New Roman" w:hAnsi="Times New Roman"/>
          <w:noProof/>
          <w:sz w:val="24"/>
          <w:vertAlign w:val="superscript"/>
        </w:rPr>
        <w:footnoteReference w:id="13"/>
      </w:r>
      <w:r>
        <w:rPr>
          <w:rFonts w:ascii="Times New Roman" w:hAnsi="Times New Roman"/>
          <w:noProof/>
          <w:sz w:val="24"/>
        </w:rPr>
        <w:t xml:space="preserve"> се определят действия, чрез които да се осигурят безопасни, чисти и устойчиво управлявани океани.</w:t>
      </w:r>
    </w:p>
    <w:p>
      <w:pPr>
        <w:rPr>
          <w:rFonts w:ascii="Times New Roman" w:hAnsi="Times New Roman"/>
          <w:noProof/>
          <w:sz w:val="24"/>
        </w:rPr>
      </w:pPr>
      <w:r>
        <w:rPr>
          <w:rFonts w:ascii="Times New Roman" w:hAnsi="Times New Roman"/>
          <w:noProof/>
          <w:sz w:val="24"/>
        </w:rPr>
        <w:t xml:space="preserve">Като продължава да бъде изправен пред редица предизвикателства, свързани с природния капитал, ЕС все повече допълва законодателните подходи с други политики, стремящи се към </w:t>
      </w:r>
      <w:r>
        <w:rPr>
          <w:rFonts w:ascii="Times New Roman" w:hAnsi="Times New Roman"/>
          <w:i/>
          <w:noProof/>
          <w:sz w:val="24"/>
          <w:u w:val="single"/>
        </w:rPr>
        <w:t>„Осигуряване на устойчиви модели на потребление и на производство“</w:t>
      </w:r>
      <w:r>
        <w:rPr>
          <w:rFonts w:ascii="Times New Roman" w:hAnsi="Times New Roman"/>
          <w:noProof/>
          <w:sz w:val="24"/>
          <w:u w:val="single"/>
        </w:rPr>
        <w:t xml:space="preserve"> или </w:t>
      </w:r>
      <w:r>
        <w:rPr>
          <w:rFonts w:ascii="Times New Roman" w:hAnsi="Times New Roman"/>
          <w:i/>
          <w:noProof/>
          <w:sz w:val="24"/>
          <w:u w:val="single"/>
        </w:rPr>
        <w:t>ЦУР 12</w:t>
      </w:r>
      <w:r>
        <w:rPr>
          <w:rFonts w:ascii="Times New Roman" w:hAnsi="Times New Roman"/>
          <w:noProof/>
          <w:sz w:val="24"/>
        </w:rPr>
        <w:t>. Тук ефективното използване на ресурсите и действията на кръговата икономика имат за цел отделяне на икономическия растеж от използването на ресурси и увреждането на околната среда. Устойчивото потребление ще изисква и потребителски политики, които повишават осведомеността и позволяват на потребителите да правят информиран избор, допринасящ за устойчивост.</w:t>
      </w:r>
    </w:p>
    <w:p>
      <w:pPr>
        <w:rPr>
          <w:rFonts w:ascii="Times New Roman" w:hAnsi="Times New Roman"/>
          <w:noProof/>
          <w:sz w:val="24"/>
        </w:rPr>
      </w:pPr>
      <w:r>
        <w:rPr>
          <w:rFonts w:ascii="Times New Roman" w:hAnsi="Times New Roman"/>
          <w:noProof/>
          <w:sz w:val="24"/>
        </w:rPr>
        <w:t xml:space="preserve">В областта на енергетиката и климата — </w:t>
      </w:r>
      <w:r>
        <w:rPr>
          <w:rFonts w:ascii="Times New Roman" w:hAnsi="Times New Roman"/>
          <w:i/>
          <w:noProof/>
          <w:sz w:val="24"/>
          <w:u w:val="single"/>
        </w:rPr>
        <w:t>ЦУР 7 „Осигуряване на достъп до финансово достъпна, надеждна, устойчива и модерна енергетика за всички</w:t>
      </w:r>
      <w:r>
        <w:rPr>
          <w:rFonts w:ascii="Times New Roman" w:hAnsi="Times New Roman"/>
          <w:i/>
          <w:noProof/>
          <w:sz w:val="24"/>
        </w:rPr>
        <w:t xml:space="preserve">“ и </w:t>
      </w:r>
      <w:r>
        <w:rPr>
          <w:rFonts w:ascii="Times New Roman" w:hAnsi="Times New Roman"/>
          <w:i/>
          <w:noProof/>
          <w:sz w:val="24"/>
          <w:u w:val="single"/>
        </w:rPr>
        <w:t xml:space="preserve">ЦУР 13 „Предприемане на спешни действия за борба с изменението на климата и въздействието от него </w:t>
      </w:r>
      <w:r>
        <w:rPr>
          <w:rFonts w:ascii="Times New Roman" w:hAnsi="Times New Roman"/>
          <w:noProof/>
          <w:sz w:val="24"/>
          <w:u w:val="single"/>
        </w:rPr>
        <w:t>“</w:t>
      </w:r>
      <w:r>
        <w:rPr>
          <w:rFonts w:ascii="Times New Roman" w:hAnsi="Times New Roman"/>
          <w:noProof/>
          <w:sz w:val="24"/>
        </w:rPr>
        <w:t>, ЕС си е поставил амбициозни цели до 2030 г. за намаляване на емисиите на парникови газове, подобряване на енергийната ефективност и увеличаване на дела на енергията от възобновяеми източници. В допълнение е налице политически ангажимент за отделяне на най-малко 20 % от бюджета на ЕС за действия в областта на климата. Комисията вече е предложила как да се намалят емисиите на парникови газове във всички сектори на икономиката</w:t>
      </w:r>
      <w:r>
        <w:rPr>
          <w:rStyle w:val="FootnoteReference"/>
          <w:rFonts w:ascii="Times New Roman" w:hAnsi="Times New Roman"/>
          <w:noProof/>
          <w:sz w:val="24"/>
        </w:rPr>
        <w:footnoteReference w:id="14"/>
      </w:r>
      <w:r>
        <w:rPr>
          <w:rFonts w:ascii="Times New Roman" w:hAnsi="Times New Roman"/>
          <w:noProof/>
          <w:sz w:val="24"/>
        </w:rPr>
        <w:t xml:space="preserve"> и предстои да бъде представен пакет от инициативи за насърчаване на прехода към чиста енергия. Този пакет ще се съсредоточи върху постигането на целите за енергийна ефективност и възобновяеми енергийни източници с оглед реализиране на енергийния съюз и по-специално рамката в областта на климата и енергетиката до 2030 г. Той ще спомогне за увеличаване на заетостта и растежа и ще доведе до бърза промяна за реалната икономика. </w:t>
      </w:r>
    </w:p>
    <w:p>
      <w:pPr>
        <w:rPr>
          <w:rFonts w:ascii="Times New Roman" w:hAnsi="Times New Roman"/>
          <w:bCs/>
          <w:noProof/>
          <w:sz w:val="24"/>
          <w:szCs w:val="24"/>
        </w:rPr>
      </w:pPr>
      <w:r>
        <w:rPr>
          <w:rFonts w:ascii="Times New Roman" w:hAnsi="Times New Roman"/>
          <w:noProof/>
          <w:sz w:val="24"/>
        </w:rPr>
        <w:t>От социално-икономическа страна</w:t>
      </w:r>
      <w:r>
        <w:rPr>
          <w:rFonts w:ascii="Times New Roman" w:hAnsi="Times New Roman"/>
          <w:i/>
          <w:noProof/>
          <w:sz w:val="24"/>
        </w:rPr>
        <w:t xml:space="preserve"> </w:t>
      </w:r>
      <w:r>
        <w:rPr>
          <w:rFonts w:ascii="Times New Roman" w:hAnsi="Times New Roman"/>
          <w:noProof/>
          <w:sz w:val="24"/>
        </w:rPr>
        <w:t>целта на стратегията „Европа 2020“ за интелигентен, устойчив и приобщаващ растеж е постигане на 75 % заетост във възрастовия диапазон 20—64, като спомага да се отговори на</w:t>
      </w:r>
      <w:r>
        <w:rPr>
          <w:noProof/>
        </w:rPr>
        <w:t xml:space="preserve"> </w:t>
      </w:r>
      <w:r>
        <w:rPr>
          <w:rFonts w:ascii="Times New Roman" w:hAnsi="Times New Roman"/>
          <w:i/>
          <w:noProof/>
          <w:sz w:val="24"/>
          <w:u w:val="single"/>
        </w:rPr>
        <w:t>ЦУР 8 „Насърчаване на траен, приобщаващ и устойчив икономически растеж, пълноценна и продуктивна заетост и достоен труд за всички</w:t>
      </w:r>
      <w:r>
        <w:rPr>
          <w:rFonts w:ascii="Times New Roman" w:hAnsi="Times New Roman"/>
          <w:noProof/>
          <w:sz w:val="24"/>
        </w:rPr>
        <w:t>“. Възстановяването на пазара на труда се засили през 2015 г. и 2016 г., като беше налице съществено подобрение на повечето показатели. Равнището на заетостта (20—64 години) се е увеличило в ЕС с 0,9 процентни пункта през 2015 г. и продължи да се увеличава до 71,1 % през второто тримесечие на 2016 г., като превиши равнището отпреди кризата от 70,3 % (годишно) през 2008 г.</w:t>
      </w:r>
      <w:r>
        <w:rPr>
          <w:rStyle w:val="FootnoteReference"/>
          <w:rFonts w:ascii="Times New Roman" w:hAnsi="Times New Roman"/>
          <w:noProof/>
          <w:sz w:val="24"/>
        </w:rPr>
        <w:footnoteReference w:id="15"/>
      </w:r>
      <w:r>
        <w:rPr>
          <w:rFonts w:ascii="Times New Roman" w:hAnsi="Times New Roman"/>
          <w:noProof/>
          <w:sz w:val="24"/>
        </w:rPr>
        <w:t>. При все това, макар и да намаляват, различията на пазара на труда между държавите членки остават големи в сравнение с периода отпреди кризата и в няколко държави членки продължават да съществуват предизвикателства по отношение на младежката безработица и безработицата на лицата с увреждания.</w:t>
      </w:r>
    </w:p>
    <w:p>
      <w:pPr>
        <w:rPr>
          <w:rFonts w:ascii="Times New Roman" w:hAnsi="Times New Roman"/>
          <w:noProof/>
          <w:sz w:val="24"/>
        </w:rPr>
      </w:pPr>
      <w:r>
        <w:rPr>
          <w:rFonts w:ascii="Times New Roman" w:hAnsi="Times New Roman"/>
          <w:noProof/>
          <w:sz w:val="24"/>
        </w:rPr>
        <w:t>По отношение на</w:t>
      </w:r>
      <w:r>
        <w:rPr>
          <w:rFonts w:ascii="Times New Roman" w:hAnsi="Times New Roman"/>
          <w:i/>
          <w:noProof/>
          <w:sz w:val="24"/>
        </w:rPr>
        <w:t xml:space="preserve"> </w:t>
      </w:r>
      <w:r>
        <w:rPr>
          <w:rFonts w:ascii="Times New Roman" w:hAnsi="Times New Roman"/>
          <w:i/>
          <w:noProof/>
          <w:sz w:val="24"/>
          <w:u w:val="single"/>
        </w:rPr>
        <w:t>ЦУР 9 „Изграждане на устойчива инфраструктура, насърчаване на приобщаваща и устойчива индустриализация и стимулиране на иновациите</w:t>
      </w:r>
      <w:r>
        <w:rPr>
          <w:rFonts w:ascii="Times New Roman" w:hAnsi="Times New Roman"/>
          <w:noProof/>
          <w:sz w:val="24"/>
          <w:u w:val="single"/>
        </w:rPr>
        <w:t>“</w:t>
      </w:r>
      <w:r>
        <w:rPr>
          <w:rFonts w:ascii="Times New Roman" w:hAnsi="Times New Roman"/>
          <w:noProof/>
          <w:sz w:val="24"/>
        </w:rPr>
        <w:t>, в Плана за инвестиции за Европа са обхванати стратегически инвестиции в ключови области като инфраструктура, научни изследвания и иновации, както и рисково финансиране за малки предприятия. Освен това Европейските структурни и инвестиционни фондове</w:t>
      </w:r>
      <w:r>
        <w:rPr>
          <w:rStyle w:val="FootnoteReference"/>
          <w:rFonts w:ascii="Times New Roman" w:hAnsi="Times New Roman"/>
          <w:noProof/>
          <w:sz w:val="24"/>
        </w:rPr>
        <w:footnoteReference w:id="16"/>
      </w:r>
      <w:r>
        <w:rPr>
          <w:rFonts w:ascii="Times New Roman" w:hAnsi="Times New Roman"/>
          <w:noProof/>
          <w:sz w:val="24"/>
        </w:rPr>
        <w:t xml:space="preserve"> обхващат и инвестициите в инфраструктура и научни изследвания и иновации. Чрез Механизма за свързване на Европа се финансират устойчиви мрежи и инфраструктури в областта на транспорта, далекосъобщенията и енергетиката. Научните изследвания и иновациите, които подкрепят изпълнението на почти всички ЦУР, се финансират чрез Рамковата програма за научни изследвания и иновации („Хоризонт 2020“). Според Сравнителния доклад за иновациите за 2016 г. ЕС все още има значителна преднина пред много други, като предизвикателството е тази позиция да се запази.</w:t>
      </w:r>
    </w:p>
    <w:p>
      <w:pPr>
        <w:rPr>
          <w:rFonts w:ascii="Times New Roman" w:hAnsi="Times New Roman"/>
          <w:noProof/>
          <w:sz w:val="24"/>
        </w:rPr>
      </w:pPr>
      <w:r>
        <w:rPr>
          <w:rFonts w:ascii="Times New Roman" w:hAnsi="Times New Roman"/>
          <w:noProof/>
          <w:sz w:val="24"/>
        </w:rPr>
        <w:t>По отношение на</w:t>
      </w:r>
      <w:r>
        <w:rPr>
          <w:rFonts w:ascii="Times New Roman" w:hAnsi="Times New Roman"/>
          <w:i/>
          <w:noProof/>
          <w:sz w:val="24"/>
        </w:rPr>
        <w:t xml:space="preserve"> </w:t>
      </w:r>
      <w:r>
        <w:rPr>
          <w:rFonts w:ascii="Times New Roman" w:hAnsi="Times New Roman"/>
          <w:i/>
          <w:noProof/>
          <w:sz w:val="24"/>
          <w:u w:val="single"/>
        </w:rPr>
        <w:t>ЦУР 11 „Градовете и населените места да станат приобщаващи, сигурни, издръжливи и устойчиви</w:t>
      </w:r>
      <w:r>
        <w:rPr>
          <w:rFonts w:ascii="Times New Roman" w:hAnsi="Times New Roman"/>
          <w:noProof/>
          <w:sz w:val="24"/>
          <w:u w:val="single"/>
        </w:rPr>
        <w:t>“</w:t>
      </w:r>
      <w:r>
        <w:rPr>
          <w:rFonts w:ascii="Times New Roman" w:hAnsi="Times New Roman"/>
          <w:noProof/>
          <w:sz w:val="24"/>
        </w:rPr>
        <w:t>, пет европейски града, сред които Стокхолм, Виена, Лондон, Франкфурт и Хамбург, са сред осемте най-устойчиви градове</w:t>
      </w:r>
      <w:r>
        <w:rPr>
          <w:rFonts w:ascii="Times New Roman" w:hAnsi="Times New Roman"/>
          <w:noProof/>
          <w:sz w:val="24"/>
          <w:vertAlign w:val="superscript"/>
        </w:rPr>
        <w:footnoteReference w:id="17"/>
      </w:r>
      <w:r>
        <w:rPr>
          <w:rFonts w:ascii="Times New Roman" w:hAnsi="Times New Roman"/>
          <w:noProof/>
          <w:sz w:val="24"/>
        </w:rPr>
        <w:t xml:space="preserve">. Програмата за градовете за Европейския съюз е резултат от съвместните усилия на Комисията, държавите членки и европейските градове и е насочена към укрепване на градското измерение на европейските и националните политики. В съответствие с новата програма за градовете на ООН ЕС засилва устойчивостта на градската среда чрез предотвратяване на бедствия и рискове, свързани с климата. Конвентът на кметовете на ЕС за климата и енергетиката е местно и регионално действие отдолу нагоре за справяне по интегриран начин със смекчаването на последиците от изменението на климата и адаптиране към тях, както и с достъпа до сигурна, устойчива и достъпна енергия. </w:t>
      </w:r>
    </w:p>
    <w:p>
      <w:pPr>
        <w:rPr>
          <w:rFonts w:ascii="Times New Roman" w:hAnsi="Times New Roman"/>
          <w:noProof/>
          <w:sz w:val="24"/>
        </w:rPr>
      </w:pPr>
      <w:r>
        <w:rPr>
          <w:rFonts w:ascii="Times New Roman" w:hAnsi="Times New Roman"/>
          <w:noProof/>
          <w:sz w:val="24"/>
        </w:rPr>
        <w:t xml:space="preserve">По отношение на </w:t>
      </w:r>
      <w:r>
        <w:rPr>
          <w:rFonts w:ascii="Times New Roman" w:hAnsi="Times New Roman"/>
          <w:i/>
          <w:noProof/>
          <w:sz w:val="24"/>
          <w:u w:val="single"/>
        </w:rPr>
        <w:t>ЦУР 16 „Насърчаване на мирни и приобщаващи общества за устойчиво развитие, предоставяне на достъп до правосъдие за всички и изграждане на ефективни, отговорни и приобщаващи институции на всички равнища</w:t>
      </w:r>
      <w:r>
        <w:rPr>
          <w:rFonts w:ascii="Times New Roman" w:hAnsi="Times New Roman"/>
          <w:i/>
          <w:noProof/>
          <w:sz w:val="24"/>
        </w:rPr>
        <w:t>“</w:t>
      </w:r>
      <w:r>
        <w:rPr>
          <w:rFonts w:ascii="Times New Roman" w:hAnsi="Times New Roman"/>
          <w:noProof/>
          <w:sz w:val="24"/>
        </w:rPr>
        <w:t xml:space="preserve">, са приети политики и законодателство на ЕС, които включват много от основните принципи, залегнали в Договора за Европейския съюз и Хартата на ЕС на основните права и надхвърлящи амбицията, посочена в ЦУР 16. </w:t>
      </w:r>
    </w:p>
    <w:p>
      <w:pPr>
        <w:rPr>
          <w:rFonts w:ascii="Times New Roman" w:hAnsi="Times New Roman"/>
          <w:noProof/>
          <w:sz w:val="24"/>
        </w:rPr>
      </w:pPr>
      <w:r>
        <w:rPr>
          <w:rFonts w:ascii="Times New Roman" w:hAnsi="Times New Roman"/>
          <w:noProof/>
          <w:sz w:val="24"/>
        </w:rPr>
        <w:t xml:space="preserve">По отношение на </w:t>
      </w:r>
      <w:r>
        <w:rPr>
          <w:rFonts w:ascii="Times New Roman" w:hAnsi="Times New Roman"/>
          <w:i/>
          <w:noProof/>
          <w:sz w:val="24"/>
          <w:u w:val="single"/>
        </w:rPr>
        <w:t>ЦУР 17 „Укрепване на средствата за прилагане и възобновяване на световното партньорства за устойчиво развитие</w:t>
      </w:r>
      <w:r>
        <w:rPr>
          <w:rFonts w:ascii="Times New Roman" w:hAnsi="Times New Roman"/>
          <w:noProof/>
          <w:sz w:val="24"/>
        </w:rPr>
        <w:t>“, Комисията в тясно сътрудничество с държавите членки ще работи за изпълнение на програмата чрез въвеждане на създаващи възможности политики, мобилизиране на адекватни финансови средства за изпълнение от всички източници, включително от частния сектор, изграждане на капацитет, наука, технологии и иновации, търговия, осигуряване на съгласуваност на политиката и формиране на партньорства за укрепване на изпълнението. В стратегията „Търговията — за всички“</w:t>
      </w:r>
      <w:r>
        <w:rPr>
          <w:rStyle w:val="FootnoteReference"/>
          <w:rFonts w:ascii="Times New Roman" w:hAnsi="Times New Roman"/>
          <w:noProof/>
          <w:sz w:val="24"/>
        </w:rPr>
        <w:footnoteReference w:id="18"/>
      </w:r>
      <w:r>
        <w:rPr>
          <w:rFonts w:ascii="Times New Roman" w:hAnsi="Times New Roman"/>
          <w:noProof/>
          <w:sz w:val="24"/>
        </w:rPr>
        <w:t>, приета веднага след Програмата на ООН до 2030 г., ЕС се ангажира да провежда отговорна търговска и инвестиционна политика като инструмент за изпълнение на ЦУР, допринасяща за стимулиране на работните места, устойчивия растеж и инвестициите в Европа и извън нея.</w:t>
      </w:r>
    </w:p>
    <w:p>
      <w:pPr>
        <w:rPr>
          <w:rFonts w:ascii="Times New Roman" w:hAnsi="Times New Roman"/>
          <w:noProof/>
          <w:sz w:val="24"/>
        </w:rPr>
      </w:pPr>
      <w:r>
        <w:rPr>
          <w:rFonts w:ascii="Times New Roman" w:hAnsi="Times New Roman"/>
          <w:noProof/>
          <w:sz w:val="24"/>
        </w:rPr>
        <w:t>Освен това няколко финансови инструмента на ЕС допълват европейските политики и действия и имат хоризонтален принос към ЦУР. Политиката на сближаване — например чрез европейските структурни и инвестиционни фондове — е основната политика на ЕС за инвестиции, насочени към постигане на икономическо, социално и териториално сближаване чрез намаляване на различията между равнищата на развитие на различните региони. Тя допринася към стратегията „Европа 2020“ и към разнообразните нужди на развитието във всички региони на ЕС с 350 милиарда евро за периода 2014—2020 г. Рамковата програма на ЕС за научни изследвания и иновации „Хоризонт 2020“ също е междусекторна и чрез нея се финансират проекти, залегнали в основата на много ЦУР. ЕС гарантира сигурност на взаимодействието между финансовите инструменти и политиките по различни начини.</w:t>
      </w:r>
    </w:p>
    <w:p>
      <w:pPr>
        <w:rPr>
          <w:rFonts w:ascii="Times New Roman" w:hAnsi="Times New Roman"/>
          <w:b/>
          <w:noProof/>
          <w:sz w:val="24"/>
        </w:rPr>
      </w:pPr>
      <w:r>
        <w:rPr>
          <w:rFonts w:ascii="Times New Roman" w:hAnsi="Times New Roman"/>
          <w:b/>
          <w:noProof/>
          <w:sz w:val="24"/>
        </w:rPr>
        <w:t>2.2. Приносът на 10-те приоритета на Комисията към Програмата до 2030 г.</w:t>
      </w:r>
    </w:p>
    <w:p>
      <w:pPr>
        <w:pStyle w:val="Body"/>
        <w:jc w:val="both"/>
        <w:rPr>
          <w:rFonts w:ascii="Times New Roman" w:hAnsi="Times New Roman"/>
          <w:noProof/>
          <w:sz w:val="24"/>
        </w:rPr>
      </w:pPr>
      <w:r>
        <w:rPr>
          <w:rFonts w:ascii="Times New Roman" w:hAnsi="Times New Roman"/>
          <w:noProof/>
          <w:color w:val="auto"/>
          <w:sz w:val="24"/>
        </w:rPr>
        <w:t>Политическата програма на настоящата Комисия — след обсъждания с Европейския парламент и вдъхновена от Стратегическата програма за Съюза в период на промени на Европейския съвет — е съсредоточена върху работните места, растежа, справедливостта и демократичните промени. Десетте приоритета на програмата</w:t>
      </w:r>
      <w:r>
        <w:rPr>
          <w:noProof/>
        </w:rPr>
        <w:t xml:space="preserve"> </w:t>
      </w:r>
      <w:r>
        <w:rPr>
          <w:rFonts w:ascii="Times New Roman" w:hAnsi="Times New Roman"/>
          <w:noProof/>
          <w:color w:val="auto"/>
          <w:sz w:val="24"/>
        </w:rPr>
        <w:t xml:space="preserve">се отнасят до основните предизвикателства за Европа. Редица от целите за устойчиво развитие са дълбоко </w:t>
      </w:r>
      <w:r>
        <w:rPr>
          <w:rFonts w:ascii="Times New Roman" w:hAnsi="Times New Roman"/>
          <w:noProof/>
          <w:sz w:val="24"/>
        </w:rPr>
        <w:t xml:space="preserve">преплетени с тези предизвикателства и целите на Комисията съгласно десетте приоритета. </w:t>
      </w:r>
    </w:p>
    <w:p>
      <w:pPr>
        <w:pStyle w:val="Body"/>
        <w:jc w:val="both"/>
        <w:rPr>
          <w:rFonts w:ascii="Times New Roman" w:hAnsi="Times New Roman"/>
          <w:noProof/>
          <w:sz w:val="24"/>
        </w:rPr>
      </w:pPr>
    </w:p>
    <w:p>
      <w:pPr>
        <w:pStyle w:val="Body"/>
        <w:jc w:val="both"/>
        <w:rPr>
          <w:rFonts w:ascii="Times New Roman" w:hAnsi="Times New Roman"/>
          <w:noProof/>
          <w:sz w:val="24"/>
        </w:rPr>
      </w:pPr>
      <w:r>
        <w:rPr>
          <w:rFonts w:ascii="Times New Roman" w:hAnsi="Times New Roman"/>
          <w:noProof/>
          <w:sz w:val="24"/>
        </w:rPr>
        <w:t>В раздела по-долу се подчертават най-подходящите взаимодействия между ЦУР и десетте приоритета. Пълното използване на тези полезни взаимодействия между ЦУР и най-важните приоритети на Комисията гарантира силна политическа ангажираност и не допуска изпълнението на ЦУР да се осъществява в политически вакуум.</w:t>
      </w:r>
    </w:p>
    <w:p>
      <w:pPr>
        <w:pStyle w:val="Body"/>
        <w:jc w:val="both"/>
        <w:rPr>
          <w:rFonts w:ascii="Times New Roman" w:hAnsi="Times New Roman"/>
          <w:noProof/>
          <w:sz w:val="24"/>
        </w:rPr>
      </w:pPr>
    </w:p>
    <w:p>
      <w:pPr>
        <w:pStyle w:val="Body"/>
        <w:jc w:val="both"/>
        <w:rPr>
          <w:rFonts w:ascii="Times New Roman" w:hAnsi="Times New Roman"/>
          <w:noProof/>
          <w:sz w:val="24"/>
        </w:rPr>
      </w:pPr>
      <w:r>
        <w:rPr>
          <w:rFonts w:ascii="Times New Roman" w:hAnsi="Times New Roman"/>
          <w:noProof/>
          <w:sz w:val="24"/>
        </w:rPr>
        <w:t xml:space="preserve">Освен това в раздел 2.3 се разглеждат най-важните ангажименти във външната дейност на ЕС, обхващащи приоритет 6 относно търговията и приоритет 9 относно превръщането в по-силен участник на световната сцена. </w:t>
      </w:r>
    </w:p>
    <w:p>
      <w:pPr>
        <w:pStyle w:val="Body"/>
        <w:jc w:val="both"/>
        <w:rPr>
          <w:rFonts w:ascii="Times New Roman" w:hAnsi="Times New Roman"/>
          <w:noProof/>
          <w:sz w:val="24"/>
        </w:rPr>
      </w:pPr>
    </w:p>
    <w:p>
      <w:pPr>
        <w:pStyle w:val="Body"/>
        <w:jc w:val="both"/>
        <w:rPr>
          <w:rFonts w:ascii="Times New Roman" w:hAnsi="Times New Roman"/>
          <w:b/>
          <w:bCs/>
          <w:i/>
          <w:noProof/>
          <w:color w:val="auto"/>
          <w:sz w:val="24"/>
          <w:szCs w:val="24"/>
        </w:rPr>
      </w:pPr>
      <w:r>
        <w:rPr>
          <w:rFonts w:ascii="Times New Roman" w:hAnsi="Times New Roman"/>
          <w:b/>
          <w:i/>
          <w:noProof/>
          <w:color w:val="auto"/>
          <w:sz w:val="24"/>
        </w:rPr>
        <w:t xml:space="preserve">По-голямата част от работата по „Приоритет 1. Нови стимули за работните места, растежа и инвестициите“ представлява пряко изпълнение на различни ЦУР и справяне с основните предизвикателства за постигане на устойчивост, пред които е изправена Европа. </w:t>
      </w:r>
    </w:p>
    <w:p>
      <w:pPr>
        <w:pStyle w:val="Body"/>
        <w:jc w:val="both"/>
        <w:rPr>
          <w:rFonts w:ascii="Times New Roman" w:hAnsi="Times New Roman"/>
          <w:bCs/>
          <w:noProof/>
          <w:color w:val="auto"/>
          <w:sz w:val="24"/>
          <w:szCs w:val="24"/>
        </w:rPr>
      </w:pPr>
    </w:p>
    <w:p>
      <w:pPr>
        <w:pStyle w:val="Body"/>
        <w:jc w:val="both"/>
        <w:rPr>
          <w:rFonts w:ascii="Times New Roman" w:hAnsi="Times New Roman"/>
          <w:bCs/>
          <w:noProof/>
          <w:color w:val="auto"/>
          <w:sz w:val="24"/>
          <w:szCs w:val="24"/>
        </w:rPr>
      </w:pPr>
      <w:r>
        <w:rPr>
          <w:rFonts w:ascii="Times New Roman" w:hAnsi="Times New Roman"/>
          <w:noProof/>
          <w:color w:val="auto"/>
          <w:sz w:val="24"/>
        </w:rPr>
        <w:t>След световната икономическа и финансова криза ЕС страда от висока безработица, недостиг на инвестиции и липса на конкурентоспособност. Бедността и неравенството продължават да пораждат загриженост. Европейският социален модел няма да бъде устойчив в бъдеще, ако растежът не се запази на настоящото си равнище. В едно застаряващо общество с текущо съотношение от 2 активни лица, подкрепящи средно едно неактивно лице в целия ЕС</w:t>
      </w:r>
      <w:r>
        <w:rPr>
          <w:rStyle w:val="FootnoteReference"/>
          <w:rFonts w:ascii="Times New Roman" w:hAnsi="Times New Roman"/>
          <w:noProof/>
          <w:color w:val="auto"/>
          <w:sz w:val="24"/>
        </w:rPr>
        <w:footnoteReference w:id="19"/>
      </w:r>
      <w:r>
        <w:rPr>
          <w:rFonts w:ascii="Times New Roman" w:hAnsi="Times New Roman"/>
          <w:noProof/>
          <w:color w:val="auto"/>
          <w:sz w:val="24"/>
        </w:rPr>
        <w:t>, пенсионните задължения в много държави членки ще се увеличат значително</w:t>
      </w:r>
      <w:r>
        <w:rPr>
          <w:rStyle w:val="FootnoteReference"/>
          <w:rFonts w:ascii="Times New Roman" w:hAnsi="Times New Roman"/>
          <w:noProof/>
          <w:color w:val="auto"/>
          <w:sz w:val="24"/>
        </w:rPr>
        <w:footnoteReference w:id="20"/>
      </w:r>
      <w:r>
        <w:rPr>
          <w:rFonts w:ascii="Times New Roman" w:hAnsi="Times New Roman"/>
          <w:noProof/>
          <w:color w:val="auto"/>
          <w:sz w:val="24"/>
        </w:rPr>
        <w:t xml:space="preserve">, докато безработицата сред младите хора остава на високи равнища. </w:t>
      </w:r>
    </w:p>
    <w:p>
      <w:pPr>
        <w:pStyle w:val="Body"/>
        <w:jc w:val="both"/>
        <w:rPr>
          <w:rFonts w:ascii="Times New Roman" w:hAnsi="Times New Roman"/>
          <w:bCs/>
          <w:noProof/>
          <w:color w:val="auto"/>
          <w:sz w:val="24"/>
          <w:szCs w:val="24"/>
        </w:rPr>
      </w:pPr>
    </w:p>
    <w:p>
      <w:pPr>
        <w:pStyle w:val="Body"/>
        <w:jc w:val="both"/>
        <w:rPr>
          <w:rFonts w:ascii="Times New Roman" w:hAnsi="Times New Roman"/>
          <w:bCs/>
          <w:noProof/>
          <w:color w:val="auto"/>
          <w:sz w:val="24"/>
          <w:szCs w:val="24"/>
        </w:rPr>
      </w:pPr>
      <w:r>
        <w:rPr>
          <w:rFonts w:ascii="Times New Roman" w:hAnsi="Times New Roman"/>
          <w:noProof/>
          <w:color w:val="auto"/>
          <w:sz w:val="24"/>
        </w:rPr>
        <w:t xml:space="preserve">Ето защо първостепенният приоритет от началото на настоящата Комисия е стимулирането на работните места, растежа и инвестициите. Опитът на Европа с успешното социално-икономическо развитие през последните 60 години трябва да бъде разширен чрез създаване на устойчиви работни места, за да се осигурят възможности за бъдещите поколения и да се подобрят социалните резултати от гледна точка на намаляване на бедността и неравенството. Това ще гарантира дългосрочната конкурентоспособност на Европа в глобалната икономика при запазване на европейския начин на живот. </w:t>
      </w:r>
    </w:p>
    <w:p>
      <w:pPr>
        <w:pStyle w:val="Body"/>
        <w:jc w:val="both"/>
        <w:rPr>
          <w:rFonts w:ascii="Times New Roman" w:hAnsi="Times New Roman"/>
          <w:bCs/>
          <w:noProof/>
          <w:color w:val="auto"/>
          <w:sz w:val="24"/>
          <w:szCs w:val="24"/>
        </w:rPr>
      </w:pPr>
    </w:p>
    <w:p>
      <w:pPr>
        <w:rPr>
          <w:rFonts w:ascii="Times New Roman" w:hAnsi="Times New Roman"/>
          <w:noProof/>
          <w:sz w:val="24"/>
        </w:rPr>
      </w:pPr>
      <w:r>
        <w:rPr>
          <w:rFonts w:ascii="Times New Roman" w:hAnsi="Times New Roman"/>
          <w:noProof/>
          <w:sz w:val="24"/>
        </w:rPr>
        <w:t xml:space="preserve">В глобалната конкурентна среда, в която не се налага ЕС да се конкурира въз основа на ниски заплати, инвестициите в качествено </w:t>
      </w:r>
      <w:r>
        <w:rPr>
          <w:rFonts w:ascii="Times New Roman" w:hAnsi="Times New Roman"/>
          <w:b/>
          <w:noProof/>
          <w:sz w:val="24"/>
        </w:rPr>
        <w:t>образование и обучение</w:t>
      </w:r>
      <w:r>
        <w:rPr>
          <w:rFonts w:ascii="Times New Roman" w:hAnsi="Times New Roman"/>
          <w:noProof/>
          <w:sz w:val="24"/>
        </w:rPr>
        <w:t xml:space="preserve"> </w:t>
      </w:r>
      <w:r>
        <w:rPr>
          <w:rFonts w:ascii="Times New Roman" w:hAnsi="Times New Roman"/>
          <w:b/>
          <w:noProof/>
          <w:sz w:val="24"/>
        </w:rPr>
        <w:t>(</w:t>
      </w:r>
      <w:r>
        <w:rPr>
          <w:rFonts w:ascii="Times New Roman" w:hAnsi="Times New Roman"/>
          <w:b/>
          <w:i/>
          <w:noProof/>
          <w:sz w:val="24"/>
        </w:rPr>
        <w:t>ЦУР 4</w:t>
      </w:r>
      <w:r>
        <w:rPr>
          <w:rFonts w:ascii="Times New Roman" w:hAnsi="Times New Roman"/>
          <w:b/>
          <w:noProof/>
          <w:sz w:val="24"/>
        </w:rPr>
        <w:t>)</w:t>
      </w:r>
      <w:r>
        <w:rPr>
          <w:rFonts w:ascii="Times New Roman" w:hAnsi="Times New Roman"/>
          <w:noProof/>
          <w:sz w:val="24"/>
        </w:rPr>
        <w:t xml:space="preserve"> и в младите хора са от решаващо значение за осигуряването на устойчив и приобщаващ растеж. Основната компетентност принадлежи на държавите членки, но за да им се окаже подкрепа, трябва изцяло да се мобилизират всички инструменти, налични на равнище ЕС, като например „Еразъм+“ и политиката на сближаване.</w:t>
      </w:r>
      <w:r>
        <w:rPr>
          <w:noProof/>
        </w:rPr>
        <w:t xml:space="preserve"> </w:t>
      </w:r>
      <w:r>
        <w:rPr>
          <w:rFonts w:ascii="Times New Roman" w:hAnsi="Times New Roman"/>
          <w:noProof/>
          <w:sz w:val="24"/>
        </w:rPr>
        <w:t>Просперитетът и начинът на живот в Европа се основават на най-големия ѝ актив: нейното население. От 2010 г. до 2014 г. инвестициите в ЕС в образование и обучение са намалели като цяло с 2,5 %</w:t>
      </w:r>
      <w:r>
        <w:rPr>
          <w:rStyle w:val="FootnoteReference"/>
          <w:rFonts w:ascii="Times New Roman" w:hAnsi="Times New Roman"/>
          <w:noProof/>
          <w:sz w:val="24"/>
        </w:rPr>
        <w:footnoteReference w:id="21"/>
      </w:r>
      <w:r>
        <w:rPr>
          <w:rFonts w:ascii="Times New Roman" w:hAnsi="Times New Roman"/>
          <w:noProof/>
          <w:sz w:val="24"/>
        </w:rPr>
        <w:t xml:space="preserve">. Интелигентните инвестиции, които подобряват качеството на уменията и укрепват ефективността на системите за образование и обучение, са от съществено значение. През следващата година Комисията ще обърне внимание на модернизирането на образованието и качеството на стажовете, както и на по-доброто проследяване на завършилите висше образование. Гаранцията за младежта ще бъде засилена като средство за инвестиране в младите хора, в уменията им и в първите им стъпки към професионално развитие. </w:t>
      </w:r>
    </w:p>
    <w:p>
      <w:pPr>
        <w:pStyle w:val="Body"/>
        <w:spacing w:after="240"/>
        <w:jc w:val="both"/>
        <w:rPr>
          <w:rFonts w:ascii="Times New Roman" w:hAnsi="Times New Roman"/>
          <w:bCs/>
          <w:noProof/>
          <w:color w:val="auto"/>
          <w:sz w:val="24"/>
          <w:szCs w:val="24"/>
        </w:rPr>
      </w:pPr>
      <w:r>
        <w:rPr>
          <w:rFonts w:ascii="Times New Roman" w:hAnsi="Times New Roman"/>
          <w:noProof/>
          <w:color w:val="auto"/>
          <w:sz w:val="24"/>
        </w:rPr>
        <w:t xml:space="preserve">Целта на </w:t>
      </w:r>
      <w:r>
        <w:rPr>
          <w:rFonts w:ascii="Times New Roman" w:hAnsi="Times New Roman"/>
          <w:b/>
          <w:noProof/>
          <w:color w:val="auto"/>
          <w:sz w:val="24"/>
        </w:rPr>
        <w:t>Плана за инвестиции за Европа</w:t>
      </w:r>
      <w:r>
        <w:rPr>
          <w:rStyle w:val="FootnoteReference"/>
          <w:rFonts w:ascii="Times New Roman" w:hAnsi="Times New Roman"/>
          <w:noProof/>
          <w:color w:val="auto"/>
          <w:sz w:val="24"/>
        </w:rPr>
        <w:footnoteReference w:id="22"/>
      </w:r>
      <w:r>
        <w:rPr>
          <w:rFonts w:ascii="Times New Roman" w:hAnsi="Times New Roman"/>
          <w:noProof/>
          <w:color w:val="auto"/>
          <w:sz w:val="24"/>
        </w:rPr>
        <w:t xml:space="preserve"> (например </w:t>
      </w:r>
      <w:r>
        <w:rPr>
          <w:rFonts w:ascii="Times New Roman" w:hAnsi="Times New Roman"/>
          <w:b/>
          <w:i/>
          <w:noProof/>
          <w:color w:val="auto"/>
          <w:sz w:val="24"/>
        </w:rPr>
        <w:t>ЦУР 8, 9, 12, 13</w:t>
      </w:r>
      <w:r>
        <w:rPr>
          <w:rFonts w:ascii="Times New Roman" w:hAnsi="Times New Roman"/>
          <w:noProof/>
          <w:color w:val="auto"/>
          <w:sz w:val="24"/>
        </w:rPr>
        <w:t>) е до 2020 г. да мобилизира 500 милиарда евро допълнителни инвестиции в реалната икономика чрез Европейския фонд за стратегически инвестиции (ЕФСИ). Инвестициите в няколко стратегически сектора като образование, здравеопазване, водна, енергийна, транспортна и друга инфраструктура, промишленост и селско стопанство, както и в насърчаване на ориентирани към бъдещето инициативи, като например възобновяеми енергийни източници, кръгова икономика и смекчаване на последиците от изменението на климата и адаптиране към тях, са важна част на успеха на първия етап на ЕФСИ. За втория етап, ЕФСИ 2.0</w:t>
      </w:r>
      <w:r>
        <w:rPr>
          <w:rStyle w:val="FootnoteReference"/>
          <w:rFonts w:ascii="Times New Roman" w:hAnsi="Times New Roman"/>
          <w:noProof/>
          <w:color w:val="auto"/>
          <w:sz w:val="24"/>
        </w:rPr>
        <w:footnoteReference w:id="23"/>
      </w:r>
      <w:r>
        <w:rPr>
          <w:rFonts w:ascii="Times New Roman" w:hAnsi="Times New Roman"/>
          <w:noProof/>
          <w:color w:val="auto"/>
          <w:sz w:val="24"/>
        </w:rPr>
        <w:t>, Комисията е предложила количествена цел (40 %) за целевите проекти в областта на изменението на климата. Теренните дейности на най-високо ниво ще насърчават ориентирани към бъдещето предложения не само за целта по отношение на климата, но и за гарантиране на изпълнението на проекти за устойчив растеж с по-голям обхват. В допълнение към това новото предложение ще улесни комбинирането с други основни източници на финансиране, като например европейските структурни и инвестиционни фондове, които да подкрепят устойчивия растеж в няколко сектора в целия ЕС.</w:t>
      </w:r>
    </w:p>
    <w:p>
      <w:pPr>
        <w:pStyle w:val="Body"/>
        <w:jc w:val="both"/>
        <w:rPr>
          <w:rFonts w:ascii="Times New Roman" w:hAnsi="Times New Roman"/>
          <w:bCs/>
          <w:noProof/>
          <w:color w:val="auto"/>
          <w:sz w:val="24"/>
          <w:szCs w:val="24"/>
        </w:rPr>
      </w:pPr>
      <w:r>
        <w:rPr>
          <w:rFonts w:ascii="Times New Roman" w:hAnsi="Times New Roman"/>
          <w:b/>
          <w:noProof/>
          <w:color w:val="auto"/>
          <w:sz w:val="24"/>
        </w:rPr>
        <w:t xml:space="preserve">В концепцията за кръгова икономика </w:t>
      </w:r>
      <w:r>
        <w:rPr>
          <w:rFonts w:ascii="Times New Roman" w:hAnsi="Times New Roman"/>
          <w:noProof/>
          <w:color w:val="auto"/>
          <w:sz w:val="24"/>
        </w:rPr>
        <w:t>(</w:t>
      </w:r>
      <w:r>
        <w:rPr>
          <w:rFonts w:ascii="Times New Roman" w:hAnsi="Times New Roman"/>
          <w:b/>
          <w:i/>
          <w:noProof/>
          <w:color w:val="auto"/>
          <w:sz w:val="24"/>
        </w:rPr>
        <w:t>ЦУР 6, 8, 9, 11, 12, 13, 14, 15</w:t>
      </w:r>
      <w:r>
        <w:rPr>
          <w:rFonts w:ascii="Times New Roman" w:hAnsi="Times New Roman"/>
          <w:noProof/>
          <w:color w:val="auto"/>
          <w:sz w:val="24"/>
        </w:rPr>
        <w:t>) се предлага програма за трансформиране със значителен брой нови работни места и потенциал за растеж и стимулиране на модели на устойчиво потребление и производство. Акцентът върху ефективното използване на ресурсите и минимизирането на отпадъците в контекста на бързото изчерпване на световните ресурси дава на ЕС конкурентно предимство и стимулира иновациите. Такава икономика създава местни работни места на всички равнища на уменията и с възможности за социална интеграция.</w:t>
      </w:r>
      <w:r>
        <w:rPr>
          <w:noProof/>
          <w:color w:val="auto"/>
        </w:rPr>
        <w:t xml:space="preserve"> </w:t>
      </w:r>
      <w:r>
        <w:rPr>
          <w:rFonts w:ascii="Times New Roman" w:hAnsi="Times New Roman"/>
          <w:noProof/>
          <w:color w:val="auto"/>
          <w:sz w:val="24"/>
        </w:rPr>
        <w:t xml:space="preserve">Преходът към кръгова икономика предлага възможност Европа да модернизира икономиката си, което да я направи по-пригодена за бъдещето, по-зелена и по-конкурентоспособна. Кръговата икономика допринася също така за понижаване на нивата на емисиите на въглероден диоксид и за спестяване на енергия, както и за по-слабо замърсяване на въздуха, почвата и водите. Изпълнението на плана за действие за кръгова икономика от 2015 г. продължава да заема първите места в дневния ред на Комисията, както е потвърдено в работната програма за 2017 г. </w:t>
      </w:r>
    </w:p>
    <w:p>
      <w:pPr>
        <w:pStyle w:val="Body"/>
        <w:jc w:val="both"/>
        <w:rPr>
          <w:rFonts w:ascii="Times New Roman" w:hAnsi="Times New Roman"/>
          <w:bCs/>
          <w:noProof/>
          <w:color w:val="auto"/>
          <w:sz w:val="24"/>
          <w:szCs w:val="24"/>
        </w:rPr>
      </w:pPr>
    </w:p>
    <w:p>
      <w:pPr>
        <w:pStyle w:val="Body"/>
        <w:jc w:val="both"/>
        <w:rPr>
          <w:noProof/>
        </w:rPr>
      </w:pPr>
      <w:r>
        <w:rPr>
          <w:rFonts w:ascii="Times New Roman" w:hAnsi="Times New Roman"/>
          <w:noProof/>
          <w:color w:val="auto"/>
          <w:sz w:val="24"/>
        </w:rPr>
        <w:t xml:space="preserve">Рамката за мониторинг на кръговата икономика в Европа ще бъде готова през 2017 г. С цел увеличаване на инвестициите в кръговата икономика ще бъде създадена платформа за подпомагане на нейното финансиране. Друга нова инициатива през 2017 г. ще бъде цялостната стратегия за пластмасите, насочена към подобряване на икономиката, качеството и рециклирането на пластмасите, както и към повторна употреба и намаляване на изпускането на (микро-)пластмаси в околната среда. Тя ще помогне на европейската промишленост да разработва пластмасите на бъдещето, които са по-слабо зависими от изкопаемите горива и които предлагат решения за намаляване на глобалното </w:t>
      </w:r>
      <w:r>
        <w:rPr>
          <w:rFonts w:ascii="Times New Roman" w:hAnsi="Times New Roman"/>
          <w:b/>
          <w:noProof/>
          <w:color w:val="auto"/>
          <w:sz w:val="24"/>
        </w:rPr>
        <w:t>замърсяване на морските води</w:t>
      </w:r>
      <w:r>
        <w:rPr>
          <w:rFonts w:ascii="Times New Roman" w:hAnsi="Times New Roman"/>
          <w:noProof/>
          <w:color w:val="auto"/>
          <w:sz w:val="24"/>
        </w:rPr>
        <w:t xml:space="preserve"> (</w:t>
      </w:r>
      <w:r>
        <w:rPr>
          <w:rFonts w:ascii="Times New Roman" w:hAnsi="Times New Roman"/>
          <w:b/>
          <w:i/>
          <w:noProof/>
          <w:color w:val="auto"/>
          <w:sz w:val="24"/>
        </w:rPr>
        <w:t>ЦУР 14</w:t>
      </w:r>
      <w:r>
        <w:rPr>
          <w:rFonts w:ascii="Times New Roman" w:hAnsi="Times New Roman"/>
          <w:noProof/>
          <w:color w:val="auto"/>
          <w:sz w:val="24"/>
        </w:rPr>
        <w:t xml:space="preserve">). </w:t>
      </w:r>
      <w:r>
        <w:rPr>
          <w:rFonts w:ascii="Times New Roman" w:hAnsi="Times New Roman"/>
          <w:noProof/>
          <w:sz w:val="24"/>
        </w:rPr>
        <w:t>С цел насърчаване на безопасно повторно използване на пречистените отпадъчни води ще бъдат определени минимални изисквания за пречистените отпадъчни води (</w:t>
      </w:r>
      <w:r>
        <w:rPr>
          <w:rFonts w:ascii="Times New Roman" w:hAnsi="Times New Roman"/>
          <w:b/>
          <w:i/>
          <w:noProof/>
          <w:sz w:val="24"/>
        </w:rPr>
        <w:t>ЦУР 6</w:t>
      </w:r>
      <w:r>
        <w:rPr>
          <w:rFonts w:ascii="Times New Roman" w:hAnsi="Times New Roman"/>
          <w:noProof/>
          <w:sz w:val="24"/>
        </w:rPr>
        <w:t>).</w:t>
      </w:r>
      <w:r>
        <w:rPr>
          <w:rFonts w:ascii="Times New Roman" w:hAnsi="Times New Roman"/>
          <w:noProof/>
          <w:color w:val="auto"/>
          <w:sz w:val="24"/>
        </w:rPr>
        <w:t xml:space="preserve"> За да се подкрепи целта на ООН за намаляване наполовина на хранителните отпадъци на глава от населението в световен мащаб до 2030 г., чрез платформата на ЕС за загубите на храна и хранителните отпадъци ще бъде предприето действие за устойчиви системи за храни и предотвратяване на </w:t>
      </w:r>
      <w:r>
        <w:rPr>
          <w:rFonts w:ascii="Times New Roman" w:hAnsi="Times New Roman"/>
          <w:b/>
          <w:noProof/>
          <w:color w:val="auto"/>
          <w:sz w:val="24"/>
        </w:rPr>
        <w:t>хранителни отпадъци</w:t>
      </w:r>
      <w:r>
        <w:rPr>
          <w:rFonts w:ascii="Times New Roman" w:hAnsi="Times New Roman"/>
          <w:noProof/>
          <w:color w:val="auto"/>
          <w:sz w:val="24"/>
        </w:rPr>
        <w:t xml:space="preserve"> (</w:t>
      </w:r>
      <w:r>
        <w:rPr>
          <w:rFonts w:ascii="Times New Roman" w:hAnsi="Times New Roman"/>
          <w:b/>
          <w:i/>
          <w:noProof/>
          <w:color w:val="auto"/>
          <w:sz w:val="24"/>
        </w:rPr>
        <w:t>ЦУР 12</w:t>
      </w:r>
      <w:r>
        <w:rPr>
          <w:rFonts w:ascii="Times New Roman" w:hAnsi="Times New Roman"/>
          <w:noProof/>
          <w:color w:val="auto"/>
          <w:sz w:val="24"/>
        </w:rPr>
        <w:t>). Планират се целенасочени действия за улесняване на даряването на храни и безопасното използване на храни, които не са подходящи за консумация от човека, за производство на фуражи, както и за по-ефективно маркиране на датата върху храните.</w:t>
      </w:r>
    </w:p>
    <w:p>
      <w:pPr>
        <w:pStyle w:val="Body"/>
        <w:jc w:val="both"/>
        <w:rPr>
          <w:rFonts w:ascii="Times New Roman" w:hAnsi="Times New Roman"/>
          <w:noProof/>
          <w:color w:val="auto"/>
          <w:sz w:val="24"/>
          <w:szCs w:val="24"/>
        </w:rPr>
      </w:pPr>
    </w:p>
    <w:p>
      <w:pPr>
        <w:pStyle w:val="Body"/>
        <w:jc w:val="both"/>
        <w:rPr>
          <w:rFonts w:ascii="Times New Roman" w:hAnsi="Times New Roman"/>
          <w:noProof/>
          <w:color w:val="auto"/>
          <w:sz w:val="24"/>
        </w:rPr>
      </w:pPr>
      <w:r>
        <w:rPr>
          <w:rFonts w:ascii="Times New Roman" w:hAnsi="Times New Roman"/>
          <w:noProof/>
          <w:color w:val="auto"/>
          <w:sz w:val="24"/>
        </w:rPr>
        <w:t xml:space="preserve">Прилагането на </w:t>
      </w:r>
      <w:r>
        <w:rPr>
          <w:rFonts w:ascii="Times New Roman" w:hAnsi="Times New Roman"/>
          <w:b/>
          <w:noProof/>
          <w:color w:val="auto"/>
          <w:sz w:val="24"/>
        </w:rPr>
        <w:t xml:space="preserve">достиженията на правото на ЕС в областта на околната среда </w:t>
      </w:r>
      <w:r>
        <w:rPr>
          <w:rFonts w:ascii="Times New Roman" w:hAnsi="Times New Roman"/>
          <w:noProof/>
          <w:color w:val="auto"/>
          <w:sz w:val="24"/>
        </w:rPr>
        <w:t>(</w:t>
      </w:r>
      <w:r>
        <w:rPr>
          <w:rFonts w:ascii="Times New Roman" w:hAnsi="Times New Roman"/>
          <w:b/>
          <w:i/>
          <w:noProof/>
          <w:color w:val="auto"/>
          <w:sz w:val="24"/>
        </w:rPr>
        <w:t>ЦУР 6, 14, 15</w:t>
      </w:r>
      <w:r>
        <w:rPr>
          <w:rFonts w:ascii="Times New Roman" w:hAnsi="Times New Roman"/>
          <w:noProof/>
          <w:color w:val="auto"/>
          <w:sz w:val="24"/>
        </w:rPr>
        <w:t>) продължава да бъде жизненоважно за дългосрочната устойчивост и е неразделна част от по-широките икономически и социални предизвикателства. Както е подчертано в Седмата програма за действие за околната среда, поддържането и подобряването на нашите природни ресурси също е от съществено значение за способността на нашите икономически сектори да предоставят услугите си, например селското стопанство, рибарството или енергийния сектор. Комисията ще засили проследяването на напредъка на екологичните цели чрез прегледа на изпълнението на политиките за околната среда и ще стартира инициативи за опростяване на докладването по въпросите на околната среда, улесняване на достъпа до правосъдие и подкрепа на спазването на законодателството в областта на околната среда в държавите членки (</w:t>
      </w:r>
      <w:r>
        <w:rPr>
          <w:rFonts w:ascii="Times New Roman" w:hAnsi="Times New Roman"/>
          <w:b/>
          <w:i/>
          <w:noProof/>
          <w:color w:val="auto"/>
          <w:sz w:val="24"/>
        </w:rPr>
        <w:t>ЦУР 17</w:t>
      </w:r>
      <w:r>
        <w:rPr>
          <w:rFonts w:ascii="Times New Roman" w:hAnsi="Times New Roman"/>
          <w:noProof/>
          <w:color w:val="auto"/>
          <w:sz w:val="24"/>
        </w:rPr>
        <w:t>).</w:t>
      </w:r>
    </w:p>
    <w:p>
      <w:pPr>
        <w:pStyle w:val="Body"/>
        <w:jc w:val="both"/>
        <w:rPr>
          <w:rFonts w:ascii="Times New Roman" w:hAnsi="Times New Roman"/>
          <w:noProof/>
          <w:color w:val="auto"/>
          <w:sz w:val="24"/>
        </w:rPr>
      </w:pPr>
    </w:p>
    <w:p>
      <w:pPr>
        <w:pStyle w:val="Body"/>
        <w:jc w:val="both"/>
        <w:rPr>
          <w:rFonts w:ascii="Times New Roman" w:eastAsia="Times New Roman" w:hAnsi="Times New Roman"/>
          <w:noProof/>
          <w:color w:val="auto"/>
          <w:sz w:val="24"/>
        </w:rPr>
      </w:pPr>
      <w:r>
        <w:rPr>
          <w:rFonts w:ascii="Times New Roman" w:hAnsi="Times New Roman"/>
          <w:b/>
          <w:noProof/>
          <w:color w:val="auto"/>
          <w:sz w:val="24"/>
        </w:rPr>
        <w:t xml:space="preserve">Селското стопанство </w:t>
      </w:r>
      <w:r>
        <w:rPr>
          <w:rFonts w:ascii="Times New Roman" w:hAnsi="Times New Roman"/>
          <w:noProof/>
          <w:color w:val="auto"/>
          <w:sz w:val="24"/>
        </w:rPr>
        <w:t>(</w:t>
      </w:r>
      <w:r>
        <w:rPr>
          <w:rFonts w:ascii="Times New Roman" w:hAnsi="Times New Roman"/>
          <w:b/>
          <w:i/>
          <w:noProof/>
          <w:color w:val="auto"/>
          <w:sz w:val="24"/>
        </w:rPr>
        <w:t>ЦУР 2</w:t>
      </w:r>
      <w:r>
        <w:rPr>
          <w:rFonts w:ascii="Times New Roman" w:hAnsi="Times New Roman"/>
          <w:noProof/>
          <w:color w:val="auto"/>
          <w:sz w:val="24"/>
        </w:rPr>
        <w:t xml:space="preserve">) изпълнява съществена роля в </w:t>
      </w:r>
      <w:r>
        <w:rPr>
          <w:rFonts w:ascii="Times New Roman" w:hAnsi="Times New Roman"/>
          <w:noProof/>
          <w:sz w:val="24"/>
        </w:rPr>
        <w:t>Програмата до 2030 г.</w:t>
      </w:r>
      <w:r>
        <w:rPr>
          <w:rFonts w:ascii="Times New Roman" w:hAnsi="Times New Roman"/>
          <w:noProof/>
          <w:color w:val="auto"/>
          <w:sz w:val="24"/>
        </w:rPr>
        <w:t xml:space="preserve"> и във всяко устойчиво бъдеще, тъй като е неразривно свързано с въпроси като работни места, храна, въздух, изменение на климата, води, почви и биоразнообразие (</w:t>
      </w:r>
      <w:r>
        <w:rPr>
          <w:rFonts w:ascii="Times New Roman" w:hAnsi="Times New Roman"/>
          <w:b/>
          <w:i/>
          <w:noProof/>
          <w:color w:val="auto"/>
          <w:sz w:val="24"/>
        </w:rPr>
        <w:t>ЦУР 8, 12, 6, 13 и 15</w:t>
      </w:r>
      <w:r>
        <w:rPr>
          <w:rFonts w:ascii="Times New Roman" w:hAnsi="Times New Roman"/>
          <w:noProof/>
          <w:color w:val="auto"/>
          <w:sz w:val="24"/>
        </w:rPr>
        <w:t xml:space="preserve">). За тази цел Комисията ще продължи работата и ще се консултира на широка основа относно опростяването и модернизирането на Общата селскостопанска политика с цел да се увеличи максимално нейният принос към десетте приоритета на Комисията и към целите за устойчиво развитие. </w:t>
      </w:r>
    </w:p>
    <w:p>
      <w:pPr>
        <w:pStyle w:val="Body"/>
        <w:jc w:val="both"/>
        <w:rPr>
          <w:rFonts w:ascii="Times New Roman" w:eastAsia="Times New Roman" w:hAnsi="Times New Roman"/>
          <w:noProof/>
          <w:color w:val="auto"/>
          <w:sz w:val="24"/>
        </w:rPr>
      </w:pPr>
    </w:p>
    <w:p>
      <w:pPr>
        <w:pStyle w:val="Body"/>
        <w:jc w:val="both"/>
        <w:rPr>
          <w:rFonts w:ascii="Times New Roman" w:hAnsi="Times New Roman"/>
          <w:b/>
          <w:bCs/>
          <w:i/>
          <w:noProof/>
          <w:color w:val="auto"/>
          <w:sz w:val="24"/>
          <w:szCs w:val="24"/>
        </w:rPr>
      </w:pPr>
      <w:r>
        <w:rPr>
          <w:rFonts w:ascii="Times New Roman" w:hAnsi="Times New Roman"/>
          <w:b/>
          <w:i/>
          <w:noProof/>
          <w:color w:val="auto"/>
          <w:sz w:val="24"/>
        </w:rPr>
        <w:t>В резултат на работата си по „Приоритет 3. Устойчив енергиен съюз с ориентирана към бъдещето политика по въпросите на изменението на климата“ ЕС е приел ясна рамка до 2030 г. и активно работи за изпълнението на двете съответни ЦУР.</w:t>
      </w:r>
    </w:p>
    <w:p>
      <w:pPr>
        <w:pStyle w:val="Body"/>
        <w:jc w:val="both"/>
        <w:rPr>
          <w:rFonts w:ascii="Times New Roman" w:hAnsi="Times New Roman"/>
          <w:bCs/>
          <w:noProof/>
          <w:color w:val="auto"/>
          <w:sz w:val="24"/>
          <w:szCs w:val="24"/>
        </w:rPr>
      </w:pPr>
    </w:p>
    <w:p>
      <w:pPr>
        <w:pStyle w:val="Body"/>
        <w:jc w:val="both"/>
        <w:rPr>
          <w:rFonts w:ascii="Times New Roman" w:hAnsi="Times New Roman"/>
          <w:bCs/>
          <w:noProof/>
          <w:color w:val="auto"/>
          <w:sz w:val="24"/>
          <w:szCs w:val="24"/>
        </w:rPr>
      </w:pPr>
      <w:r>
        <w:rPr>
          <w:rFonts w:ascii="Times New Roman" w:hAnsi="Times New Roman"/>
          <w:noProof/>
          <w:color w:val="auto"/>
          <w:sz w:val="24"/>
        </w:rPr>
        <w:t>ЕС е най-големият вносител на енергия в света</w:t>
      </w:r>
      <w:r>
        <w:rPr>
          <w:rStyle w:val="FootnoteReference"/>
          <w:rFonts w:ascii="Times New Roman" w:hAnsi="Times New Roman"/>
          <w:noProof/>
          <w:color w:val="auto"/>
          <w:sz w:val="24"/>
        </w:rPr>
        <w:footnoteReference w:id="24"/>
      </w:r>
      <w:r>
        <w:rPr>
          <w:rFonts w:ascii="Times New Roman" w:hAnsi="Times New Roman"/>
          <w:noProof/>
          <w:color w:val="auto"/>
          <w:sz w:val="24"/>
        </w:rPr>
        <w:t xml:space="preserve"> и е уязвим от нарушаване на доставките. Поради тази причина са важни енергийната</w:t>
      </w:r>
      <w:r>
        <w:rPr>
          <w:rFonts w:ascii="Times New Roman" w:hAnsi="Times New Roman"/>
          <w:b/>
          <w:noProof/>
          <w:color w:val="auto"/>
          <w:sz w:val="24"/>
        </w:rPr>
        <w:t xml:space="preserve"> </w:t>
      </w:r>
      <w:r>
        <w:rPr>
          <w:rFonts w:ascii="Times New Roman" w:hAnsi="Times New Roman"/>
          <w:noProof/>
          <w:color w:val="auto"/>
          <w:sz w:val="24"/>
        </w:rPr>
        <w:t xml:space="preserve">сигурност, интеграцията на пазара, енергийната ефективност и използването на местни енергийни ресурси, по-специално на възобновяеми енергийни източници, за да се намали зависимостта ни от външни доставчици, докато намаляваме въглеродните емисии на икономиката и стимулираме нови бизнес сектори. </w:t>
      </w:r>
      <w:r>
        <w:rPr>
          <w:rFonts w:ascii="Times New Roman" w:hAnsi="Times New Roman"/>
          <w:noProof/>
          <w:sz w:val="24"/>
        </w:rPr>
        <w:t xml:space="preserve">Европа се нуждае от правилен избор сега, когато преминаването към нисковъглеродна икономика ще бъде затруднено от икономическите, социалните и екологичните разходи на фрагментираните енергийни пазари. </w:t>
      </w:r>
      <w:r>
        <w:rPr>
          <w:rFonts w:ascii="Times New Roman" w:hAnsi="Times New Roman"/>
          <w:noProof/>
          <w:color w:val="auto"/>
          <w:sz w:val="24"/>
        </w:rPr>
        <w:t xml:space="preserve">Целта на </w:t>
      </w:r>
      <w:r>
        <w:rPr>
          <w:rFonts w:ascii="Times New Roman" w:hAnsi="Times New Roman"/>
          <w:b/>
          <w:noProof/>
          <w:color w:val="auto"/>
          <w:sz w:val="24"/>
        </w:rPr>
        <w:t>енергийния съюз</w:t>
      </w:r>
      <w:r>
        <w:rPr>
          <w:rFonts w:ascii="Times New Roman" w:hAnsi="Times New Roman"/>
          <w:noProof/>
          <w:color w:val="auto"/>
          <w:sz w:val="24"/>
        </w:rPr>
        <w:t xml:space="preserve"> е да се гарантира сигурна и устойчива енергия на достъпни цени за предприятията и домакинствата (</w:t>
      </w:r>
      <w:r>
        <w:rPr>
          <w:rFonts w:ascii="Times New Roman" w:hAnsi="Times New Roman"/>
          <w:b/>
          <w:i/>
          <w:noProof/>
          <w:color w:val="auto"/>
          <w:sz w:val="24"/>
        </w:rPr>
        <w:t>ЦУР 7</w:t>
      </w:r>
      <w:r>
        <w:rPr>
          <w:rFonts w:ascii="Times New Roman" w:hAnsi="Times New Roman"/>
          <w:noProof/>
          <w:color w:val="auto"/>
          <w:sz w:val="24"/>
        </w:rPr>
        <w:t xml:space="preserve">). Енергийният съюз насърчава енергийното сътрудничество и интеграцията за постигането на тези цели. Възобновяемите енергийни източници и по-специално енергийната ефективност са в основата на тази стратегия на ЕС, тъй като имат все по-важна роля в борбата с изменението на климата, като същевременно подобряват енергийната сигурност и укрепват лидерството на ЕС в промишлеността и технологиите. </w:t>
      </w:r>
    </w:p>
    <w:p>
      <w:pPr>
        <w:pStyle w:val="Body"/>
        <w:jc w:val="both"/>
        <w:rPr>
          <w:rFonts w:ascii="Times New Roman" w:hAnsi="Times New Roman"/>
          <w:bCs/>
          <w:noProof/>
          <w:color w:val="auto"/>
          <w:sz w:val="24"/>
          <w:szCs w:val="24"/>
        </w:rPr>
      </w:pPr>
    </w:p>
    <w:p>
      <w:pPr>
        <w:pStyle w:val="Body"/>
        <w:jc w:val="both"/>
        <w:rPr>
          <w:rFonts w:ascii="Times New Roman" w:hAnsi="Times New Roman"/>
          <w:bCs/>
          <w:noProof/>
          <w:color w:val="auto"/>
          <w:sz w:val="24"/>
          <w:szCs w:val="24"/>
        </w:rPr>
      </w:pPr>
      <w:r>
        <w:rPr>
          <w:rFonts w:ascii="Times New Roman" w:hAnsi="Times New Roman"/>
          <w:noProof/>
          <w:color w:val="auto"/>
          <w:sz w:val="24"/>
        </w:rPr>
        <w:t xml:space="preserve">Споразумението от Париж от 2015 г. е исторически значимо събитие в глобалната борба с </w:t>
      </w:r>
      <w:r>
        <w:rPr>
          <w:rFonts w:ascii="Times New Roman" w:hAnsi="Times New Roman"/>
          <w:b/>
          <w:noProof/>
          <w:color w:val="auto"/>
          <w:sz w:val="24"/>
        </w:rPr>
        <w:t>изменението на климата</w:t>
      </w:r>
      <w:r>
        <w:rPr>
          <w:rFonts w:ascii="Times New Roman" w:hAnsi="Times New Roman"/>
          <w:noProof/>
          <w:color w:val="auto"/>
          <w:sz w:val="24"/>
        </w:rPr>
        <w:t xml:space="preserve"> (</w:t>
      </w:r>
      <w:r>
        <w:rPr>
          <w:rFonts w:ascii="Times New Roman" w:hAnsi="Times New Roman"/>
          <w:b/>
          <w:i/>
          <w:noProof/>
          <w:color w:val="auto"/>
          <w:sz w:val="24"/>
        </w:rPr>
        <w:t>ЦУР 13</w:t>
      </w:r>
      <w:r>
        <w:rPr>
          <w:rFonts w:ascii="Times New Roman" w:hAnsi="Times New Roman"/>
          <w:noProof/>
          <w:color w:val="auto"/>
          <w:sz w:val="24"/>
        </w:rPr>
        <w:t>), успех за света и потвърждение на пътя на ЕС към нисковъглеродна и устойчива на изменението на климата икономика. ЕС си е поставил амбициозна общоикономическа вътрешна цел за намаляване на емисиите на парникови газове с поне 40 % до 2030 г. Целта е определена въз основа на глобални прогнози, които са в съответствие със средносрочната цел на Споразумението от Париж. ЕС ще продължи да бъде лидер чрез примера и действията по регулаторните политики за намаляване на емисиите, укрепване на адаптирането към изменението на климата и управление на риска от бедствия, но също така чрез действията спрямо факторите, които способстват за ускоряване на публичните и частните инвестиции в иновация и модернизация във всички ключови сектори. Стратегията за мобилност с ниски емисии допринася за постигане на конкурентоспособна транспортна система с ефективно използване на ресурсите. По отношение на авиацията и корабоплаването ЕС има водеща роля в глобалните споразуменията, постигнати през тази година за справяне с емисиите.</w:t>
      </w:r>
      <w:r>
        <w:rPr>
          <w:rFonts w:ascii="Times New Roman" w:eastAsiaTheme="minorHAnsi" w:hAnsi="Times New Roman"/>
          <w:noProof/>
          <w:color w:val="auto"/>
          <w:sz w:val="23"/>
          <w:bdr w:val="none" w:sz="0" w:space="0" w:color="auto"/>
        </w:rPr>
        <w:t xml:space="preserve"> </w:t>
      </w:r>
      <w:r>
        <w:rPr>
          <w:rFonts w:ascii="Times New Roman" w:hAnsi="Times New Roman"/>
          <w:noProof/>
          <w:color w:val="auto"/>
          <w:sz w:val="24"/>
        </w:rPr>
        <w:t>В процес на договаряне са предложения за ускоряване на прехода към нисковъглеродна икономика, които обхващат всички сектори на икономиката в ЕС</w:t>
      </w:r>
      <w:r>
        <w:rPr>
          <w:rStyle w:val="FootnoteReference"/>
          <w:rFonts w:ascii="Times New Roman" w:hAnsi="Times New Roman"/>
          <w:noProof/>
          <w:color w:val="auto"/>
          <w:sz w:val="24"/>
        </w:rPr>
        <w:footnoteReference w:id="25"/>
      </w:r>
      <w:r>
        <w:rPr>
          <w:rFonts w:ascii="Times New Roman" w:hAnsi="Times New Roman"/>
          <w:noProof/>
          <w:color w:val="auto"/>
          <w:sz w:val="24"/>
        </w:rPr>
        <w:t xml:space="preserve">. </w:t>
      </w:r>
    </w:p>
    <w:p>
      <w:pPr>
        <w:pStyle w:val="Body"/>
        <w:jc w:val="both"/>
        <w:rPr>
          <w:rFonts w:ascii="Times New Roman" w:hAnsi="Times New Roman"/>
          <w:bCs/>
          <w:noProof/>
          <w:color w:val="auto"/>
          <w:sz w:val="24"/>
          <w:szCs w:val="24"/>
        </w:rPr>
      </w:pPr>
    </w:p>
    <w:p>
      <w:pPr>
        <w:pStyle w:val="Body"/>
        <w:jc w:val="both"/>
        <w:rPr>
          <w:rFonts w:ascii="Times New Roman" w:hAnsi="Times New Roman"/>
          <w:b/>
          <w:bCs/>
          <w:i/>
          <w:noProof/>
          <w:color w:val="auto"/>
          <w:sz w:val="24"/>
          <w:szCs w:val="24"/>
        </w:rPr>
      </w:pPr>
      <w:r>
        <w:rPr>
          <w:rFonts w:ascii="Times New Roman" w:hAnsi="Times New Roman"/>
          <w:b/>
          <w:i/>
          <w:noProof/>
          <w:color w:val="auto"/>
          <w:sz w:val="24"/>
        </w:rPr>
        <w:t>По „Приоритет 4. По-задълбочен и по-справедлив вътрешен пазар със засилена промишлена база“, по-специално по отношение на съюза на капиталовите пазари, е предприет нов и насочен към бъдещето подход за гарантиране на устойчиви финанси, който е свързан с няколко ЦУР.</w:t>
      </w:r>
    </w:p>
    <w:p>
      <w:pPr>
        <w:pStyle w:val="Body"/>
        <w:jc w:val="both"/>
        <w:rPr>
          <w:rFonts w:ascii="Times New Roman" w:hAnsi="Times New Roman"/>
          <w:bCs/>
          <w:noProof/>
          <w:color w:val="auto"/>
          <w:sz w:val="24"/>
          <w:szCs w:val="24"/>
        </w:rPr>
      </w:pPr>
    </w:p>
    <w:p>
      <w:pPr>
        <w:rPr>
          <w:rFonts w:ascii="Times New Roman" w:hAnsi="Times New Roman"/>
          <w:noProof/>
          <w:sz w:val="24"/>
        </w:rPr>
      </w:pPr>
      <w:r>
        <w:rPr>
          <w:rFonts w:ascii="Times New Roman" w:hAnsi="Times New Roman"/>
          <w:b/>
          <w:noProof/>
          <w:sz w:val="24"/>
          <w:bdr w:val="nil"/>
        </w:rPr>
        <w:t>Устойчивите финанси</w:t>
      </w:r>
      <w:r>
        <w:rPr>
          <w:rFonts w:ascii="Times New Roman" w:hAnsi="Times New Roman"/>
          <w:noProof/>
          <w:sz w:val="24"/>
          <w:bdr w:val="nil"/>
        </w:rPr>
        <w:t xml:space="preserve"> (</w:t>
      </w:r>
      <w:r>
        <w:rPr>
          <w:rFonts w:ascii="Times New Roman" w:hAnsi="Times New Roman"/>
          <w:b/>
          <w:i/>
          <w:noProof/>
          <w:sz w:val="24"/>
          <w:bdr w:val="nil"/>
        </w:rPr>
        <w:t>ЦУР 8, 9, 13, 14 и 15</w:t>
      </w:r>
      <w:r>
        <w:rPr>
          <w:rFonts w:ascii="Times New Roman" w:hAnsi="Times New Roman"/>
          <w:noProof/>
          <w:sz w:val="24"/>
          <w:bdr w:val="nil"/>
        </w:rPr>
        <w:t xml:space="preserve">) са на предни позиции в дневния ред на Г20 и Европа, като финансовите министри, регулаторните органи и промишлеността активно проучват възможностите за действие. С оглед на ЦУР, Споразумението от Париж и прехода към нисковъглеродна и устойчива на изменението на климата по-кръгова икономика с ефективно използване на ресурсите ЕС желае съществуващата финансова система да бъде съгласувана по по-добър начин с политиките му за подкрепа на устойчивия растеж и инвестициите. В този контекст в </w:t>
      </w:r>
      <w:r>
        <w:rPr>
          <w:rFonts w:ascii="Times New Roman" w:hAnsi="Times New Roman"/>
          <w:b/>
          <w:noProof/>
          <w:sz w:val="24"/>
          <w:bdr w:val="nil"/>
        </w:rPr>
        <w:t>съюза на капиталовите пазари</w:t>
      </w:r>
      <w:r>
        <w:rPr>
          <w:rFonts w:ascii="Times New Roman" w:hAnsi="Times New Roman"/>
          <w:noProof/>
          <w:sz w:val="24"/>
          <w:bdr w:val="nil"/>
        </w:rPr>
        <w:t xml:space="preserve"> са заложени конкретни инициативи, например за „зелени“ облигации, за насърчаване на дългосрочните инвестиции или за пруденциалните аспекти, свързани с регулирането на банките. Освен това е въведена система, която да гарантира по-голяма прозрачност за инвеститорите</w:t>
      </w:r>
      <w:r>
        <w:rPr>
          <w:rFonts w:ascii="Times New Roman" w:hAnsi="Times New Roman"/>
          <w:noProof/>
          <w:sz w:val="24"/>
        </w:rPr>
        <w:t xml:space="preserve"> по отношение на оповестяването на нефинансова информация и информация за многообразието, включително по въпроси на околната среда, социални аспекти и аспекти, свързани със служителите, зачитане на правата на човека, борба с корупцията, подкупите, и други въпроси. Определянето на съгласувана стратегия на ЕС за устойчиви финанси ще помогне за идентифициране, приоритизиране и планиране на начините, по които реформата на финансовата политика на ЕС може да привлече и насочи потока от (публичен и частен) капитал към устойчиви инвестиции. </w:t>
      </w:r>
    </w:p>
    <w:p>
      <w:pPr>
        <w:rPr>
          <w:rFonts w:ascii="Times New Roman" w:hAnsi="Times New Roman"/>
          <w:noProof/>
          <w:sz w:val="24"/>
        </w:rPr>
      </w:pPr>
      <w:r>
        <w:rPr>
          <w:rFonts w:ascii="Times New Roman" w:hAnsi="Times New Roman"/>
          <w:noProof/>
          <w:sz w:val="24"/>
        </w:rPr>
        <w:t xml:space="preserve">Като първа стъпка Комисията ще създаде експертна група на високо равнище за предоставяне на консултации относно разработването на всеобхватна и цялостна стратегия на ЕС за устойчиви финанси, като обръща специално внимание на предизвикателствата пред финансовата система, свързани с климата и риска за околната среда, както и на необходимостта да се мобилизират финансовите пазари да реагират на тези предизвикателства. Експертната група </w:t>
      </w:r>
      <w:r>
        <w:rPr>
          <w:rFonts w:ascii="Times New Roman" w:hAnsi="Times New Roman"/>
          <w:noProof/>
          <w:sz w:val="23"/>
        </w:rPr>
        <w:t xml:space="preserve">ще обмисли също така как съответните препоръки могат да бъдат разширени и към други измерения на устойчивото развитие. </w:t>
      </w:r>
      <w:r>
        <w:rPr>
          <w:rFonts w:ascii="Times New Roman" w:hAnsi="Times New Roman"/>
          <w:noProof/>
          <w:sz w:val="24"/>
        </w:rPr>
        <w:t xml:space="preserve">Това следва да позволи на ЕС да запази международното лидерство в развитието на устойчиви пазари. Комисията ще предприеме последващи действия по тази работа в междинния преглед на съюза на капиталовите пазари през 2017 г. </w:t>
      </w:r>
    </w:p>
    <w:p>
      <w:pPr>
        <w:pStyle w:val="Body"/>
        <w:jc w:val="both"/>
        <w:rPr>
          <w:rFonts w:ascii="Times New Roman" w:hAnsi="Times New Roman"/>
          <w:b/>
          <w:bCs/>
          <w:i/>
          <w:noProof/>
          <w:color w:val="auto"/>
          <w:sz w:val="24"/>
          <w:szCs w:val="24"/>
        </w:rPr>
      </w:pPr>
      <w:r>
        <w:rPr>
          <w:rFonts w:ascii="Times New Roman" w:hAnsi="Times New Roman"/>
          <w:b/>
          <w:i/>
          <w:noProof/>
          <w:color w:val="auto"/>
          <w:sz w:val="24"/>
        </w:rPr>
        <w:t>По „Приоритет 5. По-задълбочен и по-справедлив икономически и паричен съюз“ по-специално европейският стълб на социалните права и действията по отношение на корпоративната социална отговорност спомагат за справяне с предизвикателствата във връзка с работата през 21-ви век, както се изисква от ЦУР.</w:t>
      </w:r>
    </w:p>
    <w:p>
      <w:pPr>
        <w:pStyle w:val="Briefingtext"/>
        <w:spacing w:after="0"/>
        <w:rPr>
          <w:rFonts w:ascii="Times New Roman" w:hAnsi="Times New Roman" w:cs="Times New Roman"/>
          <w:b/>
          <w:i/>
          <w:noProof/>
          <w:sz w:val="24"/>
          <w:szCs w:val="24"/>
        </w:rPr>
      </w:pPr>
    </w:p>
    <w:p>
      <w:pPr>
        <w:rPr>
          <w:rFonts w:ascii="Times New Roman" w:hAnsi="Times New Roman"/>
          <w:b/>
          <w:noProof/>
          <w:sz w:val="24"/>
        </w:rPr>
      </w:pPr>
      <w:r>
        <w:rPr>
          <w:rFonts w:ascii="Times New Roman" w:hAnsi="Times New Roman"/>
          <w:noProof/>
          <w:sz w:val="24"/>
        </w:rPr>
        <w:t>В контекста на бързата икономическа, трудова, социална, демографска и технологична промяна въпросът за приобщаващ и устойчив растеж, заетост и достойни условия на труд (</w:t>
      </w:r>
      <w:r>
        <w:rPr>
          <w:rFonts w:ascii="Times New Roman" w:hAnsi="Times New Roman"/>
          <w:b/>
          <w:i/>
          <w:noProof/>
          <w:sz w:val="24"/>
        </w:rPr>
        <w:t>ЦУР 8</w:t>
      </w:r>
      <w:r>
        <w:rPr>
          <w:rFonts w:ascii="Times New Roman" w:hAnsi="Times New Roman"/>
          <w:noProof/>
          <w:sz w:val="24"/>
        </w:rPr>
        <w:t xml:space="preserve">) става по-актуален от всякога в Европа. В периода след кризата </w:t>
      </w:r>
      <w:r>
        <w:rPr>
          <w:rFonts w:ascii="Times New Roman" w:hAnsi="Times New Roman"/>
          <w:b/>
          <w:noProof/>
          <w:sz w:val="24"/>
        </w:rPr>
        <w:t xml:space="preserve">европейският стълб на социалните права </w:t>
      </w:r>
      <w:r>
        <w:rPr>
          <w:rFonts w:ascii="Times New Roman" w:hAnsi="Times New Roman"/>
          <w:noProof/>
          <w:sz w:val="24"/>
        </w:rPr>
        <w:t xml:space="preserve">има за цел да постави социалната справедливост в основата на политиките на ЕС. Набор от ключови принципи за провеждането на политиките за заетост и на социалните политики ще спомогне да бъдат взети по-успешно предвид новите икономически, социални и демографски тенденции. Здравето е един от елементите, които имат роля за насърчаване на човешкия капитал по отношение на производителността и участието в заетостта. Като начин за засилване на възходящата конвергенция в социалната област и областта на заетостта, по-специално в рамките на еврозоната, този стълб ще помогне за постигането на </w:t>
      </w:r>
      <w:r>
        <w:rPr>
          <w:rFonts w:ascii="Times New Roman" w:hAnsi="Times New Roman"/>
          <w:b/>
          <w:i/>
          <w:noProof/>
          <w:sz w:val="24"/>
        </w:rPr>
        <w:t>ЦУР 1, 3 и 10</w:t>
      </w:r>
      <w:r>
        <w:rPr>
          <w:rFonts w:ascii="Times New Roman" w:hAnsi="Times New Roman"/>
          <w:b/>
          <w:noProof/>
          <w:sz w:val="24"/>
        </w:rPr>
        <w:t xml:space="preserve">. </w:t>
      </w:r>
    </w:p>
    <w:p>
      <w:pPr>
        <w:pStyle w:val="Briefingtext"/>
        <w:rPr>
          <w:rFonts w:ascii="Times New Roman" w:hAnsi="Times New Roman"/>
          <w:noProof/>
          <w:sz w:val="24"/>
          <w:szCs w:val="24"/>
        </w:rPr>
      </w:pPr>
      <w:r>
        <w:rPr>
          <w:rFonts w:ascii="Times New Roman" w:hAnsi="Times New Roman"/>
          <w:noProof/>
          <w:sz w:val="24"/>
        </w:rPr>
        <w:t xml:space="preserve">В допълнение към това действията на ЕС по въпросите на </w:t>
      </w:r>
      <w:r>
        <w:rPr>
          <w:rFonts w:ascii="Times New Roman" w:hAnsi="Times New Roman"/>
          <w:b/>
          <w:noProof/>
          <w:sz w:val="24"/>
        </w:rPr>
        <w:t xml:space="preserve">корпоративната социална отговорност и отговорното бизнес поведение </w:t>
      </w:r>
      <w:r>
        <w:rPr>
          <w:rFonts w:ascii="Times New Roman" w:hAnsi="Times New Roman"/>
          <w:noProof/>
          <w:sz w:val="24"/>
        </w:rPr>
        <w:t>насърчават частния сектор да допринася за постигането на социалните и екологичните цели, като по този начин стимулира справедливия и устойчивия растеж и защитата на социалните права (</w:t>
      </w:r>
      <w:r>
        <w:rPr>
          <w:rFonts w:ascii="Times New Roman" w:hAnsi="Times New Roman"/>
          <w:b/>
          <w:i/>
          <w:noProof/>
          <w:sz w:val="24"/>
        </w:rPr>
        <w:t>ЦУР 8</w:t>
      </w:r>
      <w:r>
        <w:rPr>
          <w:rFonts w:ascii="Times New Roman" w:hAnsi="Times New Roman"/>
          <w:noProof/>
          <w:sz w:val="24"/>
        </w:rPr>
        <w:t>). Посредством глобалните вериги за доставки политиките на ЕС допринасят за по-устойчиви практики в управлението на горите, по-добри условия на труд и опазване на околната среда в сектора на текстилните изделия и рециклирането на кораби, в борбата с незаконния риболов и търговията с полезни изкопаеми от зони на конфликт и застрашени видове.</w:t>
      </w:r>
      <w:r>
        <w:rPr>
          <w:rFonts w:ascii="Times New Roman" w:hAnsi="Times New Roman"/>
          <w:noProof/>
          <w:color w:val="FF0000"/>
          <w:sz w:val="24"/>
        </w:rPr>
        <w:t xml:space="preserve"> </w:t>
      </w:r>
      <w:r>
        <w:rPr>
          <w:rFonts w:ascii="Times New Roman" w:hAnsi="Times New Roman"/>
          <w:noProof/>
          <w:sz w:val="24"/>
        </w:rPr>
        <w:t>Комисията ще засили работата си по отговорното бизнес поведение, като се съсредоточи върху конкретни действия за справяне с настоящите и бъдещите предизвикателства в социалната област, опазването на околната среда и управлението, като се опира на основните принципи и политическия подход, набелязани в стратегията на Комисията от 2011 г. за корпоративната социална отговорност на ЕС.</w:t>
      </w:r>
    </w:p>
    <w:p>
      <w:pPr>
        <w:autoSpaceDE w:val="0"/>
        <w:autoSpaceDN w:val="0"/>
        <w:adjustRightInd w:val="0"/>
        <w:rPr>
          <w:rFonts w:ascii="Times New Roman" w:hAnsi="Times New Roman"/>
          <w:b/>
          <w:i/>
          <w:noProof/>
          <w:sz w:val="24"/>
          <w:szCs w:val="24"/>
        </w:rPr>
      </w:pPr>
      <w:r>
        <w:rPr>
          <w:rFonts w:ascii="Times New Roman" w:hAnsi="Times New Roman"/>
          <w:b/>
          <w:i/>
          <w:noProof/>
          <w:sz w:val="24"/>
        </w:rPr>
        <w:t>„Приоритет 7. Пространство на правосъдие и основни права, изградено върху взаимно доверие“ включва продължаване на политическите усилия, свързани с ЦУР, по отношение на правосъдието и равенството между половете.</w:t>
      </w:r>
    </w:p>
    <w:p>
      <w:pPr>
        <w:autoSpaceDE w:val="0"/>
        <w:autoSpaceDN w:val="0"/>
        <w:adjustRightInd w:val="0"/>
        <w:rPr>
          <w:rFonts w:ascii="Times New Roman" w:hAnsi="Times New Roman"/>
          <w:noProof/>
          <w:sz w:val="24"/>
        </w:rPr>
      </w:pPr>
      <w:r>
        <w:rPr>
          <w:rFonts w:ascii="Times New Roman" w:hAnsi="Times New Roman"/>
          <w:noProof/>
          <w:sz w:val="24"/>
        </w:rPr>
        <w:t xml:space="preserve">Ефективните </w:t>
      </w:r>
      <w:r>
        <w:rPr>
          <w:rFonts w:ascii="Times New Roman" w:hAnsi="Times New Roman"/>
          <w:b/>
          <w:noProof/>
          <w:sz w:val="24"/>
        </w:rPr>
        <w:t>правосъдни системи</w:t>
      </w:r>
      <w:r>
        <w:rPr>
          <w:rFonts w:ascii="Times New Roman" w:hAnsi="Times New Roman"/>
          <w:noProof/>
          <w:sz w:val="24"/>
        </w:rPr>
        <w:t xml:space="preserve"> имат решаваща роля за утвърждаването на принципите на правовата държава и основните ценности на Съюза (</w:t>
      </w:r>
      <w:r>
        <w:rPr>
          <w:rFonts w:ascii="Times New Roman" w:hAnsi="Times New Roman"/>
          <w:b/>
          <w:i/>
          <w:noProof/>
          <w:sz w:val="24"/>
        </w:rPr>
        <w:t>ЦУР 16</w:t>
      </w:r>
      <w:r>
        <w:rPr>
          <w:rFonts w:ascii="Times New Roman" w:hAnsi="Times New Roman"/>
          <w:noProof/>
          <w:sz w:val="24"/>
        </w:rPr>
        <w:t>). Те са също и предпоставка за създаването на среда, благоприятна за инвестиции и стопанска дейност. ЕС насърчава държавите членки да подобряват ефективността на националните си съдебни системи в контекста на европейския семестър — годишният цикъл на ЕС за координиране на икономическата политика.</w:t>
      </w:r>
    </w:p>
    <w:p>
      <w:pPr>
        <w:autoSpaceDE w:val="0"/>
        <w:autoSpaceDN w:val="0"/>
        <w:adjustRightInd w:val="0"/>
        <w:rPr>
          <w:rFonts w:ascii="Times New Roman" w:hAnsi="Times New Roman"/>
          <w:noProof/>
          <w:sz w:val="24"/>
        </w:rPr>
      </w:pPr>
      <w:r>
        <w:rPr>
          <w:rFonts w:ascii="Times New Roman" w:hAnsi="Times New Roman"/>
          <w:b/>
          <w:noProof/>
          <w:sz w:val="24"/>
        </w:rPr>
        <w:t>Равенството между половете (ЦУР 5)</w:t>
      </w:r>
      <w:r>
        <w:rPr>
          <w:rFonts w:ascii="Times New Roman" w:hAnsi="Times New Roman"/>
          <w:noProof/>
          <w:sz w:val="24"/>
        </w:rPr>
        <w:t xml:space="preserve"> е една от основните ценности на Европейския съюз, която датира от 1957 г. и се основава на принципа на равно заплащане за равен труд в Договора от Рим. Днес продължава да съществува необходимост от активни политики за по-добро използване на таланта на жените и подобряване на участието им в пазара на труда, тяхната икономическа независимост, заплащането и пенсиите, равенството на ръководни позиции, борбата с насилието, основано на пола, и постигането на по-голямо равенство между половете в нашата външна дейност. През последните години е постигнат напредък например чрез най-високия процент на заетост на жени, регистриран някога (65,3 % през второто тримесечие на 2016 г.), което е увеличение от 62,8 % през 2008 г.</w:t>
      </w:r>
      <w:r>
        <w:rPr>
          <w:rStyle w:val="FootnoteReference"/>
          <w:rFonts w:ascii="Times New Roman" w:hAnsi="Times New Roman"/>
          <w:noProof/>
          <w:sz w:val="24"/>
        </w:rPr>
        <w:footnoteReference w:id="26"/>
      </w:r>
      <w:r>
        <w:rPr>
          <w:rFonts w:ascii="Times New Roman" w:hAnsi="Times New Roman"/>
          <w:noProof/>
          <w:sz w:val="24"/>
        </w:rPr>
        <w:t>, въпреки че продължават да съществуват различия между половете в заетостта. От 2003 г. до 2016 г. делът на жените в управителните съвети на най-големите публично търгувани дружества в ЕС е нараснал от 8,5 % на 23 %</w:t>
      </w:r>
      <w:r>
        <w:rPr>
          <w:rStyle w:val="FootnoteReference"/>
          <w:rFonts w:ascii="Times New Roman" w:hAnsi="Times New Roman"/>
          <w:noProof/>
          <w:sz w:val="24"/>
        </w:rPr>
        <w:footnoteReference w:id="27"/>
      </w:r>
      <w:r>
        <w:rPr>
          <w:rFonts w:ascii="Times New Roman" w:hAnsi="Times New Roman"/>
          <w:noProof/>
          <w:sz w:val="24"/>
        </w:rPr>
        <w:t>. Предизвикателствата по отношение на заплащането и пенсиите продължават да бъдат големи: не са налице признаци за намаляване на различията между половете в заплащането и пенсиите. Дори ако жените реализират ползите от образованието, през 2014 г. тяхното заплащане продължава да бъде с 16,7 % по-ниско от това на мъжете на час работа и пенсиите им остават средно с 40 % по-ниски от пенсиите на мъжете</w:t>
      </w:r>
      <w:r>
        <w:rPr>
          <w:rStyle w:val="FootnoteReference"/>
          <w:rFonts w:ascii="Times New Roman" w:hAnsi="Times New Roman"/>
          <w:noProof/>
          <w:sz w:val="24"/>
        </w:rPr>
        <w:footnoteReference w:id="28"/>
      </w:r>
      <w:r>
        <w:rPr>
          <w:rFonts w:ascii="Times New Roman" w:hAnsi="Times New Roman"/>
          <w:noProof/>
          <w:sz w:val="24"/>
        </w:rPr>
        <w:t xml:space="preserve">. Чрез своя „Стратегически ангажимент за равенство между половете за периода 2016—2019 г.“ Комисията е поела отговорност да продължава да работи за равенство между половете в приоритетни области, като през 2017 г. ще представи инициатива за насърчаване на по-добрия баланс между работата и личния живот на мъжете и жените. </w:t>
      </w:r>
    </w:p>
    <w:p>
      <w:pPr>
        <w:spacing w:after="0"/>
        <w:rPr>
          <w:rFonts w:ascii="Times New Roman" w:hAnsi="Times New Roman"/>
          <w:b/>
          <w:i/>
          <w:noProof/>
          <w:sz w:val="24"/>
        </w:rPr>
      </w:pPr>
      <w:r>
        <w:rPr>
          <w:rFonts w:ascii="Times New Roman" w:hAnsi="Times New Roman"/>
          <w:b/>
          <w:i/>
          <w:noProof/>
          <w:sz w:val="24"/>
        </w:rPr>
        <w:t xml:space="preserve">В контекста на бежанската криза работата по „Приоритет 8. Към нова политика за миграцията“ подкрепя напредъка, свързан с няколко ЦУР. </w:t>
      </w:r>
    </w:p>
    <w:p>
      <w:pPr>
        <w:pBdr>
          <w:top w:val="nil"/>
          <w:left w:val="nil"/>
          <w:bottom w:val="nil"/>
          <w:right w:val="nil"/>
          <w:between w:val="nil"/>
          <w:bar w:val="nil"/>
        </w:pBdr>
        <w:spacing w:after="0"/>
        <w:rPr>
          <w:rFonts w:ascii="Times New Roman" w:eastAsia="Arial Unicode MS" w:hAnsi="Times New Roman" w:cs="Arial Unicode MS"/>
          <w:bCs/>
          <w:noProof/>
          <w:sz w:val="24"/>
          <w:szCs w:val="24"/>
          <w:bdr w:val="nil"/>
        </w:rPr>
      </w:pPr>
    </w:p>
    <w:p>
      <w:pPr>
        <w:pBdr>
          <w:top w:val="nil"/>
          <w:left w:val="nil"/>
          <w:bottom w:val="nil"/>
          <w:right w:val="nil"/>
          <w:between w:val="nil"/>
          <w:bar w:val="nil"/>
        </w:pBdr>
        <w:spacing w:after="0"/>
        <w:rPr>
          <w:rFonts w:ascii="Times New Roman" w:eastAsia="Arial Unicode MS" w:hAnsi="Times New Roman" w:cs="Arial Unicode MS"/>
          <w:bCs/>
          <w:noProof/>
          <w:sz w:val="24"/>
          <w:szCs w:val="24"/>
          <w:bdr w:val="nil"/>
        </w:rPr>
      </w:pPr>
      <w:r>
        <w:rPr>
          <w:rFonts w:ascii="Times New Roman" w:hAnsi="Times New Roman"/>
          <w:noProof/>
          <w:sz w:val="24"/>
        </w:rPr>
        <w:t>Светът е изправен пред най-многобройните бежански потоци от края на Втората световна война, като повече от 65 милиона души са насилствено изселени в цял свят</w:t>
      </w:r>
      <w:r>
        <w:rPr>
          <w:rFonts w:ascii="Times New Roman" w:hAnsi="Times New Roman"/>
          <w:noProof/>
          <w:sz w:val="24"/>
          <w:vertAlign w:val="superscript"/>
        </w:rPr>
        <w:footnoteReference w:id="29"/>
      </w:r>
      <w:r>
        <w:rPr>
          <w:rFonts w:ascii="Times New Roman" w:hAnsi="Times New Roman"/>
          <w:noProof/>
          <w:sz w:val="24"/>
        </w:rPr>
        <w:t xml:space="preserve">. В този контекст е необходима нова политика за миграцията, която насърчава </w:t>
      </w:r>
      <w:r>
        <w:rPr>
          <w:rFonts w:ascii="Times New Roman" w:hAnsi="Times New Roman"/>
          <w:noProof/>
          <w:color w:val="000000"/>
          <w:sz w:val="24"/>
          <w:bdr w:val="nil"/>
        </w:rPr>
        <w:t xml:space="preserve">законните канали и справянето с незаконните миграционни потоци, като по този начин спасява човешки живот, запазва човешкото достойнство и спомага за подкрепа на растежа и намаляване на неравенството (например </w:t>
      </w:r>
      <w:r>
        <w:rPr>
          <w:rFonts w:ascii="Times New Roman" w:hAnsi="Times New Roman"/>
          <w:b/>
          <w:i/>
          <w:noProof/>
          <w:color w:val="000000"/>
          <w:sz w:val="24"/>
          <w:bdr w:val="nil"/>
        </w:rPr>
        <w:t>ЦУР 1 и 10</w:t>
      </w:r>
      <w:r>
        <w:rPr>
          <w:rFonts w:ascii="Times New Roman" w:hAnsi="Times New Roman"/>
          <w:noProof/>
          <w:color w:val="000000"/>
          <w:sz w:val="24"/>
          <w:bdr w:val="nil"/>
        </w:rPr>
        <w:t xml:space="preserve">). </w:t>
      </w:r>
      <w:r>
        <w:rPr>
          <w:rFonts w:ascii="Times New Roman" w:hAnsi="Times New Roman"/>
          <w:noProof/>
          <w:sz w:val="24"/>
        </w:rPr>
        <w:t>Управлението на миграцията е споделена отговорност не само между държавите — членки на ЕС, но също така и между държавите на транзит и произход извън ЕС. Европейската програма за миграцията</w:t>
      </w:r>
      <w:r>
        <w:rPr>
          <w:rFonts w:ascii="Times New Roman" w:hAnsi="Times New Roman"/>
          <w:noProof/>
          <w:sz w:val="24"/>
          <w:bdr w:val="nil"/>
          <w:vertAlign w:val="superscript"/>
        </w:rPr>
        <w:footnoteReference w:id="30"/>
      </w:r>
      <w:r>
        <w:rPr>
          <w:rFonts w:ascii="Times New Roman" w:hAnsi="Times New Roman"/>
          <w:noProof/>
          <w:sz w:val="24"/>
        </w:rPr>
        <w:t xml:space="preserve"> и последващите действия, свързани с нея, включително новата рамка за партньорство с трети държави</w:t>
      </w:r>
      <w:r>
        <w:rPr>
          <w:rFonts w:ascii="Times New Roman" w:hAnsi="Times New Roman"/>
          <w:noProof/>
          <w:sz w:val="24"/>
          <w:bdr w:val="nil"/>
          <w:vertAlign w:val="superscript"/>
        </w:rPr>
        <w:footnoteReference w:id="31"/>
      </w:r>
      <w:r>
        <w:rPr>
          <w:rFonts w:ascii="Times New Roman" w:hAnsi="Times New Roman"/>
          <w:noProof/>
          <w:sz w:val="24"/>
        </w:rPr>
        <w:t xml:space="preserve">, осигуряват такъв всеобхватен подход, основан на зачитането на основните права, доверието, солидарността и взаимната отчетност. </w:t>
      </w:r>
    </w:p>
    <w:p>
      <w:pPr>
        <w:pStyle w:val="Body"/>
        <w:jc w:val="both"/>
        <w:rPr>
          <w:rFonts w:ascii="Times New Roman" w:hAnsi="Times New Roman"/>
          <w:bCs/>
          <w:noProof/>
          <w:color w:val="auto"/>
          <w:sz w:val="24"/>
          <w:szCs w:val="24"/>
        </w:rPr>
      </w:pPr>
    </w:p>
    <w:p>
      <w:pPr>
        <w:pStyle w:val="Body"/>
        <w:jc w:val="both"/>
        <w:rPr>
          <w:rFonts w:ascii="Times New Roman" w:hAnsi="Times New Roman"/>
          <w:b/>
          <w:bCs/>
          <w:noProof/>
          <w:color w:val="auto"/>
          <w:sz w:val="24"/>
          <w:szCs w:val="24"/>
        </w:rPr>
      </w:pPr>
      <w:r>
        <w:rPr>
          <w:rFonts w:ascii="Times New Roman" w:hAnsi="Times New Roman"/>
          <w:b/>
          <w:noProof/>
          <w:color w:val="auto"/>
          <w:sz w:val="24"/>
        </w:rPr>
        <w:t>2.3. Европейският съюз като ангажиран глобален партньор за насърчаване на Програмата до 2030 г.</w:t>
      </w:r>
    </w:p>
    <w:p>
      <w:pPr>
        <w:pStyle w:val="Body"/>
        <w:jc w:val="both"/>
        <w:rPr>
          <w:rFonts w:ascii="Times New Roman" w:hAnsi="Times New Roman"/>
          <w:bCs/>
          <w:noProof/>
          <w:color w:val="auto"/>
          <w:sz w:val="24"/>
          <w:szCs w:val="24"/>
        </w:rPr>
      </w:pPr>
    </w:p>
    <w:p>
      <w:pPr>
        <w:spacing w:after="120"/>
        <w:rPr>
          <w:rFonts w:ascii="Times New Roman" w:hAnsi="Times New Roman"/>
          <w:noProof/>
          <w:sz w:val="24"/>
        </w:rPr>
      </w:pPr>
      <w:r>
        <w:rPr>
          <w:rFonts w:ascii="Times New Roman" w:hAnsi="Times New Roman"/>
          <w:noProof/>
          <w:sz w:val="24"/>
        </w:rPr>
        <w:t xml:space="preserve">Визията на Програмата до 2030 г. е в пълно съответствие с целите на </w:t>
      </w:r>
      <w:r>
        <w:rPr>
          <w:rFonts w:ascii="Times New Roman" w:hAnsi="Times New Roman"/>
          <w:b/>
          <w:noProof/>
          <w:sz w:val="24"/>
        </w:rPr>
        <w:t>външната дейност на ЕС</w:t>
      </w:r>
      <w:r>
        <w:rPr>
          <w:rFonts w:ascii="Times New Roman" w:hAnsi="Times New Roman"/>
          <w:noProof/>
          <w:sz w:val="24"/>
        </w:rPr>
        <w:t>, включително за постигането на устойчиво развитие</w:t>
      </w:r>
      <w:r>
        <w:rPr>
          <w:rStyle w:val="FootnoteReference"/>
          <w:rFonts w:ascii="Times New Roman" w:hAnsi="Times New Roman"/>
          <w:noProof/>
          <w:sz w:val="24"/>
        </w:rPr>
        <w:footnoteReference w:id="32"/>
      </w:r>
      <w:r>
        <w:rPr>
          <w:rFonts w:ascii="Times New Roman" w:hAnsi="Times New Roman"/>
          <w:noProof/>
          <w:sz w:val="24"/>
        </w:rPr>
        <w:t>. В глобалната стратегия на Европейския съюз в областта на външната политика и политиката на сигурност</w:t>
      </w:r>
      <w:r>
        <w:rPr>
          <w:rStyle w:val="FootnoteReference"/>
          <w:rFonts w:ascii="Times New Roman" w:hAnsi="Times New Roman"/>
          <w:noProof/>
          <w:sz w:val="24"/>
        </w:rPr>
        <w:footnoteReference w:id="33"/>
      </w:r>
      <w:r>
        <w:rPr>
          <w:rFonts w:ascii="Times New Roman" w:hAnsi="Times New Roman"/>
          <w:noProof/>
          <w:sz w:val="24"/>
        </w:rPr>
        <w:t xml:space="preserve"> се определя стратегическата посока на външната дейност на ЕС и се посочват ясни връзки с Програмата до 2030 г. В стратегията се подчертава значението на един цялостен подход в областта на външната дейност на ЕС и необходимостта от интегриран подход на ЕС за увеличаване на въздействието на Съюза в отговор на и за предотвратяване на сериозни конфликти и кризи, както и за подобряване на съгласуваността между ЕС и неговите държави членки. ЦУР ще бъдат хоризонтално измерение на цялата работа за реализиране на глобалната стратегия</w:t>
      </w:r>
      <w:r>
        <w:rPr>
          <w:rStyle w:val="FootnoteReference"/>
          <w:rFonts w:ascii="Times New Roman" w:hAnsi="Times New Roman"/>
          <w:noProof/>
          <w:sz w:val="24"/>
        </w:rPr>
        <w:footnoteReference w:id="34"/>
      </w:r>
      <w:r>
        <w:rPr>
          <w:rFonts w:ascii="Times New Roman" w:hAnsi="Times New Roman"/>
          <w:noProof/>
          <w:sz w:val="24"/>
        </w:rPr>
        <w:t xml:space="preserve">. В глобалната стратегия се подчертава, че съществува пряка връзка между нашата сигурност и просперитета в заобикалящите ни региони, включително държавите, обхванати от политиката на разширяване и политиката за съседство на ЕС. В унисон с ЦУР насърчаването на устойчивостта на държавите и обществата на всички равнища е начин за насърчаване на стабилността и устойчивото развитие в глобален мащаб, като същевременно се укрепват сигурността и просперитетът на Европа. </w:t>
      </w:r>
    </w:p>
    <w:p>
      <w:pPr>
        <w:spacing w:before="120" w:after="120"/>
        <w:rPr>
          <w:rFonts w:ascii="Times New Roman" w:hAnsi="Times New Roman"/>
          <w:noProof/>
          <w:sz w:val="24"/>
          <w:szCs w:val="24"/>
        </w:rPr>
      </w:pPr>
      <w:r>
        <w:rPr>
          <w:rFonts w:ascii="Times New Roman" w:hAnsi="Times New Roman"/>
          <w:b/>
          <w:noProof/>
          <w:sz w:val="24"/>
        </w:rPr>
        <w:t>В политиката на ЕС за разширяване</w:t>
      </w:r>
      <w:r>
        <w:rPr>
          <w:rFonts w:ascii="Times New Roman" w:hAnsi="Times New Roman"/>
          <w:noProof/>
          <w:sz w:val="24"/>
        </w:rPr>
        <w:t xml:space="preserve"> ще продължи съсредоточаването на усилията върху спазването на принципа на правовата държава, обхващащ сигурността, основните права, демократичните институции и реформата на публичната администрация, както и върху икономическото развитие и конкурентоспособността. Тези основни аспекти за изпълнение на критериите за членство от Копенхаген и Мадрид са в пълно съответствие с основните аспекти на Програмата до 2030 г. </w:t>
      </w:r>
    </w:p>
    <w:p>
      <w:pPr>
        <w:spacing w:before="120" w:after="120"/>
        <w:rPr>
          <w:rFonts w:ascii="Times New Roman" w:hAnsi="Times New Roman"/>
          <w:noProof/>
          <w:sz w:val="24"/>
          <w:szCs w:val="24"/>
        </w:rPr>
      </w:pPr>
    </w:p>
    <w:p>
      <w:pPr>
        <w:spacing w:before="120" w:after="120"/>
        <w:rPr>
          <w:rFonts w:ascii="Times New Roman" w:hAnsi="Times New Roman"/>
          <w:noProof/>
          <w:sz w:val="24"/>
          <w:szCs w:val="24"/>
        </w:rPr>
      </w:pPr>
      <w:r>
        <w:rPr>
          <w:rFonts w:ascii="Times New Roman" w:hAnsi="Times New Roman"/>
          <w:noProof/>
          <w:sz w:val="24"/>
        </w:rPr>
        <w:t xml:space="preserve">С преработената </w:t>
      </w:r>
      <w:r>
        <w:rPr>
          <w:rFonts w:ascii="Times New Roman" w:hAnsi="Times New Roman"/>
          <w:b/>
          <w:noProof/>
          <w:sz w:val="24"/>
        </w:rPr>
        <w:t>европейска политика за съседство</w:t>
      </w:r>
      <w:r>
        <w:rPr>
          <w:rFonts w:ascii="Times New Roman" w:hAnsi="Times New Roman"/>
          <w:noProof/>
          <w:sz w:val="24"/>
        </w:rPr>
        <w:t xml:space="preserve"> (2015 г.) се въвеждат диференцирани партньорства със съседните държави, като ключовата цел е постигането на стабилизация. Тя предоставя на ЕС необходимите инструменти за сътрудничество с партньорските държави в областта на сигурността, изграждането на устойчивост, доброто управление, демокрацията и човешките права, икономическото развитие, свързаността, енергетиката, миграцията и мобилността и по този начин подкрепя устойчивото развитие.</w:t>
      </w:r>
    </w:p>
    <w:p>
      <w:pPr>
        <w:pStyle w:val="Body"/>
        <w:spacing w:after="120"/>
        <w:jc w:val="both"/>
        <w:rPr>
          <w:rFonts w:ascii="Times New Roman" w:hAnsi="Times New Roman"/>
          <w:noProof/>
          <w:sz w:val="24"/>
          <w:szCs w:val="24"/>
        </w:rPr>
      </w:pPr>
      <w:r>
        <w:rPr>
          <w:rFonts w:ascii="Times New Roman" w:hAnsi="Times New Roman"/>
          <w:noProof/>
          <w:color w:val="auto"/>
          <w:sz w:val="24"/>
        </w:rPr>
        <w:t xml:space="preserve">Дейността на ЕС заема специално място при подкрепата за </w:t>
      </w:r>
      <w:r>
        <w:rPr>
          <w:rFonts w:ascii="Times New Roman" w:hAnsi="Times New Roman"/>
          <w:b/>
          <w:noProof/>
          <w:color w:val="auto"/>
          <w:sz w:val="24"/>
        </w:rPr>
        <w:t>предотвратяването, управлението и разрешаването на кризи</w:t>
      </w:r>
      <w:r>
        <w:rPr>
          <w:rFonts w:ascii="Times New Roman" w:hAnsi="Times New Roman"/>
          <w:noProof/>
          <w:color w:val="auto"/>
          <w:sz w:val="24"/>
        </w:rPr>
        <w:t xml:space="preserve"> по целия свят с неговите мисии по линия на общата политика за сигурност и отбрана, значителен финансов принос за Механизма за подкрепа на мира в Африка и неотдавнашното предложение за подпомагане на изграждането на капацитет за сигурност и развитие в рамките на новата стратегическа рамка за реформа в сектора на сигурността</w:t>
      </w:r>
      <w:r>
        <w:rPr>
          <w:rStyle w:val="FootnoteReference"/>
          <w:rFonts w:ascii="Times New Roman" w:hAnsi="Times New Roman"/>
          <w:noProof/>
          <w:color w:val="auto"/>
          <w:sz w:val="24"/>
        </w:rPr>
        <w:footnoteReference w:id="35"/>
      </w:r>
      <w:r>
        <w:rPr>
          <w:rFonts w:ascii="Times New Roman" w:hAnsi="Times New Roman"/>
          <w:noProof/>
          <w:color w:val="auto"/>
          <w:sz w:val="24"/>
        </w:rPr>
        <w:t>. ЕС ще насърчава по-широка концепция за сигурност, която обхваща приобщаващите и отговорни институции на всички нива.</w:t>
      </w:r>
    </w:p>
    <w:p>
      <w:pPr>
        <w:spacing w:after="120"/>
        <w:rPr>
          <w:rFonts w:ascii="Times New Roman" w:hAnsi="Times New Roman"/>
          <w:noProof/>
          <w:sz w:val="24"/>
          <w:szCs w:val="24"/>
        </w:rPr>
      </w:pPr>
      <w:r>
        <w:rPr>
          <w:rFonts w:ascii="Times New Roman" w:hAnsi="Times New Roman"/>
          <w:noProof/>
          <w:sz w:val="24"/>
        </w:rPr>
        <w:t xml:space="preserve">ЕС защитава </w:t>
      </w:r>
      <w:r>
        <w:rPr>
          <w:rFonts w:ascii="Times New Roman" w:hAnsi="Times New Roman"/>
          <w:b/>
          <w:noProof/>
          <w:sz w:val="24"/>
        </w:rPr>
        <w:t>основан на правата подход</w:t>
      </w:r>
      <w:r>
        <w:rPr>
          <w:rFonts w:ascii="Times New Roman" w:hAnsi="Times New Roman"/>
          <w:noProof/>
          <w:sz w:val="24"/>
        </w:rPr>
        <w:t xml:space="preserve"> по отношение на сътрудничеството за развитие, чието изпълнение е от решаващо значение за постигане на ЦУР. Този подход включва всички права на човека и насърчава приобщаването и участието, недискриминацията, равенството и справедливостта, прозрачността и отчетността. Равенството между половете е в основата на ценностите на ЕС и е залегнало в неговата правна и политическа рамка. ЕС ще насърчава правата на жените, равенството между половете и овластяването на жените и момичетата като приоритет във всички области на външната дейност.</w:t>
      </w:r>
    </w:p>
    <w:p>
      <w:pPr>
        <w:spacing w:after="120"/>
        <w:rPr>
          <w:rFonts w:ascii="Times New Roman" w:hAnsi="Times New Roman"/>
          <w:noProof/>
          <w:sz w:val="24"/>
        </w:rPr>
      </w:pPr>
      <w:r>
        <w:rPr>
          <w:rFonts w:ascii="Times New Roman" w:hAnsi="Times New Roman"/>
          <w:b/>
          <w:noProof/>
          <w:sz w:val="24"/>
          <w:u w:color="18376A"/>
        </w:rPr>
        <w:t>Политиката на ЕС за развитие</w:t>
      </w:r>
      <w:r>
        <w:rPr>
          <w:rFonts w:ascii="Times New Roman" w:hAnsi="Times New Roman"/>
          <w:noProof/>
          <w:sz w:val="24"/>
        </w:rPr>
        <w:t xml:space="preserve"> има централна роля в изпълнението на Програмата до 2030 г. Като най-значими в глобален аспект действащи лица в областта на развитието, ЕС и неговите държави членки имат значително влияние върху постигането на ЦУР в световен мащаб. Ето защо Комисията представя, заедно с настоящото съобщение, предложение за </w:t>
      </w:r>
      <w:r>
        <w:rPr>
          <w:rFonts w:ascii="Times New Roman" w:hAnsi="Times New Roman"/>
          <w:b/>
          <w:noProof/>
          <w:sz w:val="24"/>
          <w:u w:color="18376A"/>
        </w:rPr>
        <w:t>нов Европейски консенсус за развитие</w:t>
      </w:r>
      <w:r>
        <w:rPr>
          <w:rStyle w:val="FootnoteReference"/>
          <w:rFonts w:ascii="Times New Roman" w:hAnsi="Times New Roman"/>
          <w:noProof/>
          <w:sz w:val="24"/>
          <w:u w:color="18376A"/>
        </w:rPr>
        <w:footnoteReference w:id="36"/>
      </w:r>
      <w:r>
        <w:rPr>
          <w:rFonts w:ascii="Times New Roman" w:hAnsi="Times New Roman"/>
          <w:noProof/>
          <w:sz w:val="24"/>
        </w:rPr>
        <w:t>,</w:t>
      </w:r>
      <w:r>
        <w:rPr>
          <w:rFonts w:ascii="Times New Roman" w:hAnsi="Times New Roman"/>
          <w:b/>
          <w:noProof/>
          <w:sz w:val="24"/>
          <w:u w:color="18376A"/>
        </w:rPr>
        <w:t xml:space="preserve"> </w:t>
      </w:r>
      <w:r>
        <w:rPr>
          <w:rFonts w:ascii="Times New Roman" w:hAnsi="Times New Roman"/>
          <w:noProof/>
          <w:sz w:val="24"/>
        </w:rPr>
        <w:t xml:space="preserve">който отразява цялостния подход на Програмата до 2030 г. Предложението за нов консенсус има за цел постигането на основната цел за изкореняване на бедността чрез систематично интегриране на социалните, икономическите и екологичните измерения и укрепване на връзките между развитието и сигурността, хуманитарните въпроси и въпросите на миграцията. </w:t>
      </w:r>
    </w:p>
    <w:p>
      <w:pPr>
        <w:spacing w:after="120"/>
        <w:rPr>
          <w:rFonts w:ascii="Times New Roman" w:hAnsi="Times New Roman"/>
          <w:noProof/>
          <w:sz w:val="24"/>
        </w:rPr>
      </w:pPr>
      <w:r>
        <w:rPr>
          <w:rFonts w:ascii="Times New Roman" w:hAnsi="Times New Roman"/>
          <w:noProof/>
          <w:sz w:val="24"/>
        </w:rPr>
        <w:t xml:space="preserve">Предложението за нов европейски консенсус представлява също така промяна на парадигмата от гледна точка на начина на изпълнението. То надхвърля традиционния акцент върху международната помощ за развитие, за да мобилизира много по-големите средства, необходими за финансиране на ЦУР, съчетаващи помощ с вътрешни ресурси и привличане на частни инвестиции. В него се подчертава и ролята на добрите вътрешни и международни политики, както и съгласуваността на политиките. Предложеният неотдавна </w:t>
      </w:r>
      <w:r>
        <w:rPr>
          <w:rFonts w:ascii="Times New Roman" w:hAnsi="Times New Roman"/>
          <w:b/>
          <w:noProof/>
          <w:sz w:val="24"/>
        </w:rPr>
        <w:t>Европейски план за външни инвестиции</w:t>
      </w:r>
      <w:r>
        <w:rPr>
          <w:rStyle w:val="FootnoteReference"/>
          <w:rFonts w:ascii="Times New Roman" w:hAnsi="Times New Roman"/>
          <w:noProof/>
          <w:sz w:val="24"/>
        </w:rPr>
        <w:footnoteReference w:id="37"/>
      </w:r>
      <w:r>
        <w:rPr>
          <w:rFonts w:ascii="Times New Roman" w:hAnsi="Times New Roman"/>
          <w:noProof/>
          <w:sz w:val="24"/>
        </w:rPr>
        <w:t>, който надгражда успешния опит от Плана за инвестиции за Европа, илюстрира този нов подход към средствата за изпълнение.</w:t>
      </w:r>
    </w:p>
    <w:p>
      <w:pPr>
        <w:spacing w:after="120"/>
        <w:rPr>
          <w:rFonts w:ascii="Times New Roman" w:hAnsi="Times New Roman"/>
          <w:noProof/>
          <w:sz w:val="24"/>
        </w:rPr>
      </w:pPr>
      <w:r>
        <w:rPr>
          <w:rFonts w:ascii="Times New Roman" w:hAnsi="Times New Roman"/>
          <w:noProof/>
          <w:sz w:val="24"/>
        </w:rPr>
        <w:t xml:space="preserve">В предложението за нов Европейски консенсус за развитие Комисията представя нов начин на работа с партньорските държави и съвместно с държавите членки — от съвместното планиране до съвместните действия — за осигуряване на по-голяма съгласуваност, взаимно допълване и ефективност. Налице е и ясна необходимост от насърчаване на по-диференцирани </w:t>
      </w:r>
      <w:r>
        <w:rPr>
          <w:rFonts w:ascii="Times New Roman" w:hAnsi="Times New Roman"/>
          <w:b/>
          <w:noProof/>
          <w:sz w:val="24"/>
        </w:rPr>
        <w:t>партньорства</w:t>
      </w:r>
      <w:r>
        <w:rPr>
          <w:rFonts w:ascii="Times New Roman" w:hAnsi="Times New Roman"/>
          <w:noProof/>
          <w:sz w:val="24"/>
        </w:rPr>
        <w:t xml:space="preserve"> в съответствие с насоките и нуждите от развитие на нашите партньори, като акцентът продължава да бъде върху най-бедните и най-уязвимите, и същевременно се признава значението на по-напредналите развиващи се страни за постигането на ЦУР. Съобщението относно бъдещите отношения с държавите от Африка, Карибите и Тихоокеанския басейн, засягащо </w:t>
      </w:r>
      <w:r>
        <w:rPr>
          <w:rFonts w:ascii="Times New Roman" w:hAnsi="Times New Roman"/>
          <w:b/>
          <w:noProof/>
          <w:sz w:val="24"/>
        </w:rPr>
        <w:t>рамката за периода след Споразумението от Котону</w:t>
      </w:r>
      <w:r>
        <w:rPr>
          <w:rStyle w:val="FootnoteReference"/>
          <w:rFonts w:ascii="Times New Roman" w:hAnsi="Times New Roman"/>
          <w:noProof/>
          <w:sz w:val="24"/>
        </w:rPr>
        <w:footnoteReference w:id="38"/>
      </w:r>
      <w:r>
        <w:rPr>
          <w:rFonts w:ascii="Times New Roman" w:hAnsi="Times New Roman"/>
          <w:noProof/>
          <w:sz w:val="24"/>
        </w:rPr>
        <w:t>, която също е приета с това съобщение, е ключов пример за този индивидуален подход към партньорствата.</w:t>
      </w:r>
    </w:p>
    <w:p>
      <w:pPr>
        <w:pStyle w:val="Body"/>
        <w:jc w:val="both"/>
        <w:rPr>
          <w:rFonts w:ascii="Times New Roman" w:hAnsi="Times New Roman"/>
          <w:noProof/>
          <w:color w:val="auto"/>
          <w:sz w:val="24"/>
          <w:szCs w:val="24"/>
        </w:rPr>
      </w:pPr>
      <w:r>
        <w:rPr>
          <w:rFonts w:ascii="Times New Roman" w:hAnsi="Times New Roman"/>
          <w:b/>
          <w:noProof/>
          <w:color w:val="auto"/>
          <w:sz w:val="24"/>
        </w:rPr>
        <w:t>Хуманитарната помощ на ЕС</w:t>
      </w:r>
      <w:r>
        <w:rPr>
          <w:rFonts w:ascii="Times New Roman" w:hAnsi="Times New Roman"/>
          <w:noProof/>
          <w:color w:val="auto"/>
          <w:sz w:val="24"/>
        </w:rPr>
        <w:t xml:space="preserve"> изпълнява важна роля за осигуряването на животоспасяваща помощ и допринася за намаляване на уязвимостта и за защита на човешкото достойнство. Концентрирането на крайна и хронична бедност в нестабилни държави често се усложнява от повтарящи се цикли на природни бедствия и унищожителни конфликти, което води до все по-тежки хуманитарни ситуации, които излагат постиженията по отношение на развитието на нарастваща заплаха и имат отрицателно отражение върху стабилността на цели региони и общества. ЕС има водеща роля за изграждането на устойчивост на най-уязвимите общности. Той определя начините за постигане на по-ефективно сътрудничество, което съчетава хуманитарната дейност, дългосрочното сътрудничество за развитие и текущите политически ангажименти, като по този начин допринася за изкореняването на бедността.</w:t>
      </w:r>
    </w:p>
    <w:p>
      <w:pPr>
        <w:pStyle w:val="Body"/>
        <w:jc w:val="both"/>
        <w:rPr>
          <w:rFonts w:ascii="Times New Roman" w:hAnsi="Times New Roman"/>
          <w:noProof/>
          <w:color w:val="auto"/>
          <w:sz w:val="24"/>
          <w:szCs w:val="24"/>
        </w:rPr>
      </w:pPr>
      <w:r>
        <w:rPr>
          <w:rFonts w:ascii="Times New Roman" w:hAnsi="Times New Roman"/>
          <w:noProof/>
          <w:color w:val="auto"/>
          <w:sz w:val="24"/>
        </w:rPr>
        <w:t xml:space="preserve"> </w:t>
      </w:r>
    </w:p>
    <w:p>
      <w:pPr>
        <w:pStyle w:val="Body"/>
        <w:jc w:val="both"/>
        <w:rPr>
          <w:rFonts w:ascii="Times New Roman" w:hAnsi="Times New Roman"/>
          <w:noProof/>
          <w:color w:val="auto"/>
          <w:sz w:val="24"/>
          <w:szCs w:val="24"/>
        </w:rPr>
      </w:pPr>
      <w:r>
        <w:rPr>
          <w:rFonts w:ascii="Times New Roman" w:hAnsi="Times New Roman"/>
          <w:b/>
          <w:noProof/>
          <w:color w:val="auto"/>
          <w:sz w:val="24"/>
        </w:rPr>
        <w:t>Търговската политика на ЕС,</w:t>
      </w:r>
      <w:r>
        <w:rPr>
          <w:rFonts w:ascii="Times New Roman" w:hAnsi="Times New Roman"/>
          <w:noProof/>
          <w:color w:val="auto"/>
          <w:sz w:val="24"/>
        </w:rPr>
        <w:t xml:space="preserve"> както е определена в съобщението „Търговията — за всички“, изцяло подкрепя устойчивото развитие навсякъде по света, по-специално като акцентира върху връзката между търговията и развитието. Търговските споразумения, като например споразуменията за икономическо партньорство, и търговските режими, като например „Всичко освен оръжие“ и Разширената обща система за преференции (GSP+), осигуряват силна подкрепа за устойчивото развитие, като обвързват търговията с развитието и доброто управление.</w:t>
      </w:r>
    </w:p>
    <w:p>
      <w:pPr>
        <w:pStyle w:val="Body"/>
        <w:jc w:val="both"/>
        <w:rPr>
          <w:rFonts w:ascii="Times New Roman" w:hAnsi="Times New Roman"/>
          <w:noProof/>
          <w:color w:val="auto"/>
          <w:sz w:val="24"/>
          <w:szCs w:val="24"/>
        </w:rPr>
      </w:pPr>
    </w:p>
    <w:p>
      <w:pPr>
        <w:pStyle w:val="Body"/>
        <w:jc w:val="both"/>
        <w:rPr>
          <w:rFonts w:ascii="Times New Roman" w:hAnsi="Times New Roman" w:cs="Times New Roman"/>
          <w:noProof/>
          <w:color w:val="auto"/>
          <w:sz w:val="24"/>
          <w:szCs w:val="24"/>
        </w:rPr>
      </w:pPr>
      <w:r>
        <w:rPr>
          <w:rFonts w:ascii="Times New Roman" w:hAnsi="Times New Roman"/>
          <w:noProof/>
          <w:color w:val="auto"/>
          <w:sz w:val="24"/>
        </w:rPr>
        <w:t xml:space="preserve">Въздействието на ЕС извън границите му не се ограничава до неговата програма за външна дейност. Много от политиките на ЕС с вътрешно измерение допринасят за изпълнението на целите за устойчиво развитие в световен мащаб. Ето защо </w:t>
      </w:r>
      <w:r>
        <w:rPr>
          <w:rFonts w:ascii="Times New Roman" w:hAnsi="Times New Roman"/>
          <w:b/>
          <w:noProof/>
          <w:color w:val="auto"/>
          <w:sz w:val="24"/>
        </w:rPr>
        <w:t>постигането на съгласуваност между различните политики на ЕС</w:t>
      </w:r>
      <w:r>
        <w:rPr>
          <w:rFonts w:ascii="Times New Roman" w:hAnsi="Times New Roman"/>
          <w:noProof/>
          <w:color w:val="auto"/>
          <w:sz w:val="24"/>
        </w:rPr>
        <w:t xml:space="preserve"> има решаващо значение за постигането на ЦУР. Съгласуваността на политиките за развитие е съществен елемент от отговора на ЕС спрямо предизвикателствата пред устойчивото развитие, който е залегнал в европейските Договори. Конкретни проекти, като например енергийни връзки в Африка и с Европа през Средиземноморския регион, както и продължаващото действие на ЕС по отношение на устойчивите глобални вериги за доставки, </w:t>
      </w:r>
      <w:r>
        <w:rPr>
          <w:rFonts w:ascii="Times New Roman" w:hAnsi="Times New Roman"/>
          <w:noProof/>
          <w:sz w:val="24"/>
        </w:rPr>
        <w:t xml:space="preserve">като например в секторите за дървен материал и за облекло, </w:t>
      </w:r>
      <w:r>
        <w:rPr>
          <w:rFonts w:ascii="Times New Roman" w:hAnsi="Times New Roman"/>
          <w:noProof/>
          <w:color w:val="auto"/>
          <w:sz w:val="24"/>
        </w:rPr>
        <w:t>показват добавената стойност на прилагането на съгласуван подход.</w:t>
      </w:r>
    </w:p>
    <w:p>
      <w:pPr>
        <w:pStyle w:val="Heading1"/>
        <w:numPr>
          <w:ilvl w:val="0"/>
          <w:numId w:val="0"/>
        </w:numPr>
        <w:ind w:left="432" w:hanging="432"/>
        <w:rPr>
          <w:rFonts w:ascii="Times New Roman" w:hAnsi="Times New Roman" w:cs="Times New Roman"/>
          <w:smallCaps/>
          <w:noProof/>
          <w:color w:val="auto"/>
        </w:rPr>
      </w:pPr>
      <w:r>
        <w:rPr>
          <w:rFonts w:ascii="Times New Roman" w:hAnsi="Times New Roman"/>
          <w:smallCaps/>
          <w:noProof/>
          <w:color w:val="auto"/>
        </w:rPr>
        <w:t>3. Как ЕС ще постигне напредък в изпълнението на Програмата до 2030 г.</w:t>
      </w:r>
    </w:p>
    <w:p>
      <w:pPr>
        <w:pStyle w:val="Body"/>
        <w:jc w:val="both"/>
        <w:rPr>
          <w:rFonts w:ascii="Times New Roman" w:hAnsi="Times New Roman" w:cs="Calibri"/>
          <w:b/>
          <w:noProof/>
          <w:color w:val="auto"/>
          <w:sz w:val="24"/>
          <w:szCs w:val="24"/>
          <w:u w:color="000000"/>
        </w:rPr>
      </w:pPr>
      <w:r>
        <w:rPr>
          <w:rFonts w:ascii="Times New Roman" w:hAnsi="Times New Roman"/>
          <w:b/>
          <w:noProof/>
          <w:color w:val="auto"/>
          <w:sz w:val="24"/>
          <w:u w:color="000000"/>
        </w:rPr>
        <w:t>3.1. Управление</w:t>
      </w:r>
    </w:p>
    <w:p>
      <w:pPr>
        <w:pStyle w:val="Body"/>
        <w:jc w:val="both"/>
        <w:rPr>
          <w:rFonts w:ascii="Times New Roman" w:hAnsi="Times New Roman"/>
          <w:noProof/>
          <w:color w:val="auto"/>
          <w:sz w:val="24"/>
          <w:szCs w:val="24"/>
        </w:rPr>
      </w:pPr>
    </w:p>
    <w:p>
      <w:pPr>
        <w:pStyle w:val="Body"/>
        <w:jc w:val="both"/>
        <w:rPr>
          <w:rFonts w:ascii="Times New Roman" w:hAnsi="Times New Roman" w:cs="Calibri"/>
          <w:noProof/>
          <w:color w:val="auto"/>
          <w:sz w:val="24"/>
          <w:szCs w:val="24"/>
          <w:u w:color="000000"/>
        </w:rPr>
      </w:pPr>
      <w:r>
        <w:rPr>
          <w:rFonts w:ascii="Times New Roman" w:hAnsi="Times New Roman"/>
          <w:noProof/>
          <w:color w:val="auto"/>
          <w:sz w:val="24"/>
        </w:rPr>
        <w:t xml:space="preserve">Устойчивото развитие изисква цялостен и междусекторен политически подход, за да се гарантира, че икономическите, социалните и екологичните предизвикателства се решават заедно. Следователно в крайна сметка устойчивото развитие е въпрос на управление и изисква правилните инструменти, за да се осигури съгласуваност на политиките както между тематичните области, така и между външната дейност на ЕС и останалите политики на Съюза. </w:t>
      </w:r>
    </w:p>
    <w:p>
      <w:pPr>
        <w:pStyle w:val="Body"/>
        <w:jc w:val="both"/>
        <w:rPr>
          <w:rFonts w:ascii="Times New Roman" w:hAnsi="Times New Roman" w:cs="Calibri"/>
          <w:noProof/>
          <w:color w:val="auto"/>
          <w:sz w:val="24"/>
          <w:szCs w:val="24"/>
          <w:u w:color="000000"/>
        </w:rPr>
      </w:pPr>
    </w:p>
    <w:p>
      <w:pPr>
        <w:pStyle w:val="Body"/>
        <w:jc w:val="both"/>
        <w:rPr>
          <w:rFonts w:ascii="Times New Roman" w:hAnsi="Times New Roman" w:cs="Calibri"/>
          <w:noProof/>
          <w:color w:val="auto"/>
          <w:sz w:val="24"/>
          <w:szCs w:val="24"/>
          <w:u w:color="000000"/>
        </w:rPr>
      </w:pPr>
      <w:r>
        <w:rPr>
          <w:rFonts w:ascii="Times New Roman" w:hAnsi="Times New Roman"/>
          <w:b/>
          <w:noProof/>
          <w:color w:val="auto"/>
          <w:sz w:val="24"/>
        </w:rPr>
        <w:t>Новата структура на настоящата Комисия</w:t>
      </w:r>
      <w:r>
        <w:rPr>
          <w:rFonts w:ascii="Times New Roman" w:hAnsi="Times New Roman"/>
          <w:noProof/>
          <w:color w:val="auto"/>
          <w:sz w:val="24"/>
        </w:rPr>
        <w:t xml:space="preserve"> със заместник-председатели и основан на проекти подход е важен инструмент, който улеснява този начин на работа. Екипите по проекти, обединяващи различни аспекти на секторните политики, имат за цел да гарантират, че усилията в дадена област на политиката укрепват инициативите в други области, като създават по този начин по-съгласуван и взаимно допълващ се дневен ред. Освен това новата функция на първия заместник-председател включва хоризонтална отговорност за устойчивото развитие. За да гарантира съгласуваност на политиките, първият заместник-председател ще има координираща роля при осъществяването на работата на Комисията по активното изпълнение на Програмата до 2030 г.</w:t>
      </w:r>
    </w:p>
    <w:p>
      <w:pPr>
        <w:pStyle w:val="Body"/>
        <w:jc w:val="both"/>
        <w:rPr>
          <w:rFonts w:ascii="Times New Roman" w:hAnsi="Times New Roman" w:cs="Calibri"/>
          <w:noProof/>
          <w:color w:val="auto"/>
          <w:sz w:val="24"/>
          <w:szCs w:val="24"/>
          <w:u w:color="000000"/>
        </w:rPr>
      </w:pPr>
    </w:p>
    <w:p>
      <w:pPr>
        <w:autoSpaceDE w:val="0"/>
        <w:autoSpaceDN w:val="0"/>
        <w:adjustRightInd w:val="0"/>
        <w:spacing w:after="0"/>
        <w:rPr>
          <w:rFonts w:ascii="Times New Roman" w:hAnsi="Times New Roman"/>
          <w:noProof/>
          <w:sz w:val="24"/>
        </w:rPr>
      </w:pPr>
      <w:r>
        <w:rPr>
          <w:rFonts w:ascii="Times New Roman" w:hAnsi="Times New Roman"/>
          <w:noProof/>
          <w:sz w:val="24"/>
          <w:bdr w:val="nil"/>
        </w:rPr>
        <w:t xml:space="preserve">Използването на </w:t>
      </w:r>
      <w:r>
        <w:rPr>
          <w:rFonts w:ascii="Times New Roman" w:hAnsi="Times New Roman"/>
          <w:b/>
          <w:noProof/>
          <w:sz w:val="24"/>
          <w:bdr w:val="nil"/>
        </w:rPr>
        <w:t>инструментите на Комисията за по-добро регулиране</w:t>
      </w:r>
      <w:r>
        <w:rPr>
          <w:rFonts w:ascii="Times New Roman" w:hAnsi="Times New Roman"/>
          <w:noProof/>
          <w:sz w:val="24"/>
          <w:bdr w:val="nil"/>
        </w:rPr>
        <w:t xml:space="preserve"> е друг начин да се гарантира по-нататъшното интегриране на устойчивото развитие в европейските политики. Във всички оценки на Комисията на въздействието трябва да се извършва оценка на екологичните, социалните и икономическите въздействия, така че на устойчивостта да бъде обърнато необходимото внимание и да бъде взета предвид. В последващите оценки чрез солиден интегриран подход трябва да се анализират всичките три измерения. Усъвършенстваните насоки за оценка на въздействието и подобрените процедури, потвърждаващи този интегриращ подход, са ключов компонент на пакета за по-добро регулиране, приет през 2015 г. </w:t>
      </w:r>
      <w:r>
        <w:rPr>
          <w:rFonts w:ascii="Times New Roman" w:hAnsi="Times New Roman"/>
          <w:noProof/>
          <w:sz w:val="24"/>
          <w:u w:color="000000"/>
        </w:rPr>
        <w:t>Участието на заинтересованите страни и обществените консултации формират друг компонент на инструментариума за по-добро регулиране с цел изпълнение на изискването за приобщаване, което е в основата на Програмата до 2030 г.</w:t>
      </w:r>
    </w:p>
    <w:p>
      <w:pPr>
        <w:autoSpaceDE w:val="0"/>
        <w:autoSpaceDN w:val="0"/>
        <w:adjustRightInd w:val="0"/>
        <w:spacing w:after="0"/>
        <w:rPr>
          <w:rFonts w:ascii="Times New Roman" w:hAnsi="Times New Roman"/>
          <w:noProof/>
          <w:sz w:val="24"/>
        </w:rPr>
      </w:pPr>
    </w:p>
    <w:p>
      <w:pPr>
        <w:autoSpaceDE w:val="0"/>
        <w:autoSpaceDN w:val="0"/>
        <w:adjustRightInd w:val="0"/>
        <w:rPr>
          <w:rFonts w:ascii="Times New Roman" w:hAnsi="Times New Roman"/>
          <w:noProof/>
          <w:sz w:val="24"/>
        </w:rPr>
      </w:pPr>
      <w:r>
        <w:rPr>
          <w:rFonts w:ascii="Times New Roman" w:hAnsi="Times New Roman"/>
          <w:b/>
          <w:noProof/>
          <w:sz w:val="24"/>
        </w:rPr>
        <w:t>В европейския семестър</w:t>
      </w:r>
      <w:r>
        <w:rPr>
          <w:rFonts w:ascii="Times New Roman" w:hAnsi="Times New Roman"/>
          <w:noProof/>
          <w:sz w:val="24"/>
        </w:rPr>
        <w:t xml:space="preserve">, като рамка за икономическото управление на ЕС, е поставен силен акцент върху заетостта и социалните показатели, което насърчава по-устойчивите социално-икономически модели в Европейския съюз. </w:t>
      </w:r>
    </w:p>
    <w:p>
      <w:pPr>
        <w:autoSpaceDE w:val="0"/>
        <w:autoSpaceDN w:val="0"/>
        <w:adjustRightInd w:val="0"/>
        <w:spacing w:after="120"/>
        <w:rPr>
          <w:rFonts w:ascii="Times New Roman" w:hAnsi="Times New Roman"/>
          <w:b/>
          <w:noProof/>
          <w:sz w:val="24"/>
        </w:rPr>
      </w:pPr>
      <w:r>
        <w:rPr>
          <w:rFonts w:ascii="Times New Roman" w:hAnsi="Times New Roman"/>
          <w:b/>
          <w:noProof/>
          <w:sz w:val="24"/>
        </w:rPr>
        <w:t>3.2. Финансиране</w:t>
      </w:r>
    </w:p>
    <w:p>
      <w:pPr>
        <w:autoSpaceDE w:val="0"/>
        <w:autoSpaceDN w:val="0"/>
        <w:adjustRightInd w:val="0"/>
        <w:spacing w:after="120"/>
        <w:rPr>
          <w:rFonts w:ascii="Times New Roman" w:hAnsi="Times New Roman"/>
          <w:noProof/>
          <w:sz w:val="24"/>
        </w:rPr>
      </w:pPr>
      <w:r>
        <w:rPr>
          <w:rFonts w:ascii="Times New Roman" w:hAnsi="Times New Roman"/>
          <w:b/>
          <w:noProof/>
          <w:sz w:val="24"/>
        </w:rPr>
        <w:t>Бюджетът на ЕС</w:t>
      </w:r>
      <w:r>
        <w:rPr>
          <w:rFonts w:ascii="Times New Roman" w:hAnsi="Times New Roman"/>
          <w:noProof/>
          <w:sz w:val="24"/>
        </w:rPr>
        <w:t>, който представлява около 1 % от брутния национален доход на ЕС (БНД), е бюджет за инвестиции, който допълва националните бюджети и широкия набор от политики и регулаторни инструменти на ЕС за справяне с предизвикателствата както на европейско, така и на международно равнище. Комисията вече е включила до голяма степен икономическите, социалните и екологичните измерения, които са в основата на ЦУР, в бюджета и разходните програми на ЕС. Рамката на изпълнението на разходните програми на ЕС за 2014—2020 г. вече съдържа съответните елементи с цел докладване относно трите измерения.</w:t>
      </w:r>
      <w:r>
        <w:rPr>
          <w:rFonts w:ascii="Times New Roman" w:hAnsi="Times New Roman"/>
          <w:i/>
          <w:noProof/>
          <w:sz w:val="24"/>
        </w:rPr>
        <w:t xml:space="preserve"> </w:t>
      </w:r>
    </w:p>
    <w:p>
      <w:pPr>
        <w:autoSpaceDE w:val="0"/>
        <w:autoSpaceDN w:val="0"/>
        <w:adjustRightInd w:val="0"/>
        <w:spacing w:after="120"/>
        <w:rPr>
          <w:rFonts w:ascii="Times New Roman" w:hAnsi="Times New Roman"/>
          <w:noProof/>
          <w:sz w:val="24"/>
        </w:rPr>
      </w:pPr>
      <w:r>
        <w:rPr>
          <w:rFonts w:ascii="Times New Roman" w:hAnsi="Times New Roman"/>
          <w:b/>
          <w:noProof/>
          <w:sz w:val="24"/>
        </w:rPr>
        <w:t>Инициативата за бюджет на ЕС, ориентиран към резултатите</w:t>
      </w:r>
      <w:r>
        <w:rPr>
          <w:rStyle w:val="FootnoteReference"/>
          <w:rFonts w:ascii="Times New Roman" w:hAnsi="Times New Roman"/>
          <w:noProof/>
          <w:sz w:val="24"/>
        </w:rPr>
        <w:footnoteReference w:id="39"/>
      </w:r>
      <w:r>
        <w:rPr>
          <w:rFonts w:ascii="Times New Roman" w:hAnsi="Times New Roman"/>
          <w:noProof/>
          <w:sz w:val="24"/>
        </w:rPr>
        <w:t xml:space="preserve">, също има за цел да гарантира, че всяко изразходвано евро от парите на европейските данъкоплатци допринася във възможно най-голяма степен за подобряване на нашето бъдеще. Преминаването от измерване на разходите към измерване на резултатите — от гарантиране предимно на спазването на правилата към преследване също и на максимални резултати — гарантира, че средствата се разпределят по достатъчно гъвкав начин за посрещане на неотложните нужди и акцентиране върху приоритетите. </w:t>
      </w:r>
    </w:p>
    <w:p>
      <w:pPr>
        <w:pStyle w:val="PlainText"/>
        <w:jc w:val="both"/>
        <w:rPr>
          <w:noProof/>
        </w:rPr>
      </w:pPr>
      <w:r>
        <w:rPr>
          <w:noProof/>
        </w:rPr>
        <w:t xml:space="preserve">В </w:t>
      </w:r>
      <w:r>
        <w:rPr>
          <w:b/>
          <w:noProof/>
        </w:rPr>
        <w:t>Плана за инвестиции за Европа</w:t>
      </w:r>
      <w:r>
        <w:rPr>
          <w:noProof/>
        </w:rPr>
        <w:t xml:space="preserve"> се прави позоваване специално на ЦУР и се насърчава съгласуваността с бюджета на ЕС. Различни политики, като например </w:t>
      </w:r>
      <w:r>
        <w:rPr>
          <w:b/>
          <w:noProof/>
        </w:rPr>
        <w:t>европейските структурни и инвестициионни фондове</w:t>
      </w:r>
      <w:r>
        <w:rPr>
          <w:noProof/>
        </w:rPr>
        <w:t xml:space="preserve">, и инструменти, като например </w:t>
      </w:r>
      <w:r>
        <w:rPr>
          <w:b/>
          <w:noProof/>
        </w:rPr>
        <w:t>Механизма за свързване на Европа</w:t>
      </w:r>
      <w:r>
        <w:rPr>
          <w:noProof/>
        </w:rPr>
        <w:t xml:space="preserve">, функционират успоредно с финансирането от </w:t>
      </w:r>
      <w:r>
        <w:rPr>
          <w:b/>
          <w:noProof/>
        </w:rPr>
        <w:t>Европейската инвестиционна банка</w:t>
      </w:r>
      <w:r>
        <w:rPr>
          <w:noProof/>
        </w:rPr>
        <w:t xml:space="preserve"> с оглед насърчаване на целите във връзка с устойчивостта, като например енергийна ефективност и чист транспорт, чрез използването на иновативни финансови инструменти, които спомагат да се постигне нужният мащаб на необходимите инвестиции. Налице е също така политически ангажимент за отделяне на най-малко 20 % от бюджета на ЕС за действия в областта на климата.</w:t>
      </w:r>
      <w:r>
        <w:rPr>
          <w:b/>
          <w:noProof/>
        </w:rPr>
        <w:t xml:space="preserve"> </w:t>
      </w:r>
      <w:r>
        <w:rPr>
          <w:noProof/>
        </w:rPr>
        <w:t xml:space="preserve">В допълнение към това се очаква поне 60 % от бюджета на </w:t>
      </w:r>
      <w:r>
        <w:rPr>
          <w:b/>
          <w:noProof/>
          <w:color w:val="000000" w:themeColor="text1"/>
        </w:rPr>
        <w:t>„Хоризонт 2020“</w:t>
      </w:r>
      <w:r>
        <w:rPr>
          <w:noProof/>
        </w:rPr>
        <w:t xml:space="preserve"> </w:t>
      </w:r>
      <w:r>
        <w:rPr>
          <w:noProof/>
          <w:color w:val="000000" w:themeColor="text1"/>
        </w:rPr>
        <w:t xml:space="preserve">да бъдат заделени за устойчиво развитие и 35 % за действия в областта на климата. </w:t>
      </w:r>
      <w:r>
        <w:rPr>
          <w:noProof/>
        </w:rPr>
        <w:t>Като част от глобалното партньорство за изпълнение на ЦУР (</w:t>
      </w:r>
      <w:r>
        <w:rPr>
          <w:b/>
          <w:i/>
          <w:noProof/>
        </w:rPr>
        <w:t>ЦУР 17</w:t>
      </w:r>
      <w:r>
        <w:rPr>
          <w:noProof/>
        </w:rPr>
        <w:t xml:space="preserve">) ЕС съвместно е поел ангажимент да осигури 0,7 % от БНД за </w:t>
      </w:r>
      <w:r>
        <w:rPr>
          <w:b/>
          <w:noProof/>
        </w:rPr>
        <w:t>официална помощ за развитие (ОПР)</w:t>
      </w:r>
      <w:r>
        <w:rPr>
          <w:noProof/>
        </w:rPr>
        <w:t xml:space="preserve"> в рамките на периода на Програмата до 2030 г. Той ще осигури колективно и 0,15 % от БНД за ОПР за най-слабо развитите страни в краткосрочен план, като тази стойност ще достигне 0,20 % в рамките на периода на Програмата до 2030 г.</w:t>
      </w:r>
    </w:p>
    <w:p>
      <w:pPr>
        <w:pStyle w:val="PlainText"/>
        <w:jc w:val="both"/>
        <w:rPr>
          <w:noProof/>
          <w:color w:val="000000" w:themeColor="text1"/>
          <w:szCs w:val="24"/>
        </w:rPr>
      </w:pPr>
    </w:p>
    <w:p>
      <w:pPr>
        <w:autoSpaceDE w:val="0"/>
        <w:autoSpaceDN w:val="0"/>
        <w:adjustRightInd w:val="0"/>
        <w:spacing w:after="120"/>
        <w:rPr>
          <w:rFonts w:ascii="Times New Roman" w:hAnsi="Times New Roman"/>
          <w:noProof/>
          <w:sz w:val="24"/>
        </w:rPr>
      </w:pPr>
      <w:r>
        <w:rPr>
          <w:rFonts w:ascii="Times New Roman" w:hAnsi="Times New Roman"/>
          <w:noProof/>
          <w:sz w:val="24"/>
        </w:rPr>
        <w:t>Като гледа в перспектива към многогодишната финансова рамка след 2020 г., Комисията ще проучи как бюджетите и бъдещите финансови програми на ЕС могат да продължат по най-добрия начин да допринасят адекватно за изпълнението на Програмата до 2030 г. и да подкрепят усилията на държавите членки.</w:t>
      </w:r>
    </w:p>
    <w:p>
      <w:pPr>
        <w:autoSpaceDE w:val="0"/>
        <w:autoSpaceDN w:val="0"/>
        <w:adjustRightInd w:val="0"/>
        <w:spacing w:after="0"/>
        <w:rPr>
          <w:rFonts w:ascii="Times New Roman" w:hAnsi="Times New Roman"/>
          <w:b/>
          <w:noProof/>
          <w:sz w:val="24"/>
        </w:rPr>
      </w:pPr>
      <w:r>
        <w:rPr>
          <w:rFonts w:ascii="Times New Roman" w:hAnsi="Times New Roman"/>
          <w:b/>
          <w:noProof/>
          <w:sz w:val="24"/>
        </w:rPr>
        <w:t>3.3. Измерване на напредъка на национално равнище, на равнище региони на ООН, на равнище ЕС и на глобално равнище</w:t>
      </w:r>
    </w:p>
    <w:p>
      <w:pPr>
        <w:pStyle w:val="Body"/>
        <w:jc w:val="both"/>
        <w:rPr>
          <w:rFonts w:ascii="Times New Roman" w:hAnsi="Times New Roman" w:cs="Times New Roman"/>
          <w:noProof/>
          <w:color w:val="auto"/>
          <w:sz w:val="24"/>
          <w:szCs w:val="24"/>
        </w:rPr>
      </w:pPr>
    </w:p>
    <w:p>
      <w:pPr>
        <w:pStyle w:val="Body"/>
        <w:jc w:val="both"/>
        <w:rPr>
          <w:rFonts w:ascii="Times New Roman" w:hAnsi="Times New Roman" w:cs="Times New Roman"/>
          <w:noProof/>
          <w:color w:val="auto"/>
          <w:sz w:val="24"/>
          <w:szCs w:val="24"/>
        </w:rPr>
      </w:pPr>
      <w:r>
        <w:rPr>
          <w:rFonts w:ascii="Times New Roman" w:hAnsi="Times New Roman"/>
          <w:noProof/>
          <w:color w:val="auto"/>
          <w:sz w:val="24"/>
        </w:rPr>
        <w:t xml:space="preserve">Особено важно е напредъкът да се следи по систематичен и прозрачен начин. В Програмата до 2030 г. се предвиждат последващи действия и преглед на национално, регионално и глобално равнище. ЕС, в сътрудничество с държавите си членки, се ангажира да има активна роля на всяко равнище, за да се постигне максимален напредък по изпълнението на ЦУР и да се гарантира отчетност пред гражданите, както и че никой не е забравен. </w:t>
      </w:r>
    </w:p>
    <w:p>
      <w:pPr>
        <w:pStyle w:val="Body"/>
        <w:jc w:val="both"/>
        <w:rPr>
          <w:rFonts w:ascii="Times New Roman" w:hAnsi="Times New Roman" w:cs="Times New Roman"/>
          <w:noProof/>
          <w:color w:val="auto"/>
          <w:sz w:val="24"/>
          <w:szCs w:val="24"/>
        </w:rPr>
      </w:pPr>
    </w:p>
    <w:p>
      <w:pPr>
        <w:pStyle w:val="Body"/>
        <w:jc w:val="both"/>
        <w:rPr>
          <w:rFonts w:ascii="Times New Roman" w:hAnsi="Times New Roman"/>
          <w:noProof/>
          <w:color w:val="auto"/>
          <w:sz w:val="24"/>
          <w:szCs w:val="24"/>
        </w:rPr>
      </w:pPr>
      <w:r>
        <w:rPr>
          <w:rFonts w:ascii="Times New Roman" w:hAnsi="Times New Roman"/>
          <w:noProof/>
          <w:color w:val="auto"/>
          <w:sz w:val="24"/>
        </w:rPr>
        <w:t xml:space="preserve">Програмата включва 17 цели и 169 задачи, за които през март 2016 г. Статистическата комисия на ООН съгласува рамка с 230 показателя като практическа отправна точка за глобален мониторинг. В Програмата до 2030 г. се предвижда и мониторинг на равнището на регионите на ООН. Що се отнася до мониторинга на региона на Икономическата комисия за Европа на ООН (ИКЕ на ООН), в процес на разработване е пътна карта за насочване на работата на страните от ИКЕ на ООН относно статистиката за целите за устойчиво развитие. На национално равнище Организацията на обединените нации изисква от държавите членки да въведат системи за измерване на напредъка и за докладване. </w:t>
      </w:r>
    </w:p>
    <w:p>
      <w:pPr>
        <w:autoSpaceDE w:val="0"/>
        <w:autoSpaceDN w:val="0"/>
        <w:adjustRightInd w:val="0"/>
        <w:spacing w:after="0"/>
        <w:rPr>
          <w:rFonts w:ascii="Times New Roman" w:hAnsi="Times New Roman"/>
          <w:noProof/>
          <w:sz w:val="24"/>
        </w:rPr>
      </w:pPr>
    </w:p>
    <w:p>
      <w:pPr>
        <w:autoSpaceDE w:val="0"/>
        <w:autoSpaceDN w:val="0"/>
        <w:adjustRightInd w:val="0"/>
        <w:spacing w:after="0"/>
        <w:rPr>
          <w:rFonts w:ascii="Times New Roman" w:hAnsi="Times New Roman"/>
          <w:noProof/>
          <w:sz w:val="24"/>
        </w:rPr>
      </w:pPr>
      <w:r>
        <w:rPr>
          <w:rFonts w:ascii="Times New Roman" w:hAnsi="Times New Roman"/>
          <w:noProof/>
          <w:sz w:val="24"/>
        </w:rPr>
        <w:t>Комисията ще допринася чрез мониторинг, докладване и преглед на напредъка към целите за устойчиво развитие в контекста на ЕС. Това включва редовно докладване относно приноса на ЕС към изпълнението на Програмата до 2030 г. в контекста на Политическия форум на високо равнище на ООН за устойчивото развитие.</w:t>
      </w:r>
    </w:p>
    <w:p>
      <w:pPr>
        <w:autoSpaceDE w:val="0"/>
        <w:autoSpaceDN w:val="0"/>
        <w:adjustRightInd w:val="0"/>
        <w:spacing w:after="0"/>
        <w:rPr>
          <w:rFonts w:ascii="Times New Roman" w:hAnsi="Times New Roman"/>
          <w:noProof/>
          <w:sz w:val="24"/>
        </w:rPr>
      </w:pPr>
    </w:p>
    <w:p>
      <w:pPr>
        <w:autoSpaceDE w:val="0"/>
        <w:autoSpaceDN w:val="0"/>
        <w:adjustRightInd w:val="0"/>
        <w:spacing w:after="0"/>
        <w:rPr>
          <w:rFonts w:ascii="Times New Roman" w:hAnsi="Times New Roman"/>
          <w:noProof/>
          <w:sz w:val="24"/>
        </w:rPr>
      </w:pPr>
      <w:r>
        <w:rPr>
          <w:rFonts w:ascii="Times New Roman" w:hAnsi="Times New Roman"/>
          <w:noProof/>
          <w:sz w:val="24"/>
        </w:rPr>
        <w:t>Първият преглед на положението на ЕС и неговите държави членки по отношение на ЦУР може да бъде намерен в публикацията на Евростат, издадена успоредно с настоящото съобщение</w:t>
      </w:r>
      <w:r>
        <w:rPr>
          <w:rStyle w:val="FootnoteReference"/>
          <w:rFonts w:ascii="Times New Roman" w:hAnsi="Times New Roman"/>
          <w:noProof/>
          <w:sz w:val="24"/>
        </w:rPr>
        <w:footnoteReference w:id="40"/>
      </w:r>
      <w:r>
        <w:rPr>
          <w:rFonts w:ascii="Times New Roman" w:hAnsi="Times New Roman"/>
          <w:noProof/>
          <w:sz w:val="24"/>
        </w:rPr>
        <w:t xml:space="preserve">. След 2017 г. Комисията ще извършва по-подробен редовен мониторинг на целите за устойчиво развитие в контекста на ЕС, като разработи за тази цел рамка с референтни показатели и използва широка гама от текущ мониторинг и оценки, осъществявани в Комисията, агенциите, Европейската служба за външно действие и държавите членки. </w:t>
      </w:r>
    </w:p>
    <w:p>
      <w:pPr>
        <w:tabs>
          <w:tab w:val="left" w:pos="2235"/>
        </w:tabs>
        <w:autoSpaceDE w:val="0"/>
        <w:autoSpaceDN w:val="0"/>
        <w:adjustRightInd w:val="0"/>
        <w:spacing w:after="0"/>
        <w:rPr>
          <w:rFonts w:ascii="Times New Roman" w:hAnsi="Times New Roman"/>
          <w:noProof/>
          <w:sz w:val="24"/>
        </w:rPr>
      </w:pPr>
      <w:r>
        <w:rPr>
          <w:noProof/>
        </w:rPr>
        <w:tab/>
      </w:r>
    </w:p>
    <w:p>
      <w:pPr>
        <w:autoSpaceDE w:val="0"/>
        <w:autoSpaceDN w:val="0"/>
        <w:adjustRightInd w:val="0"/>
        <w:spacing w:after="0"/>
        <w:rPr>
          <w:rFonts w:ascii="Times New Roman" w:hAnsi="Times New Roman"/>
          <w:b/>
          <w:noProof/>
          <w:sz w:val="24"/>
        </w:rPr>
      </w:pPr>
      <w:r>
        <w:rPr>
          <w:rFonts w:ascii="Times New Roman" w:hAnsi="Times New Roman"/>
          <w:b/>
          <w:noProof/>
          <w:sz w:val="24"/>
        </w:rPr>
        <w:t>3.4. Споделена отговорност за изпълнението и възнаграждаване на върховите постижения</w:t>
      </w:r>
    </w:p>
    <w:p>
      <w:pPr>
        <w:spacing w:before="100" w:beforeAutospacing="1" w:after="100" w:afterAutospacing="1"/>
        <w:rPr>
          <w:rFonts w:ascii="Times New Roman" w:hAnsi="Times New Roman"/>
          <w:noProof/>
          <w:sz w:val="24"/>
        </w:rPr>
      </w:pPr>
      <w:r>
        <w:rPr>
          <w:rFonts w:ascii="Times New Roman" w:hAnsi="Times New Roman"/>
          <w:noProof/>
          <w:sz w:val="24"/>
        </w:rPr>
        <w:t xml:space="preserve">ЦУР представляват съвместна програма между всички равнища на публичните власти и гражданското общество, одобрени от всички държави — членки на ООН. Напредъкът по изпълнението трябва да се осъществява чрез партньорство между всички тях. </w:t>
      </w:r>
    </w:p>
    <w:p>
      <w:pPr>
        <w:spacing w:before="100" w:beforeAutospacing="1" w:after="100" w:afterAutospacing="1"/>
        <w:rPr>
          <w:rFonts w:ascii="Times New Roman" w:hAnsi="Times New Roman"/>
          <w:noProof/>
          <w:sz w:val="24"/>
        </w:rPr>
      </w:pPr>
      <w:r>
        <w:rPr>
          <w:rFonts w:ascii="Times New Roman" w:hAnsi="Times New Roman"/>
          <w:noProof/>
          <w:sz w:val="24"/>
        </w:rPr>
        <w:t>В настоящото съобщение се предоставя рамка за изпълнение на Програмата до 2030 г. от страна за ЕС и неговите държави членки. В съответствие с принципа на субсидиарност ЕС ще действа в области извън неговата изключителна компетентност само когато целите могат да бъдат постигнати по-добре на равнището на Съюза, отколкото чрез действия на държавите членки. Ето защо е необходимо тясно сътрудничество с държавите членки и много от въпросите, засягащи устойчивото развитие, ще трябва да бъдат решени от самите държави членки, които в момента са в процес на създаване на техни собствени национални рамки за постигане на ЦУР и</w:t>
      </w:r>
      <w:r>
        <w:rPr>
          <w:noProof/>
        </w:rPr>
        <w:t xml:space="preserve"> </w:t>
      </w:r>
      <w:r>
        <w:rPr>
          <w:rFonts w:ascii="Times New Roman" w:hAnsi="Times New Roman"/>
          <w:noProof/>
          <w:sz w:val="24"/>
        </w:rPr>
        <w:t xml:space="preserve">за докладване пред техните собствени граждани и пред ООН. </w:t>
      </w:r>
    </w:p>
    <w:p>
      <w:pPr>
        <w:pStyle w:val="Body"/>
        <w:jc w:val="both"/>
        <w:rPr>
          <w:rFonts w:ascii="Times New Roman" w:hAnsi="Times New Roman"/>
          <w:bCs/>
          <w:noProof/>
          <w:color w:val="auto"/>
          <w:sz w:val="24"/>
          <w:szCs w:val="24"/>
        </w:rPr>
      </w:pPr>
      <w:r>
        <w:rPr>
          <w:rFonts w:ascii="Times New Roman" w:hAnsi="Times New Roman"/>
          <w:noProof/>
          <w:color w:val="auto"/>
          <w:sz w:val="24"/>
        </w:rPr>
        <w:t>Градовете и местните органи имат специална роля в изпълнението на Програмата до 2030 г., като на тях е отредена специална цел (</w:t>
      </w:r>
      <w:r>
        <w:rPr>
          <w:rFonts w:ascii="Times New Roman" w:hAnsi="Times New Roman"/>
          <w:b/>
          <w:i/>
          <w:noProof/>
          <w:color w:val="auto"/>
          <w:sz w:val="24"/>
        </w:rPr>
        <w:t>ЦУР 11</w:t>
      </w:r>
      <w:r>
        <w:rPr>
          <w:rFonts w:ascii="Times New Roman" w:hAnsi="Times New Roman"/>
          <w:noProof/>
          <w:color w:val="auto"/>
          <w:sz w:val="24"/>
        </w:rPr>
        <w:t>), както и други свързани с градовете цели в рамките на Програмата до 2030 г. Градовете познават отблизо днешните икономически, екологични и социални предизвикателства. Повече от 70 % от гражданите на ЕС живеят в градските райони, а около 85 % от БВП на ЕС се генерира в градовете</w:t>
      </w:r>
      <w:r>
        <w:rPr>
          <w:rStyle w:val="FootnoteReference"/>
          <w:rFonts w:ascii="Times New Roman" w:hAnsi="Times New Roman"/>
          <w:noProof/>
          <w:color w:val="auto"/>
          <w:sz w:val="24"/>
        </w:rPr>
        <w:footnoteReference w:id="41"/>
      </w:r>
      <w:r>
        <w:rPr>
          <w:rFonts w:ascii="Times New Roman" w:hAnsi="Times New Roman"/>
          <w:noProof/>
          <w:color w:val="auto"/>
          <w:sz w:val="24"/>
        </w:rPr>
        <w:t xml:space="preserve">. Тези градски райони са двигателите на европейската икономика и функционират като катализатори на иновативни и устойчиви решения за насърчаване на прехода към устойчиво общество с ниски въглеродни емисии. Те са обаче и местата, където проблемите като безработица, сегрегация, бедност и замърсяване са най-остри. </w:t>
      </w:r>
    </w:p>
    <w:p>
      <w:pPr>
        <w:pStyle w:val="Body"/>
        <w:jc w:val="both"/>
        <w:rPr>
          <w:rFonts w:ascii="Times New Roman" w:hAnsi="Times New Roman"/>
          <w:bCs/>
          <w:noProof/>
          <w:color w:val="auto"/>
          <w:sz w:val="24"/>
          <w:szCs w:val="24"/>
        </w:rPr>
      </w:pPr>
    </w:p>
    <w:p>
      <w:pPr>
        <w:pStyle w:val="Body"/>
        <w:jc w:val="both"/>
        <w:rPr>
          <w:rFonts w:ascii="Times New Roman" w:hAnsi="Times New Roman"/>
          <w:bCs/>
          <w:noProof/>
          <w:color w:val="auto"/>
          <w:sz w:val="24"/>
          <w:szCs w:val="24"/>
        </w:rPr>
      </w:pPr>
      <w:r>
        <w:rPr>
          <w:rFonts w:ascii="Times New Roman" w:hAnsi="Times New Roman"/>
          <w:noProof/>
          <w:color w:val="auto"/>
          <w:sz w:val="24"/>
        </w:rPr>
        <w:t>Ето защо програмата на ЕС за градовете, приета през 2016 г., ще се осъществява чрез цялостен подход съвместно с местните органи, като бъдат обхванати всички аспекти на устойчивото развитие и се допринася за изпълнението на глобалната „Нова програма за градовете“</w:t>
      </w:r>
      <w:r>
        <w:rPr>
          <w:rStyle w:val="FootnoteReference"/>
          <w:rFonts w:ascii="Times New Roman" w:hAnsi="Times New Roman"/>
          <w:noProof/>
          <w:color w:val="auto"/>
          <w:sz w:val="24"/>
        </w:rPr>
        <w:footnoteReference w:id="42"/>
      </w:r>
      <w:r>
        <w:rPr>
          <w:rFonts w:ascii="Times New Roman" w:hAnsi="Times New Roman"/>
          <w:noProof/>
          <w:color w:val="auto"/>
          <w:sz w:val="24"/>
        </w:rPr>
        <w:t>. Комисията ще има централна роля в изпълнението на програмата на ЕС за градовете, като взема предвид многообразието на градовете и техните отговорности и взаимодействия с останалата част от територията, предоставяйки експертни знания, изпълнява действия и улеснява процеса на многостепенно управление.</w:t>
      </w:r>
    </w:p>
    <w:p>
      <w:pPr>
        <w:spacing w:before="100" w:beforeAutospacing="1" w:after="100" w:afterAutospacing="1"/>
        <w:rPr>
          <w:rFonts w:ascii="Times New Roman" w:hAnsi="Times New Roman"/>
          <w:noProof/>
          <w:sz w:val="24"/>
        </w:rPr>
      </w:pPr>
      <w:r>
        <w:rPr>
          <w:rFonts w:ascii="Times New Roman" w:hAnsi="Times New Roman"/>
          <w:noProof/>
          <w:sz w:val="24"/>
        </w:rPr>
        <w:t xml:space="preserve">Устойчивото развитие няма да бъде осъществено само чрез политиките на публичния сектор. То е съвместна програма на гражданите, гражданското общество, организациите и предприятията. Все повече дружества приемат ЦУР и прилагат на практика корпоративната социална отговорност в свой интерес, както и в интерес на европейската икономика и общество. Европейските дружества могат да осигуряват иновативни решения за предизвикателствата на утрешния ден, както и да движат промяната в рамките на ЕС и извън неговите граници. Обществото като цяло трябва да интегрира устойчивостта като водещ принцип при решенията, които всеки гражданин, дружество и участник в гражданското общество взема всеки ден. </w:t>
      </w:r>
    </w:p>
    <w:p>
      <w:pPr>
        <w:autoSpaceDE w:val="0"/>
        <w:autoSpaceDN w:val="0"/>
        <w:adjustRightInd w:val="0"/>
        <w:rPr>
          <w:rFonts w:ascii="Times New Roman" w:hAnsi="Times New Roman"/>
          <w:noProof/>
          <w:sz w:val="24"/>
        </w:rPr>
      </w:pPr>
      <w:r>
        <w:rPr>
          <w:rFonts w:ascii="Times New Roman" w:hAnsi="Times New Roman"/>
          <w:noProof/>
          <w:sz w:val="24"/>
        </w:rPr>
        <w:t>За да бъде създадено динамично пространство, което обединява различните заинтересовани страни от публичния и частния сектор, Комисията ще стартира многостранна платформа на заинтересованите страни, която ще има роля в последващите действия и обмена на най-добри практики при изпълнението на ЦУР в различните сектори, на равнище държави членки и на равнище ЕС. Тази платформа може да функционира като център за учене от партньорите, в който заинтересованите страни могат да участват в дебати относно дейности, свързани с устойчивостта, и да информират останалите участници за успешни текущи инициативи. Всяка година ще се връчва европейска награда за устойчивост, за да бъдат отличени инициативите с трансформиращ принос към глобалното изпълнение на Програмата до 2030 г.</w:t>
      </w:r>
    </w:p>
    <w:p>
      <w:pPr>
        <w:pStyle w:val="Heading1"/>
        <w:numPr>
          <w:ilvl w:val="0"/>
          <w:numId w:val="0"/>
        </w:numPr>
        <w:ind w:left="432" w:hanging="432"/>
        <w:rPr>
          <w:rFonts w:ascii="Times New Roman" w:hAnsi="Times New Roman" w:cs="Times New Roman"/>
          <w:smallCaps/>
          <w:noProof/>
          <w:color w:val="auto"/>
        </w:rPr>
      </w:pPr>
      <w:r>
        <w:rPr>
          <w:rFonts w:ascii="Times New Roman" w:hAnsi="Times New Roman"/>
          <w:smallCaps/>
          <w:noProof/>
          <w:color w:val="auto"/>
        </w:rPr>
        <w:t>4. Заключение</w:t>
      </w:r>
    </w:p>
    <w:p>
      <w:pPr>
        <w:autoSpaceDE w:val="0"/>
        <w:autoSpaceDN w:val="0"/>
        <w:adjustRightInd w:val="0"/>
        <w:rPr>
          <w:rFonts w:ascii="Times New Roman" w:hAnsi="Times New Roman"/>
          <w:noProof/>
          <w:sz w:val="24"/>
        </w:rPr>
      </w:pPr>
      <w:r>
        <w:rPr>
          <w:rFonts w:ascii="Times New Roman" w:hAnsi="Times New Roman"/>
          <w:noProof/>
          <w:sz w:val="24"/>
        </w:rPr>
        <w:t xml:space="preserve">ЕС, като проект, базиран на основните ценности и справедливостта, приема Програмата на ООН за устойчиво развитие до 2030 г. като уникална възможност за по-добро бъдеще. Глобалната визия зад ЦУР — да се предприемат действия за хората, за планетата и за просперитет — е изцяло в съответствие с нашата европейска програма: устойчивостта е европейска марка. Като осъзнаваме възможностите на планетата, недостига на ресурси, нарастващите неравенства и значението на устойчивия растеж за запазването на нашите системи за социални грижи, ние искаме европейската и световната икономика да поемат по нов път, за да се даде по-добър живот на хората, да се осигури справедлив дял за всички и най-вече за по-младото поколение. </w:t>
      </w:r>
    </w:p>
    <w:p>
      <w:pPr>
        <w:autoSpaceDE w:val="0"/>
        <w:autoSpaceDN w:val="0"/>
        <w:adjustRightInd w:val="0"/>
        <w:rPr>
          <w:rFonts w:ascii="Times New Roman" w:hAnsi="Times New Roman"/>
          <w:noProof/>
          <w:sz w:val="24"/>
        </w:rPr>
      </w:pPr>
      <w:r>
        <w:rPr>
          <w:rFonts w:ascii="Times New Roman" w:hAnsi="Times New Roman"/>
          <w:noProof/>
          <w:sz w:val="24"/>
        </w:rPr>
        <w:t xml:space="preserve">За да се запази бъдещето, трябва днес да бъде направен правилният политически избор. Планирането на нашите политики и достиженията на правото са доказали ясно, че за всичките седемнадесет ЦУР са предприети действия на европейско равнище. Освен това много от ЦУР са в основата на първостепенните политически приоритети на Комисията „Юнкер“. Целите за устойчиво развитие могат да бъдат успешно постигнати единствено на равнището на ЕС и от неговите държави членки, ако в новите политики бъде взета предвид устойчивостта и съгласуваността на политиките от самото начало, както и ако изпълнението на съществуващите политики по места се осъществява в партньорство с всички заинтересовани страни и на всички равнища. </w:t>
      </w:r>
    </w:p>
    <w:p>
      <w:pPr>
        <w:autoSpaceDE w:val="0"/>
        <w:autoSpaceDN w:val="0"/>
        <w:adjustRightInd w:val="0"/>
        <w:rPr>
          <w:rFonts w:ascii="Times New Roman" w:hAnsi="Times New Roman"/>
          <w:noProof/>
          <w:sz w:val="24"/>
        </w:rPr>
      </w:pPr>
      <w:r>
        <w:rPr>
          <w:rFonts w:ascii="Times New Roman" w:hAnsi="Times New Roman"/>
          <w:noProof/>
          <w:sz w:val="24"/>
        </w:rPr>
        <w:t xml:space="preserve">Комисията се е ангажирала в пълна степен с изпълнението на Програмата до 2030 г. чрез следните ключови дейности и елементи на управлението: </w:t>
      </w:r>
    </w:p>
    <w:p>
      <w:pPr>
        <w:pStyle w:val="ListParagraph"/>
        <w:numPr>
          <w:ilvl w:val="0"/>
          <w:numId w:val="7"/>
        </w:numPr>
        <w:autoSpaceDE w:val="0"/>
        <w:autoSpaceDN w:val="0"/>
        <w:adjustRightInd w:val="0"/>
        <w:rPr>
          <w:rFonts w:ascii="Times New Roman" w:hAnsi="Times New Roman"/>
          <w:noProof/>
          <w:sz w:val="24"/>
          <w:szCs w:val="24"/>
        </w:rPr>
      </w:pPr>
      <w:r>
        <w:rPr>
          <w:rFonts w:ascii="Times New Roman" w:hAnsi="Times New Roman"/>
          <w:noProof/>
          <w:sz w:val="24"/>
        </w:rPr>
        <w:t>Комисията ще интегрира целите за устойчиво развитие в политиките и инициативите на ЕС,</w:t>
      </w:r>
      <w:r>
        <w:rPr>
          <w:noProof/>
        </w:rPr>
        <w:t xml:space="preserve"> </w:t>
      </w:r>
      <w:r>
        <w:rPr>
          <w:rFonts w:ascii="Times New Roman" w:hAnsi="Times New Roman"/>
          <w:noProof/>
          <w:sz w:val="24"/>
        </w:rPr>
        <w:t>като превърне устойчивото развитие в основен ръководен принцип за всички европейски политики. В съществуващите и новите политики следва да се вземат предвид трите стълба на устойчивото развитие, а именно социалните, екологичните и икономическите проблеми. За тази цел Комисията ще гарантира устойчивостта на своите политики чрез инструментите си за по-добро регулиране.</w:t>
      </w:r>
    </w:p>
    <w:p>
      <w:pPr>
        <w:pStyle w:val="ListParagraph"/>
        <w:numPr>
          <w:ilvl w:val="0"/>
          <w:numId w:val="7"/>
        </w:numPr>
        <w:autoSpaceDE w:val="0"/>
        <w:autoSpaceDN w:val="0"/>
        <w:adjustRightInd w:val="0"/>
        <w:rPr>
          <w:rFonts w:ascii="Times New Roman" w:hAnsi="Times New Roman"/>
          <w:noProof/>
          <w:sz w:val="24"/>
          <w:szCs w:val="24"/>
        </w:rPr>
      </w:pPr>
      <w:r>
        <w:rPr>
          <w:rFonts w:ascii="Times New Roman" w:hAnsi="Times New Roman"/>
          <w:noProof/>
          <w:sz w:val="24"/>
        </w:rPr>
        <w:t>Комисията ще изготвя от 2017 г. редовен доклад за напредъка на ЕС по изпълнението на Програмата до 2030 г.</w:t>
      </w:r>
    </w:p>
    <w:p>
      <w:pPr>
        <w:pStyle w:val="ListParagraph"/>
        <w:numPr>
          <w:ilvl w:val="0"/>
          <w:numId w:val="7"/>
        </w:numPr>
        <w:autoSpaceDE w:val="0"/>
        <w:autoSpaceDN w:val="0"/>
        <w:adjustRightInd w:val="0"/>
        <w:rPr>
          <w:rFonts w:ascii="Times New Roman" w:hAnsi="Times New Roman"/>
          <w:noProof/>
          <w:sz w:val="24"/>
          <w:szCs w:val="24"/>
        </w:rPr>
      </w:pPr>
      <w:r>
        <w:rPr>
          <w:rFonts w:ascii="Times New Roman" w:hAnsi="Times New Roman"/>
          <w:noProof/>
          <w:sz w:val="24"/>
        </w:rPr>
        <w:t xml:space="preserve">С цел да се насърчава устойчивото развитие в целия свят ЕС ще продължи да работи с външни партньори, като използва всички инструменти, налични в рамките на неговите външни политики, и ще подкрепя по-специално усилията в развиващите се държави. </w:t>
      </w:r>
    </w:p>
    <w:p>
      <w:pPr>
        <w:pStyle w:val="ListParagraph"/>
        <w:numPr>
          <w:ilvl w:val="0"/>
          <w:numId w:val="7"/>
        </w:numPr>
        <w:autoSpaceDE w:val="0"/>
        <w:autoSpaceDN w:val="0"/>
        <w:adjustRightInd w:val="0"/>
        <w:rPr>
          <w:rFonts w:ascii="Times New Roman" w:hAnsi="Times New Roman"/>
          <w:noProof/>
          <w:sz w:val="24"/>
        </w:rPr>
      </w:pPr>
      <w:r>
        <w:rPr>
          <w:rFonts w:ascii="Times New Roman" w:hAnsi="Times New Roman"/>
          <w:noProof/>
          <w:sz w:val="24"/>
        </w:rPr>
        <w:t xml:space="preserve">Комисията се ангажира да изпълнява Програмата до 2030 г. заедно със Съвета и Европейския парламент в качеството им на съзаконодатели и бюджетен орган на ЕС, както и с други европейски институции, международни организации, организации на гражданското общество, граждани и други заинтересовани страни. </w:t>
      </w:r>
    </w:p>
    <w:p>
      <w:pPr>
        <w:pStyle w:val="ListParagraph"/>
        <w:numPr>
          <w:ilvl w:val="0"/>
          <w:numId w:val="7"/>
        </w:numPr>
        <w:autoSpaceDE w:val="0"/>
        <w:autoSpaceDN w:val="0"/>
        <w:adjustRightInd w:val="0"/>
        <w:rPr>
          <w:rFonts w:ascii="Times New Roman" w:hAnsi="Times New Roman"/>
          <w:noProof/>
          <w:sz w:val="24"/>
          <w:szCs w:val="24"/>
        </w:rPr>
      </w:pPr>
      <w:r>
        <w:rPr>
          <w:rFonts w:ascii="Times New Roman" w:hAnsi="Times New Roman"/>
          <w:noProof/>
          <w:sz w:val="24"/>
        </w:rPr>
        <w:t xml:space="preserve">Комисията ще стартира многостранна платформа на заинтересованите страни, която ще има роля в последващите действия и обмена на най-добри практики при изпълнението ЦУР в различните сектори, на равнище държави членки и на равнище ЕС. </w:t>
      </w:r>
    </w:p>
    <w:p>
      <w:pPr>
        <w:pStyle w:val="ListParagraph"/>
        <w:numPr>
          <w:ilvl w:val="0"/>
          <w:numId w:val="7"/>
        </w:numPr>
        <w:autoSpaceDE w:val="0"/>
        <w:autoSpaceDN w:val="0"/>
        <w:adjustRightInd w:val="0"/>
        <w:rPr>
          <w:rFonts w:ascii="Times New Roman" w:hAnsi="Times New Roman"/>
          <w:noProof/>
          <w:sz w:val="24"/>
          <w:szCs w:val="24"/>
        </w:rPr>
      </w:pPr>
      <w:r>
        <w:rPr>
          <w:rFonts w:ascii="Times New Roman" w:hAnsi="Times New Roman"/>
          <w:noProof/>
          <w:sz w:val="24"/>
        </w:rPr>
        <w:t>Комисията ще започне да обмисля по-нататъшното развитие на дългосрочна визия за периода след 2020 г.</w:t>
      </w:r>
    </w:p>
    <w:p>
      <w:pPr>
        <w:autoSpaceDE w:val="0"/>
        <w:autoSpaceDN w:val="0"/>
        <w:adjustRightInd w:val="0"/>
        <w:rPr>
          <w:rFonts w:ascii="Times New Roman" w:hAnsi="Times New Roman"/>
          <w:noProof/>
          <w:sz w:val="24"/>
        </w:rPr>
      </w:pPr>
      <w:r>
        <w:rPr>
          <w:rFonts w:ascii="Times New Roman" w:hAnsi="Times New Roman"/>
          <w:noProof/>
          <w:sz w:val="24"/>
        </w:rPr>
        <w:t>В съответствие с поетите ангажименти в рамките на Организацията на обединените нации държавите членки се приканват да запазят националните рамки и да работят по тях за постигането на ЦУР, като изпълняват своевременно свързаните европейски политики и извършват преглед на постигнатия напредък.</w:t>
      </w:r>
    </w:p>
    <w:p>
      <w:pPr>
        <w:autoSpaceDE w:val="0"/>
        <w:autoSpaceDN w:val="0"/>
        <w:adjustRightInd w:val="0"/>
        <w:rPr>
          <w:rFonts w:ascii="Times New Roman" w:hAnsi="Times New Roman"/>
          <w:noProof/>
          <w:sz w:val="24"/>
        </w:rPr>
      </w:pPr>
      <w:r>
        <w:rPr>
          <w:rFonts w:ascii="Times New Roman" w:hAnsi="Times New Roman"/>
          <w:noProof/>
          <w:sz w:val="24"/>
        </w:rPr>
        <w:t xml:space="preserve"> </w:t>
      </w:r>
      <w:bookmarkEnd w:id="0"/>
      <w:bookmarkEnd w:id="1"/>
    </w:p>
    <w:p>
      <w:pPr>
        <w:spacing w:after="200" w:line="276" w:lineRule="auto"/>
        <w:jc w:val="left"/>
        <w:rPr>
          <w:rFonts w:ascii="Times New Roman" w:hAnsi="Times New Roman"/>
          <w:noProof/>
          <w:sz w:val="24"/>
        </w:rPr>
      </w:pPr>
      <w:r>
        <w:rPr>
          <w:noProof/>
        </w:rPr>
        <w:br w:type="page"/>
      </w:r>
    </w:p>
    <w:p>
      <w:pPr>
        <w:autoSpaceDE w:val="0"/>
        <w:autoSpaceDN w:val="0"/>
        <w:adjustRightInd w:val="0"/>
        <w:rPr>
          <w:rFonts w:ascii="Times New Roman" w:hAnsi="Times New Roman"/>
          <w:b/>
          <w:bCs/>
          <w:noProof/>
          <w:sz w:val="24"/>
          <w:szCs w:val="24"/>
        </w:rPr>
      </w:pPr>
      <w:r>
        <w:rPr>
          <w:rFonts w:ascii="Times New Roman" w:hAnsi="Times New Roman"/>
          <w:b/>
          <w:noProof/>
          <w:sz w:val="24"/>
        </w:rPr>
        <w:t>Таблица: Цели за устойчиво развитие на Програмата до 2030 г.</w:t>
      </w:r>
      <w:r>
        <w:rPr>
          <w:rStyle w:val="FootnoteReference"/>
          <w:rFonts w:ascii="Times New Roman" w:hAnsi="Times New Roman"/>
          <w:b/>
          <w:noProof/>
          <w:sz w:val="24"/>
        </w:rPr>
        <w:footnoteReference w:id="43"/>
      </w:r>
    </w:p>
    <w:p>
      <w:pPr>
        <w:autoSpaceDE w:val="0"/>
        <w:autoSpaceDN w:val="0"/>
        <w:adjustRightInd w:val="0"/>
        <w:rPr>
          <w:rFonts w:ascii="Times New Roman" w:hAnsi="Times New Roman"/>
          <w:noProof/>
          <w:sz w:val="24"/>
        </w:rPr>
      </w:pP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b/>
          <w:noProof/>
        </w:rPr>
      </w:pPr>
      <w:r>
        <w:rPr>
          <w:rFonts w:ascii="Times New Roman" w:hAnsi="Times New Roman"/>
          <w:b/>
          <w:noProof/>
        </w:rPr>
        <w:t>Цели за устойчиво развитие на Програмата до 2030 г.</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b/>
          <w:noProof/>
        </w:rPr>
      </w:pP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Цел 1. </w:t>
      </w:r>
      <w:r>
        <w:rPr>
          <w:noProof/>
        </w:rPr>
        <w:tab/>
      </w:r>
      <w:r>
        <w:rPr>
          <w:noProof/>
        </w:rPr>
        <w:tab/>
      </w:r>
      <w:r>
        <w:rPr>
          <w:rFonts w:ascii="Times New Roman" w:hAnsi="Times New Roman"/>
          <w:noProof/>
        </w:rPr>
        <w:t>Премахване на бедността във всичките ѝ форми навсякъде</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Цел 2. </w:t>
      </w:r>
      <w:r>
        <w:rPr>
          <w:noProof/>
        </w:rPr>
        <w:tab/>
      </w:r>
      <w:r>
        <w:rPr>
          <w:rFonts w:ascii="Times New Roman" w:hAnsi="Times New Roman"/>
          <w:noProof/>
        </w:rPr>
        <w:t>Премахване на глада, постигане на продоволствена сигурност и подобряване на храненето, както и насърчаване на устойчивото селско стопанство</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Цел 3. </w:t>
      </w:r>
      <w:r>
        <w:rPr>
          <w:rFonts w:ascii="Times New Roman" w:hAnsi="Times New Roman"/>
          <w:noProof/>
        </w:rPr>
        <w:tab/>
        <w:t>Осигуряване на здравословен начин на живот и насърчаване на благоденствието за всички хора</w:t>
      </w:r>
      <w:r>
        <w:rPr>
          <w:rFonts w:ascii="Times New Roman" w:hAnsi="Times New Roman"/>
          <w:noProof/>
        </w:rPr>
        <w:tab/>
        <w:t xml:space="preserve"> от всички възрастови групи</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Цел 4. </w:t>
      </w:r>
      <w:r>
        <w:rPr>
          <w:noProof/>
        </w:rPr>
        <w:tab/>
      </w:r>
      <w:r>
        <w:rPr>
          <w:rFonts w:ascii="Times New Roman" w:hAnsi="Times New Roman"/>
          <w:noProof/>
        </w:rPr>
        <w:t>Осигуряване на приобщаващо и справедливо качествено образование и насърчаване на възможностите за учене през целия живот за всички</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Цел 5. </w:t>
      </w:r>
      <w:r>
        <w:rPr>
          <w:rFonts w:ascii="Times New Roman" w:hAnsi="Times New Roman"/>
          <w:noProof/>
        </w:rPr>
        <w:tab/>
        <w:t>Постигане на равенство между половете и предоставяне на повече права на всички жени и момичета</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Цел 6. </w:t>
      </w:r>
      <w:r>
        <w:rPr>
          <w:noProof/>
        </w:rPr>
        <w:tab/>
      </w:r>
      <w:r>
        <w:rPr>
          <w:rFonts w:ascii="Times New Roman" w:hAnsi="Times New Roman"/>
          <w:noProof/>
        </w:rPr>
        <w:t>Осигуряване на наличност и устойчиво управление на водите и канализация за всички</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Цел 7. </w:t>
      </w:r>
      <w:r>
        <w:rPr>
          <w:noProof/>
        </w:rPr>
        <w:tab/>
      </w:r>
      <w:r>
        <w:rPr>
          <w:rFonts w:ascii="Times New Roman" w:hAnsi="Times New Roman"/>
          <w:noProof/>
        </w:rPr>
        <w:t>Осигуряване на достъп до финансово достъпна, надеждна, устойчива и модерна енергетика за всички</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Цел 8. </w:t>
      </w:r>
      <w:r>
        <w:rPr>
          <w:rFonts w:ascii="Times New Roman" w:hAnsi="Times New Roman"/>
          <w:noProof/>
        </w:rPr>
        <w:tab/>
        <w:t xml:space="preserve">Насърчаване на траен, приобщаващ и устойчив икономически растеж, пълноценна и </w:t>
      </w:r>
      <w:r>
        <w:rPr>
          <w:noProof/>
        </w:rPr>
        <w:tab/>
      </w:r>
      <w:r>
        <w:rPr>
          <w:rFonts w:ascii="Times New Roman" w:hAnsi="Times New Roman"/>
          <w:noProof/>
        </w:rPr>
        <w:t>продуктивна заетост и достоен труд за всички</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Цел 9. </w:t>
      </w:r>
      <w:r>
        <w:rPr>
          <w:noProof/>
        </w:rPr>
        <w:tab/>
      </w:r>
      <w:r>
        <w:rPr>
          <w:rFonts w:ascii="Times New Roman" w:hAnsi="Times New Roman"/>
          <w:noProof/>
        </w:rPr>
        <w:t xml:space="preserve">Изграждане на устойчива инфраструктура, насърчаване на приобщаваща и устойчива индустриализация и стимулиране на иновациите </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Цел 10. </w:t>
      </w:r>
      <w:r>
        <w:rPr>
          <w:noProof/>
        </w:rPr>
        <w:tab/>
      </w:r>
      <w:r>
        <w:rPr>
          <w:rFonts w:ascii="Times New Roman" w:hAnsi="Times New Roman"/>
          <w:noProof/>
        </w:rPr>
        <w:t>Намаляване на различията в държавите и между тях</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18" w:hanging="1418"/>
        <w:rPr>
          <w:rFonts w:ascii="Times New Roman" w:hAnsi="Times New Roman"/>
          <w:noProof/>
        </w:rPr>
      </w:pPr>
      <w:r>
        <w:rPr>
          <w:rFonts w:ascii="Times New Roman" w:hAnsi="Times New Roman"/>
          <w:noProof/>
        </w:rPr>
        <w:t xml:space="preserve">Цел 11. </w:t>
      </w:r>
      <w:r>
        <w:rPr>
          <w:noProof/>
        </w:rPr>
        <w:tab/>
      </w:r>
      <w:r>
        <w:rPr>
          <w:rFonts w:ascii="Times New Roman" w:hAnsi="Times New Roman"/>
          <w:noProof/>
        </w:rPr>
        <w:t>Градовете и населените места да станат приобщаващи, сигурни, издръжливи и устойчиви</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Цел 12. </w:t>
      </w:r>
      <w:r>
        <w:rPr>
          <w:noProof/>
        </w:rPr>
        <w:tab/>
      </w:r>
      <w:r>
        <w:rPr>
          <w:rFonts w:ascii="Times New Roman" w:hAnsi="Times New Roman"/>
          <w:noProof/>
        </w:rPr>
        <w:t>Осигуряване на устойчиви модели на потребление и на производство</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Цел 13. </w:t>
      </w:r>
      <w:r>
        <w:rPr>
          <w:noProof/>
        </w:rPr>
        <w:tab/>
      </w:r>
      <w:r>
        <w:rPr>
          <w:rFonts w:ascii="Times New Roman" w:hAnsi="Times New Roman"/>
          <w:noProof/>
        </w:rPr>
        <w:t>Предприемане на спешни действия за борба с изменението на климата и въздействието от него*</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Цел 14. </w:t>
      </w:r>
      <w:r>
        <w:rPr>
          <w:noProof/>
        </w:rPr>
        <w:tab/>
      </w:r>
      <w:r>
        <w:rPr>
          <w:rFonts w:ascii="Times New Roman" w:hAnsi="Times New Roman"/>
          <w:noProof/>
        </w:rPr>
        <w:t>Опазване и устойчиво използване на океаните, моретата и морските ресурси за устойчиво развитие</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Цел 15. </w:t>
      </w:r>
      <w:r>
        <w:rPr>
          <w:noProof/>
        </w:rPr>
        <w:tab/>
      </w:r>
      <w:r>
        <w:rPr>
          <w:rFonts w:ascii="Times New Roman" w:hAnsi="Times New Roman"/>
          <w:noProof/>
        </w:rPr>
        <w:t>Защита, възстановяване и насърчаване на устойчивото използване на сухоземните екосистеми, устойчиво управление на горите, борба с опустиняването, спиране и постигане на обрат в процеса на увреждане на почвата и преустановяване на загубата на биологично разнообразие</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Цел 16. </w:t>
      </w:r>
      <w:r>
        <w:rPr>
          <w:noProof/>
        </w:rPr>
        <w:tab/>
      </w:r>
      <w:r>
        <w:rPr>
          <w:rFonts w:ascii="Times New Roman" w:hAnsi="Times New Roman"/>
          <w:noProof/>
        </w:rPr>
        <w:t>Насърчаване на мирни и приобщаващи общества за устойчиво развитие, предоставяне на достъп до правосъдие за всички и изграждане на ефективни, отговорни и приобщаващи институции на всички равнища</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Цел 17. </w:t>
      </w:r>
      <w:r>
        <w:rPr>
          <w:noProof/>
        </w:rPr>
        <w:tab/>
      </w:r>
      <w:r>
        <w:rPr>
          <w:rFonts w:ascii="Times New Roman" w:hAnsi="Times New Roman"/>
          <w:noProof/>
        </w:rPr>
        <w:t>Укрепване на средствата за прилагане и възобновяване на световното партньорства за устойчиво развитие</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*Като признава, че Рамковата конвенция на ООН по изменение на климата е основният международен междуправителствен форум за договаряне на световно решение във връзка с изменението на климата.</w:t>
      </w:r>
    </w:p>
    <w:p>
      <w:pPr>
        <w:autoSpaceDE w:val="0"/>
        <w:autoSpaceDN w:val="0"/>
        <w:adjustRightInd w:val="0"/>
        <w:rPr>
          <w:rFonts w:ascii="Times New Roman" w:hAnsi="Times New Roman"/>
          <w:noProof/>
          <w:sz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08509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Член 3, параграф 5 и член 21, параграф 2 от Договора за Европейския съюз (ДЕС).</w:t>
      </w:r>
    </w:p>
  </w:footnote>
  <w:footnote w:id="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Договор за Европейския съюз, член 21, параграф 3, втора алинея</w:t>
      </w:r>
    </w:p>
  </w:footnote>
  <w:footnote w:id="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COM/2001/0264 окончателен</w:t>
      </w:r>
    </w:p>
  </w:footnote>
  <w:footnote w:id="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Европейски съвет, док. 10917/06</w:t>
      </w:r>
    </w:p>
  </w:footnote>
  <w:footnote w:id="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COM(2009) 400 окончателен</w:t>
      </w:r>
    </w:p>
  </w:footnote>
  <w:footnote w:id="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COM(2010) 2020 окончателен</w:t>
      </w:r>
    </w:p>
  </w:footnote>
  <w:footnote w:id="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Резолюция на ООН A/RES/70/1</w:t>
      </w:r>
    </w:p>
  </w:footnote>
  <w:footnote w:id="9">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Решение на ООН /CP.21, приемане на Споразумението от Париж</w:t>
      </w:r>
    </w:p>
  </w:footnote>
  <w:footnote w:id="10">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Резолюция на ООН A/RES/69/313</w:t>
      </w:r>
    </w:p>
  </w:footnote>
  <w:footnote w:id="1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Приета на третата Световна конференция на ООН за намаляване на риска от бедствия в Сендай, Япония, на 18 март 2015 г.</w:t>
      </w:r>
    </w:p>
  </w:footnote>
  <w:footnote w:id="12">
    <w:p>
      <w:pPr>
        <w:pStyle w:val="PlainText"/>
        <w:jc w:val="both"/>
      </w:pPr>
      <w:r>
        <w:rPr>
          <w:rStyle w:val="FootnoteReference"/>
        </w:rPr>
        <w:footnoteRef/>
      </w:r>
      <w:r>
        <w:t xml:space="preserve"> </w:t>
      </w:r>
      <w:r>
        <w:rPr>
          <w:sz w:val="20"/>
        </w:rPr>
        <w:t xml:space="preserve">Предстоящата публикация „Поглед върху здравето в ОИСР/ЕС: Европа 2016“, показва, че въпреки че средната продължителност на живота в ЕС се е увеличила средно със 7 години от началото на 1990 г., в редица държави от ЕС не е налице увеличение на продължителността на живота в добро здраве. </w:t>
      </w:r>
    </w:p>
  </w:footnote>
  <w:footnote w:id="13">
    <w:p>
      <w:pPr>
        <w:pStyle w:val="Default"/>
      </w:pPr>
      <w:r>
        <w:rPr>
          <w:rStyle w:val="FootnoteReference"/>
          <w:sz w:val="20"/>
        </w:rPr>
        <w:footnoteRef/>
      </w:r>
      <w:r>
        <w:rPr>
          <w:sz w:val="20"/>
        </w:rPr>
        <w:t xml:space="preserve"> JOIN(2016) 49 final</w:t>
      </w:r>
    </w:p>
  </w:footnote>
  <w:footnote w:id="1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 (2016) 500</w:t>
      </w:r>
    </w:p>
  </w:footnote>
  <w:footnote w:id="1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Евростат </w:t>
      </w:r>
    </w:p>
  </w:footnote>
  <w:footnote w:id="1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Европейски структурни и инвестиционни фондове (ЕСИФ): трите фонда на политиката на сближаване (т.е. Европейският фонд за регионално развитие (ЕФРР), Кохезионният фонд (КФ) и Европейският социален фонд (ЕСФ)), Европейският земеделски фонд за развитие на селските райони (ЕЗФРСР) и Европейският фонд за морско дело и рибарство (ЕФМДР).</w:t>
      </w:r>
    </w:p>
  </w:footnote>
  <w:footnote w:id="17">
    <w:p>
      <w:pPr>
        <w:pStyle w:val="FootnoteText"/>
        <w:spacing w:after="0" w:line="240" w:lineRule="auto"/>
      </w:pPr>
      <w:r>
        <w:rPr>
          <w:rStyle w:val="FootnoteReference"/>
          <w:rFonts w:ascii="Times New Roman" w:hAnsi="Times New Roman"/>
        </w:rPr>
        <w:footnoteRef/>
      </w:r>
      <w:r>
        <w:rPr>
          <w:rFonts w:ascii="Times New Roman" w:hAnsi="Times New Roman"/>
        </w:rPr>
        <w:t xml:space="preserve">Arcadis, Индекс на устойчивите градове 2016 (2016 г.) </w:t>
      </w:r>
    </w:p>
    <w:p>
      <w:pPr>
        <w:pStyle w:val="FootnoteText"/>
        <w:spacing w:after="0" w:line="240" w:lineRule="auto"/>
        <w:rPr>
          <w:rFonts w:ascii="Times New Roman" w:hAnsi="Times New Roman"/>
        </w:rPr>
      </w:pPr>
    </w:p>
  </w:footnote>
  <w:footnote w:id="18">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COM(2015) 497 final</w:t>
      </w:r>
    </w:p>
  </w:footnote>
  <w:footnote w:id="19">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Евростат</w:t>
      </w:r>
    </w:p>
  </w:footnote>
  <w:footnote w:id="20">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Доклад от 2015 г. относно застаряването на населението: икономически и бюджетни прогнози за 28-те държави — членки на ЕС (2013—2060 г.).</w:t>
      </w:r>
    </w:p>
  </w:footnote>
  <w:footnote w:id="2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Обзор на образованието и обучението за 2016 г.</w:t>
      </w:r>
    </w:p>
  </w:footnote>
  <w:footnote w:id="2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COM(2014) 903 final</w:t>
      </w:r>
    </w:p>
  </w:footnote>
  <w:footnote w:id="2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COM(2016) 581 final</w:t>
      </w:r>
    </w:p>
  </w:footnote>
  <w:footnote w:id="2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Евростат и Международна агенция по енергетика </w:t>
      </w:r>
    </w:p>
  </w:footnote>
  <w:footnote w:id="25">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COM (2015) 337, COM (2016)482 и COM(2016)479</w:t>
      </w:r>
    </w:p>
  </w:footnote>
  <w:footnote w:id="26">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Евростат</w:t>
      </w:r>
    </w:p>
  </w:footnote>
  <w:footnote w:id="27">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http://ec.europa.eu/justice/gender-equality/gender-decision-making/database/business-finance/supervisory-board-board-directors/index_en.htm</w:t>
      </w:r>
    </w:p>
  </w:footnote>
  <w:footnote w:id="2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Евростат</w:t>
      </w:r>
    </w:p>
  </w:footnote>
  <w:footnote w:id="29">
    <w:p>
      <w:pPr>
        <w:autoSpaceDE w:val="0"/>
        <w:autoSpaceDN w:val="0"/>
        <w:adjustRightInd w:val="0"/>
        <w:spacing w:after="0"/>
        <w:jc w:val="left"/>
        <w:rPr>
          <w:rFonts w:ascii="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Агенция на ООН за бежанците (ВКБООН), „Глобални тенденции: насилствено разселване през 2015 г.“ (2015 г.) </w:t>
      </w:r>
    </w:p>
  </w:footnote>
  <w:footnote w:id="30">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 (2015) 240</w:t>
      </w:r>
    </w:p>
  </w:footnote>
  <w:footnote w:id="3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 (2016) 385</w:t>
      </w:r>
    </w:p>
  </w:footnote>
  <w:footnote w:id="3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Вж. член 21, параграф 2, буква г) от Договора за Европейския съюз.</w:t>
      </w:r>
    </w:p>
  </w:footnote>
  <w:footnote w:id="3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Глобална стратегия на Европейския съюз в областта на външната политика и политиката на сигурност „Обща визия, общи действия: По-силна Европа“, юни 2016 г.</w:t>
      </w:r>
    </w:p>
  </w:footnote>
  <w:footnote w:id="34">
    <w:p>
      <w:pPr>
        <w:pStyle w:val="FootnoteText"/>
        <w:spacing w:after="0" w:line="240" w:lineRule="auto"/>
      </w:pPr>
      <w:r>
        <w:rPr>
          <w:rStyle w:val="FootnoteReference"/>
        </w:rPr>
        <w:footnoteRef/>
      </w:r>
      <w:r>
        <w:t xml:space="preserve"> </w:t>
      </w:r>
      <w:r>
        <w:rPr>
          <w:rFonts w:ascii="Times New Roman" w:hAnsi="Times New Roman"/>
        </w:rPr>
        <w:t>Заключения на Съвета относно последващите действия във връзка с глобалната стратегия на ЕС в областта на външната политика и политиката на сигурност (точка 5), 17 октомври 2016 г.</w:t>
      </w:r>
    </w:p>
  </w:footnote>
  <w:footnote w:id="35">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JOIN(2016) 31 </w:t>
      </w:r>
      <w:r>
        <w:rPr>
          <w:rFonts w:ascii="Times New Roman" w:hAnsi="Times New Roman"/>
          <w:lang w:val="pt-PT"/>
        </w:rPr>
        <w:t>final</w:t>
      </w:r>
    </w:p>
  </w:footnote>
  <w:footnote w:id="36">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COM (2016) 740</w:t>
      </w:r>
    </w:p>
  </w:footnote>
  <w:footnote w:id="37">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COM(2016) 581 final</w:t>
      </w:r>
    </w:p>
  </w:footnote>
  <w:footnote w:id="38">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JOIN(2016) 52 </w:t>
      </w:r>
    </w:p>
  </w:footnote>
  <w:footnote w:id="39">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http://ec.europa.eu/budget/budget4results/initiative/index_en.cfm.</w:t>
      </w:r>
    </w:p>
  </w:footnote>
  <w:footnote w:id="40">
    <w:p>
      <w:pPr>
        <w:spacing w:after="0"/>
        <w:rPr>
          <w:rFonts w:ascii="Times New Roman" w:hAnsi="Times New Roman"/>
          <w:sz w:val="20"/>
          <w:szCs w:val="20"/>
          <w:highlight w:val="yellow"/>
        </w:rPr>
      </w:pPr>
      <w:r>
        <w:rPr>
          <w:rFonts w:ascii="Times New Roman" w:hAnsi="Times New Roman"/>
          <w:sz w:val="20"/>
          <w:szCs w:val="20"/>
          <w:vertAlign w:val="superscript"/>
        </w:rPr>
        <w:footnoteRef/>
      </w:r>
      <w:r>
        <w:rPr>
          <w:rFonts w:ascii="Times New Roman" w:hAnsi="Times New Roman"/>
          <w:sz w:val="20"/>
          <w:szCs w:val="20"/>
        </w:rPr>
        <w:t xml:space="preserve"> Евростат, „Устойчиво развитие в Европейския съюз — статистически поглед от гледна точка на целите на ООН за устойчиво развитие (2016 г.)  </w:t>
      </w:r>
    </w:p>
  </w:footnote>
  <w:footnote w:id="4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Евростат</w:t>
      </w:r>
    </w:p>
  </w:footnote>
  <w:footnote w:id="4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Приета през октомври 2016 г. в Кито по време на конференцията ООН „Хабитат III“, A/CONF.226/4 </w:t>
      </w:r>
    </w:p>
  </w:footnote>
  <w:footnote w:id="43">
    <w:p>
      <w:pPr>
        <w:pStyle w:val="FootnoteText"/>
      </w:pPr>
      <w:r>
        <w:rPr>
          <w:rStyle w:val="FootnoteReference"/>
        </w:rPr>
        <w:footnoteRef/>
      </w:r>
      <w:r>
        <w:t xml:space="preserve"> </w:t>
      </w:r>
      <w:r>
        <w:rPr>
          <w:rFonts w:ascii="Times New Roman" w:hAnsi="Times New Roman"/>
        </w:rPr>
        <w:t>Резолюция на ООН A/RES/70/1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331"/>
    <w:multiLevelType w:val="hybridMultilevel"/>
    <w:tmpl w:val="3B9E883E"/>
    <w:lvl w:ilvl="0" w:tplc="08090011">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21D041C"/>
    <w:multiLevelType w:val="hybridMultilevel"/>
    <w:tmpl w:val="E5208D4C"/>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pStyle w:val="NumPar3"/>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AEE64C0"/>
    <w:multiLevelType w:val="hybridMultilevel"/>
    <w:tmpl w:val="B1B2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076C74"/>
    <w:multiLevelType w:val="multilevel"/>
    <w:tmpl w:val="EC783D4E"/>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347E038C"/>
    <w:multiLevelType w:val="hybridMultilevel"/>
    <w:tmpl w:val="D3AE6278"/>
    <w:lvl w:ilvl="0" w:tplc="ED846C16">
      <w:start w:val="1"/>
      <w:numFmt w:val="bullet"/>
      <w:pStyle w:val="LTTBody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6">
    <w:nsid w:val="60E21136"/>
    <w:multiLevelType w:val="multilevel"/>
    <w:tmpl w:val="D236DE1E"/>
    <w:lvl w:ilvl="0">
      <w:start w:val="1"/>
      <w:numFmt w:val="decimal"/>
      <w:pStyle w:val="Heading1"/>
      <w:lvlText w:val="%1."/>
      <w:lvlJc w:val="left"/>
      <w:pPr>
        <w:ind w:left="432" w:hanging="432"/>
      </w:pPr>
    </w:lvl>
    <w:lvl w:ilvl="1">
      <w:start w:val="1"/>
      <w:numFmt w:val="decimal"/>
      <w:pStyle w:val="Heading2"/>
      <w:lvlText w:val="%1.%2"/>
      <w:lvlJc w:val="left"/>
      <w:pPr>
        <w:ind w:left="327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780D544E"/>
    <w:multiLevelType w:val="hybridMultilevel"/>
    <w:tmpl w:val="1BCC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4"/>
  </w:num>
  <w:num w:numId="6">
    <w:abstractNumId w:val="7"/>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docVars>
    <w:docVar w:name="COVERPAGE_EXISTS" w:val="True"/>
    <w:docVar w:name="DocStatus" w:val="Green"/>
    <w:docVar w:name="LW_CONFIDENCE" w:val=" "/>
    <w:docVar w:name="LW_CONST_RESTREINT_UE" w:val="RESTREINT UE"/>
    <w:docVar w:name="LW_CORRIGENDUM" w:val="&lt;UNUSED&gt;"/>
    <w:docVar w:name="LW_COVERPAGE_GUID" w:val="61446AC649CC4B91950406EE720F328A"/>
    <w:docVar w:name="LW_CROSSREFERENCE" w:val="{SWD(2016) 390 final}"/>
    <w:docVar w:name="LW_DocType" w:val="NORMAL"/>
    <w:docVar w:name="LW_EMISSION" w:val="22.11.2016"/>
    <w:docVar w:name="LW_EMISSION_ISODATE" w:val="2016-11-22"/>
    <w:docVar w:name="LW_EMISSION_LOCATION" w:val="STR"/>
    <w:docVar w:name="LW_EMISSION_PREFIX" w:val="Страсбург,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739"/>
    <w:docVar w:name="LW_REF.INTERNE" w:val="&lt;UNUSED&gt;"/>
    <w:docVar w:name="LW_SOUS.TITRE.OBJ" w:val="\u1045?\u1074?\u1088?\u1086?\u1087?\u1077?\u1081?\u1089?\u1082?\u1080? \u1076?\u1077?\u1081?\u1089?\u1090?\u1074?\u1080?\u1103? \u1079?\u1072? \u1091?\u1089?\u1090?\u1086?\u1081?\u1095?\u1080?\u1074?\u1086?\u1089?\u1090?_x000b_"/>
    <w:docVar w:name="LW_SOUS.TITRE.OBJ.CP" w:val="\u1045?\u1074?\u1088?\u1086?\u1087?\u1077?\u1081?\u1089?\u1082?\u1080? \u1076?\u1077?\u1081?\u1089?\u1090?\u1074?\u1080?\u1103? \u1079?\u1072? \u1091?\u1089?\u1090?\u1086?\u1081?\u1095?\u1080?\u1074?\u1086?\u1089?\u1090?_x000b_"/>
    <w:docVar w:name="LW_SUPERTITRE" w:val="&lt;UNUSED&gt;"/>
    <w:docVar w:name="LW_TITRE.OBJ.CP" w:val="\u1057?\u1083?\u1077?\u1076?\u1074?\u1072?\u1097?\u1080? \u1089?\u1090?\u1098?\u1087?\u1082?\u1080? \u1082?\u1098?\u1084? \u1091?\u1089?\u1090?\u1086?\u1081?\u1095?\u1080?\u1074?\u1086? \u1077?\u1074?\u1088?\u1086?\u1087?\u1077?\u1081?\u1089?\u1082?\u1086? \u1073?\u1098?\u1076?\u1077?\u1097?\u1077?"/>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Next/>
      <w:keepLines/>
      <w:numPr>
        <w:numId w:val="3"/>
      </w:numPr>
      <w:spacing w:before="480"/>
      <w:outlineLvl w:val="0"/>
    </w:pPr>
    <w:rPr>
      <w:rFonts w:asciiTheme="minorHAnsi" w:eastAsiaTheme="majorEastAsia" w:hAnsiTheme="minorHAnsi" w:cstheme="majorBidi"/>
      <w:b/>
      <w:bCs/>
      <w:color w:val="000000" w:themeColor="text1"/>
      <w:sz w:val="24"/>
      <w:szCs w:val="24"/>
    </w:rPr>
  </w:style>
  <w:style w:type="paragraph" w:styleId="Heading2">
    <w:name w:val="heading 2"/>
    <w:basedOn w:val="Normal"/>
    <w:next w:val="Normal"/>
    <w:link w:val="Heading2Char"/>
    <w:uiPriority w:val="9"/>
    <w:qFormat/>
    <w:pPr>
      <w:keepNext/>
      <w:keepLines/>
      <w:numPr>
        <w:ilvl w:val="1"/>
        <w:numId w:val="3"/>
      </w:numPr>
      <w:spacing w:line="276" w:lineRule="auto"/>
      <w:ind w:left="578" w:hanging="578"/>
      <w:outlineLvl w:val="1"/>
    </w:pPr>
    <w:rPr>
      <w:rFonts w:asciiTheme="minorHAnsi" w:eastAsia="Times New Roman" w:hAnsiTheme="minorHAnsi"/>
      <w:b/>
      <w:bCs/>
      <w:i/>
      <w:color w:val="000000" w:themeColor="text1"/>
      <w:u w:val="single"/>
    </w:rPr>
  </w:style>
  <w:style w:type="paragraph" w:styleId="Heading3">
    <w:name w:val="heading 3"/>
    <w:basedOn w:val="Normal"/>
    <w:next w:val="Normal"/>
    <w:link w:val="Heading3Char"/>
    <w:uiPriority w:val="9"/>
    <w:unhideWhenUsed/>
    <w:qFormat/>
    <w:pPr>
      <w:keepNext/>
      <w:keepLines/>
      <w:numPr>
        <w:ilvl w:val="2"/>
        <w:numId w:val="3"/>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
    <w:qFormat/>
    <w:pPr>
      <w:keepNext/>
      <w:numPr>
        <w:ilvl w:val="3"/>
        <w:numId w:val="3"/>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color w:val="000000" w:themeColor="text1"/>
      <w:sz w:val="24"/>
      <w:szCs w:val="24"/>
    </w:rPr>
  </w:style>
  <w:style w:type="character" w:customStyle="1" w:styleId="Heading2Char">
    <w:name w:val="Heading 2 Char"/>
    <w:basedOn w:val="DefaultParagraphFont"/>
    <w:link w:val="Heading2"/>
    <w:uiPriority w:val="9"/>
    <w:rPr>
      <w:rFonts w:eastAsia="Times New Roman" w:cs="Times New Roman"/>
      <w:b/>
      <w:bCs/>
      <w:i/>
      <w:color w:val="000000" w:themeColor="text1"/>
      <w:u w:val="single"/>
    </w:rPr>
  </w:style>
  <w:style w:type="character" w:customStyle="1" w:styleId="Heading3Char">
    <w:name w:val="Heading 3 Char"/>
    <w:basedOn w:val="DefaultParagraphFont"/>
    <w:link w:val="Heading3"/>
    <w:uiPriority w:val="9"/>
    <w:rPr>
      <w:rFonts w:eastAsiaTheme="majorEastAsia" w:cstheme="majorBidi"/>
      <w:bCs/>
      <w:i/>
      <w:u w:val="singl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ftref"/>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4"/>
      </w:numPr>
    </w:pPr>
    <w:rPr>
      <w:rFonts w:ascii="Times New Roman" w:eastAsia="Times New Roman" w:hAnsi="Times New Roman"/>
      <w:sz w:val="24"/>
      <w:szCs w:val="20"/>
    </w:rPr>
  </w:style>
  <w:style w:type="paragraph" w:customStyle="1" w:styleId="LTTBody1">
    <w:name w:val="LTT Body 1"/>
    <w:basedOn w:val="Normal"/>
    <w:qFormat/>
    <w:pPr>
      <w:numPr>
        <w:numId w:val="5"/>
      </w:numPr>
      <w:spacing w:after="0"/>
      <w:jc w:val="left"/>
    </w:pPr>
    <w:rPr>
      <w:rFonts w:eastAsia="Times New Roman" w:cs="Calibri"/>
      <w:sz w:val="28"/>
      <w:szCs w:val="28"/>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A2">
    <w:name w:val="A2"/>
    <w:uiPriority w:val="99"/>
    <w:rPr>
      <w:rFonts w:cs="Avenir LT Std 35 Light"/>
      <w:color w:val="000000"/>
      <w:sz w:val="20"/>
      <w:szCs w:val="20"/>
    </w:rPr>
  </w:style>
  <w:style w:type="paragraph" w:styleId="PlainText">
    <w:name w:val="Plain Text"/>
    <w:basedOn w:val="Normal"/>
    <w:link w:val="PlainTextChar"/>
    <w:uiPriority w:val="99"/>
    <w:unhideWhenUsed/>
    <w:pPr>
      <w:spacing w:after="0"/>
      <w:jc w:val="left"/>
    </w:pPr>
    <w:rPr>
      <w:rFonts w:ascii="Times New Roman" w:eastAsia="Times New Roman" w:hAnsi="Times New Roman"/>
      <w:sz w:val="24"/>
      <w:szCs w:val="21"/>
    </w:rPr>
  </w:style>
  <w:style w:type="character" w:customStyle="1" w:styleId="PlainTextChar">
    <w:name w:val="Plain Text Char"/>
    <w:basedOn w:val="DefaultParagraphFont"/>
    <w:link w:val="PlainText"/>
    <w:uiPriority w:val="99"/>
    <w:rPr>
      <w:rFonts w:ascii="Times New Roman" w:eastAsia="Times New Roman" w:hAnsi="Times New Roman" w:cs="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Next/>
      <w:keepLines/>
      <w:numPr>
        <w:numId w:val="3"/>
      </w:numPr>
      <w:spacing w:before="480"/>
      <w:outlineLvl w:val="0"/>
    </w:pPr>
    <w:rPr>
      <w:rFonts w:asciiTheme="minorHAnsi" w:eastAsiaTheme="majorEastAsia" w:hAnsiTheme="minorHAnsi" w:cstheme="majorBidi"/>
      <w:b/>
      <w:bCs/>
      <w:color w:val="000000" w:themeColor="text1"/>
      <w:sz w:val="24"/>
      <w:szCs w:val="24"/>
    </w:rPr>
  </w:style>
  <w:style w:type="paragraph" w:styleId="Heading2">
    <w:name w:val="heading 2"/>
    <w:basedOn w:val="Normal"/>
    <w:next w:val="Normal"/>
    <w:link w:val="Heading2Char"/>
    <w:uiPriority w:val="9"/>
    <w:qFormat/>
    <w:pPr>
      <w:keepNext/>
      <w:keepLines/>
      <w:numPr>
        <w:ilvl w:val="1"/>
        <w:numId w:val="3"/>
      </w:numPr>
      <w:spacing w:line="276" w:lineRule="auto"/>
      <w:ind w:left="578" w:hanging="578"/>
      <w:outlineLvl w:val="1"/>
    </w:pPr>
    <w:rPr>
      <w:rFonts w:asciiTheme="minorHAnsi" w:eastAsia="Times New Roman" w:hAnsiTheme="minorHAnsi"/>
      <w:b/>
      <w:bCs/>
      <w:i/>
      <w:color w:val="000000" w:themeColor="text1"/>
      <w:u w:val="single"/>
    </w:rPr>
  </w:style>
  <w:style w:type="paragraph" w:styleId="Heading3">
    <w:name w:val="heading 3"/>
    <w:basedOn w:val="Normal"/>
    <w:next w:val="Normal"/>
    <w:link w:val="Heading3Char"/>
    <w:uiPriority w:val="9"/>
    <w:unhideWhenUsed/>
    <w:qFormat/>
    <w:pPr>
      <w:keepNext/>
      <w:keepLines/>
      <w:numPr>
        <w:ilvl w:val="2"/>
        <w:numId w:val="3"/>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
    <w:qFormat/>
    <w:pPr>
      <w:keepNext/>
      <w:numPr>
        <w:ilvl w:val="3"/>
        <w:numId w:val="3"/>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color w:val="000000" w:themeColor="text1"/>
      <w:sz w:val="24"/>
      <w:szCs w:val="24"/>
    </w:rPr>
  </w:style>
  <w:style w:type="character" w:customStyle="1" w:styleId="Heading2Char">
    <w:name w:val="Heading 2 Char"/>
    <w:basedOn w:val="DefaultParagraphFont"/>
    <w:link w:val="Heading2"/>
    <w:uiPriority w:val="9"/>
    <w:rPr>
      <w:rFonts w:eastAsia="Times New Roman" w:cs="Times New Roman"/>
      <w:b/>
      <w:bCs/>
      <w:i/>
      <w:color w:val="000000" w:themeColor="text1"/>
      <w:u w:val="single"/>
    </w:rPr>
  </w:style>
  <w:style w:type="character" w:customStyle="1" w:styleId="Heading3Char">
    <w:name w:val="Heading 3 Char"/>
    <w:basedOn w:val="DefaultParagraphFont"/>
    <w:link w:val="Heading3"/>
    <w:uiPriority w:val="9"/>
    <w:rPr>
      <w:rFonts w:eastAsiaTheme="majorEastAsia" w:cstheme="majorBidi"/>
      <w:bCs/>
      <w:i/>
      <w:u w:val="singl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lang w:eastAsia="en-GB"/>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rPr>
      <w:lang w:val="en-US" w:eastAsia="ja-JP"/>
    </w:r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ftref"/>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lang w:eastAsia="en-GB"/>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lang w:eastAsia="en-GB"/>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4"/>
      </w:numPr>
    </w:pPr>
    <w:rPr>
      <w:rFonts w:ascii="Times New Roman" w:eastAsia="Times New Roman" w:hAnsi="Times New Roman"/>
      <w:sz w:val="24"/>
      <w:szCs w:val="20"/>
    </w:rPr>
  </w:style>
  <w:style w:type="paragraph" w:customStyle="1" w:styleId="LTTBody1">
    <w:name w:val="LTT Body 1"/>
    <w:basedOn w:val="Normal"/>
    <w:qFormat/>
    <w:pPr>
      <w:numPr>
        <w:numId w:val="5"/>
      </w:numPr>
      <w:spacing w:after="0"/>
      <w:jc w:val="left"/>
    </w:pPr>
    <w:rPr>
      <w:rFonts w:eastAsia="Times New Roman" w:cs="Calibri"/>
      <w:sz w:val="28"/>
      <w:szCs w:val="28"/>
      <w:lang w:eastAsia="en-GB"/>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A2">
    <w:name w:val="A2"/>
    <w:uiPriority w:val="99"/>
    <w:rPr>
      <w:rFonts w:cs="Avenir LT Std 35 Light"/>
      <w:color w:val="000000"/>
      <w:sz w:val="20"/>
      <w:szCs w:val="20"/>
    </w:rPr>
  </w:style>
  <w:style w:type="paragraph" w:styleId="PlainText">
    <w:name w:val="Plain Text"/>
    <w:basedOn w:val="Normal"/>
    <w:link w:val="PlainTextChar"/>
    <w:uiPriority w:val="99"/>
    <w:unhideWhenUsed/>
    <w:pPr>
      <w:spacing w:after="0"/>
      <w:jc w:val="left"/>
    </w:pPr>
    <w:rPr>
      <w:rFonts w:ascii="Times New Roman" w:eastAsia="Times New Roman" w:hAnsi="Times New Roman"/>
      <w:sz w:val="24"/>
      <w:szCs w:val="21"/>
    </w:rPr>
  </w:style>
  <w:style w:type="character" w:customStyle="1" w:styleId="PlainTextChar">
    <w:name w:val="Plain Text Char"/>
    <w:basedOn w:val="DefaultParagraphFont"/>
    <w:link w:val="PlainText"/>
    <w:uiPriority w:val="99"/>
    <w:rPr>
      <w:rFonts w:ascii="Times New Roman" w:eastAsia="Times New Roman" w:hAnsi="Times New Roman"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1198">
      <w:bodyDiv w:val="1"/>
      <w:marLeft w:val="0"/>
      <w:marRight w:val="0"/>
      <w:marTop w:val="0"/>
      <w:marBottom w:val="0"/>
      <w:divBdr>
        <w:top w:val="none" w:sz="0" w:space="0" w:color="auto"/>
        <w:left w:val="none" w:sz="0" w:space="0" w:color="auto"/>
        <w:bottom w:val="none" w:sz="0" w:space="0" w:color="auto"/>
        <w:right w:val="none" w:sz="0" w:space="0" w:color="auto"/>
      </w:divBdr>
    </w:div>
    <w:div w:id="166553449">
      <w:bodyDiv w:val="1"/>
      <w:marLeft w:val="0"/>
      <w:marRight w:val="0"/>
      <w:marTop w:val="0"/>
      <w:marBottom w:val="0"/>
      <w:divBdr>
        <w:top w:val="none" w:sz="0" w:space="0" w:color="auto"/>
        <w:left w:val="none" w:sz="0" w:space="0" w:color="auto"/>
        <w:bottom w:val="none" w:sz="0" w:space="0" w:color="auto"/>
        <w:right w:val="none" w:sz="0" w:space="0" w:color="auto"/>
      </w:divBdr>
    </w:div>
    <w:div w:id="228806948">
      <w:bodyDiv w:val="1"/>
      <w:marLeft w:val="0"/>
      <w:marRight w:val="0"/>
      <w:marTop w:val="0"/>
      <w:marBottom w:val="0"/>
      <w:divBdr>
        <w:top w:val="none" w:sz="0" w:space="0" w:color="auto"/>
        <w:left w:val="none" w:sz="0" w:space="0" w:color="auto"/>
        <w:bottom w:val="none" w:sz="0" w:space="0" w:color="auto"/>
        <w:right w:val="none" w:sz="0" w:space="0" w:color="auto"/>
      </w:divBdr>
    </w:div>
    <w:div w:id="254826213">
      <w:bodyDiv w:val="1"/>
      <w:marLeft w:val="0"/>
      <w:marRight w:val="0"/>
      <w:marTop w:val="0"/>
      <w:marBottom w:val="0"/>
      <w:divBdr>
        <w:top w:val="none" w:sz="0" w:space="0" w:color="auto"/>
        <w:left w:val="none" w:sz="0" w:space="0" w:color="auto"/>
        <w:bottom w:val="none" w:sz="0" w:space="0" w:color="auto"/>
        <w:right w:val="none" w:sz="0" w:space="0" w:color="auto"/>
      </w:divBdr>
    </w:div>
    <w:div w:id="551189697">
      <w:bodyDiv w:val="1"/>
      <w:marLeft w:val="0"/>
      <w:marRight w:val="0"/>
      <w:marTop w:val="0"/>
      <w:marBottom w:val="0"/>
      <w:divBdr>
        <w:top w:val="none" w:sz="0" w:space="0" w:color="auto"/>
        <w:left w:val="none" w:sz="0" w:space="0" w:color="auto"/>
        <w:bottom w:val="none" w:sz="0" w:space="0" w:color="auto"/>
        <w:right w:val="none" w:sz="0" w:space="0" w:color="auto"/>
      </w:divBdr>
    </w:div>
    <w:div w:id="652683024">
      <w:bodyDiv w:val="1"/>
      <w:marLeft w:val="0"/>
      <w:marRight w:val="0"/>
      <w:marTop w:val="0"/>
      <w:marBottom w:val="0"/>
      <w:divBdr>
        <w:top w:val="none" w:sz="0" w:space="0" w:color="auto"/>
        <w:left w:val="none" w:sz="0" w:space="0" w:color="auto"/>
        <w:bottom w:val="none" w:sz="0" w:space="0" w:color="auto"/>
        <w:right w:val="none" w:sz="0" w:space="0" w:color="auto"/>
      </w:divBdr>
    </w:div>
    <w:div w:id="776221915">
      <w:bodyDiv w:val="1"/>
      <w:marLeft w:val="0"/>
      <w:marRight w:val="0"/>
      <w:marTop w:val="0"/>
      <w:marBottom w:val="0"/>
      <w:divBdr>
        <w:top w:val="none" w:sz="0" w:space="0" w:color="auto"/>
        <w:left w:val="none" w:sz="0" w:space="0" w:color="auto"/>
        <w:bottom w:val="none" w:sz="0" w:space="0" w:color="auto"/>
        <w:right w:val="none" w:sz="0" w:space="0" w:color="auto"/>
      </w:divBdr>
    </w:div>
    <w:div w:id="843587842">
      <w:bodyDiv w:val="1"/>
      <w:marLeft w:val="0"/>
      <w:marRight w:val="0"/>
      <w:marTop w:val="0"/>
      <w:marBottom w:val="0"/>
      <w:divBdr>
        <w:top w:val="none" w:sz="0" w:space="0" w:color="auto"/>
        <w:left w:val="none" w:sz="0" w:space="0" w:color="auto"/>
        <w:bottom w:val="none" w:sz="0" w:space="0" w:color="auto"/>
        <w:right w:val="none" w:sz="0" w:space="0" w:color="auto"/>
      </w:divBdr>
    </w:div>
    <w:div w:id="979267308">
      <w:bodyDiv w:val="1"/>
      <w:marLeft w:val="0"/>
      <w:marRight w:val="0"/>
      <w:marTop w:val="0"/>
      <w:marBottom w:val="0"/>
      <w:divBdr>
        <w:top w:val="none" w:sz="0" w:space="0" w:color="auto"/>
        <w:left w:val="none" w:sz="0" w:space="0" w:color="auto"/>
        <w:bottom w:val="none" w:sz="0" w:space="0" w:color="auto"/>
        <w:right w:val="none" w:sz="0" w:space="0" w:color="auto"/>
      </w:divBdr>
    </w:div>
    <w:div w:id="1020086971">
      <w:bodyDiv w:val="1"/>
      <w:marLeft w:val="0"/>
      <w:marRight w:val="0"/>
      <w:marTop w:val="0"/>
      <w:marBottom w:val="0"/>
      <w:divBdr>
        <w:top w:val="none" w:sz="0" w:space="0" w:color="auto"/>
        <w:left w:val="none" w:sz="0" w:space="0" w:color="auto"/>
        <w:bottom w:val="none" w:sz="0" w:space="0" w:color="auto"/>
        <w:right w:val="none" w:sz="0" w:space="0" w:color="auto"/>
      </w:divBdr>
    </w:div>
    <w:div w:id="1042828343">
      <w:bodyDiv w:val="1"/>
      <w:marLeft w:val="0"/>
      <w:marRight w:val="0"/>
      <w:marTop w:val="0"/>
      <w:marBottom w:val="0"/>
      <w:divBdr>
        <w:top w:val="none" w:sz="0" w:space="0" w:color="auto"/>
        <w:left w:val="none" w:sz="0" w:space="0" w:color="auto"/>
        <w:bottom w:val="none" w:sz="0" w:space="0" w:color="auto"/>
        <w:right w:val="none" w:sz="0" w:space="0" w:color="auto"/>
      </w:divBdr>
    </w:div>
    <w:div w:id="1263496322">
      <w:bodyDiv w:val="1"/>
      <w:marLeft w:val="0"/>
      <w:marRight w:val="0"/>
      <w:marTop w:val="0"/>
      <w:marBottom w:val="0"/>
      <w:divBdr>
        <w:top w:val="none" w:sz="0" w:space="0" w:color="auto"/>
        <w:left w:val="none" w:sz="0" w:space="0" w:color="auto"/>
        <w:bottom w:val="none" w:sz="0" w:space="0" w:color="auto"/>
        <w:right w:val="none" w:sz="0" w:space="0" w:color="auto"/>
      </w:divBdr>
    </w:div>
    <w:div w:id="1280842650">
      <w:bodyDiv w:val="1"/>
      <w:marLeft w:val="0"/>
      <w:marRight w:val="0"/>
      <w:marTop w:val="0"/>
      <w:marBottom w:val="0"/>
      <w:divBdr>
        <w:top w:val="none" w:sz="0" w:space="0" w:color="auto"/>
        <w:left w:val="none" w:sz="0" w:space="0" w:color="auto"/>
        <w:bottom w:val="none" w:sz="0" w:space="0" w:color="auto"/>
        <w:right w:val="none" w:sz="0" w:space="0" w:color="auto"/>
      </w:divBdr>
    </w:div>
    <w:div w:id="1777939313">
      <w:bodyDiv w:val="1"/>
      <w:marLeft w:val="0"/>
      <w:marRight w:val="0"/>
      <w:marTop w:val="0"/>
      <w:marBottom w:val="0"/>
      <w:divBdr>
        <w:top w:val="none" w:sz="0" w:space="0" w:color="auto"/>
        <w:left w:val="none" w:sz="0" w:space="0" w:color="auto"/>
        <w:bottom w:val="none" w:sz="0" w:space="0" w:color="auto"/>
        <w:right w:val="none" w:sz="0" w:space="0" w:color="auto"/>
      </w:divBdr>
    </w:div>
    <w:div w:id="1836991758">
      <w:bodyDiv w:val="1"/>
      <w:marLeft w:val="0"/>
      <w:marRight w:val="0"/>
      <w:marTop w:val="0"/>
      <w:marBottom w:val="0"/>
      <w:divBdr>
        <w:top w:val="none" w:sz="0" w:space="0" w:color="auto"/>
        <w:left w:val="none" w:sz="0" w:space="0" w:color="auto"/>
        <w:bottom w:val="none" w:sz="0" w:space="0" w:color="auto"/>
        <w:right w:val="none" w:sz="0" w:space="0" w:color="auto"/>
      </w:divBdr>
    </w:div>
    <w:div w:id="21144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f1740c95-8c94-4e2b-bb68-099fa8775224">Not Started</EC_Collab_Status>
    <_Status xmlns="http://schemas.microsoft.com/sharepoint/v3/fields">Not Started</_Status>
    <EC_Collab_DocumentLanguage xmlns="f1740c95-8c94-4e2b-bb68-099fa8775224">EN</EC_Collab_DocumentLanguage>
    <EC_Collab_Reference xmlns="f1740c95-8c94-4e2b-bb68-099fa87752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9C034196E3757489169EA8E8E1B4C16" ma:contentTypeVersion="1" ma:contentTypeDescription="Create a new document in this library." ma:contentTypeScope="" ma:versionID="41f77637dc75e9e8daa68e8a68c8ef29">
  <xsd:schema xmlns:xsd="http://www.w3.org/2001/XMLSchema" xmlns:xs="http://www.w3.org/2001/XMLSchema" xmlns:p="http://schemas.microsoft.com/office/2006/metadata/properties" xmlns:ns2="http://schemas.microsoft.com/sharepoint/v3/fields" xmlns:ns3="f1740c95-8c94-4e2b-bb68-099fa8775224" targetNamespace="http://schemas.microsoft.com/office/2006/metadata/properties" ma:root="true" ma:fieldsID="4b4b8e8384a75a07647160a9430288d6" ns2:_="" ns3:_="">
    <xsd:import namespace="http://schemas.microsoft.com/sharepoint/v3/fields"/>
    <xsd:import namespace="f1740c95-8c94-4e2b-bb68-099fa877522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1740c95-8c94-4e2b-bb68-099fa877522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256D0-17CB-4F74-8614-11CD9535A019}">
  <ds:schemaRefs>
    <ds:schemaRef ds:uri="http://schemas.microsoft.com/office/2006/metadata/properties"/>
    <ds:schemaRef ds:uri="http://schemas.microsoft.com/office/infopath/2007/PartnerControls"/>
    <ds:schemaRef ds:uri="f1740c95-8c94-4e2b-bb68-099fa8775224"/>
    <ds:schemaRef ds:uri="http://schemas.microsoft.com/sharepoint/v3/fields"/>
  </ds:schemaRefs>
</ds:datastoreItem>
</file>

<file path=customXml/itemProps2.xml><?xml version="1.0" encoding="utf-8"?>
<ds:datastoreItem xmlns:ds="http://schemas.openxmlformats.org/officeDocument/2006/customXml" ds:itemID="{C3A4D420-5A16-4A2C-B6E2-33F1F314CE63}">
  <ds:schemaRefs>
    <ds:schemaRef ds:uri="http://schemas.microsoft.com/sharepoint/v3/contenttype/forms"/>
  </ds:schemaRefs>
</ds:datastoreItem>
</file>

<file path=customXml/itemProps3.xml><?xml version="1.0" encoding="utf-8"?>
<ds:datastoreItem xmlns:ds="http://schemas.openxmlformats.org/officeDocument/2006/customXml" ds:itemID="{B4595D58-7E80-41AF-96EB-4A3BF1BDE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1740c95-8c94-4e2b-bb68-099fa8775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43EAA-1B5C-40D8-A6EE-DC68E008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23</Pages>
  <Words>9243</Words>
  <Characters>53890</Characters>
  <Application>Microsoft Office Word</Application>
  <DocSecurity>0</DocSecurity>
  <Lines>913</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34</cp:revision>
  <cp:lastPrinted>2016-11-20T08:40:00Z</cp:lastPrinted>
  <dcterms:created xsi:type="dcterms:W3CDTF">2016-11-21T15:58:00Z</dcterms:created>
  <dcterms:modified xsi:type="dcterms:W3CDTF">2016-12-13T13:39:00Z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ContentTypeId">
    <vt:lpwstr>0x010100258AA79CEB83498886A3A086811232500059C034196E3757489169EA8E8E1B4C16</vt:lpwstr>
  </property>
</Properties>
</file>