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EC63D9C16424B11B0CEC4F6E0836D18" style="width:450.75pt;height:434.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Cs/>
          <w:noProof/>
          <w:sz w:val="24"/>
          <w:szCs w:val="24"/>
        </w:rPr>
      </w:pPr>
      <w:bookmarkStart w:id="1" w:name="_GoBack"/>
      <w:bookmarkEnd w:id="1"/>
      <w:r>
        <w:rPr>
          <w:rFonts w:ascii="Times New Roman" w:hAnsi="Times New Roman"/>
          <w:b/>
          <w:noProof/>
          <w:sz w:val="24"/>
        </w:rPr>
        <w:t>Modèle d'accord sur le statut entre l’Union européenne et le [</w:t>
      </w:r>
      <w:r>
        <w:rPr>
          <w:rFonts w:ascii="Times New Roman" w:hAnsi="Times New Roman"/>
          <w:b/>
          <w:i/>
          <w:noProof/>
          <w:sz w:val="24"/>
        </w:rPr>
        <w:t>pays tiers</w:t>
      </w:r>
      <w:r>
        <w:rPr>
          <w:rFonts w:ascii="Times New Roman" w:hAnsi="Times New Roman"/>
          <w:b/>
          <w:noProof/>
          <w:sz w:val="24"/>
        </w:rPr>
        <w:t>] en ce qui concerne les actions menées par le corps européen de garde-frontières et de garde-côtes sur le territoire de [</w:t>
      </w:r>
      <w:r>
        <w:rPr>
          <w:rFonts w:ascii="Times New Roman" w:hAnsi="Times New Roman"/>
          <w:b/>
          <w:i/>
          <w:noProof/>
          <w:sz w:val="24"/>
        </w:rPr>
        <w:t>pays tiers</w:t>
      </w:r>
      <w:r>
        <w:rPr>
          <w:rFonts w:ascii="Times New Roman" w:hAnsi="Times New Roman"/>
          <w:b/>
          <w:noProof/>
          <w:sz w:val="24"/>
        </w:rPr>
        <w:t>]</w:t>
      </w:r>
    </w:p>
    <w:p>
      <w:pPr>
        <w:spacing w:before="240" w:after="120" w:line="240" w:lineRule="auto"/>
        <w:jc w:val="both"/>
        <w:rPr>
          <w:rFonts w:ascii="Times New Roman" w:eastAsia="Times New Roman" w:hAnsi="Times New Roman" w:cs="Times New Roman"/>
          <w:bCs/>
          <w:noProof/>
          <w:sz w:val="27"/>
          <w:szCs w:val="27"/>
        </w:rPr>
      </w:pPr>
    </w:p>
    <w:p>
      <w:pPr>
        <w:spacing w:before="240" w:after="120" w:line="240" w:lineRule="auto"/>
        <w:jc w:val="both"/>
        <w:rPr>
          <w:rFonts w:ascii="Times New Roman" w:eastAsia="Times New Roman" w:hAnsi="Times New Roman" w:cs="Times New Roman"/>
          <w:bCs/>
          <w:smallCaps/>
          <w:noProof/>
          <w:sz w:val="28"/>
          <w:szCs w:val="28"/>
        </w:rPr>
      </w:pPr>
    </w:p>
    <w:p>
      <w:pPr>
        <w:spacing w:before="240" w:after="120" w:line="240" w:lineRule="auto"/>
        <w:jc w:val="both"/>
        <w:rPr>
          <w:rFonts w:ascii="Times New Roman" w:eastAsia="Times New Roman" w:hAnsi="Times New Roman" w:cs="Times New Roman"/>
          <w:bCs/>
          <w:smallCaps/>
          <w:noProof/>
          <w:sz w:val="28"/>
          <w:szCs w:val="28"/>
        </w:rPr>
      </w:pPr>
      <w:r>
        <w:rPr>
          <w:rFonts w:ascii="Times New Roman" w:hAnsi="Times New Roman"/>
          <w:smallCaps/>
          <w:noProof/>
          <w:sz w:val="28"/>
        </w:rPr>
        <w:t xml:space="preserve">L'Union européenne </w:t>
      </w:r>
    </w:p>
    <w:p>
      <w:pPr>
        <w:spacing w:before="240" w:after="120" w:line="240" w:lineRule="auto"/>
        <w:jc w:val="both"/>
        <w:rPr>
          <w:rFonts w:ascii="Times New Roman" w:eastAsia="Times New Roman" w:hAnsi="Times New Roman" w:cs="Times New Roman"/>
          <w:smallCaps/>
          <w:noProof/>
          <w:sz w:val="28"/>
          <w:szCs w:val="28"/>
        </w:rPr>
      </w:pPr>
      <w:r>
        <w:rPr>
          <w:rFonts w:ascii="Times New Roman" w:hAnsi="Times New Roman"/>
          <w:noProof/>
          <w:sz w:val="24"/>
        </w:rPr>
        <w:t xml:space="preserve">Et </w:t>
      </w:r>
      <w:r>
        <w:rPr>
          <w:rFonts w:ascii="Times New Roman" w:hAnsi="Times New Roman"/>
          <w:smallCaps/>
          <w:noProof/>
          <w:sz w:val="28"/>
        </w:rPr>
        <w:t>le [</w:t>
      </w:r>
      <w:r>
        <w:rPr>
          <w:rFonts w:ascii="Times New Roman" w:hAnsi="Times New Roman"/>
          <w:i/>
          <w:smallCaps/>
          <w:noProof/>
          <w:sz w:val="28"/>
        </w:rPr>
        <w:t>pays tiers</w:t>
      </w:r>
      <w:r>
        <w:rPr>
          <w:rFonts w:ascii="Times New Roman" w:hAnsi="Times New Roman"/>
          <w:smallCaps/>
          <w:noProof/>
          <w:sz w:val="28"/>
        </w:rPr>
        <w:t>],</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ci-après dénommées les «parties»,</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CONSIDÉRANT que des situations peuvent se présenter dans lesquelles l’agence européenne de garde-frontières et de garde-côtes coordonne la coopération opérationnelle entre les États membres de l’Union européenne et le [</w:t>
      </w:r>
      <w:r>
        <w:rPr>
          <w:rFonts w:ascii="Times New Roman" w:hAnsi="Times New Roman"/>
          <w:i/>
          <w:noProof/>
          <w:sz w:val="24"/>
        </w:rPr>
        <w:t>pays tiers</w:t>
      </w:r>
      <w:r>
        <w:rPr>
          <w:rFonts w:ascii="Times New Roman" w:hAnsi="Times New Roman"/>
          <w:noProof/>
          <w:sz w:val="24"/>
        </w:rPr>
        <w:t>], y compris sur le territoire de [</w:t>
      </w:r>
      <w:r>
        <w:rPr>
          <w:rFonts w:ascii="Times New Roman" w:hAnsi="Times New Roman"/>
          <w:i/>
          <w:noProof/>
          <w:sz w:val="24"/>
        </w:rPr>
        <w:t>pays tiers</w:t>
      </w:r>
      <w:r>
        <w:rPr>
          <w:rFonts w:ascii="Times New Roman" w:hAnsi="Times New Roman"/>
          <w:noProof/>
          <w:sz w:val="24"/>
        </w:rPr>
        <w:t>],</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CONSIDÉRANT qu’il convient de créer un cadre juridique sous la forme d’un accord sur le statut pour régir les situations dans lesquelles les membres de l’équipe de l’agence européenne de garde-frontières et de garde-côtes seront dotés de pouvoirs exécutifs sur le territoire de [</w:t>
      </w:r>
      <w:r>
        <w:rPr>
          <w:rFonts w:ascii="Times New Roman" w:hAnsi="Times New Roman"/>
          <w:i/>
          <w:noProof/>
          <w:sz w:val="24"/>
        </w:rPr>
        <w:t>pays tiers</w:t>
      </w:r>
      <w:r>
        <w:rPr>
          <w:rFonts w:ascii="Times New Roman" w:hAnsi="Times New Roman"/>
          <w:noProof/>
          <w:sz w:val="24"/>
        </w:rPr>
        <w:t>],</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CONSIDÉRANT que toutes les actions menées par l’agence européenne de garde-frontières et de garde-côtes sur le territoire de [</w:t>
      </w:r>
      <w:r>
        <w:rPr>
          <w:rFonts w:ascii="Times New Roman" w:hAnsi="Times New Roman"/>
          <w:i/>
          <w:noProof/>
          <w:sz w:val="24"/>
        </w:rPr>
        <w:t>pays tiers</w:t>
      </w:r>
      <w:r>
        <w:rPr>
          <w:rFonts w:ascii="Times New Roman" w:hAnsi="Times New Roman"/>
          <w:noProof/>
          <w:sz w:val="24"/>
        </w:rPr>
        <w:t>] doivent pleinement respecter les droits fondamentaux</w:t>
      </w:r>
    </w:p>
    <w:p>
      <w:pPr>
        <w:spacing w:before="240" w:after="120" w:line="240" w:lineRule="auto"/>
        <w:jc w:val="both"/>
        <w:rPr>
          <w:rFonts w:ascii="Times New Roman" w:eastAsia="Times New Roman" w:hAnsi="Times New Roman" w:cs="Times New Roman"/>
          <w:noProof/>
          <w:sz w:val="24"/>
          <w:szCs w:val="24"/>
        </w:rPr>
      </w:pPr>
    </w:p>
    <w:p>
      <w:pPr>
        <w:spacing w:before="240" w:after="120" w:line="240" w:lineRule="auto"/>
        <w:jc w:val="both"/>
        <w:rPr>
          <w:rFonts w:ascii="Times New Roman" w:eastAsia="Times New Roman" w:hAnsi="Times New Roman" w:cs="Times New Roman"/>
          <w:caps/>
          <w:noProof/>
          <w:sz w:val="24"/>
          <w:szCs w:val="24"/>
        </w:rPr>
      </w:pPr>
      <w:r>
        <w:rPr>
          <w:rFonts w:ascii="Times New Roman" w:hAnsi="Times New Roman"/>
          <w:caps/>
          <w:noProof/>
          <w:sz w:val="24"/>
        </w:rPr>
        <w:t>ont décidé de conclure l'accord suivant:</w:t>
      </w:r>
    </w:p>
    <w:p>
      <w:pPr>
        <w:spacing w:before="240" w:after="120" w:line="240" w:lineRule="auto"/>
        <w:jc w:val="both"/>
        <w:rPr>
          <w:rFonts w:ascii="Times New Roman" w:eastAsia="Times New Roman" w:hAnsi="Times New Roman" w:cs="Times New Roman"/>
          <w: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Article premier</w:t>
      </w:r>
    </w:p>
    <w:p>
      <w:pPr>
        <w:spacing w:after="240" w:line="240" w:lineRule="auto"/>
        <w:jc w:val="center"/>
        <w:rPr>
          <w:rFonts w:ascii="Times New Roman" w:eastAsia="Times New Roman" w:hAnsi="Times New Roman" w:cs="Times New Roman"/>
          <w:b/>
          <w:bCs/>
          <w:noProof/>
          <w:sz w:val="24"/>
          <w:szCs w:val="24"/>
        </w:rPr>
      </w:pPr>
      <w:r>
        <w:rPr>
          <w:rFonts w:ascii="Times New Roman Bold" w:hAnsi="Times New Roman Bold"/>
          <w:b/>
          <w:smallCaps/>
          <w:noProof/>
          <w:sz w:val="24"/>
        </w:rPr>
        <w:t>Champ d'application de l'accord</w:t>
      </w:r>
    </w:p>
    <w:p>
      <w:pPr>
        <w:spacing w:before="240" w:after="24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Le présent accord couvre tous les aspects nécessaires à l'exécution des actions menées par l’agence européenne de garde-frontières et de garde-côtes sur le territoire de [</w:t>
      </w:r>
      <w:r>
        <w:rPr>
          <w:rFonts w:ascii="Times New Roman" w:hAnsi="Times New Roman"/>
          <w:i/>
          <w:noProof/>
          <w:sz w:val="24"/>
        </w:rPr>
        <w:t>pays tiers</w:t>
      </w:r>
      <w:r>
        <w:rPr>
          <w:rFonts w:ascii="Times New Roman" w:hAnsi="Times New Roman"/>
          <w:noProof/>
          <w:sz w:val="24"/>
        </w:rPr>
        <w:t>] dans le cadre desquelles ses membres sont dotés de pouvoirs exécutifs.</w:t>
      </w:r>
    </w:p>
    <w:p>
      <w:pPr>
        <w:spacing w:before="240" w:after="36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Le présent accord ne s’applique qu’à [</w:t>
      </w:r>
      <w:r>
        <w:rPr>
          <w:rFonts w:ascii="Times New Roman" w:hAnsi="Times New Roman"/>
          <w:i/>
          <w:noProof/>
          <w:sz w:val="24"/>
        </w:rPr>
        <w:t>territoire du pays tiers ou parties de celui-ci</w:t>
      </w:r>
      <w:r>
        <w:rPr>
          <w:rFonts w:ascii="Times New Roman" w:hAnsi="Times New Roman"/>
          <w:noProof/>
          <w:sz w:val="24"/>
        </w:rPr>
        <w:t>].</w:t>
      </w: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Article 2</w:t>
      </w:r>
    </w:p>
    <w:p>
      <w:pPr>
        <w:spacing w:after="24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Définitions</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Aux fins du présent accord, on entend par:</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(1) «action», une opération conjointe, une intervention rapide aux frontières ou une opération de retour;</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(2) «opération conjointe», une action visant à lutter contre l’immigration illégale, des menaces actuelles ou futures aux frontières extérieures de [</w:t>
      </w:r>
      <w:r>
        <w:rPr>
          <w:rFonts w:ascii="Times New Roman" w:hAnsi="Times New Roman"/>
          <w:i/>
          <w:noProof/>
          <w:sz w:val="24"/>
        </w:rPr>
        <w:t>pays tiers</w:t>
      </w:r>
      <w:r>
        <w:rPr>
          <w:rFonts w:ascii="Times New Roman" w:hAnsi="Times New Roman"/>
          <w:noProof/>
          <w:sz w:val="24"/>
        </w:rPr>
        <w:t xml:space="preserve">] ou la criminalité transfrontière ou encore une action visant à fournir une assistance technique et opérationnelle accrue pour le contrôle des tronçons des frontières extérieures voisines d’un État membre;  </w:t>
      </w:r>
    </w:p>
    <w:p>
      <w:pPr>
        <w:spacing w:before="60" w:after="60" w:line="240" w:lineRule="auto"/>
        <w:ind w:left="720"/>
        <w:jc w:val="both"/>
        <w:rPr>
          <w:rFonts w:ascii="Times New Roman" w:hAnsi="Times New Roman" w:cs="Times New Roman"/>
          <w:bCs/>
          <w:noProof/>
          <w:sz w:val="24"/>
          <w:szCs w:val="24"/>
        </w:rPr>
      </w:pPr>
      <w:r>
        <w:rPr>
          <w:rFonts w:ascii="Times New Roman" w:hAnsi="Times New Roman"/>
          <w:noProof/>
          <w:sz w:val="24"/>
        </w:rPr>
        <w:t>(3) «intervention rapide aux frontières», une action visant à répondre à une situation de pression spécifique et disproportionnée aux frontières de [</w:t>
      </w:r>
      <w:r>
        <w:rPr>
          <w:rFonts w:ascii="Times New Roman" w:hAnsi="Times New Roman"/>
          <w:i/>
          <w:noProof/>
          <w:sz w:val="24"/>
        </w:rPr>
        <w:t>pays tiers</w:t>
      </w:r>
      <w:r>
        <w:rPr>
          <w:rFonts w:ascii="Times New Roman" w:hAnsi="Times New Roman"/>
          <w:noProof/>
          <w:sz w:val="24"/>
        </w:rPr>
        <w:t>] dans le voisinage d’un État membre, et déployée sur le territoire de [</w:t>
      </w:r>
      <w:r>
        <w:rPr>
          <w:rFonts w:ascii="Times New Roman" w:hAnsi="Times New Roman"/>
          <w:i/>
          <w:noProof/>
          <w:sz w:val="24"/>
        </w:rPr>
        <w:t>pays tiers</w:t>
      </w:r>
      <w:r>
        <w:rPr>
          <w:rFonts w:ascii="Times New Roman" w:hAnsi="Times New Roman"/>
          <w:noProof/>
          <w:sz w:val="24"/>
        </w:rPr>
        <w:t>] pendant une période de temps limitée;</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(4) «opération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le [</w:t>
      </w:r>
      <w:r>
        <w:rPr>
          <w:rFonts w:ascii="Times New Roman" w:hAnsi="Times New Roman"/>
          <w:i/>
          <w:noProof/>
          <w:sz w:val="24"/>
        </w:rPr>
        <w:t>pays tiers</w:t>
      </w:r>
      <w:r>
        <w:rPr>
          <w:rFonts w:ascii="Times New Roman" w:hAnsi="Times New Roman"/>
          <w:noProof/>
          <w:sz w:val="24"/>
        </w:rPr>
        <w:t>];</w:t>
      </w:r>
    </w:p>
    <w:p>
      <w:pPr>
        <w:shd w:val="clear" w:color="auto" w:fill="FFFFFF" w:themeFill="background1"/>
        <w:spacing w:before="240" w:after="240" w:line="240" w:lineRule="auto"/>
        <w:ind w:left="720"/>
        <w:jc w:val="both"/>
        <w:rPr>
          <w:rFonts w:ascii="Times New Roman" w:hAnsi="Times New Roman" w:cs="Times New Roman"/>
          <w:noProof/>
          <w:color w:val="000000"/>
          <w:sz w:val="24"/>
          <w:szCs w:val="24"/>
        </w:rPr>
      </w:pPr>
      <w:r>
        <w:rPr>
          <w:rFonts w:ascii="Times New Roman" w:hAnsi="Times New Roman"/>
          <w:noProof/>
          <w:sz w:val="24"/>
        </w:rPr>
        <w:t xml:space="preserve">(5) </w:t>
      </w:r>
      <w:r>
        <w:rPr>
          <w:rFonts w:ascii="Times New Roman" w:hAnsi="Times New Roman"/>
          <w:noProof/>
          <w:color w:val="000000"/>
          <w:sz w:val="24"/>
        </w:rPr>
        <w:t>«contrôle aux frontières», le contrôle des personnes exercé à une frontière en réponse exclusivement à l’intention de franchir une frontière ou à son franchissement, indépendamment de toute autre considération, et consistant en des vérifications aux frontières et en une surveillance des frontières</w:t>
      </w:r>
      <w:r>
        <w:rPr>
          <w:rFonts w:ascii="Times New Roman" w:hAnsi="Times New Roman"/>
          <w:noProof/>
          <w:sz w:val="24"/>
        </w:rPr>
        <w:t xml:space="preserve"> entre des points de franchissement</w:t>
      </w:r>
      <w:r>
        <w:rPr>
          <w:rFonts w:ascii="Times New Roman" w:hAnsi="Times New Roman"/>
          <w:noProof/>
          <w:color w:val="000000"/>
          <w:sz w:val="24"/>
        </w:rPr>
        <w:t>;</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(6) «équipe», l’équipe de garde-frontières et d'autres agents compétents d'États membres participants, y compris les garde-frontières et les autres agents compétents qui sont détachés en tant qu'experts nationaux par les États membres auprès de l'Agence pour être déployés au cours d'une action;</w:t>
      </w:r>
    </w:p>
    <w:p>
      <w:pPr>
        <w:spacing w:before="240" w:after="120" w:line="240" w:lineRule="auto"/>
        <w:ind w:firstLine="720"/>
        <w:jc w:val="both"/>
        <w:rPr>
          <w:rFonts w:ascii="Times New Roman" w:eastAsia="Times New Roman" w:hAnsi="Times New Roman" w:cs="Times New Roman"/>
          <w:noProof/>
          <w:sz w:val="24"/>
          <w:szCs w:val="24"/>
        </w:rPr>
      </w:pPr>
      <w:r>
        <w:rPr>
          <w:rFonts w:ascii="Times New Roman" w:hAnsi="Times New Roman"/>
          <w:noProof/>
          <w:sz w:val="24"/>
        </w:rPr>
        <w:t>(7) «État membre», tout État membre de l'Union européenne;</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(8) «État membre d'origine», l'État membre dont un membre d'une équipe est un garde-frontière ou un autre agent compétent;</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(9) « 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(10) «État membre participant», un État membre qui participe à l’action dans le [</w:t>
      </w:r>
      <w:r>
        <w:rPr>
          <w:rFonts w:ascii="Times New Roman" w:hAnsi="Times New Roman"/>
          <w:i/>
          <w:noProof/>
          <w:sz w:val="24"/>
        </w:rPr>
        <w:t>pays tiers</w:t>
      </w:r>
      <w:r>
        <w:rPr>
          <w:rFonts w:ascii="Times New Roman" w:hAnsi="Times New Roman"/>
          <w:noProof/>
          <w:sz w:val="24"/>
        </w:rPr>
        <w:t>] en fournissant des équipements techniques, des garde-frontières et d'autres agents compétents déployés dans le cadre de l’équipe;</w:t>
      </w:r>
    </w:p>
    <w:p>
      <w:pPr>
        <w:spacing w:before="240" w:after="360" w:line="240" w:lineRule="auto"/>
        <w:ind w:left="720"/>
        <w:jc w:val="both"/>
        <w:rPr>
          <w:rFonts w:ascii="Times New Roman" w:hAnsi="Times New Roman" w:cs="Times New Roman"/>
          <w:noProof/>
          <w:sz w:val="24"/>
          <w:szCs w:val="24"/>
        </w:rPr>
      </w:pPr>
      <w:r>
        <w:rPr>
          <w:rFonts w:ascii="Times New Roman" w:hAnsi="Times New Roman"/>
          <w:noProof/>
          <w:sz w:val="24"/>
        </w:rPr>
        <w:t>(11) «Agence», l’agence européenne de garde-frontières et de garde-côtes instituée par le règlement (UE) 2016/1624 relatif au corps européen de garde-frontières et de garde-côtes.</w:t>
      </w:r>
    </w:p>
    <w:p>
      <w:pPr>
        <w:spacing w:before="120" w:after="0" w:line="240" w:lineRule="auto"/>
        <w:jc w:val="center"/>
        <w:rPr>
          <w:rFonts w:ascii="Times New Roman Bold" w:hAnsi="Times New Roman Bold" w:cs="Times New Roman"/>
          <w:b/>
          <w:smallCaps/>
          <w:noProof/>
          <w:szCs w:val="24"/>
        </w:rPr>
      </w:pPr>
      <w:r>
        <w:rPr>
          <w:rFonts w:ascii="Times New Roman Bold" w:hAnsi="Times New Roman Bold"/>
          <w:b/>
          <w:smallCaps/>
          <w:noProof/>
        </w:rPr>
        <w:t>Article 3</w:t>
      </w:r>
    </w:p>
    <w:p>
      <w:pPr>
        <w:spacing w:after="24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Plan opérationnel</w:t>
      </w:r>
    </w:p>
    <w:p>
      <w:pPr>
        <w:spacing w:before="120" w:after="36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Un plan opérationnel est convenu pour chaque opération conjointe ou intervention rapide aux frontières. Le plan détaille les aspects organisationnels et procéduraux de l'opération conjointe ou de l’intervention rapide aux frontières, y compris une description et une évaluation de la situation, les objectifs opérationnels, le concept opérationnel, le type d’équipement technique à déployer, le plan de mise en œuvre, la coopération avec les autres pays tiers, les autres agences, organismes de l’Union ou organisations internationales, les dispositions en matière de droits fondamentaux, y compris celles qui concernent la protection des données à caractère personnel, la coordination, le commandement, la communication, les modalités d'information et le système de rapport, les modalités d'organisation et la logistique, l’évaluation et les aspects financiers de l’opération conjointe ou de l’intervention rapide aux frontières. L’évaluation de l’opération conjointe ou de l’intervention rapide aux frontières est effectuée conjointement par le [</w:t>
      </w:r>
      <w:r>
        <w:rPr>
          <w:rFonts w:ascii="Times New Roman" w:hAnsi="Times New Roman"/>
          <w:i/>
          <w:noProof/>
          <w:sz w:val="24"/>
        </w:rPr>
        <w:t>pays tiers</w:t>
      </w:r>
      <w:r>
        <w:rPr>
          <w:rFonts w:ascii="Times New Roman" w:hAnsi="Times New Roman"/>
          <w:noProof/>
          <w:sz w:val="24"/>
        </w:rPr>
        <w:t>] et par l’Agence.</w:t>
      </w:r>
      <w:r>
        <w:rPr>
          <w:noProof/>
        </w:rPr>
        <w:t xml:space="preserve"> </w:t>
      </w:r>
    </w:p>
    <w:p>
      <w:pPr>
        <w:spacing w:before="120" w:after="0" w:line="240" w:lineRule="auto"/>
        <w:jc w:val="center"/>
        <w:rPr>
          <w:rFonts w:ascii="Times New Roman Bold" w:hAnsi="Times New Roman Bold"/>
          <w:b/>
          <w:smallCaps/>
          <w:noProof/>
          <w:sz w:val="24"/>
        </w:rPr>
      </w:pPr>
      <w:r>
        <w:rPr>
          <w:rFonts w:ascii="Times New Roman Bold" w:hAnsi="Times New Roman Bold"/>
          <w:b/>
          <w:smallCaps/>
          <w:noProof/>
          <w:sz w:val="24"/>
        </w:rPr>
        <w:t>Article 4</w:t>
      </w:r>
    </w:p>
    <w:p>
      <w:pPr>
        <w:spacing w:after="240" w:line="240" w:lineRule="auto"/>
        <w:jc w:val="center"/>
        <w:rPr>
          <w:rFonts w:ascii="Times New Roman" w:hAnsi="Times New Roman" w:cs="Times New Roman"/>
          <w:b/>
          <w:bCs/>
          <w:noProof/>
          <w:sz w:val="24"/>
          <w:szCs w:val="24"/>
        </w:rPr>
      </w:pPr>
      <w:r>
        <w:rPr>
          <w:rFonts w:ascii="Times New Roman Bold" w:hAnsi="Times New Roman Bold"/>
          <w:b/>
          <w:smallCaps/>
          <w:noProof/>
          <w:sz w:val="24"/>
        </w:rPr>
        <w:t>Missions et compétences des membres de l’équipe</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Les membres de l’équipe ont autorité pour accomplir toutes les tâches et exercer toutes les compétences exécutives pour le contrôle aux frontières et les opérations de retour.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Les membres de l’équipe respectent les lois et les règlements de [</w:t>
      </w:r>
      <w:r>
        <w:rPr>
          <w:rFonts w:ascii="Times New Roman" w:hAnsi="Times New Roman"/>
          <w:i/>
          <w:noProof/>
          <w:sz w:val="24"/>
        </w:rPr>
        <w:t>pays tiers</w:t>
      </w:r>
      <w:r>
        <w:rPr>
          <w:rFonts w:ascii="Times New Roman" w:hAnsi="Times New Roman"/>
          <w:noProof/>
          <w:sz w:val="24"/>
        </w:rPr>
        <w:t>].</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Les membres de l’équipe ne peuvent accomplir des missions et exercer des compétences sur le territoire de [</w:t>
      </w:r>
      <w:r>
        <w:rPr>
          <w:rFonts w:ascii="Times New Roman" w:hAnsi="Times New Roman"/>
          <w:i/>
          <w:noProof/>
          <w:sz w:val="24"/>
        </w:rPr>
        <w:t>pays tiers</w:t>
      </w:r>
      <w:r>
        <w:rPr>
          <w:rFonts w:ascii="Times New Roman" w:hAnsi="Times New Roman"/>
          <w:noProof/>
          <w:sz w:val="24"/>
        </w:rPr>
        <w:t>] que sur les instructions et, en règle générale, en présence de garde-frontières ou d'agents de [</w:t>
      </w:r>
      <w:r>
        <w:rPr>
          <w:rFonts w:ascii="Times New Roman" w:hAnsi="Times New Roman"/>
          <w:i/>
          <w:noProof/>
          <w:sz w:val="24"/>
        </w:rPr>
        <w:t>pays tiers</w:t>
      </w:r>
      <w:r>
        <w:rPr>
          <w:rFonts w:ascii="Times New Roman" w:hAnsi="Times New Roman"/>
          <w:noProof/>
          <w:sz w:val="24"/>
        </w:rPr>
        <w:t>]. Le [</w:t>
      </w:r>
      <w:r>
        <w:rPr>
          <w:rFonts w:ascii="Times New Roman" w:hAnsi="Times New Roman"/>
          <w:i/>
          <w:noProof/>
          <w:sz w:val="24"/>
        </w:rPr>
        <w:t>pays tiers</w:t>
      </w:r>
      <w:r>
        <w:rPr>
          <w:rFonts w:ascii="Times New Roman" w:hAnsi="Times New Roman"/>
          <w:noProof/>
          <w:sz w:val="24"/>
        </w:rPr>
        <w:t>] donne des instructions à l’équipe conformément au plan opérationnel, le cas échéant. Le [</w:t>
      </w:r>
      <w:r>
        <w:rPr>
          <w:rFonts w:ascii="Times New Roman" w:hAnsi="Times New Roman"/>
          <w:i/>
          <w:noProof/>
          <w:sz w:val="24"/>
        </w:rPr>
        <w:t>pays tiers</w:t>
      </w:r>
      <w:r>
        <w:rPr>
          <w:rFonts w:ascii="Times New Roman" w:hAnsi="Times New Roman"/>
          <w:noProof/>
          <w:sz w:val="24"/>
        </w:rPr>
        <w:t>] peut autoriser les membres de l’équipe à agir en son nom.</w:t>
      </w:r>
    </w:p>
    <w:p>
      <w:pPr>
        <w:pStyle w:val="ListParagraph"/>
        <w:spacing w:after="120"/>
        <w:jc w:val="both"/>
        <w:rPr>
          <w:bCs/>
          <w:noProof/>
        </w:rPr>
      </w:pPr>
      <w:r>
        <w:rPr>
          <w:noProof/>
        </w:rPr>
        <w:t>L'Agence, par l'intermédiaire de son officier de coordination, peut communiquer au [</w:t>
      </w:r>
      <w:r>
        <w:rPr>
          <w:i/>
          <w:noProof/>
        </w:rPr>
        <w:t>pays tiers</w:t>
      </w:r>
      <w:r>
        <w:rPr>
          <w:noProof/>
        </w:rPr>
        <w:t>] sa position concernant les instructions données à l’équipe. Dans ce cas, le [</w:t>
      </w:r>
      <w:r>
        <w:rPr>
          <w:i/>
          <w:noProof/>
        </w:rPr>
        <w:t>pays tiers</w:t>
      </w:r>
      <w:r>
        <w:rPr>
          <w:noProof/>
        </w:rPr>
        <w:t>] prend cette position en considération et s'y conforme dans la mesure du possible.</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Les membres de l’équipe portent leur propre uniforme lorsqu'ils accomplissent leurs missions et exercent leurs compétences. Ils portent également sur leur uniforme un identifiant personnel visible et un brassard bleu avec les insignes de l'Union et de l'Agence. Aux fins d'identification par les autorités nationales du [</w:t>
      </w:r>
      <w:r>
        <w:rPr>
          <w:rFonts w:ascii="Times New Roman" w:hAnsi="Times New Roman"/>
          <w:i/>
          <w:noProof/>
          <w:sz w:val="24"/>
        </w:rPr>
        <w:t>pays tiers</w:t>
      </w:r>
      <w:r>
        <w:rPr>
          <w:rFonts w:ascii="Times New Roman" w:hAnsi="Times New Roman"/>
          <w:noProof/>
          <w:sz w:val="24"/>
        </w:rPr>
        <w:t>], les membres de l’équipe sont à tout moment munis d'un document d'accréditation, visé à l’article 7.</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Dans l'accomplissement de leurs missions et l'exercice de leurs compétences, les membres de l’équipe peuvent porter des armes de service, des munitions et des équipements autorisés conformément à la législation nationale de l’État membre d’origine. Préalablement au déploiement des membres de l’équipe, l'État membre hôte indique à l'Agence les armes de service, les munitions et les équipements qui sont autorisés, ainsi que les conditions dans lesquelles ils peuvent être utilisés.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6. </w:t>
      </w:r>
      <w:r>
        <w:rPr>
          <w:noProof/>
        </w:rPr>
        <w:tab/>
      </w:r>
      <w:r>
        <w:rPr>
          <w:rFonts w:ascii="Times New Roman" w:hAnsi="Times New Roman"/>
          <w:noProof/>
          <w:sz w:val="24"/>
        </w:rPr>
        <w:t>Dans l'accomplissement de leurs missions et l'exercice de leurs compétences, les membres de l’équipe sont autorisés à employer la force, y compris les armes de service, les munitions et les équipements, avec le consentement de l'État membre d'origine et du [</w:t>
      </w:r>
      <w:r>
        <w:rPr>
          <w:rFonts w:ascii="Times New Roman" w:hAnsi="Times New Roman"/>
          <w:i/>
          <w:noProof/>
          <w:sz w:val="24"/>
        </w:rPr>
        <w:t>pays tiers</w:t>
      </w:r>
      <w:r>
        <w:rPr>
          <w:rFonts w:ascii="Times New Roman" w:hAnsi="Times New Roman"/>
          <w:noProof/>
          <w:sz w:val="24"/>
        </w:rPr>
        <w:t>], en présence de garde-frontières du [</w:t>
      </w:r>
      <w:r>
        <w:rPr>
          <w:rFonts w:ascii="Times New Roman" w:hAnsi="Times New Roman"/>
          <w:i/>
          <w:noProof/>
          <w:sz w:val="24"/>
        </w:rPr>
        <w:t>pays tiers</w:t>
      </w:r>
      <w:r>
        <w:rPr>
          <w:rFonts w:ascii="Times New Roman" w:hAnsi="Times New Roman"/>
          <w:noProof/>
          <w:sz w:val="24"/>
        </w:rPr>
        <w:t>] et conformément au droit national de celui-ci. Le [</w:t>
      </w:r>
      <w:r>
        <w:rPr>
          <w:rFonts w:ascii="Times New Roman" w:hAnsi="Times New Roman"/>
          <w:i/>
          <w:noProof/>
          <w:sz w:val="24"/>
        </w:rPr>
        <w:t>pays tiers</w:t>
      </w:r>
      <w:r>
        <w:rPr>
          <w:rFonts w:ascii="Times New Roman" w:hAnsi="Times New Roman"/>
          <w:noProof/>
          <w:sz w:val="24"/>
        </w:rPr>
        <w:t>] peut autoriser les membres de l’équipe à employer la force en l'absence de garde-frontières ou d’autres agents compétents du [</w:t>
      </w:r>
      <w:r>
        <w:rPr>
          <w:rFonts w:ascii="Times New Roman" w:hAnsi="Times New Roman"/>
          <w:i/>
          <w:noProof/>
          <w:sz w:val="24"/>
        </w:rPr>
        <w:t>pays tiers</w:t>
      </w:r>
      <w:r>
        <w:rPr>
          <w:rFonts w:ascii="Times New Roman" w:hAnsi="Times New Roman"/>
          <w:noProof/>
          <w:sz w:val="24"/>
        </w:rPr>
        <w:t>].</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7. </w:t>
      </w:r>
      <w:r>
        <w:rPr>
          <w:noProof/>
        </w:rPr>
        <w:tab/>
      </w:r>
      <w:r>
        <w:rPr>
          <w:rFonts w:ascii="Times New Roman" w:hAnsi="Times New Roman"/>
          <w:noProof/>
          <w:sz w:val="24"/>
        </w:rPr>
        <w:t>Le [</w:t>
      </w:r>
      <w:r>
        <w:rPr>
          <w:rFonts w:ascii="Times New Roman" w:hAnsi="Times New Roman"/>
          <w:i/>
          <w:noProof/>
          <w:sz w:val="24"/>
        </w:rPr>
        <w:t>pays tiers</w:t>
      </w:r>
      <w:r>
        <w:rPr>
          <w:rFonts w:ascii="Times New Roman" w:hAnsi="Times New Roman"/>
          <w:noProof/>
          <w:sz w:val="24"/>
        </w:rPr>
        <w:t>] peut autoriser les membres de l’équipe à consulter ses bases de données nationales dont la consultation est nécessaire pour la réalisation des objectifs opérationnels spécifiés dans le plan opérationnel et pour mener à bien les opérations de retour. Les membres de l’équipe ne consultent que les données nécessaires à l'accomplissement de leurs missions et à l'exercice de leurs compétences. Préalablement au déploiement des membres de l’équipe, le [</w:t>
      </w:r>
      <w:r>
        <w:rPr>
          <w:rFonts w:ascii="Times New Roman" w:hAnsi="Times New Roman"/>
          <w:i/>
          <w:noProof/>
          <w:sz w:val="24"/>
        </w:rPr>
        <w:t>pays tiers</w:t>
      </w:r>
      <w:r>
        <w:rPr>
          <w:rFonts w:ascii="Times New Roman" w:hAnsi="Times New Roman"/>
          <w:noProof/>
          <w:sz w:val="24"/>
        </w:rPr>
        <w:t>], indique à l'Agence les bases de données nationales et européennes qui peuvent être consultées. Cette consultation est effectuée conformément à la législation nationale du [</w:t>
      </w:r>
      <w:r>
        <w:rPr>
          <w:rFonts w:ascii="Times New Roman" w:hAnsi="Times New Roman"/>
          <w:i/>
          <w:noProof/>
          <w:sz w:val="24"/>
        </w:rPr>
        <w:t>pays tiers</w:t>
      </w:r>
      <w:r>
        <w:rPr>
          <w:rFonts w:ascii="Times New Roman" w:hAnsi="Times New Roman"/>
          <w:noProof/>
          <w:sz w:val="24"/>
        </w:rPr>
        <w:t>] en matière de protection des données.</w:t>
      </w:r>
    </w:p>
    <w:p>
      <w:pPr>
        <w:spacing w:after="0" w:line="240" w:lineRule="auto"/>
        <w:jc w:val="center"/>
        <w:rPr>
          <w:rFonts w:ascii="Times New Roman" w:hAnsi="Times New Roman"/>
          <w:b/>
          <w:smallCaps/>
          <w:noProof/>
          <w:sz w:val="24"/>
        </w:rPr>
      </w:pPr>
      <w:r>
        <w:rPr>
          <w:rFonts w:ascii="Times New Roman" w:hAnsi="Times New Roman"/>
          <w:b/>
          <w:smallCaps/>
          <w:noProof/>
          <w:sz w:val="24"/>
        </w:rPr>
        <w:t>Article 5</w:t>
      </w:r>
    </w:p>
    <w:p>
      <w:pPr>
        <w:spacing w:after="240" w:line="240" w:lineRule="auto"/>
        <w:jc w:val="center"/>
        <w:rPr>
          <w:rFonts w:ascii="Times New Roman" w:hAnsi="Times New Roman" w:cs="Times New Roman"/>
          <w:b/>
          <w:bCs/>
          <w:smallCaps/>
          <w:noProof/>
          <w:sz w:val="24"/>
          <w:szCs w:val="24"/>
        </w:rPr>
      </w:pPr>
      <w:r>
        <w:rPr>
          <w:rFonts w:ascii="Times New Roman" w:hAnsi="Times New Roman"/>
          <w:b/>
          <w:smallCaps/>
          <w:noProof/>
          <w:sz w:val="24"/>
        </w:rPr>
        <w:t>Suspension et cessation de l’action</w:t>
      </w:r>
    </w:p>
    <w:p>
      <w:pPr>
        <w:spacing w:before="240" w:after="240" w:line="240" w:lineRule="auto"/>
        <w:ind w:left="720" w:hanging="720"/>
        <w:jc w:val="both"/>
        <w:rPr>
          <w:rFonts w:ascii="Times New Roman" w:hAnsi="Times New Roman" w:cs="Times New Roman"/>
          <w:iCs/>
          <w:noProof/>
          <w:sz w:val="24"/>
          <w:szCs w:val="24"/>
        </w:rPr>
      </w:pPr>
      <w:r>
        <w:rPr>
          <w:rFonts w:ascii="Times New Roman" w:hAnsi="Times New Roman"/>
          <w:noProof/>
          <w:sz w:val="24"/>
        </w:rPr>
        <w:t xml:space="preserve">1. </w:t>
      </w:r>
      <w:r>
        <w:rPr>
          <w:noProof/>
        </w:rPr>
        <w:tab/>
      </w:r>
      <w:r>
        <w:rPr>
          <w:rFonts w:ascii="Times New Roman" w:hAnsi="Times New Roman"/>
          <w:noProof/>
          <w:sz w:val="24"/>
        </w:rPr>
        <w:t>Le directeur exécutif de l’Agence peut suspendre l’action ou y mettre un terme, après avoir informé par écrit le [</w:t>
      </w:r>
      <w:r>
        <w:rPr>
          <w:rFonts w:ascii="Times New Roman" w:hAnsi="Times New Roman"/>
          <w:i/>
          <w:noProof/>
          <w:sz w:val="24"/>
        </w:rPr>
        <w:t>pays tiers</w:t>
      </w:r>
      <w:r>
        <w:rPr>
          <w:rFonts w:ascii="Times New Roman" w:hAnsi="Times New Roman"/>
          <w:noProof/>
          <w:sz w:val="24"/>
        </w:rPr>
        <w:t>] de cette décision, si les dispositions du présent accord ou du plan opérationnel ne sont pas respectées par le [</w:t>
      </w:r>
      <w:r>
        <w:rPr>
          <w:rFonts w:ascii="Times New Roman" w:hAnsi="Times New Roman"/>
          <w:i/>
          <w:noProof/>
          <w:sz w:val="24"/>
        </w:rPr>
        <w:t>pays tiers</w:t>
      </w:r>
      <w:r>
        <w:rPr>
          <w:rFonts w:ascii="Times New Roman" w:hAnsi="Times New Roman"/>
          <w:noProof/>
          <w:sz w:val="24"/>
        </w:rPr>
        <w:t>]. Le directeur exécutif en notifie les raisons au [</w:t>
      </w:r>
      <w:r>
        <w:rPr>
          <w:rFonts w:ascii="Times New Roman" w:hAnsi="Times New Roman"/>
          <w:i/>
          <w:noProof/>
          <w:sz w:val="24"/>
        </w:rPr>
        <w:t>pays tiers</w:t>
      </w:r>
      <w:r>
        <w:rPr>
          <w:rFonts w:ascii="Times New Roman" w:hAnsi="Times New Roman"/>
          <w:noProof/>
          <w:sz w:val="24"/>
        </w:rPr>
        <w:t>].</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Le [</w:t>
      </w:r>
      <w:r>
        <w:rPr>
          <w:rFonts w:ascii="Times New Roman" w:hAnsi="Times New Roman"/>
          <w:i/>
          <w:noProof/>
          <w:sz w:val="24"/>
        </w:rPr>
        <w:t>pays tiers</w:t>
      </w:r>
      <w:r>
        <w:rPr>
          <w:rFonts w:ascii="Times New Roman" w:hAnsi="Times New Roman"/>
          <w:noProof/>
          <w:sz w:val="24"/>
        </w:rPr>
        <w:t>] peut suspendre l’action ou y mettre un terme, après avoir informé par écrit l’Agence de cette décision, si les dispositions du présent accord ou du plan opérationnel ne sont pas respectées par l’Agence ou par tout État membre participant. Le [</w:t>
      </w:r>
      <w:r>
        <w:rPr>
          <w:rFonts w:ascii="Times New Roman" w:hAnsi="Times New Roman"/>
          <w:i/>
          <w:noProof/>
          <w:sz w:val="24"/>
        </w:rPr>
        <w:t>pays tiers</w:t>
      </w:r>
      <w:r>
        <w:rPr>
          <w:rFonts w:ascii="Times New Roman" w:hAnsi="Times New Roman"/>
          <w:noProof/>
          <w:sz w:val="24"/>
        </w:rPr>
        <w:t>] en notifie les raisons à l’Agence.</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En particulier, le directeur exécutif de l’Agence ou du [</w:t>
      </w:r>
      <w:r>
        <w:rPr>
          <w:rFonts w:ascii="Times New Roman" w:hAnsi="Times New Roman"/>
          <w:i/>
          <w:noProof/>
          <w:sz w:val="24"/>
        </w:rPr>
        <w:t>pays tiers</w:t>
      </w:r>
      <w:r>
        <w:rPr>
          <w:rFonts w:ascii="Times New Roman" w:hAnsi="Times New Roman"/>
          <w:noProof/>
          <w:sz w:val="24"/>
        </w:rPr>
        <w:t>] peut suspendre l’action ou y mettre un terme en cas d’atteinte aux droits fondamentaux, de non-respect du principe de non-refoulement ou des règles en matière de protection des données.</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La cessation de l’action n'affecte pas les droits ou obligations résultant de l’application du présent accord ou du plan opérationnel antérieurement à cette cessation.</w:t>
      </w:r>
    </w:p>
    <w:p>
      <w:pPr>
        <w:spacing w:before="360" w:after="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Article 6</w:t>
      </w:r>
    </w:p>
    <w:p>
      <w:pPr>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Privilèges et immunités des membres de l’équipe</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1.</w:t>
      </w:r>
      <w:r>
        <w:rPr>
          <w:noProof/>
        </w:rPr>
        <w:tab/>
      </w:r>
      <w:r>
        <w:rPr>
          <w:rFonts w:ascii="Times New Roman" w:hAnsi="Times New Roman"/>
          <w:noProof/>
          <w:sz w:val="24"/>
        </w:rPr>
        <w:t>Les membres de l’équipe ne peuvent faire l’objet d’aucune forme d’arrestation ou de détention.</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Les documents, la correspondance et les biens des membres de l’équipe jouissent de l’inviolabilité, sous réserve des mesures d’exécution autorisées en vertu du paragraphe 6 du présent article.</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Les membres de l’équipe jouissent de l'immunité de la juridiction pénale du [</w:t>
      </w:r>
      <w:r>
        <w:rPr>
          <w:rFonts w:ascii="Times New Roman" w:hAnsi="Times New Roman"/>
          <w:i/>
          <w:noProof/>
          <w:sz w:val="24"/>
        </w:rPr>
        <w:t>pays tiers</w:t>
      </w:r>
      <w:r>
        <w:rPr>
          <w:rFonts w:ascii="Times New Roman" w:hAnsi="Times New Roman"/>
          <w:noProof/>
          <w:sz w:val="24"/>
        </w:rPr>
        <w:t>] en toutes circonstances. Les privilèges accordés aux membres de l’équipe et l'immunité de la juridiction pénale du [</w:t>
      </w:r>
      <w:r>
        <w:rPr>
          <w:rFonts w:ascii="Times New Roman" w:hAnsi="Times New Roman"/>
          <w:i/>
          <w:noProof/>
          <w:sz w:val="24"/>
        </w:rPr>
        <w:t>pays tiers</w:t>
      </w:r>
      <w:r>
        <w:rPr>
          <w:rFonts w:ascii="Times New Roman" w:hAnsi="Times New Roman"/>
          <w:noProof/>
          <w:sz w:val="24"/>
        </w:rPr>
        <w:t>] ne l'exemptent pas de la juridiction de l'État membre d’origine. L'immunité des membres de l’équipe de la juridiction pénale du [</w:t>
      </w:r>
      <w:r>
        <w:rPr>
          <w:rFonts w:ascii="Times New Roman" w:hAnsi="Times New Roman"/>
          <w:i/>
          <w:noProof/>
          <w:sz w:val="24"/>
        </w:rPr>
        <w:t>pays tiers</w:t>
      </w:r>
      <w:r>
        <w:rPr>
          <w:rFonts w:ascii="Times New Roman" w:hAnsi="Times New Roman"/>
          <w:noProof/>
          <w:sz w:val="24"/>
        </w:rPr>
        <w:t>] peut être levée par l’État membre d'origine, selon le cas. La levée doit toujours être une levée expresse.</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4.</w:t>
      </w:r>
      <w:r>
        <w:rPr>
          <w:noProof/>
        </w:rPr>
        <w:tab/>
      </w:r>
      <w:r>
        <w:rPr>
          <w:rFonts w:ascii="Times New Roman" w:hAnsi="Times New Roman"/>
          <w:noProof/>
          <w:sz w:val="24"/>
        </w:rPr>
        <w:t>Les membres de l’équipe jouissent de l'immunité de la juridiction civile et administrative du [</w:t>
      </w:r>
      <w:r>
        <w:rPr>
          <w:rFonts w:ascii="Times New Roman" w:hAnsi="Times New Roman"/>
          <w:i/>
          <w:noProof/>
          <w:sz w:val="24"/>
        </w:rPr>
        <w:t>pays tiers</w:t>
      </w:r>
      <w:r>
        <w:rPr>
          <w:rFonts w:ascii="Times New Roman" w:hAnsi="Times New Roman"/>
          <w:noProof/>
          <w:sz w:val="24"/>
        </w:rPr>
        <w:t>] en ce qui concerne tous les actes accomplis dans l'exercice de leurs fonctions officielles. Lorsqu'une procédure civile est engagée à l'encontre des membres de l’équipe du [</w:t>
      </w:r>
      <w:r>
        <w:rPr>
          <w:rFonts w:ascii="Times New Roman" w:hAnsi="Times New Roman"/>
          <w:i/>
          <w:noProof/>
          <w:sz w:val="24"/>
        </w:rPr>
        <w:t>pays tiers</w:t>
      </w:r>
      <w:r>
        <w:rPr>
          <w:rFonts w:ascii="Times New Roman" w:hAnsi="Times New Roman"/>
          <w:noProof/>
          <w:sz w:val="24"/>
        </w:rPr>
        <w:t>] devant une juridiction, le directeur exécutif de l’Agence et l’autorité compétente de l’État membre d’origine en sont immédiatement informés. Préalablement à l'ouverture de la procédure devant la juridiction compétente, le directeur exécutif de l’agence et l'autorité compétente de l'État membre d’origine attestent que l'acte en question a ou non été commis par les membres de l’équipe dans l'exercice de leurs fonctions officielles. Si cet acte a été commis dans l'exercice de fonctions officielles, la procédure ne peut être engagée. Si cet acte n'a pas été commis dans l'exercice de fonctions officielles, la procédure peut se poursuivre. L'attestation par le directeur exécutif de l’Agence et l'autorité compétente de l'État membre d’origine revêt un caractère contraignant pour la juridiction du [</w:t>
      </w:r>
      <w:r>
        <w:rPr>
          <w:rFonts w:ascii="Times New Roman" w:hAnsi="Times New Roman"/>
          <w:i/>
          <w:noProof/>
          <w:sz w:val="24"/>
        </w:rPr>
        <w:t>pays tiers</w:t>
      </w:r>
      <w:r>
        <w:rPr>
          <w:rFonts w:ascii="Times New Roman" w:hAnsi="Times New Roman"/>
          <w:noProof/>
          <w:sz w:val="24"/>
        </w:rPr>
        <w:t>], qui ne peut pas la contester. Si les membres de l’équipe engagent une procédure, ils ne sont plus recevables à invoquer l’immunité de juridiction à l’égard de toute demande reconventionnelle directement liée à la demande principale.</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5.</w:t>
      </w:r>
      <w:r>
        <w:rPr>
          <w:noProof/>
        </w:rPr>
        <w:tab/>
      </w:r>
      <w:r>
        <w:rPr>
          <w:rFonts w:ascii="Times New Roman" w:hAnsi="Times New Roman"/>
          <w:noProof/>
          <w:sz w:val="24"/>
        </w:rPr>
        <w:t>Les membres de l’équipe ne sont pas obligés de donner leur témoignage.</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Aucune mesure d’exécution ne peut être prise à l’égard des membres de l’équipe, sauf si une procédure civile non liée à leurs fonctions officielles est ouverte à leur encontre. Les biens des membres de l’équipe, dont le directeur exécutif de l’Agence a certifié qu’ils sont nécessaires à l’accomplissement des fonctions officielles dudit personnel,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7.</w:t>
      </w:r>
      <w:r>
        <w:rPr>
          <w:noProof/>
        </w:rPr>
        <w:tab/>
      </w:r>
      <w:r>
        <w:rPr>
          <w:rFonts w:ascii="Times New Roman" w:hAnsi="Times New Roman"/>
          <w:noProof/>
          <w:sz w:val="24"/>
        </w:rPr>
        <w:t>L'immunité de juridiction des membres de l’équipe dans le [</w:t>
      </w:r>
      <w:r>
        <w:rPr>
          <w:rFonts w:ascii="Times New Roman" w:hAnsi="Times New Roman"/>
          <w:i/>
          <w:noProof/>
          <w:sz w:val="24"/>
        </w:rPr>
        <w:t>pays tiers</w:t>
      </w:r>
      <w:r>
        <w:rPr>
          <w:rFonts w:ascii="Times New Roman" w:hAnsi="Times New Roman"/>
          <w:noProof/>
          <w:sz w:val="24"/>
        </w:rPr>
        <w:t>], ne les exempte pas de la juridiction de l'État d’origine.</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8.</w:t>
      </w:r>
      <w:r>
        <w:rPr>
          <w:noProof/>
        </w:rPr>
        <w:tab/>
      </w:r>
      <w:r>
        <w:rPr>
          <w:rFonts w:ascii="Times New Roman" w:hAnsi="Times New Roman"/>
          <w:noProof/>
          <w:sz w:val="24"/>
        </w:rPr>
        <w:t>Pour ce qui est des services rendus à l’Agence, les membres de l’équipe sont exemptés des dispositions de sécurité sociale qui peuvent être en vigueur dans le [</w:t>
      </w:r>
      <w:r>
        <w:rPr>
          <w:rFonts w:ascii="Times New Roman" w:hAnsi="Times New Roman"/>
          <w:i/>
          <w:noProof/>
          <w:sz w:val="24"/>
        </w:rPr>
        <w:t>pays tiers</w:t>
      </w:r>
      <w:r>
        <w:rPr>
          <w:rFonts w:ascii="Times New Roman" w:hAnsi="Times New Roman"/>
          <w:noProof/>
          <w:sz w:val="24"/>
        </w:rPr>
        <w:t>].</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9.</w:t>
      </w:r>
      <w:r>
        <w:rPr>
          <w:noProof/>
        </w:rPr>
        <w:tab/>
      </w:r>
      <w:r>
        <w:rPr>
          <w:rFonts w:ascii="Times New Roman" w:hAnsi="Times New Roman"/>
          <w:noProof/>
          <w:sz w:val="24"/>
        </w:rPr>
        <w:t>Les membres de l’équipe sont exemptés dans le [</w:t>
      </w:r>
      <w:r>
        <w:rPr>
          <w:rFonts w:ascii="Times New Roman" w:hAnsi="Times New Roman"/>
          <w:i/>
          <w:noProof/>
          <w:sz w:val="24"/>
        </w:rPr>
        <w:t>pays tiers</w:t>
      </w:r>
      <w:r>
        <w:rPr>
          <w:rFonts w:ascii="Times New Roman" w:hAnsi="Times New Roman"/>
          <w:noProof/>
          <w:sz w:val="24"/>
        </w:rPr>
        <w:t>], de toute forme d'impôt sur la rémunération et les émoluments qui leur sont versés par l’Agence ou l'État d’origine, ainsi que sur tout revenu perçu en dehors de [</w:t>
      </w:r>
      <w:r>
        <w:rPr>
          <w:rFonts w:ascii="Times New Roman" w:hAnsi="Times New Roman"/>
          <w:i/>
          <w:noProof/>
          <w:sz w:val="24"/>
        </w:rPr>
        <w:t>pays tiers</w:t>
      </w:r>
      <w:r>
        <w:rPr>
          <w:rFonts w:ascii="Times New Roman" w:hAnsi="Times New Roman"/>
          <w:noProof/>
          <w:sz w:val="24"/>
        </w:rPr>
        <w:t>].</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10.</w:t>
      </w:r>
      <w:r>
        <w:rPr>
          <w:noProof/>
        </w:rPr>
        <w:tab/>
      </w:r>
      <w:r>
        <w:rPr>
          <w:rFonts w:ascii="Times New Roman" w:hAnsi="Times New Roman"/>
          <w:noProof/>
          <w:sz w:val="24"/>
        </w:rPr>
        <w:t>Selon les dispositions législatives et réglementaires qu'il peut adopter, le [</w:t>
      </w:r>
      <w:r>
        <w:rPr>
          <w:rFonts w:ascii="Times New Roman" w:hAnsi="Times New Roman"/>
          <w:i/>
          <w:noProof/>
          <w:sz w:val="24"/>
        </w:rPr>
        <w:t>pays tiers</w:t>
      </w:r>
      <w:r>
        <w:rPr>
          <w:rFonts w:ascii="Times New Roman" w:hAnsi="Times New Roman"/>
          <w:noProof/>
          <w:sz w:val="24"/>
        </w:rPr>
        <w:t>] autorise l'entrée des objets destinés à l'usage personnel des membres de l’équipe et accorde l'exemption de droits de douane, taxes et autres redevances connexes autres que frais d'entreposage, de transport et frais afférents à des services analogues sur ces objets. Le [</w:t>
      </w:r>
      <w:r>
        <w:rPr>
          <w:rFonts w:ascii="Times New Roman" w:hAnsi="Times New Roman"/>
          <w:i/>
          <w:noProof/>
          <w:sz w:val="24"/>
        </w:rPr>
        <w:t>pays tiers</w:t>
      </w:r>
      <w:r>
        <w:rPr>
          <w:rFonts w:ascii="Times New Roman" w:hAnsi="Times New Roman"/>
          <w:noProof/>
          <w:sz w:val="24"/>
        </w:rPr>
        <w:t>], autorise également l'exportation de tels objets.</w:t>
      </w:r>
    </w:p>
    <w:p>
      <w:pPr>
        <w:spacing w:before="240" w:after="360" w:line="240" w:lineRule="auto"/>
        <w:ind w:left="720" w:hanging="720"/>
        <w:jc w:val="both"/>
        <w:rPr>
          <w:rFonts w:ascii="Times New Roman" w:hAnsi="Times New Roman" w:cs="Times New Roman"/>
          <w:bCs/>
          <w:noProof/>
          <w:sz w:val="24"/>
          <w:szCs w:val="24"/>
        </w:rPr>
      </w:pPr>
      <w:r>
        <w:rPr>
          <w:rFonts w:ascii="Times New Roman" w:hAnsi="Times New Roman"/>
          <w:noProof/>
          <w:sz w:val="24"/>
        </w:rPr>
        <w:t>11.</w:t>
      </w:r>
      <w:r>
        <w:rPr>
          <w:noProof/>
        </w:rPr>
        <w:tab/>
      </w:r>
      <w:r>
        <w:rPr>
          <w:rFonts w:ascii="Times New Roman" w:hAnsi="Times New Roman"/>
          <w:noProof/>
          <w:sz w:val="24"/>
        </w:rPr>
        <w:t>Les membres de l’équipe sont exemptés de l'inspection de leurs bagages personnels, à moins qu'il n'existe des motifs sérieux de croire que ceux-ci contiennent des objets qui ne sont pas destinés à l’usage des membres de l’équipe, ou des objets dont l'importation ou l'exportation est interdite par la législation du [</w:t>
      </w:r>
      <w:r>
        <w:rPr>
          <w:rFonts w:ascii="Times New Roman" w:hAnsi="Times New Roman"/>
          <w:i/>
          <w:noProof/>
          <w:sz w:val="24"/>
        </w:rPr>
        <w:t>pays tiers</w:t>
      </w:r>
      <w:r>
        <w:rPr>
          <w:rFonts w:ascii="Times New Roman" w:hAnsi="Times New Roman"/>
          <w:noProof/>
          <w:sz w:val="24"/>
        </w:rPr>
        <w:t>], ou soumise à sa réglementation en matière de quarantaine. L'inspection des bagages personnels ne doit se faire qu'en présence des membres de l’équipe concernés ou d'un représentant autorisé de l’Agence.</w:t>
      </w:r>
    </w:p>
    <w:p>
      <w:pPr>
        <w:spacing w:after="0" w:line="240" w:lineRule="auto"/>
        <w:jc w:val="center"/>
        <w:rPr>
          <w:rFonts w:ascii="Times New Roman Bold" w:hAnsi="Times New Roman Bold" w:cs="Times New Roman"/>
          <w:b/>
          <w:iCs/>
          <w:smallCaps/>
          <w:noProof/>
          <w:sz w:val="24"/>
          <w:szCs w:val="24"/>
        </w:rPr>
      </w:pPr>
      <w:r>
        <w:rPr>
          <w:rFonts w:ascii="Times New Roman Bold" w:hAnsi="Times New Roman Bold"/>
          <w:b/>
          <w:smallCaps/>
          <w:noProof/>
          <w:sz w:val="24"/>
        </w:rPr>
        <w:t>Article 7</w:t>
      </w:r>
    </w:p>
    <w:p>
      <w:pPr>
        <w:spacing w:after="240" w:line="240" w:lineRule="auto"/>
        <w:jc w:val="center"/>
        <w:rPr>
          <w:rFonts w:ascii="Times New Roman Bold" w:hAnsi="Times New Roman Bold" w:cs="Times New Roman"/>
          <w:b/>
          <w:iCs/>
          <w:smallCaps/>
          <w:noProof/>
          <w:sz w:val="24"/>
          <w:szCs w:val="24"/>
        </w:rPr>
      </w:pPr>
      <w:r>
        <w:rPr>
          <w:rFonts w:ascii="Times New Roman Bold" w:hAnsi="Times New Roman Bold"/>
          <w:b/>
          <w:smallCaps/>
          <w:noProof/>
          <w:sz w:val="24"/>
        </w:rPr>
        <w:t>Document d'accréditation</w:t>
      </w:r>
    </w:p>
    <w:p>
      <w:pPr>
        <w:spacing w:before="120" w:after="24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L'Agence, en coopération avec le [</w:t>
      </w:r>
      <w:r>
        <w:rPr>
          <w:rFonts w:ascii="Times New Roman" w:hAnsi="Times New Roman"/>
          <w:i/>
          <w:noProof/>
          <w:sz w:val="24"/>
        </w:rPr>
        <w:t>pays tiers</w:t>
      </w:r>
      <w:r>
        <w:rPr>
          <w:rFonts w:ascii="Times New Roman" w:hAnsi="Times New Roman"/>
          <w:noProof/>
          <w:sz w:val="24"/>
        </w:rPr>
        <w:t>], remet aux membres de l’équipe un document dans la langue officielle du [</w:t>
      </w:r>
      <w:r>
        <w:rPr>
          <w:rFonts w:ascii="Times New Roman" w:hAnsi="Times New Roman"/>
          <w:i/>
          <w:noProof/>
          <w:sz w:val="24"/>
        </w:rPr>
        <w:t>pays tiers</w:t>
      </w:r>
      <w:r>
        <w:rPr>
          <w:rFonts w:ascii="Times New Roman" w:hAnsi="Times New Roman"/>
          <w:noProof/>
          <w:sz w:val="24"/>
        </w:rPr>
        <w:t>] et dans une autre langue officielle des institutions de l'Union européenne aux fins d'identification par les autorités nationales du [</w:t>
      </w:r>
      <w:r>
        <w:rPr>
          <w:rFonts w:ascii="Times New Roman" w:hAnsi="Times New Roman"/>
          <w:i/>
          <w:noProof/>
          <w:sz w:val="24"/>
        </w:rPr>
        <w:t>pays tiers</w:t>
      </w:r>
      <w:r>
        <w:rPr>
          <w:rFonts w:ascii="Times New Roman" w:hAnsi="Times New Roman"/>
          <w:noProof/>
          <w:sz w:val="24"/>
        </w:rPr>
        <w:t>] et de prouver qu'ils sont habilités à accomplir les missions et à exercer les compétences visées à l'article 4 du présent accord et du plan opérationnel. Le document comprend les informations suivantes concernant le membre: le nom et la nationalité; le grade ou l'intitulé du poste; une photo numérique récente et les tâches dont l'exécution est autorisée durant le déploiement.</w:t>
      </w:r>
    </w:p>
    <w:p>
      <w:pPr>
        <w:spacing w:before="120" w:after="24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Le document d’accréditation, assorti d’un document de voyage en cours de validité, donne accès aux membres de l’équipe au [</w:t>
      </w:r>
      <w:r>
        <w:rPr>
          <w:rFonts w:ascii="Times New Roman" w:hAnsi="Times New Roman"/>
          <w:i/>
          <w:noProof/>
          <w:sz w:val="24"/>
        </w:rPr>
        <w:t>pays tiers</w:t>
      </w:r>
      <w:r>
        <w:rPr>
          <w:rFonts w:ascii="Times New Roman" w:hAnsi="Times New Roman"/>
          <w:noProof/>
          <w:sz w:val="24"/>
        </w:rPr>
        <w:t>] sans qu’un visa ou une autorisation préalable ne soient nécessaires.</w:t>
      </w:r>
    </w:p>
    <w:p>
      <w:pPr>
        <w:spacing w:before="120" w:after="36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Le document d’accréditation est renvoyé à l’Agence à la fin de l’action.</w:t>
      </w:r>
    </w:p>
    <w:p>
      <w:pPr>
        <w:spacing w:after="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Article 8</w:t>
      </w:r>
    </w:p>
    <w:p>
      <w:pPr>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Droits fondamentaux</w:t>
      </w:r>
    </w:p>
    <w:p>
      <w:pPr>
        <w:autoSpaceDE w:val="0"/>
        <w:autoSpaceDN w:val="0"/>
        <w:adjustRightInd w:val="0"/>
        <w:spacing w:after="24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Dans l’accomplissement de leurs missions et l’exercice de leurs compétences, les membres de l’équipe respectent pleinement les droits fondamentaux, y compris en ce qui concerne l'accès aux procédures d'asile, la dignité humaine, l'interdiction de la torture,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à l’encontre de personnes pour quelque motif que ce soit, y compris le sexe, la race ou l'origine ethnique, la religion ou les convictions, le handicap, l'âge ou l'orientation sexuelle ou l’identité de genre. Toutes les mesures prises dans l'accomplissement de leurs missions et l'exercice de leurs compétences sont proportionnées aux objectifs poursuivis par de telles mesures et respectent l’essence de ces droits fondamentaux et de ces libertés.</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Chaque partie dispose d’un mécanisme de plainte en cas d’allégations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before="240" w:after="0" w:line="240" w:lineRule="auto"/>
        <w:jc w:val="center"/>
        <w:rPr>
          <w:rFonts w:ascii="Times New Roman" w:hAnsi="Times New Roman"/>
          <w:noProof/>
          <w:sz w:val="24"/>
        </w:rPr>
      </w:pPr>
      <w:r>
        <w:rPr>
          <w:rFonts w:ascii="Times New Roman" w:hAnsi="Times New Roman"/>
          <w:b/>
          <w:smallCaps/>
          <w:noProof/>
          <w:sz w:val="24"/>
        </w:rPr>
        <w:t>Article 9</w:t>
      </w:r>
    </w:p>
    <w:p>
      <w:pPr>
        <w:spacing w:after="240" w:line="240" w:lineRule="auto"/>
        <w:jc w:val="center"/>
        <w:rPr>
          <w:rFonts w:ascii="Times New Roman" w:hAnsi="Times New Roman"/>
          <w:b/>
          <w:smallCaps/>
          <w:noProof/>
          <w:sz w:val="24"/>
        </w:rPr>
      </w:pPr>
      <w:r>
        <w:rPr>
          <w:rFonts w:ascii="Times New Roman" w:hAnsi="Times New Roman"/>
          <w:b/>
          <w:smallCaps/>
          <w:noProof/>
          <w:sz w:val="24"/>
        </w:rPr>
        <w:t>Traitement des données à caractère personnel</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Les données à caractère personnel ne sont traitées que lorsque cela est nécessaire aux fins de la mise en œuvre du présent accord par le [</w:t>
      </w:r>
      <w:r>
        <w:rPr>
          <w:rFonts w:ascii="Times New Roman" w:hAnsi="Times New Roman"/>
          <w:i/>
          <w:noProof/>
          <w:sz w:val="24"/>
        </w:rPr>
        <w:t>pays tiers</w:t>
      </w:r>
      <w:r>
        <w:rPr>
          <w:rFonts w:ascii="Times New Roman" w:hAnsi="Times New Roman"/>
          <w:noProof/>
          <w:sz w:val="24"/>
        </w:rPr>
        <w:t>], l’Agence ou les États membres participants.</w:t>
      </w:r>
    </w:p>
    <w:p>
      <w:pPr>
        <w:spacing w:before="240" w:after="120" w:line="240" w:lineRule="auto"/>
        <w:ind w:left="720" w:hanging="720"/>
        <w:jc w:val="both"/>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Le traitement des données à caractère personnel par le [</w:t>
      </w:r>
      <w:r>
        <w:rPr>
          <w:rFonts w:ascii="Times New Roman" w:hAnsi="Times New Roman"/>
          <w:i/>
          <w:noProof/>
          <w:sz w:val="24"/>
        </w:rPr>
        <w:t>pays tiers</w:t>
      </w:r>
      <w:r>
        <w:rPr>
          <w:rFonts w:ascii="Times New Roman" w:hAnsi="Times New Roman"/>
          <w:noProof/>
          <w:sz w:val="24"/>
        </w:rPr>
        <w:t>] est soumis aux dispositions de sa législation nationale.</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Le traitement des données à caractère personnel par l’Agence et le ou les État membre(s) participants, y compris en cas de transfert de données à caractère personnel au [</w:t>
      </w:r>
      <w:r>
        <w:rPr>
          <w:rFonts w:ascii="Times New Roman" w:hAnsi="Times New Roman"/>
          <w:i/>
          <w:noProof/>
          <w:sz w:val="24"/>
        </w:rPr>
        <w:t>pays tiers</w:t>
      </w:r>
      <w:r>
        <w:rPr>
          <w:rFonts w:ascii="Times New Roman" w:hAnsi="Times New Roman"/>
          <w:noProof/>
          <w:sz w:val="24"/>
        </w:rPr>
        <w:t>], est régi par le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directive 95/46/CE du Parlement européen et du Conseil, du 24 octobre 1995, relative à la protection des personnes physiques à l'égard du traitement des données à caractère personnel et à la libre circulation de ces données, décision-cadre 2008/977/JAI du Conseil du 27 novembre 2008 relative à la protection des données à caractère personnel traitées dans le cadre de la coopération policière et judiciaire en matière pénale et les mesures adoptées par l’agence pour l’application du règlement (CE) n° 45/2001 tel que mentionné à l’article 45, paragraphe 2, du règlement (UE) 2016/1624.</w:t>
      </w:r>
    </w:p>
    <w:p>
      <w:pPr>
        <w:spacing w:before="240" w:after="120" w:line="240" w:lineRule="auto"/>
        <w:ind w:left="720" w:hanging="720"/>
        <w:jc w:val="both"/>
        <w:rPr>
          <w:rFonts w:ascii="Times New Roman" w:hAnsi="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Au cas où le traitement implique le transfert de données à caractère personnel, les États membres et l’Agence indiquent, au moment du transfert des données à caractère personnel au [</w:t>
      </w:r>
      <w:r>
        <w:rPr>
          <w:rFonts w:ascii="Times New Roman" w:hAnsi="Times New Roman"/>
          <w:i/>
          <w:noProof/>
          <w:sz w:val="24"/>
        </w:rPr>
        <w:t>pays tiers</w:t>
      </w:r>
      <w:r>
        <w:rPr>
          <w:rFonts w:ascii="Times New Roman" w:hAnsi="Times New Roman"/>
          <w:noProof/>
          <w:sz w:val="24"/>
        </w:rPr>
        <w:t>],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le [</w:t>
      </w:r>
      <w:r>
        <w:rPr>
          <w:rFonts w:ascii="Times New Roman" w:hAnsi="Times New Roman"/>
          <w:i/>
          <w:noProof/>
          <w:sz w:val="24"/>
        </w:rPr>
        <w:t>pays tiers</w:t>
      </w:r>
      <w:r>
        <w:rPr>
          <w:rFonts w:ascii="Times New Roman" w:hAnsi="Times New Roman"/>
          <w:noProof/>
          <w:sz w:val="24"/>
        </w:rPr>
        <w:t>].</w:t>
      </w:r>
    </w:p>
    <w:p>
      <w:pPr>
        <w:spacing w:before="240" w:after="120" w:line="240" w:lineRule="auto"/>
        <w:ind w:left="720" w:hanging="720"/>
        <w:jc w:val="both"/>
        <w:rPr>
          <w:rFonts w:ascii="Times New Roman" w:hAnsi="Times New Roman"/>
          <w:noProof/>
          <w:sz w:val="24"/>
          <w:szCs w:val="24"/>
        </w:rPr>
      </w:pPr>
      <w:r>
        <w:rPr>
          <w:rFonts w:ascii="Times New Roman" w:hAnsi="Times New Roman"/>
          <w:noProof/>
          <w:sz w:val="24"/>
        </w:rPr>
        <w:t xml:space="preserve">5. </w:t>
      </w:r>
      <w:r>
        <w:rPr>
          <w:noProof/>
        </w:rPr>
        <w:tab/>
      </w:r>
      <w:r>
        <w:rPr>
          <w:rFonts w:ascii="Times New Roman" w:hAnsi="Times New Roman"/>
          <w:noProof/>
          <w:sz w:val="24"/>
        </w:rPr>
        <w:t>Les données à caractère personnel collectées à des fins administratives au cours de l’action peuvent être traitées par l’Agence, les États membres participants et le [</w:t>
      </w:r>
      <w:r>
        <w:rPr>
          <w:rFonts w:ascii="Times New Roman" w:hAnsi="Times New Roman"/>
          <w:i/>
          <w:noProof/>
          <w:sz w:val="24"/>
        </w:rPr>
        <w:t>pays tiers</w:t>
      </w:r>
      <w:r>
        <w:rPr>
          <w:rFonts w:ascii="Times New Roman" w:hAnsi="Times New Roman"/>
          <w:noProof/>
          <w:sz w:val="24"/>
        </w:rPr>
        <w:t>] conformément à la législation applicable en matière de protection des données.</w:t>
      </w:r>
    </w:p>
    <w:p>
      <w:pPr>
        <w:spacing w:before="240" w:after="360" w:line="240" w:lineRule="auto"/>
        <w:ind w:left="720" w:hanging="720"/>
        <w:jc w:val="both"/>
        <w:rPr>
          <w:rFonts w:ascii="Times New Roman" w:hAnsi="Times New Roman"/>
          <w:noProof/>
          <w:sz w:val="24"/>
          <w:szCs w:val="24"/>
        </w:rPr>
      </w:pPr>
      <w:r>
        <w:rPr>
          <w:rFonts w:ascii="Times New Roman" w:hAnsi="Times New Roman"/>
          <w:noProof/>
          <w:sz w:val="24"/>
        </w:rPr>
        <w:t>6.</w:t>
      </w:r>
      <w:r>
        <w:rPr>
          <w:noProof/>
        </w:rPr>
        <w:tab/>
      </w:r>
      <w:r>
        <w:rPr>
          <w:rFonts w:ascii="Times New Roman" w:hAnsi="Times New Roman"/>
          <w:noProof/>
          <w:sz w:val="24"/>
        </w:rPr>
        <w:t>L’Agence, les États membres participants et le [</w:t>
      </w:r>
      <w:r>
        <w:rPr>
          <w:rFonts w:ascii="Times New Roman" w:hAnsi="Times New Roman"/>
          <w:i/>
          <w:noProof/>
          <w:sz w:val="24"/>
        </w:rPr>
        <w:t>pays tiers</w:t>
      </w:r>
      <w:r>
        <w:rPr>
          <w:rFonts w:ascii="Times New Roman" w:hAnsi="Times New Roman"/>
          <w:noProof/>
          <w:sz w:val="24"/>
        </w:rPr>
        <w:t>] établissent un rapport conjoint sur l’application des paragraphes 1 et 5 du présent article à la fin de chaque action. Ce rapport est transmis à l’officier aux droits fondamentaux et à l’officier à la protection des données. Ils font rapport au directeur exécutif de l’agence.</w:t>
      </w:r>
    </w:p>
    <w:p>
      <w:pPr>
        <w:spacing w:after="0" w:line="240" w:lineRule="auto"/>
        <w:jc w:val="center"/>
        <w:rPr>
          <w:rFonts w:ascii="Times New Roman" w:eastAsia="Times New Roman" w:hAnsi="Times New Roman" w:cs="Times New Roman"/>
          <w:b/>
          <w:bCs/>
          <w:smallCaps/>
          <w:noProof/>
          <w:sz w:val="24"/>
          <w:szCs w:val="24"/>
        </w:rPr>
      </w:pPr>
      <w:r>
        <w:rPr>
          <w:rFonts w:ascii="Times New Roman" w:hAnsi="Times New Roman"/>
          <w:b/>
          <w:smallCaps/>
          <w:noProof/>
          <w:sz w:val="24"/>
        </w:rPr>
        <w:t>Article 10</w:t>
      </w:r>
    </w:p>
    <w:p>
      <w:pPr>
        <w:spacing w:after="240" w:line="240" w:lineRule="auto"/>
        <w:jc w:val="center"/>
        <w:rPr>
          <w:rFonts w:ascii="Times New Roman" w:eastAsia="Times New Roman" w:hAnsi="Times New Roman" w:cs="Times New Roman"/>
          <w:b/>
          <w:bCs/>
          <w:smallCaps/>
          <w:noProof/>
          <w:sz w:val="24"/>
          <w:szCs w:val="24"/>
        </w:rPr>
      </w:pPr>
      <w:r>
        <w:rPr>
          <w:rFonts w:ascii="Times New Roman" w:hAnsi="Times New Roman"/>
          <w:b/>
          <w:smallCaps/>
          <w:noProof/>
          <w:sz w:val="24"/>
        </w:rPr>
        <w:t>Litiges et interprétation</w:t>
      </w:r>
    </w:p>
    <w:p>
      <w:pPr>
        <w:spacing w:after="24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Toutes les questions liées à l'interprétation ou à l’application du présent accord sont examinées conjointement par des représentants de l'Agence et les autorités compétentes de [</w:t>
      </w:r>
      <w:r>
        <w:rPr>
          <w:rFonts w:ascii="Times New Roman" w:hAnsi="Times New Roman"/>
          <w:i/>
          <w:noProof/>
          <w:sz w:val="24"/>
        </w:rPr>
        <w:t>pays tiers</w:t>
      </w:r>
      <w:r>
        <w:rPr>
          <w:rFonts w:ascii="Times New Roman" w:hAnsi="Times New Roman"/>
          <w:noProof/>
          <w:sz w:val="24"/>
        </w:rPr>
        <w:t>].</w:t>
      </w:r>
    </w:p>
    <w:p>
      <w:pPr>
        <w:spacing w:after="360" w:line="240" w:lineRule="auto"/>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 À défaut de règlement préalable, les différends portant sur l'interprétation ou l'application du présent accord sont réglés exclusivement par la voie de la négociation entre le [</w:t>
      </w:r>
      <w:r>
        <w:rPr>
          <w:rFonts w:ascii="Times New Roman" w:hAnsi="Times New Roman"/>
          <w:i/>
          <w:noProof/>
          <w:sz w:val="24"/>
        </w:rPr>
        <w:t>pays tiers</w:t>
      </w:r>
      <w:r>
        <w:rPr>
          <w:rFonts w:ascii="Times New Roman" w:hAnsi="Times New Roman"/>
          <w:noProof/>
          <w:sz w:val="24"/>
        </w:rPr>
        <w:t>] et la Commission européenne, qui, toutes les fois où elle le jugera nécessaire, consultera l’État membre voisin du pays tiers.</w:t>
      </w:r>
    </w:p>
    <w:p>
      <w:pPr>
        <w:tabs>
          <w:tab w:val="left" w:pos="4111"/>
        </w:tabs>
        <w:spacing w:after="0" w:line="240" w:lineRule="auto"/>
        <w:jc w:val="center"/>
        <w:rPr>
          <w:rFonts w:ascii="Times New Roman Bold" w:hAnsi="Times New Roman Bold"/>
          <w:b/>
          <w:smallCaps/>
          <w:noProof/>
          <w:sz w:val="24"/>
        </w:rPr>
      </w:pPr>
      <w:r>
        <w:rPr>
          <w:rFonts w:ascii="Times New Roman Bold" w:hAnsi="Times New Roman Bold"/>
          <w:b/>
          <w:smallCaps/>
          <w:noProof/>
          <w:sz w:val="24"/>
        </w:rPr>
        <w:t>Article 11</w:t>
      </w:r>
    </w:p>
    <w:p>
      <w:pPr>
        <w:tabs>
          <w:tab w:val="left" w:pos="4111"/>
        </w:tabs>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Entrée en vigueur, durée et résiliation du présent accord</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Le présent accord est approuvé par les parties selon les procédures internes légales qui leur sont propres.</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Le présent accord entre en vigueur le premier jour du deuxième mois suivant la date à laquelle les parties se notifient mutuellement l'accomplissement des procédures légales internes visées au paragraphe 1.</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Le présent accord est conclu pour une durée illimitée. Chaque partie peut notifier par écrit à l'autre partie son intention de résilier le présent accord. La résiliation prend effet six mois après la date de notification.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 xml:space="preserve">Le présent accord peut être résilié sur la base d'un accord écrit conclu entre les parties ou unilatéralement par chaque partie. Dans ce dernier cas, la partie qui souhaite résilier l’accord le notifie par écrit à l’autre partie. La résiliation prend effet le premier jour du moins suivant celui au cours duquel la notification a été donnée.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Les notifications effectuées conformément au présent article sont adressées, en ce qui concerne l’Union européenne, au Secrétariat général du Conseil de l’Union européenne et, en ce qui concerne le [</w:t>
      </w:r>
      <w:r>
        <w:rPr>
          <w:rFonts w:ascii="Times New Roman" w:hAnsi="Times New Roman"/>
          <w:i/>
          <w:noProof/>
          <w:sz w:val="24"/>
        </w:rPr>
        <w:t>pays tiers</w:t>
      </w:r>
      <w:r>
        <w:rPr>
          <w:rFonts w:ascii="Times New Roman" w:hAnsi="Times New Roman"/>
          <w:noProof/>
          <w:sz w:val="24"/>
        </w:rPr>
        <w:t>], à [</w:t>
      </w:r>
      <w:r>
        <w:rPr>
          <w:rFonts w:ascii="Times New Roman" w:hAnsi="Times New Roman"/>
          <w:i/>
          <w:noProof/>
          <w:sz w:val="24"/>
        </w:rPr>
        <w:t>à déterminer</w:t>
      </w:r>
      <w:r>
        <w:rPr>
          <w:rFonts w:ascii="Times New Roman" w:hAnsi="Times New Roman"/>
          <w:noProof/>
          <w:sz w:val="24"/>
        </w:rPr>
        <w:t>].</w:t>
      </w:r>
    </w:p>
    <w:p>
      <w:pPr>
        <w:tabs>
          <w:tab w:val="left" w:pos="4111"/>
        </w:tabs>
        <w:spacing w:after="0" w:line="240" w:lineRule="auto"/>
        <w:jc w:val="both"/>
        <w:rPr>
          <w:rFonts w:ascii="Times New Roman" w:hAnsi="Times New Roman" w:cs="Times New Roman"/>
          <w:noProof/>
          <w:sz w:val="16"/>
          <w:szCs w:val="16"/>
        </w:rPr>
      </w:pPr>
    </w:p>
    <w:p>
      <w:pPr>
        <w:tabs>
          <w:tab w:val="left" w:pos="4111"/>
        </w:tabs>
        <w:spacing w:after="120" w:line="240" w:lineRule="auto"/>
        <w:jc w:val="both"/>
        <w:rPr>
          <w:rFonts w:ascii="Times New Roman" w:eastAsia="Times New Roman" w:hAnsi="Times New Roman" w:cs="Times New Roman"/>
          <w:noProof/>
          <w:color w:val="444444"/>
          <w:sz w:val="24"/>
          <w:szCs w:val="24"/>
        </w:rPr>
      </w:pPr>
      <w:r>
        <w:rPr>
          <w:rFonts w:ascii="Times New Roman" w:hAnsi="Times New Roman"/>
          <w:noProof/>
          <w:sz w:val="24"/>
        </w:rPr>
        <w:t>Fait à …. le …… en langues [</w:t>
      </w:r>
      <w:r>
        <w:rPr>
          <w:rFonts w:ascii="Times New Roman" w:hAnsi="Times New Roman"/>
          <w:i/>
          <w:noProof/>
          <w:sz w:val="24"/>
        </w:rPr>
        <w:t>une des langues de l’Union</w:t>
      </w:r>
      <w:r>
        <w:rPr>
          <w:rFonts w:ascii="Times New Roman" w:hAnsi="Times New Roman"/>
          <w:noProof/>
          <w:sz w:val="24"/>
        </w:rPr>
        <w:t>] et [</w:t>
      </w:r>
      <w:r>
        <w:rPr>
          <w:rFonts w:ascii="Times New Roman" w:hAnsi="Times New Roman"/>
          <w:i/>
          <w:noProof/>
          <w:sz w:val="24"/>
        </w:rPr>
        <w:t>langue(s) du pays tiers</w:t>
      </w:r>
      <w:r>
        <w:rPr>
          <w:rFonts w:ascii="Times New Roman" w:hAnsi="Times New Roman"/>
          <w:noProof/>
          <w:sz w:val="24"/>
        </w:rPr>
        <w:t>], les deux textes faisant également foi.</w:t>
      </w:r>
    </w:p>
    <w:p>
      <w:pPr>
        <w:spacing w:before="120" w:line="240" w:lineRule="auto"/>
        <w:jc w:val="both"/>
        <w:rPr>
          <w:rFonts w:ascii="Times New Roman" w:hAnsi="Times New Roman"/>
          <w:noProof/>
          <w:sz w:val="24"/>
        </w:rPr>
      </w:pP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Signature(s):</w:t>
      </w:r>
    </w:p>
    <w:tbl>
      <w:tblPr>
        <w:tblStyle w:val="TableGrid"/>
        <w:tblW w:w="0" w:type="auto"/>
        <w:jc w:val="center"/>
        <w:tblInd w:w="-1445" w:type="dxa"/>
        <w:tblLook w:val="04A0" w:firstRow="1" w:lastRow="0" w:firstColumn="1" w:lastColumn="0" w:noHBand="0" w:noVBand="1"/>
      </w:tblPr>
      <w:tblGrid>
        <w:gridCol w:w="4541"/>
        <w:gridCol w:w="4529"/>
      </w:tblGrid>
      <w:tr>
        <w:trPr>
          <w:jc w:val="center"/>
        </w:trPr>
        <w:tc>
          <w:tcPr>
            <w:tcW w:w="4541" w:type="dxa"/>
          </w:tcPr>
          <w:p>
            <w:pPr>
              <w:spacing w:before="120"/>
              <w:rPr>
                <w:rFonts w:ascii="Times New Roman" w:eastAsia="Times New Roman" w:hAnsi="Times New Roman" w:cs="Times New Roman"/>
                <w:noProof/>
                <w:sz w:val="24"/>
                <w:szCs w:val="24"/>
              </w:rPr>
            </w:pPr>
            <w:r>
              <w:rPr>
                <w:rFonts w:ascii="Times New Roman" w:hAnsi="Times New Roman"/>
                <w:noProof/>
                <w:sz w:val="24"/>
              </w:rPr>
              <w:t>Pour l'Union européenne</w:t>
            </w:r>
          </w:p>
          <w:p>
            <w:pPr>
              <w:spacing w:before="120"/>
              <w:jc w:val="center"/>
              <w:rPr>
                <w:rFonts w:ascii="Times New Roman" w:eastAsia="Times New Roman" w:hAnsi="Times New Roman" w:cs="Times New Roman"/>
                <w:noProof/>
                <w:sz w:val="24"/>
                <w:szCs w:val="24"/>
              </w:rPr>
            </w:pPr>
          </w:p>
        </w:tc>
        <w:tc>
          <w:tcPr>
            <w:tcW w:w="4529" w:type="dxa"/>
          </w:tcPr>
          <w:p>
            <w:pPr>
              <w:spacing w:before="120"/>
              <w:rPr>
                <w:rFonts w:ascii="Times New Roman" w:eastAsia="Times New Roman" w:hAnsi="Times New Roman" w:cs="Times New Roman"/>
                <w:noProof/>
                <w:sz w:val="24"/>
                <w:szCs w:val="24"/>
              </w:rPr>
            </w:pPr>
            <w:r>
              <w:rPr>
                <w:rFonts w:ascii="Times New Roman" w:hAnsi="Times New Roman"/>
                <w:noProof/>
                <w:sz w:val="24"/>
              </w:rPr>
              <w:t>et [</w:t>
            </w:r>
            <w:r>
              <w:rPr>
                <w:rFonts w:ascii="Times New Roman" w:hAnsi="Times New Roman"/>
                <w:i/>
                <w:noProof/>
                <w:sz w:val="24"/>
              </w:rPr>
              <w:t>pays tiers</w:t>
            </w:r>
            <w:r>
              <w:rPr>
                <w:rFonts w:ascii="Times New Roman" w:hAnsi="Times New Roman"/>
                <w:noProof/>
                <w:sz w:val="24"/>
              </w:rPr>
              <w:t>],</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097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73C652D8"/>
    <w:multiLevelType w:val="hybridMultilevel"/>
    <w:tmpl w:val="DA92BF12"/>
    <w:lvl w:ilvl="0" w:tplc="B744461A">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CEC63D9C16424B11B0CEC4F6E0836D18"/>
    <w:docVar w:name="LW_CROSSREFERENCE" w:val="&lt;UNUSED&gt;"/>
    <w:docVar w:name="LW_DocType" w:val="NORMAL"/>
    <w:docVar w:name="LW_EMISSION" w:val="22.11.2016"/>
    <w:docVar w:name="LW_EMISSION_ISODATE" w:val="2016-11-22"/>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elative à un modèle d'accord sur le statut, tel que visé à l'article 54, paragraphe 5, du règlement (UE) 2016/1624 du Parlement européen et du Conseil du 14 septembre 2016 relatif au corps européen de garde-frontières et de garde-côtes_x000b_"/>
    <w:docVar w:name="LW_PART_NBR" w:val="1"/>
    <w:docVar w:name="LW_PART_NBR_TOTAL" w:val="1"/>
    <w:docVar w:name="LW_REF.INST.NEW" w:val="COM"/>
    <w:docVar w:name="LW_REF.INST.NEW_ADOPTED" w:val="final"/>
    <w:docVar w:name="LW_REF.INST.NEW_TEXT" w:val="(2016) 747"/>
    <w:docVar w:name="LW_REF.INTERNE" w:val="&lt;UNUSED&gt;"/>
    <w:docVar w:name="LW_SUPERTITRE" w:val="&lt;UNUSED&gt;"/>
    <w:docVar w:name="LW_TITRE.OBJ.CP" w:val="&lt;UNUSED&gt;"/>
    <w:docVar w:name="LW_TYPE.DOC.CP" w:val="ANNEXE_x000b_"/>
    <w:docVar w:name="LW_TYPEACTEPRINCIPAL.CP" w:val="_x000b_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570F-6162-4816-94C4-1682A329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3236</Words>
  <Characters>18063</Characters>
  <Application>Microsoft Office Word</Application>
  <DocSecurity>0</DocSecurity>
  <Lines>334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MATERNE Tristan (ENTR)</dc:creator>
  <cp:lastModifiedBy>DIGIT/A3</cp:lastModifiedBy>
  <cp:revision>14</cp:revision>
  <cp:lastPrinted>2016-11-11T14:57:00Z</cp:lastPrinted>
  <dcterms:created xsi:type="dcterms:W3CDTF">2016-11-18T09:47:00Z</dcterms:created>
  <dcterms:modified xsi:type="dcterms:W3CDTF">2016-12-13T08:59:00Z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