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3011BA82BDE40D4AE63477E9F2175B9" style="width:450.75pt;height:456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jc w:val="center"/>
        <w:rPr>
          <w:rFonts w:ascii="Times New Roman" w:hAnsi="Times New Roman" w:cs="Times New Roman"/>
          <w:b/>
          <w:noProof/>
          <w:sz w:val="24"/>
          <w:szCs w:val="24"/>
          <w:lang w:val="bg-BG"/>
        </w:rPr>
      </w:pPr>
      <w:bookmarkStart w:id="1" w:name="_GoBack"/>
      <w:bookmarkEnd w:id="1"/>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В стартираната днес от Комисията инициатива сградите се разглеждат като съществена част от европейския преход към чиста енергия. </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Целта е чрез насочване на вниманието към местата, където живеем и работим, да се разработи цялостен интегриран подход, чрез който енергийната ефективност да се постави на първо място, да се допринесе за постигането на водеща роля на ЕС в световен мащаб в областта на възобновяемите енергийни източници и да се осигурят справедливи сделки за потребителите по начин, който да помогне на държавите членки да изпълнят своите цели в областта на енергетиката и климата за 2020 и 2030 г. </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Ползите от такъв интегриран подход са ясни:</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мобилизиране на инвестиции на национално, областно и местно равнище, както и стимулиране на растежа и създаването на работни места, със същевременно насърчаване на иновациите и професионалните умения;</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икономии на енергия, които водят до по-ниски експлоатационни разходи, по-здравословен начин на живот и по-здравословна работна среда за гражданите; </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намаляване на енергийната бедност, със специална насоченост към енергийно неефективните социални жилища и обществени сгради; </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постепенна децентрализация на енергийната система на Европа чрез използване на устойчиво развита енергия в сградите;</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включване на сградите към свързана енергийна, енергоакумулираща, цифрова и транспортна система, което ще допринесе за европейската стратегия за транспортна мобилност с ниски емисии;</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увеличаване на правата и възможностите на домакинствата, предприятията и енергийните общности; и</w:t>
      </w:r>
    </w:p>
    <w:p>
      <w:pPr>
        <w:pStyle w:val="ListParagraph"/>
        <w:numPr>
          <w:ilvl w:val="0"/>
          <w:numId w:val="16"/>
        </w:num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принос към кръговратната икономика.</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Само строителната промишленост създава 18 милиона преки работни места в Европа и генерира 9 % от брутния вътрешен продукт (БВП)</w:t>
      </w:r>
      <w:r>
        <w:rPr>
          <w:rStyle w:val="FootnoteReference"/>
          <w:rFonts w:ascii="Times New Roman" w:hAnsi="Times New Roman"/>
          <w:noProof/>
          <w:sz w:val="24"/>
          <w:lang w:val="bg-BG"/>
        </w:rPr>
        <w:footnoteReference w:id="1"/>
      </w:r>
      <w:r>
        <w:rPr>
          <w:noProof/>
          <w:lang w:val="bg-BG"/>
        </w:rPr>
        <w:t>.</w:t>
      </w:r>
      <w:r>
        <w:rPr>
          <w:rFonts w:ascii="Times New Roman" w:hAnsi="Times New Roman"/>
          <w:noProof/>
          <w:sz w:val="24"/>
          <w:lang w:val="bg-BG"/>
        </w:rPr>
        <w:t xml:space="preserve"> </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Европейската строителна промишленост има потенциал да отговори на редица икономически и обществени предизвикателства, като например създаване на работни места и стопански растеж, по-голяма урбанизация, социална мрежа и цифровизирана комуникация, демографски промени и глобализирани вериги за създаване на стойност, екологични натоварвания, и същевременно на предизвикателства в областта на енергетиката и изменението на климата. Сградите могат да бъдат една от движещите сили за модернизация на сектора и неговата работна сила.</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ЕС вече е световен лидер в областта на иновационните системи за сгради. Интегрирането на енергийната ефективност, възобновяемите енергийни източници, акумулирането на енергия и свързването към цифрови и транспортни системи при сградите дава възможност за по-нататъшно разширяване на тази водеща роля и използване по най-добрия начин на благоприятната регулаторна рамка.</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Днес на сградите се падат 40 % от общото енергопотребление в Европа. Около 75-процентов дял от сградния фонд не е енергоефективен. При сегашния темп на саниране на 1 % от сградния фонд годишно, за неговото декарбонизиране до модерни нисковъглеродни равнища ще бъде необходим около един век</w:t>
      </w:r>
      <w:r>
        <w:rPr>
          <w:rStyle w:val="FootnoteReference"/>
          <w:rFonts w:ascii="Times New Roman" w:hAnsi="Times New Roman"/>
          <w:noProof/>
          <w:sz w:val="24"/>
          <w:lang w:val="bg-BG"/>
        </w:rPr>
        <w:footnoteReference w:id="2"/>
      </w:r>
      <w:r>
        <w:rPr>
          <w:noProof/>
          <w:lang w:val="bg-BG"/>
        </w:rPr>
        <w:t>.</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За реализирането на потенциала на сградите за енергийна устойчивост трябва да бъдат преодолени редица </w:t>
      </w:r>
      <w:r>
        <w:rPr>
          <w:rFonts w:ascii="Times New Roman" w:hAnsi="Times New Roman"/>
          <w:b/>
          <w:noProof/>
          <w:sz w:val="24"/>
          <w:lang w:val="bg-BG"/>
        </w:rPr>
        <w:t>социални, финансови и технически препятствия или административни предизвикателства</w:t>
      </w:r>
      <w:r>
        <w:rPr>
          <w:rFonts w:ascii="Times New Roman" w:hAnsi="Times New Roman"/>
          <w:noProof/>
          <w:sz w:val="24"/>
          <w:lang w:val="bg-BG"/>
        </w:rPr>
        <w:t>. Така например при редовната поддръжка или подобренията на сградите често се пренебрегват инвестициите в енергийна устойчивост, тъй като е налице конкуренция за оскъдния капитал, липса на достоверна информация и липса на квалифицирани работници, или има съмнения относно възможните ползи.</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Освен това редица разработчици на проекти все още се сблъскват с препятствия при обезпечаването на необходимите първоначални разходи за проектите си и нямат достъп до привлекателни и подходящи финансови продукти на пазара. Тази неефективност на пазара се дължи главно на липсата на разбиране от финансистите и инвеститорите на рисковете, многобройните ползи и икономическата обосновка на инвестициите в енергийна устойчивост, по-специално в енергийна ефективност. В допълнение малкият размер на инвестициите и липсата на решения „до ключ“ увеличават разходите за изпълнение, а липсата на капацитет и умения за структуриране на подходящи за банково финансиране проекти са фактори за ниското търсене на финансиране.</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Ролята на политиката за устойчиво енергийно развитие е да подпомага потребителите по-лесно да предприемат тези инвестиции и да създава по-благоприятни условия за инвестиции. Когато санират домовете си, потребителите трябва да имат възможност да избират по-ефективни решения, като разчитат на прозрачна, ясна и навременна информация относно потреблението и свързаните с него разходи. При санирането на обществени сгради, като например болници, училища, социални жилища или офиси, публичните органи следва да имат възможност за достъп до привлекателни финансови решения и да се възползват от иновативни енергийни услуги, например под формата на договори за енергоспестяване с гарантиран резултат.</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Наред със създаването на правилната регулаторна рамка, по-специално предложението за изменение на Директивата относно енергийната ефективност и Директивата относно енергийните характеристики на сградите, е налице необходимост от допълващи действия в подкрепа на бързите промени в реалната икономика и разглеждане без отлагане на въпроса за финансирането.</w:t>
      </w:r>
    </w:p>
    <w:p>
      <w:pPr>
        <w:spacing w:after="240" w:line="240" w:lineRule="auto"/>
        <w:jc w:val="both"/>
        <w:rPr>
          <w:rFonts w:ascii="Times New Roman" w:eastAsia="Times New Roman" w:hAnsi="Times New Roman" w:cs="Times New Roman"/>
          <w:b/>
          <w:noProof/>
          <w:sz w:val="24"/>
          <w:szCs w:val="24"/>
          <w:lang w:val="bg-BG"/>
        </w:rPr>
      </w:pPr>
      <w:r>
        <w:rPr>
          <w:rFonts w:ascii="Times New Roman" w:hAnsi="Times New Roman"/>
          <w:b/>
          <w:noProof/>
          <w:sz w:val="24"/>
          <w:lang w:val="bg-BG"/>
        </w:rPr>
        <w:t xml:space="preserve">1. </w:t>
      </w:r>
      <w:r>
        <w:rPr>
          <w:noProof/>
          <w:lang w:val="bg-BG"/>
        </w:rPr>
        <w:tab/>
      </w:r>
      <w:r>
        <w:rPr>
          <w:rFonts w:ascii="Times New Roman" w:hAnsi="Times New Roman"/>
          <w:b/>
          <w:noProof/>
          <w:sz w:val="24"/>
          <w:lang w:val="bg-BG"/>
        </w:rPr>
        <w:t>Интелигентно финансиране за интелигентни сгради</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Санирането на сградите за постигане на енергийна устойчивост е област, в която обединяването на проекти и публичните гаранции могат да доведат до огромна промяна. Като част от Плана за инвестиции за Европа, Европейският фонд за стратегически инвестиции (ЕФСИ) 2.0</w:t>
      </w:r>
      <w:r>
        <w:rPr>
          <w:rStyle w:val="FootnoteReference"/>
          <w:rFonts w:ascii="Times New Roman" w:hAnsi="Times New Roman"/>
          <w:noProof/>
          <w:sz w:val="24"/>
          <w:lang w:val="bg-BG"/>
        </w:rPr>
        <w:footnoteReference w:id="3"/>
      </w:r>
      <w:r>
        <w:rPr>
          <w:rFonts w:ascii="Times New Roman" w:hAnsi="Times New Roman"/>
          <w:noProof/>
          <w:sz w:val="24"/>
          <w:lang w:val="bg-BG"/>
        </w:rPr>
        <w:t xml:space="preserve"> има ключово значение за стимулиране на частното финансиране </w:t>
      </w:r>
      <w:r>
        <w:rPr>
          <w:rFonts w:ascii="Times New Roman" w:hAnsi="Times New Roman"/>
          <w:b/>
          <w:noProof/>
          <w:sz w:val="24"/>
          <w:lang w:val="bg-BG"/>
        </w:rPr>
        <w:t>в по-голям мащаб за енергийна ефективност и възобновяеми енергийни източници в сградите</w:t>
      </w:r>
      <w:r>
        <w:rPr>
          <w:rFonts w:ascii="Times New Roman" w:hAnsi="Times New Roman"/>
          <w:noProof/>
          <w:sz w:val="24"/>
          <w:lang w:val="bg-BG"/>
        </w:rPr>
        <w:t xml:space="preserve">. </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Енергийната ефективност и възобновяемите енергийни източници вече са видимо застъпени в проекти по ЕФСИ. Така например по-голямата част от енергийните проекти, одобрени за финансиране до момента (които представляват 22 % от общо 154 милиарда евро инвестиции), са свързани с енергийната ефективност и сектора на възобновяемата енергия. Въз основа на успеха на ЕФСИ Комисията предложи фондът да продължи да съществува до края на 2020 г. и да се изисква </w:t>
      </w:r>
      <w:r>
        <w:rPr>
          <w:rFonts w:ascii="Times New Roman" w:hAnsi="Times New Roman"/>
          <w:b/>
          <w:noProof/>
          <w:sz w:val="24"/>
          <w:lang w:val="bg-BG"/>
        </w:rPr>
        <w:t>най-малко 40 % от проектите по ЕФСИ</w:t>
      </w:r>
      <w:r>
        <w:rPr>
          <w:rFonts w:ascii="Times New Roman" w:hAnsi="Times New Roman"/>
          <w:noProof/>
          <w:sz w:val="24"/>
          <w:lang w:val="bg-BG"/>
        </w:rPr>
        <w:t xml:space="preserve"> в областта на инфраструктурата и иновациите да допринасят за действия, свързани с климата, енергетиката и околната среда в съответствие с </w:t>
      </w:r>
      <w:r>
        <w:rPr>
          <w:rFonts w:ascii="Times New Roman" w:hAnsi="Times New Roman"/>
          <w:b/>
          <w:noProof/>
          <w:sz w:val="24"/>
          <w:lang w:val="bg-BG"/>
        </w:rPr>
        <w:t>целите на Парижкото споразумение за климата (COP21)</w:t>
      </w:r>
      <w:r>
        <w:rPr>
          <w:rFonts w:ascii="Times New Roman" w:hAnsi="Times New Roman"/>
          <w:noProof/>
          <w:sz w:val="24"/>
          <w:lang w:val="bg-BG"/>
        </w:rPr>
        <w:t>. Това е голяма възможност и конкретен принос за увеличаване на публичните и частните средства в подкрепа на прехода към нисковъглеродна кръговратна икономика. Подкрепата от Европейския фонд за стратегически инвестиции може да допълва или да се комбинира с подкрепа под формата на</w:t>
      </w:r>
      <w:r>
        <w:rPr>
          <w:rFonts w:ascii="Times New Roman" w:hAnsi="Times New Roman"/>
          <w:b/>
          <w:noProof/>
          <w:sz w:val="24"/>
          <w:lang w:val="bg-BG"/>
        </w:rPr>
        <w:t xml:space="preserve"> безвъзмездни средства или финансови продукти</w:t>
      </w:r>
      <w:r>
        <w:rPr>
          <w:rFonts w:ascii="Times New Roman" w:hAnsi="Times New Roman"/>
          <w:noProof/>
          <w:sz w:val="24"/>
          <w:lang w:val="bg-BG"/>
        </w:rPr>
        <w:t xml:space="preserve"> от други фондове на ЕС, включително от европейските структурни и инвестиционни фондове. </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През периода 2014 — 2020 г. 17 милиарда евро от </w:t>
      </w:r>
      <w:r>
        <w:rPr>
          <w:rFonts w:ascii="Times New Roman" w:hAnsi="Times New Roman"/>
          <w:b/>
          <w:noProof/>
          <w:sz w:val="24"/>
          <w:lang w:val="bg-BG"/>
        </w:rPr>
        <w:t>Европейския фонд за регионално развитие и Кохезионния фонд</w:t>
      </w:r>
      <w:r>
        <w:rPr>
          <w:rFonts w:ascii="Times New Roman" w:hAnsi="Times New Roman"/>
          <w:noProof/>
          <w:sz w:val="24"/>
          <w:lang w:val="bg-BG"/>
        </w:rPr>
        <w:t xml:space="preserve"> ще бъдат инвестирани в енергийна ефективност в публични и жилищни сгради и в предприятия с акцент върху малките и средните предприятия (МСП)</w:t>
      </w:r>
      <w:r>
        <w:rPr>
          <w:rStyle w:val="FootnoteReference"/>
          <w:rFonts w:ascii="Times New Roman" w:hAnsi="Times New Roman"/>
          <w:noProof/>
          <w:sz w:val="24"/>
          <w:lang w:val="bg-BG"/>
        </w:rPr>
        <w:footnoteReference w:id="4"/>
      </w:r>
      <w:r>
        <w:rPr>
          <w:rFonts w:ascii="Times New Roman" w:hAnsi="Times New Roman"/>
          <w:noProof/>
          <w:sz w:val="24"/>
          <w:lang w:val="bg-BG"/>
        </w:rPr>
        <w:t>. Това е три пъти повече отколкото през предходния период и потвърждава ангажимента и значението, които държавите членки и регионите отдават на енергийната ефективност. Съществува възможност да се набере много по-голяма сума от национално публично и частно съфинансиране, като се достигне обща сума от приблизително 27 милиарда евро</w:t>
      </w:r>
      <w:r>
        <w:rPr>
          <w:rStyle w:val="FootnoteReference"/>
          <w:rFonts w:ascii="Times New Roman" w:hAnsi="Times New Roman"/>
          <w:noProof/>
          <w:sz w:val="24"/>
          <w:lang w:val="bg-BG"/>
        </w:rPr>
        <w:footnoteReference w:id="5"/>
      </w:r>
      <w:r>
        <w:rPr>
          <w:rFonts w:ascii="Times New Roman" w:hAnsi="Times New Roman"/>
          <w:noProof/>
          <w:sz w:val="24"/>
          <w:lang w:val="bg-BG"/>
        </w:rPr>
        <w:t>. Една от целите на Плана за инвестиции за Европа е най-малко да се удвои използването на финансовите инструменти по линия на европейските структурни и инвестиционни фондове, за да се мобилизира допълнително частно финансиране и да се подпомогне създаването на жизнеспособни пазари. Държавите членки и областите вече планират да инвестират близо 6,4 милиарда евро</w:t>
      </w:r>
      <w:r>
        <w:rPr>
          <w:rStyle w:val="FootnoteReference"/>
          <w:rFonts w:ascii="Times New Roman" w:hAnsi="Times New Roman"/>
          <w:noProof/>
          <w:sz w:val="24"/>
          <w:lang w:val="bg-BG"/>
        </w:rPr>
        <w:footnoteReference w:id="6"/>
      </w:r>
      <w:r>
        <w:rPr>
          <w:rFonts w:ascii="Times New Roman" w:hAnsi="Times New Roman"/>
          <w:noProof/>
          <w:sz w:val="24"/>
          <w:lang w:val="bg-BG"/>
        </w:rPr>
        <w:t xml:space="preserve"> чрез финансови инструменти за нисковъглеродни цели, главно в енергийна ефективност; това е повече от осемкратно увеличение в сравнение с периода 2007 — 2013 г.</w:t>
      </w:r>
      <w:r>
        <w:rPr>
          <w:rStyle w:val="FootnoteReference"/>
          <w:rFonts w:ascii="Times New Roman" w:hAnsi="Times New Roman"/>
          <w:noProof/>
          <w:sz w:val="24"/>
          <w:lang w:val="bg-BG"/>
        </w:rPr>
        <w:footnoteReference w:id="7"/>
      </w:r>
      <w:r>
        <w:rPr>
          <w:noProof/>
          <w:lang w:val="bg-BG"/>
        </w:rPr>
        <w:t>.</w:t>
      </w:r>
    </w:p>
    <w:p>
      <w:pPr>
        <w:spacing w:after="24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Въз основа на Плана за инвестиции за Европа и европейските структурни и инвестиционни фондове Комисията ще стартира инициатива за по-нататъшно засилване на инвестициите в енергийна ефективност и интелигентни сгради от страна на предприятия в публичния сектор, дружества за енергийни услуги (ESCO), МСП/дружества със средна капитализация и домакинства. Тази нова инициатива, в тясно сътрудничество с Европейската инвестиционна банка (ЕИБ) и държавите членки, може да </w:t>
      </w:r>
      <w:r>
        <w:rPr>
          <w:rFonts w:ascii="Times New Roman" w:hAnsi="Times New Roman"/>
          <w:b/>
          <w:noProof/>
          <w:sz w:val="24"/>
          <w:lang w:val="bg-BG"/>
        </w:rPr>
        <w:t>насърчи отпускането на допълнителни 10 милиарда евро</w:t>
      </w:r>
      <w:r>
        <w:rPr>
          <w:rFonts w:ascii="Times New Roman" w:hAnsi="Times New Roman"/>
          <w:noProof/>
          <w:sz w:val="24"/>
          <w:lang w:val="bg-BG"/>
        </w:rPr>
        <w:t xml:space="preserve"> от държавни и частни фондове до 2020 г.</w:t>
      </w:r>
      <w:r>
        <w:rPr>
          <w:rStyle w:val="FootnoteReference"/>
          <w:rFonts w:ascii="Times New Roman" w:hAnsi="Times New Roman"/>
          <w:noProof/>
          <w:sz w:val="24"/>
          <w:lang w:val="bg-BG"/>
        </w:rPr>
        <w:footnoteReference w:id="8"/>
      </w:r>
      <w:r>
        <w:rPr>
          <w:rFonts w:ascii="Times New Roman" w:hAnsi="Times New Roman"/>
          <w:noProof/>
          <w:sz w:val="24"/>
          <w:lang w:val="bg-BG"/>
        </w:rPr>
        <w:t xml:space="preserve"> за енергийна ефективност и възобновяеми енергийни източници. Това следва да се осъществи чрез финансови посредници и национални платформи за инвестиране в енергийна ефективност с цел обединяване на проекти, намаляване на риска при инвестиции в енергийна ефективност и оптимизиране на използването на публичните средства, включително по-специално на европейските структурни и инвестиционни фондове в комбинация с финансиране чрез Европейския фонд за стратегически инвестиции. Такива комбинации, които вече са възможни понастоящем, ще бъдат допълнително улеснени чрез предложените изменения на Финансовия регламент и Регламента относно общите разпоредби</w:t>
      </w:r>
      <w:r>
        <w:rPr>
          <w:rStyle w:val="FootnoteReference"/>
          <w:rFonts w:ascii="Times New Roman" w:hAnsi="Times New Roman"/>
          <w:noProof/>
          <w:sz w:val="24"/>
          <w:lang w:val="bg-BG"/>
        </w:rPr>
        <w:footnoteReference w:id="9"/>
      </w:r>
      <w:r>
        <w:rPr>
          <w:rFonts w:ascii="Times New Roman" w:hAnsi="Times New Roman"/>
          <w:noProof/>
          <w:sz w:val="24"/>
          <w:lang w:val="bg-BG"/>
        </w:rPr>
        <w:t>. Държавите членки, по-специално онези с по-висока енергийна интензивност и зависимост от външни енергийни източници, се насърчават да участват и да допринасят за тази инициатива. Споделянето на риска между ЕС и националните публични и частни фондове ще осигури на крайните бенефициери по-привлекателни възможности за финансиране. Освен това няколко регулаторни и административни предимства ще бъдат свързани с използването на осигурявано от ЕС решение, например по отношение на държавните помощи, обществените поръчки, задълженията за съфинансиране, както и докладването и предварителните оценки. В контекста на оценката на публичните финанси по линия на Пакта за стабилност и растеж е важно, че Комисията ще заеме благоприятна позиция също и спрямо приноса на държавите членки към еднократните вноски в тематични или многостранни инвестиционни платформи в контекста на ЕФСИ</w:t>
      </w:r>
      <w:r>
        <w:rPr>
          <w:rStyle w:val="FootnoteReference"/>
          <w:rFonts w:ascii="Times New Roman" w:hAnsi="Times New Roman"/>
          <w:noProof/>
          <w:sz w:val="24"/>
          <w:lang w:val="bg-BG"/>
        </w:rPr>
        <w:footnoteReference w:id="10"/>
      </w:r>
      <w:r>
        <w:rPr>
          <w:rFonts w:ascii="Times New Roman" w:hAnsi="Times New Roman"/>
          <w:noProof/>
          <w:sz w:val="24"/>
          <w:lang w:val="bg-BG"/>
        </w:rPr>
        <w:t xml:space="preserve">.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Значителна част от тези средства ще бъде вложена в общини и области: местните и областните участници имат решаваща роля за подкрепата на сгради с чиста енергия чрез решения в области като например областта на строителните норми и градоустройството. Чрез инициативи като Споразумението на кметовете за климата и енергетиката</w:t>
      </w:r>
      <w:r>
        <w:rPr>
          <w:rStyle w:val="FootnoteReference"/>
          <w:rFonts w:ascii="Times New Roman" w:hAnsi="Times New Roman"/>
          <w:noProof/>
          <w:sz w:val="24"/>
          <w:lang w:val="bg-BG"/>
        </w:rPr>
        <w:footnoteReference w:id="11"/>
      </w:r>
      <w:r>
        <w:rPr>
          <w:rFonts w:ascii="Times New Roman" w:hAnsi="Times New Roman"/>
          <w:noProof/>
          <w:sz w:val="24"/>
          <w:lang w:val="bg-BG"/>
        </w:rPr>
        <w:t xml:space="preserve"> градовете и регионите се насърчават да предприемат действия за намаляване на емисиите на парникови газове, увеличаване на издръжливостта и осигуряване на достъп до чиста и достъпна енергия за всички.</w:t>
      </w:r>
    </w:p>
    <w:p>
      <w:pPr>
        <w:spacing w:after="240" w:line="240" w:lineRule="auto"/>
        <w:jc w:val="both"/>
        <w:rPr>
          <w:rFonts w:ascii="Times New Roman" w:hAnsi="Times New Roman" w:cs="Times New Roman"/>
          <w:b/>
          <w:i/>
          <w:noProof/>
          <w:color w:val="000000"/>
          <w:sz w:val="24"/>
          <w:szCs w:val="24"/>
          <w:lang w:val="bg-BG"/>
        </w:rPr>
      </w:pPr>
      <w:r>
        <w:rPr>
          <w:rFonts w:ascii="Times New Roman" w:hAnsi="Times New Roman"/>
          <w:b/>
          <w:i/>
          <w:noProof/>
          <w:color w:val="000000"/>
          <w:sz w:val="24"/>
          <w:lang w:val="bg-BG"/>
        </w:rPr>
        <w:t>Стълб І: По-ефективно използване на публичното финансиране</w:t>
      </w:r>
    </w:p>
    <w:p>
      <w:pPr>
        <w:spacing w:after="240" w:line="240" w:lineRule="auto"/>
        <w:jc w:val="both"/>
        <w:rPr>
          <w:rFonts w:ascii="Times New Roman" w:hAnsi="Times New Roman" w:cs="Times New Roman"/>
          <w:noProof/>
          <w:sz w:val="24"/>
          <w:szCs w:val="24"/>
          <w:lang w:val="bg-BG"/>
        </w:rPr>
      </w:pPr>
      <w:r>
        <w:rPr>
          <w:rFonts w:ascii="Times New Roman" w:hAnsi="Times New Roman"/>
          <w:noProof/>
          <w:color w:val="000000"/>
          <w:sz w:val="24"/>
          <w:lang w:val="bg-BG"/>
        </w:rPr>
        <w:t xml:space="preserve">Целта е да се </w:t>
      </w:r>
      <w:r>
        <w:rPr>
          <w:rFonts w:ascii="Times New Roman" w:hAnsi="Times New Roman"/>
          <w:noProof/>
          <w:sz w:val="24"/>
          <w:lang w:val="bg-BG"/>
        </w:rPr>
        <w:t>увеличи в максимална степен използването на наличното публично финансиране чрез финансовите инструменти, насочени към определени несъвършенства на пазара, както и чрез по-добро насочване на безвъзмездните средства към уязвимите потребители. За тази цел Комисията възнамерява:</w:t>
      </w:r>
    </w:p>
    <w:p>
      <w:pPr>
        <w:numPr>
          <w:ilvl w:val="0"/>
          <w:numId w:val="11"/>
        </w:numPr>
        <w:spacing w:after="240" w:line="240" w:lineRule="auto"/>
        <w:contextualSpacing/>
        <w:jc w:val="both"/>
        <w:rPr>
          <w:rFonts w:ascii="Times New Roman" w:hAnsi="Times New Roman" w:cs="Times New Roman"/>
          <w:noProof/>
          <w:sz w:val="24"/>
          <w:szCs w:val="24"/>
          <w:lang w:val="bg-BG"/>
        </w:rPr>
      </w:pPr>
      <w:r>
        <w:rPr>
          <w:rFonts w:ascii="Times New Roman" w:hAnsi="Times New Roman"/>
          <w:b/>
          <w:noProof/>
          <w:sz w:val="24"/>
          <w:lang w:val="bg-BG"/>
        </w:rPr>
        <w:t>Да разработи модели за финансиране на енергийна устойчивост</w:t>
      </w:r>
      <w:r>
        <w:rPr>
          <w:rFonts w:ascii="Times New Roman" w:hAnsi="Times New Roman"/>
          <w:noProof/>
          <w:sz w:val="24"/>
          <w:lang w:val="bg-BG"/>
        </w:rPr>
        <w:t xml:space="preserve"> въз основа на национални инвестиционни платформи (с възможност за областно измерение) за привличане на допълнително частно финансиране за саниране на сгради, които се разработват съгласно предвиденото в Регламента за ЕФСИ и в съответствие с правилата на ЕС в областта на държавната помощ.</w:t>
      </w:r>
    </w:p>
    <w:p>
      <w:pPr>
        <w:spacing w:after="240" w:line="240" w:lineRule="auto"/>
        <w:ind w:left="1080"/>
        <w:contextualSpacing/>
        <w:jc w:val="both"/>
        <w:rPr>
          <w:rFonts w:ascii="Times New Roman" w:hAnsi="Times New Roman" w:cs="Times New Roman"/>
          <w:noProof/>
          <w:sz w:val="24"/>
          <w:szCs w:val="24"/>
          <w:lang w:val="bg-BG"/>
        </w:rPr>
      </w:pPr>
    </w:p>
    <w:p>
      <w:pPr>
        <w:spacing w:after="240" w:line="240" w:lineRule="auto"/>
        <w:ind w:left="1080"/>
        <w:contextualSpacing/>
        <w:jc w:val="both"/>
        <w:rPr>
          <w:rFonts w:ascii="Times New Roman" w:hAnsi="Times New Roman" w:cs="Times New Roman"/>
          <w:noProof/>
          <w:sz w:val="24"/>
          <w:szCs w:val="24"/>
          <w:lang w:val="bg-BG"/>
        </w:rPr>
      </w:pPr>
      <w:r>
        <w:rPr>
          <w:rFonts w:ascii="Times New Roman" w:hAnsi="Times New Roman"/>
          <w:noProof/>
          <w:sz w:val="24"/>
          <w:lang w:val="bg-BG"/>
        </w:rPr>
        <w:t>В ЕС банките в по-голяма степен, отколкото в други развити икономики, изпълняват централна роля при финансирането на инвестиции на потребители и предприятия. Въпреки че стават все по-активни на новите енергийни пазари, особено на пазарите за възобновяеми енергийни източници с голям мащаб, банките рядко считат енергийната ефективност за отделен пазарен сегмент. Това води до липса на подходящи и достъпни търговски финансови продукти за енергийна ефективност или инвестиции за възобновяеми енергийни източници в сгради</w:t>
      </w:r>
      <w:r>
        <w:rPr>
          <w:rStyle w:val="FootnoteReference"/>
          <w:rFonts w:ascii="Times New Roman" w:hAnsi="Times New Roman"/>
          <w:noProof/>
          <w:sz w:val="24"/>
          <w:lang w:val="bg-BG"/>
        </w:rPr>
        <w:footnoteReference w:id="12"/>
      </w:r>
      <w:r>
        <w:rPr>
          <w:rFonts w:ascii="Times New Roman" w:hAnsi="Times New Roman"/>
          <w:noProof/>
          <w:sz w:val="24"/>
          <w:lang w:val="bg-BG"/>
        </w:rPr>
        <w:t>. За да се справи с този недостатък, Комисията е разработила новаторска схема за финансиране — Инструментът за частно финансиране за енергийна ефективност (PF4EE), финансиран по Програмата LIFE и управляван от ЕИБ. Успехът на тази пилотна схема, както свидетелства значително по-голямото от първоначално планираното използване, показва потенциала ѝ да насърчава инвестирането в ефективност чрез споделяне на риска, техническа помощ и кредитни линии от ЕИБ за участващите финансови институции. Поуките, извлечени във връзка с Инструмента за частно финансиране за енергийна ефективност (PF4EE), ще спомогнат за по-голямо съчетаване на Европейския фонд за стратегически инвестиции с други източници на публично финансиране, включително, когато е подходящо, с европейските структурни и инвестиционни фондове, чрез инвестиционни платформи</w:t>
      </w:r>
      <w:r>
        <w:rPr>
          <w:rStyle w:val="FootnoteReference"/>
          <w:rFonts w:ascii="Times New Roman" w:hAnsi="Times New Roman"/>
          <w:noProof/>
          <w:sz w:val="24"/>
          <w:lang w:val="bg-BG"/>
        </w:rPr>
        <w:footnoteReference w:id="13"/>
      </w:r>
      <w:r>
        <w:rPr>
          <w:noProof/>
          <w:lang w:val="bg-BG"/>
        </w:rPr>
        <w:t>.</w:t>
      </w:r>
    </w:p>
    <w:p>
      <w:pPr>
        <w:spacing w:after="240" w:line="240" w:lineRule="auto"/>
        <w:ind w:left="1080"/>
        <w:contextualSpacing/>
        <w:jc w:val="both"/>
        <w:rPr>
          <w:rFonts w:ascii="Times New Roman" w:hAnsi="Times New Roman" w:cs="Times New Roman"/>
          <w:noProof/>
          <w:sz w:val="24"/>
          <w:szCs w:val="24"/>
          <w:lang w:val="bg-BG"/>
        </w:rPr>
      </w:pPr>
    </w:p>
    <w:p>
      <w:pPr>
        <w:spacing w:after="240" w:line="240" w:lineRule="auto"/>
        <w:ind w:left="1080"/>
        <w:contextualSpacing/>
        <w:jc w:val="both"/>
        <w:rPr>
          <w:rFonts w:ascii="Times New Roman" w:hAnsi="Times New Roman" w:cs="Times New Roman"/>
          <w:noProof/>
          <w:sz w:val="24"/>
          <w:szCs w:val="24"/>
          <w:lang w:val="bg-BG"/>
        </w:rPr>
      </w:pPr>
      <w:r>
        <w:rPr>
          <w:rFonts w:ascii="Times New Roman" w:hAnsi="Times New Roman"/>
          <w:noProof/>
          <w:sz w:val="24"/>
          <w:lang w:val="bg-BG"/>
        </w:rPr>
        <w:t xml:space="preserve">Въз основа на този опит Комисията ще подкрепи разработването на </w:t>
      </w:r>
      <w:r>
        <w:rPr>
          <w:rFonts w:ascii="Times New Roman" w:hAnsi="Times New Roman"/>
          <w:b/>
          <w:noProof/>
          <w:sz w:val="24"/>
          <w:lang w:val="bg-BG"/>
        </w:rPr>
        <w:t>гъвкави платформи за финансиране на енергийна ефективност и възобновяеми енергийни източници</w:t>
      </w:r>
      <w:r>
        <w:rPr>
          <w:rFonts w:ascii="Times New Roman" w:hAnsi="Times New Roman"/>
          <w:noProof/>
          <w:sz w:val="24"/>
          <w:lang w:val="bg-BG"/>
        </w:rPr>
        <w:t xml:space="preserve"> на национално или областно равнище. Тези платформи могат да предложат решение за цялостна услуга, даваща възможност на местни банки, финансови посредници, дружества за енергийни услуги или други субекти да обединяват инвестиции с цел предлагане на привлекателни продукти за финансиране на енергийна устойчивост на голям брой крайни получатели в района, обхванат от платформата</w:t>
      </w:r>
      <w:r>
        <w:rPr>
          <w:rStyle w:val="FootnoteReference"/>
          <w:rFonts w:ascii="Times New Roman" w:hAnsi="Times New Roman"/>
          <w:noProof/>
          <w:sz w:val="24"/>
          <w:lang w:val="bg-BG"/>
        </w:rPr>
        <w:footnoteReference w:id="14"/>
      </w:r>
      <w:r>
        <w:rPr>
          <w:rFonts w:ascii="Times New Roman" w:hAnsi="Times New Roman"/>
          <w:noProof/>
          <w:sz w:val="24"/>
          <w:lang w:val="bg-BG"/>
        </w:rPr>
        <w:t>. По-специално на субектите, желаещи да финансират портфейлни инвестиции за енергийна устойчивост, могат да бъдат предоставени три взаимно подсилващи се елемента:</w:t>
      </w:r>
    </w:p>
    <w:p>
      <w:pPr>
        <w:spacing w:after="240" w:line="240" w:lineRule="auto"/>
        <w:ind w:left="1080"/>
        <w:contextualSpacing/>
        <w:jc w:val="both"/>
        <w:rPr>
          <w:rFonts w:ascii="Times New Roman" w:hAnsi="Times New Roman" w:cs="Times New Roman"/>
          <w:noProof/>
          <w:sz w:val="24"/>
          <w:szCs w:val="24"/>
          <w:lang w:val="bg-BG"/>
        </w:rPr>
      </w:pPr>
    </w:p>
    <w:p>
      <w:pPr>
        <w:numPr>
          <w:ilvl w:val="0"/>
          <w:numId w:val="12"/>
        </w:numPr>
        <w:tabs>
          <w:tab w:val="left" w:pos="1701"/>
        </w:tabs>
        <w:spacing w:after="240" w:line="240" w:lineRule="auto"/>
        <w:contextualSpacing/>
        <w:jc w:val="both"/>
        <w:rPr>
          <w:rFonts w:ascii="Times New Roman" w:hAnsi="Times New Roman" w:cs="Times New Roman"/>
          <w:bCs/>
          <w:noProof/>
          <w:sz w:val="24"/>
          <w:szCs w:val="24"/>
          <w:lang w:val="bg-BG"/>
        </w:rPr>
      </w:pPr>
      <w:r>
        <w:rPr>
          <w:rFonts w:ascii="Times New Roman" w:hAnsi="Times New Roman"/>
          <w:noProof/>
          <w:sz w:val="24"/>
          <w:lang w:val="bg-BG"/>
        </w:rPr>
        <w:t>Увеличено дългово финансиране от страна на ЕИБ чрез Европейския фонд за стратегически инвестиции с цел увеличаване на капацитета им за финансиране (като по този начин се допринася за по-силно съсредоточаване върху постигането на енергийна устойчивост на сградите в рамките на Европейския фонд за стратегически инвестиции 2.0);</w:t>
      </w:r>
    </w:p>
    <w:p>
      <w:pPr>
        <w:numPr>
          <w:ilvl w:val="0"/>
          <w:numId w:val="12"/>
        </w:numPr>
        <w:tabs>
          <w:tab w:val="left" w:pos="1701"/>
        </w:tabs>
        <w:spacing w:after="240" w:line="240" w:lineRule="auto"/>
        <w:contextualSpacing/>
        <w:jc w:val="both"/>
        <w:rPr>
          <w:rFonts w:ascii="Times New Roman" w:hAnsi="Times New Roman" w:cs="Times New Roman"/>
          <w:bCs/>
          <w:noProof/>
          <w:sz w:val="24"/>
          <w:szCs w:val="24"/>
          <w:lang w:val="bg-BG"/>
        </w:rPr>
      </w:pPr>
      <w:r>
        <w:rPr>
          <w:rFonts w:ascii="Times New Roman" w:hAnsi="Times New Roman"/>
          <w:noProof/>
          <w:sz w:val="24"/>
          <w:lang w:val="bg-BG"/>
        </w:rPr>
        <w:t>Механизъм за споделяне на риска с цел смекчаване на риска на портфейлите с инвестиции в енергийно устойчиви сгради и за създаване на възможност за по-привлекателни условия за отпускане на заеми на крайните получатели; Тази функция може да бъде използвана заедно с налични на местно равнище фондове, включително европейските структурни и инвестиционни фондове;</w:t>
      </w:r>
    </w:p>
    <w:p>
      <w:pPr>
        <w:numPr>
          <w:ilvl w:val="0"/>
          <w:numId w:val="12"/>
        </w:numPr>
        <w:tabs>
          <w:tab w:val="left" w:pos="1701"/>
        </w:tabs>
        <w:spacing w:after="240" w:line="240" w:lineRule="auto"/>
        <w:ind w:left="1418" w:hanging="284"/>
        <w:contextualSpacing/>
        <w:jc w:val="both"/>
        <w:rPr>
          <w:rFonts w:ascii="Times New Roman" w:hAnsi="Times New Roman" w:cs="Times New Roman"/>
          <w:bCs/>
          <w:noProof/>
          <w:sz w:val="24"/>
          <w:szCs w:val="24"/>
          <w:lang w:val="bg-BG"/>
        </w:rPr>
      </w:pPr>
      <w:r>
        <w:rPr>
          <w:rFonts w:ascii="Times New Roman" w:hAnsi="Times New Roman"/>
          <w:noProof/>
          <w:sz w:val="24"/>
          <w:lang w:val="bg-BG"/>
        </w:rPr>
        <w:t>технически експертни знания и съдействие за въвеждане на програми за заеми, разработени в сътрудничество с Европейския консултантски център по инвестиционни въпроси, включително чрез механизми като Европейската програма за подпомагане в областта на енергетиката на местно равнище (ELENA), Съвместната помощ за подкрепа на проекти в европейските региони (JASPERS), fi-compass</w:t>
      </w:r>
      <w:r>
        <w:rPr>
          <w:rStyle w:val="FootnoteReference"/>
          <w:rFonts w:ascii="Times New Roman" w:hAnsi="Times New Roman"/>
          <w:noProof/>
          <w:sz w:val="24"/>
          <w:lang w:val="bg-BG"/>
        </w:rPr>
        <w:footnoteReference w:id="15"/>
      </w:r>
      <w:r>
        <w:rPr>
          <w:rFonts w:ascii="Times New Roman" w:hAnsi="Times New Roman"/>
          <w:noProof/>
          <w:sz w:val="24"/>
          <w:lang w:val="bg-BG"/>
        </w:rPr>
        <w:t xml:space="preserve"> и други източници на национално или областно финансиране.</w:t>
      </w:r>
    </w:p>
    <w:p>
      <w:pPr>
        <w:tabs>
          <w:tab w:val="left" w:pos="1701"/>
        </w:tabs>
        <w:spacing w:after="240" w:line="240" w:lineRule="auto"/>
        <w:ind w:left="1134"/>
        <w:contextualSpacing/>
        <w:jc w:val="both"/>
        <w:rPr>
          <w:rFonts w:ascii="Times New Roman" w:hAnsi="Times New Roman" w:cs="Times New Roman"/>
          <w:bCs/>
          <w:noProof/>
          <w:sz w:val="24"/>
          <w:szCs w:val="24"/>
          <w:lang w:val="bg-BG"/>
        </w:rPr>
      </w:pPr>
      <w:r>
        <w:rPr>
          <w:rFonts w:ascii="Times New Roman" w:hAnsi="Times New Roman"/>
          <w:noProof/>
          <w:sz w:val="24"/>
          <w:lang w:val="bg-BG"/>
        </w:rPr>
        <w:t>С цел да подкрепи внедряването на този модел и на други съответни инструменти за енергийна устойчивост, Комисията ще проучи възможностите за подновяване на съществуващи фондове на ЕС, например за техническа помощ.</w:t>
      </w:r>
    </w:p>
    <w:p>
      <w:pPr>
        <w:tabs>
          <w:tab w:val="left" w:pos="1701"/>
        </w:tabs>
        <w:spacing w:after="240" w:line="240" w:lineRule="auto"/>
        <w:ind w:left="1418"/>
        <w:contextualSpacing/>
        <w:jc w:val="both"/>
        <w:rPr>
          <w:rFonts w:ascii="Times New Roman" w:hAnsi="Times New Roman" w:cs="Times New Roman"/>
          <w:bCs/>
          <w:noProof/>
          <w:sz w:val="24"/>
          <w:szCs w:val="24"/>
          <w:lang w:val="bg-BG"/>
        </w:rPr>
      </w:pPr>
    </w:p>
    <w:p>
      <w:pPr>
        <w:numPr>
          <w:ilvl w:val="0"/>
          <w:numId w:val="11"/>
        </w:numPr>
        <w:spacing w:after="240" w:line="240" w:lineRule="auto"/>
        <w:contextualSpacing/>
        <w:jc w:val="both"/>
        <w:rPr>
          <w:rFonts w:ascii="Times New Roman" w:hAnsi="Times New Roman" w:cs="Times New Roman"/>
          <w:noProof/>
          <w:sz w:val="24"/>
          <w:szCs w:val="24"/>
          <w:lang w:val="bg-BG"/>
        </w:rPr>
      </w:pPr>
      <w:r>
        <w:rPr>
          <w:rFonts w:ascii="Times New Roman" w:hAnsi="Times New Roman"/>
          <w:b/>
          <w:noProof/>
          <w:sz w:val="24"/>
          <w:lang w:val="bg-BG"/>
        </w:rPr>
        <w:t>Договори за енергоспестяване с гарантиран резултат</w:t>
      </w:r>
      <w:r>
        <w:rPr>
          <w:rFonts w:ascii="Times New Roman" w:hAnsi="Times New Roman"/>
          <w:noProof/>
          <w:sz w:val="24"/>
          <w:lang w:val="bg-BG"/>
        </w:rPr>
        <w:t>: Трябва да се засили ролята на договорите за енергоспестяване с гарантиран резултат като движеща сила за подобряване на ефективността на обществените сгради, тъй като те предлагат цялостен подход към санирането, включително финансиране, извършване на строителни работи и енергиен мениджмънт. При тях е възможно също така, при определени условия, да се постигат инвестиции в ефективност без увеличаване на публичния дълг, което е от ключово значение за правителствата, както и за местните и областните власти, които са изправени пред бюджетни ограничения, особено когато става въпрос за социални жилища, болници или училища. Правилата за инвестициите в публичния сектор и за статистическото третиране на санирането на активите следва да бъдат прозрачни и ясни, за да се улеснят инвестициите в енергийна ефективност в публични активи. Евростат ще проучи как да се реагира на въздействието на инвестициите за енергийната ефективност върху държавния дълг и дефицит. Комисията анализира в тясно сътрудничество с държавите членки въздействието на правилата за публичното счетоводство върху пазара на договорите за енергоспестяване с гарантиран резултат и, където е целесъобразно, ще актуализира своите указания относно статистическото третиране на такива партньорства преди края на пролетта на 2017 г.</w:t>
      </w:r>
      <w:r>
        <w:rPr>
          <w:rFonts w:ascii="Times New Roman" w:hAnsi="Times New Roman"/>
          <w:b/>
          <w:noProof/>
          <w:sz w:val="24"/>
          <w:lang w:val="bg-BG"/>
        </w:rPr>
        <w:t xml:space="preserve"> </w:t>
      </w:r>
    </w:p>
    <w:p>
      <w:pPr>
        <w:spacing w:after="240" w:line="240" w:lineRule="auto"/>
        <w:ind w:left="1080"/>
        <w:contextualSpacing/>
        <w:jc w:val="both"/>
        <w:rPr>
          <w:rFonts w:ascii="Times New Roman" w:hAnsi="Times New Roman" w:cs="Times New Roman"/>
          <w:noProof/>
          <w:sz w:val="24"/>
          <w:szCs w:val="24"/>
          <w:lang w:val="bg-BG"/>
        </w:rPr>
      </w:pPr>
    </w:p>
    <w:p>
      <w:pPr>
        <w:numPr>
          <w:ilvl w:val="0"/>
          <w:numId w:val="11"/>
        </w:numPr>
        <w:spacing w:after="240" w:line="240" w:lineRule="auto"/>
        <w:contextualSpacing/>
        <w:jc w:val="both"/>
        <w:rPr>
          <w:rFonts w:ascii="Times New Roman" w:hAnsi="Times New Roman" w:cs="Times New Roman"/>
          <w:b/>
          <w:noProof/>
          <w:sz w:val="24"/>
          <w:szCs w:val="24"/>
          <w:lang w:val="bg-BG"/>
        </w:rPr>
      </w:pPr>
      <w:r>
        <w:rPr>
          <w:rFonts w:ascii="Times New Roman" w:hAnsi="Times New Roman"/>
          <w:b/>
          <w:noProof/>
          <w:sz w:val="24"/>
          <w:lang w:val="bg-BG"/>
        </w:rPr>
        <w:t>Оказване на подкрепа за управителите на публични фондове при структурирането и въвеждането на финансовите инструменти</w:t>
      </w:r>
      <w:r>
        <w:rPr>
          <w:rFonts w:ascii="Times New Roman" w:hAnsi="Times New Roman"/>
          <w:noProof/>
          <w:sz w:val="24"/>
          <w:lang w:val="bg-BG"/>
        </w:rPr>
        <w:t>: в допълнение към подкрепата, предоставена по линия на Европейския консултантски център по инвестиционни въпроси, fi-compass или мрежата на органите в областта на енергетиката и управлението, Комисията ще организира серия от мероприятия за изграждане на областен капацитет, включващи ключови лица, отговорни за вземането на решения, и заинтересовани страни. Първият семинар бе проведен през ноември тази година в Рига и обхвана Балтийския регион.</w:t>
      </w:r>
    </w:p>
    <w:p>
      <w:pPr>
        <w:spacing w:after="240" w:line="240" w:lineRule="auto"/>
        <w:ind w:left="1080"/>
        <w:contextualSpacing/>
        <w:jc w:val="both"/>
        <w:rPr>
          <w:rFonts w:ascii="Times New Roman" w:hAnsi="Times New Roman" w:cs="Times New Roman"/>
          <w:b/>
          <w:noProof/>
          <w:sz w:val="24"/>
          <w:szCs w:val="24"/>
          <w:lang w:val="bg-BG"/>
        </w:rPr>
      </w:pPr>
    </w:p>
    <w:p>
      <w:pPr>
        <w:numPr>
          <w:ilvl w:val="0"/>
          <w:numId w:val="11"/>
        </w:numPr>
        <w:spacing w:after="240" w:line="240" w:lineRule="auto"/>
        <w:contextualSpacing/>
        <w:jc w:val="both"/>
        <w:rPr>
          <w:rFonts w:ascii="Times New Roman" w:hAnsi="Times New Roman" w:cs="Times New Roman"/>
          <w:b/>
          <w:noProof/>
          <w:sz w:val="24"/>
          <w:szCs w:val="24"/>
          <w:lang w:val="bg-BG"/>
        </w:rPr>
      </w:pPr>
      <w:r>
        <w:rPr>
          <w:rFonts w:ascii="Times New Roman" w:hAnsi="Times New Roman"/>
          <w:noProof/>
          <w:sz w:val="24"/>
          <w:lang w:val="bg-BG"/>
        </w:rPr>
        <w:t xml:space="preserve">Освен това Комисията е разработила лесно достъпен </w:t>
      </w:r>
      <w:r>
        <w:rPr>
          <w:rFonts w:ascii="Times New Roman" w:hAnsi="Times New Roman"/>
          <w:b/>
          <w:noProof/>
          <w:sz w:val="24"/>
          <w:lang w:val="bg-BG"/>
        </w:rPr>
        <w:t>модел за увеличаване на дела на финансовите инструменти по линия на европейските структурни и инвестиционни фондове</w:t>
      </w:r>
      <w:r>
        <w:rPr>
          <w:rFonts w:ascii="Times New Roman" w:hAnsi="Times New Roman"/>
          <w:noProof/>
          <w:sz w:val="24"/>
          <w:lang w:val="bg-BG"/>
        </w:rPr>
        <w:t>: стандартизираният инструмент за енергийна ефективност (off-the-shelf instrument for energy efficiency). Държавите членки проявиха активност в създаването на финансови инструменти за енергийна ефективност, по-специално за постигане на целта за насочване на 20 % от ЕСИФ към инвестиции в нисковъглеродна икономика чрез финансови инструменти. При все това някои държави членки изостават в това отношение и по-широкото използване на стандартизираните инструменти може да спомогне за преодоляване на този пропуск.</w:t>
      </w:r>
    </w:p>
    <w:p>
      <w:pPr>
        <w:spacing w:after="240" w:line="240" w:lineRule="auto"/>
        <w:ind w:left="1080"/>
        <w:contextualSpacing/>
        <w:jc w:val="both"/>
        <w:rPr>
          <w:rFonts w:ascii="Times New Roman" w:hAnsi="Times New Roman" w:cs="Times New Roman"/>
          <w:b/>
          <w:noProof/>
          <w:sz w:val="24"/>
          <w:szCs w:val="24"/>
          <w:lang w:val="bg-BG"/>
        </w:rPr>
      </w:pPr>
    </w:p>
    <w:p>
      <w:pPr>
        <w:spacing w:after="240" w:line="240" w:lineRule="auto"/>
        <w:jc w:val="both"/>
        <w:rPr>
          <w:rFonts w:ascii="Times New Roman" w:hAnsi="Times New Roman" w:cs="Times New Roman"/>
          <w:b/>
          <w:i/>
          <w:noProof/>
          <w:color w:val="000000"/>
          <w:sz w:val="24"/>
          <w:szCs w:val="24"/>
          <w:lang w:val="bg-BG"/>
        </w:rPr>
      </w:pPr>
      <w:r>
        <w:rPr>
          <w:rFonts w:ascii="Times New Roman" w:hAnsi="Times New Roman"/>
          <w:noProof/>
          <w:sz w:val="24"/>
          <w:lang w:val="bg-BG"/>
        </w:rPr>
        <w:t xml:space="preserve">Успоредно с това, законодателното предложение за Директивата относно енергийните характеристики на сградите включва мерки за </w:t>
      </w:r>
      <w:r>
        <w:rPr>
          <w:rFonts w:ascii="Times New Roman" w:hAnsi="Times New Roman"/>
          <w:b/>
          <w:noProof/>
          <w:sz w:val="24"/>
          <w:lang w:val="bg-BG"/>
        </w:rPr>
        <w:t>обвързване на финансовите стимули</w:t>
      </w:r>
      <w:r>
        <w:rPr>
          <w:rFonts w:ascii="Times New Roman" w:hAnsi="Times New Roman"/>
          <w:noProof/>
          <w:sz w:val="24"/>
          <w:lang w:val="bg-BG"/>
        </w:rPr>
        <w:t xml:space="preserve">, предоставени от публични фондове, с постигнатите икономии на енергия. </w:t>
      </w:r>
    </w:p>
    <w:p>
      <w:pPr>
        <w:spacing w:after="240" w:line="240" w:lineRule="auto"/>
        <w:jc w:val="both"/>
        <w:rPr>
          <w:rFonts w:ascii="Times New Roman" w:hAnsi="Times New Roman" w:cs="Times New Roman"/>
          <w:b/>
          <w:i/>
          <w:noProof/>
          <w:color w:val="000000"/>
          <w:sz w:val="24"/>
          <w:szCs w:val="24"/>
          <w:lang w:val="bg-BG"/>
        </w:rPr>
      </w:pPr>
      <w:r>
        <w:rPr>
          <w:rFonts w:ascii="Times New Roman" w:hAnsi="Times New Roman"/>
          <w:b/>
          <w:i/>
          <w:noProof/>
          <w:color w:val="000000"/>
          <w:sz w:val="24"/>
          <w:lang w:val="bg-BG"/>
        </w:rPr>
        <w:t>Стълб II: Обединяване и помощ за разработване на проекти</w:t>
      </w:r>
    </w:p>
    <w:p>
      <w:pPr>
        <w:autoSpaceDE w:val="0"/>
        <w:autoSpaceDN w:val="0"/>
        <w:adjustRightInd w:val="0"/>
        <w:spacing w:after="240" w:line="240" w:lineRule="auto"/>
        <w:jc w:val="both"/>
        <w:rPr>
          <w:rFonts w:ascii="Times New Roman" w:hAnsi="Times New Roman" w:cs="Times New Roman"/>
          <w:bCs/>
          <w:noProof/>
          <w:sz w:val="24"/>
          <w:szCs w:val="24"/>
          <w:lang w:val="bg-BG"/>
        </w:rPr>
      </w:pPr>
      <w:r>
        <w:rPr>
          <w:rFonts w:ascii="Times New Roman" w:hAnsi="Times New Roman"/>
          <w:noProof/>
          <w:sz w:val="24"/>
          <w:lang w:val="bg-BG"/>
        </w:rPr>
        <w:t>От съществено значение за успеха на настоящата инициатива е наличието на значителен набор от подходящи за банково финансиране проекти, които да „захранват“ инвестиционните платформи и финансовите инструменти. Обаче много организатори на проекти — публични власти, физически лица или предприятия — не разполагат с уменията и капацитета за създаване, прилагане и финансиране на амбициозни проекти за сгради с чиста енергия. Поради това Комисията:</w:t>
      </w:r>
    </w:p>
    <w:p>
      <w:pPr>
        <w:numPr>
          <w:ilvl w:val="0"/>
          <w:numId w:val="13"/>
        </w:numPr>
        <w:spacing w:after="240" w:line="240" w:lineRule="auto"/>
        <w:contextualSpacing/>
        <w:jc w:val="both"/>
        <w:rPr>
          <w:rFonts w:ascii="Times New Roman" w:hAnsi="Times New Roman" w:cs="Times New Roman"/>
          <w:noProof/>
          <w:sz w:val="24"/>
          <w:szCs w:val="24"/>
          <w:lang w:val="bg-BG"/>
        </w:rPr>
      </w:pPr>
      <w:r>
        <w:rPr>
          <w:rFonts w:ascii="Times New Roman" w:hAnsi="Times New Roman"/>
          <w:b/>
          <w:noProof/>
          <w:sz w:val="24"/>
          <w:lang w:val="bg-BG"/>
        </w:rPr>
        <w:t>Ще укрепи съществуващите механизми за помощ за разработване на проекти</w:t>
      </w:r>
      <w:r>
        <w:rPr>
          <w:rFonts w:ascii="Times New Roman" w:hAnsi="Times New Roman"/>
          <w:b/>
          <w:noProof/>
          <w:sz w:val="24"/>
          <w:vertAlign w:val="superscript"/>
          <w:lang w:val="bg-BG"/>
        </w:rPr>
        <w:footnoteReference w:id="16"/>
      </w:r>
      <w:r>
        <w:rPr>
          <w:rFonts w:ascii="Times New Roman" w:hAnsi="Times New Roman"/>
          <w:noProof/>
          <w:sz w:val="24"/>
          <w:lang w:val="bg-BG"/>
        </w:rPr>
        <w:t xml:space="preserve"> </w:t>
      </w:r>
      <w:r>
        <w:rPr>
          <w:rFonts w:ascii="Times New Roman" w:hAnsi="Times New Roman"/>
          <w:b/>
          <w:noProof/>
          <w:sz w:val="24"/>
          <w:lang w:val="bg-BG"/>
        </w:rPr>
        <w:t>на равнище ЕС</w:t>
      </w:r>
      <w:r>
        <w:rPr>
          <w:rFonts w:ascii="Times New Roman" w:hAnsi="Times New Roman"/>
          <w:noProof/>
          <w:sz w:val="24"/>
          <w:lang w:val="bg-BG"/>
        </w:rPr>
        <w:t>, като например ELENA</w:t>
      </w:r>
      <w:r>
        <w:rPr>
          <w:rFonts w:ascii="Times New Roman" w:hAnsi="Times New Roman"/>
          <w:b/>
          <w:noProof/>
          <w:sz w:val="24"/>
          <w:lang w:val="bg-BG"/>
        </w:rPr>
        <w:t xml:space="preserve"> </w:t>
      </w:r>
      <w:r>
        <w:rPr>
          <w:rFonts w:ascii="Times New Roman" w:hAnsi="Times New Roman"/>
          <w:noProof/>
          <w:sz w:val="24"/>
          <w:lang w:val="bg-BG"/>
        </w:rPr>
        <w:t>, в сътрудничество с Европейския консултантски център по инвестиционни въпроси. Целта е да се увеличат инвестициите, да се подкрепи внедряването на финансови инструменти, да се достигне до организаторите на проекти, особено тези от Източна и Централна Европа, да се ангажират допълнително общините и местните участници и да се стимулира обединяването и пазарната реализация на перспективни решения, включително на иновативни технологии и финансови и организационни стратегии. Комисията ще увеличи бюджета на помощта на ЕС за разработване на проекти от 23 милиона евро през 2015 г. на 38 милиона евро годишно, считано от 2017 г. Бюджетът на помощта на ЕС за разработване на проекти за 2016 — 2017 г. се очаква да задвижи до 3 милиарда евро</w:t>
      </w:r>
      <w:r>
        <w:rPr>
          <w:rStyle w:val="FootnoteReference"/>
          <w:rFonts w:ascii="Times New Roman" w:hAnsi="Times New Roman"/>
          <w:noProof/>
          <w:sz w:val="24"/>
          <w:lang w:val="bg-BG"/>
        </w:rPr>
        <w:footnoteReference w:id="17"/>
      </w:r>
      <w:r>
        <w:rPr>
          <w:rFonts w:ascii="Times New Roman" w:hAnsi="Times New Roman"/>
          <w:noProof/>
          <w:sz w:val="24"/>
          <w:lang w:val="bg-BG"/>
        </w:rPr>
        <w:t xml:space="preserve"> инвестиции в енергийна устойчивост на сгради. </w:t>
      </w:r>
    </w:p>
    <w:p>
      <w:pPr>
        <w:spacing w:after="240" w:line="240" w:lineRule="auto"/>
        <w:ind w:left="1080"/>
        <w:contextualSpacing/>
        <w:jc w:val="both"/>
        <w:rPr>
          <w:rFonts w:ascii="Times New Roman" w:hAnsi="Times New Roman" w:cs="Times New Roman"/>
          <w:noProof/>
          <w:sz w:val="24"/>
          <w:szCs w:val="24"/>
          <w:lang w:val="bg-BG"/>
        </w:rPr>
      </w:pPr>
    </w:p>
    <w:p>
      <w:pPr>
        <w:numPr>
          <w:ilvl w:val="0"/>
          <w:numId w:val="13"/>
        </w:numPr>
        <w:spacing w:after="240" w:line="240" w:lineRule="auto"/>
        <w:contextualSpacing/>
        <w:jc w:val="both"/>
        <w:rPr>
          <w:rFonts w:ascii="Times New Roman" w:hAnsi="Times New Roman" w:cs="Times New Roman"/>
          <w:noProof/>
          <w:sz w:val="24"/>
          <w:szCs w:val="24"/>
          <w:lang w:val="bg-BG"/>
        </w:rPr>
      </w:pPr>
      <w:r>
        <w:rPr>
          <w:rFonts w:ascii="Times New Roman" w:hAnsi="Times New Roman"/>
          <w:b/>
          <w:noProof/>
          <w:sz w:val="24"/>
          <w:lang w:val="bg-BG"/>
        </w:rPr>
        <w:t>Ще насърчава държавите членки да създават специализирано местно или областно обслужване „на едно гише“</w:t>
      </w:r>
      <w:r>
        <w:rPr>
          <w:rFonts w:ascii="Times New Roman" w:hAnsi="Times New Roman"/>
          <w:noProof/>
          <w:sz w:val="24"/>
          <w:lang w:val="bg-BG"/>
        </w:rPr>
        <w:t xml:space="preserve"> за разработчици на проекти, което да обхваща целия път на клиентите от информацията, техническата помощ, структурирането и осигуряването на финансова подкрепа до мониторинга на икономиите. Тези механизми следва да доведат до проекти, разработвани предимно на местно равнище, и силни и надеждни партньорства с местни участници (например малки и средни предприятия (МСП), финансови институции и агенции по енергетика), като най-важното е да се осигури връзка между предлагането и търсенето на финансиране. Развитието и възпроизвеждането на това обслужване „на едно гише“ ще бъде подкрепено на равнище ЕС посредством обмен на добри практики чрез Manag'Energy</w:t>
      </w:r>
      <w:r>
        <w:rPr>
          <w:rStyle w:val="FootnoteReference"/>
          <w:rFonts w:ascii="Times New Roman" w:hAnsi="Times New Roman"/>
          <w:noProof/>
          <w:sz w:val="24"/>
          <w:lang w:val="bg-BG"/>
        </w:rPr>
        <w:footnoteReference w:id="18"/>
      </w:r>
      <w:r>
        <w:rPr>
          <w:rFonts w:ascii="Times New Roman" w:hAnsi="Times New Roman"/>
          <w:noProof/>
          <w:sz w:val="24"/>
          <w:lang w:val="bg-BG"/>
        </w:rPr>
        <w:t>, финансиране чрез „Хоризонт 2020“</w:t>
      </w:r>
      <w:r>
        <w:rPr>
          <w:rStyle w:val="FootnoteReference"/>
          <w:rFonts w:ascii="Times New Roman" w:hAnsi="Times New Roman"/>
          <w:noProof/>
          <w:sz w:val="24"/>
          <w:lang w:val="bg-BG"/>
        </w:rPr>
        <w:footnoteReference w:id="19"/>
      </w:r>
      <w:r>
        <w:rPr>
          <w:rFonts w:ascii="Times New Roman" w:hAnsi="Times New Roman"/>
          <w:noProof/>
          <w:sz w:val="24"/>
          <w:lang w:val="bg-BG"/>
        </w:rPr>
        <w:t xml:space="preserve">, механизми на ЕС за помощ за разработване на проекти или финансиране от европейските структурни и инвестиционни фондове, когато това е целесъобразно. </w:t>
      </w:r>
    </w:p>
    <w:p>
      <w:pPr>
        <w:autoSpaceDE w:val="0"/>
        <w:autoSpaceDN w:val="0"/>
        <w:adjustRightInd w:val="0"/>
        <w:spacing w:after="240" w:line="240" w:lineRule="auto"/>
        <w:jc w:val="both"/>
        <w:rPr>
          <w:rFonts w:ascii="Times New Roman" w:hAnsi="Times New Roman" w:cs="Times New Roman"/>
          <w:noProof/>
          <w:sz w:val="24"/>
          <w:szCs w:val="24"/>
          <w:lang w:val="bg-BG"/>
        </w:rPr>
      </w:pPr>
    </w:p>
    <w:p>
      <w:pPr>
        <w:autoSpaceDE w:val="0"/>
        <w:autoSpaceDN w:val="0"/>
        <w:adjustRightInd w:val="0"/>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Успоредно с това предложеното продължаване на задълженията за икономии на енергия за държавите членки, посочени в член 7 от Директивата относно енергийната ефективност, ще даде допълнителен тласък за обединяване на проекти с малък мащаб.  </w:t>
      </w:r>
    </w:p>
    <w:p>
      <w:pPr>
        <w:spacing w:after="240" w:line="240" w:lineRule="auto"/>
        <w:jc w:val="both"/>
        <w:rPr>
          <w:rFonts w:ascii="Times New Roman" w:hAnsi="Times New Roman" w:cs="Times New Roman"/>
          <w:b/>
          <w:i/>
          <w:noProof/>
          <w:color w:val="000000"/>
          <w:sz w:val="24"/>
          <w:szCs w:val="24"/>
          <w:lang w:val="bg-BG"/>
        </w:rPr>
      </w:pPr>
      <w:r>
        <w:rPr>
          <w:rFonts w:ascii="Times New Roman" w:hAnsi="Times New Roman"/>
          <w:b/>
          <w:i/>
          <w:noProof/>
          <w:color w:val="000000"/>
          <w:sz w:val="24"/>
          <w:lang w:val="bg-BG"/>
        </w:rPr>
        <w:t>Стълб III: Намаляване на риска</w:t>
      </w:r>
    </w:p>
    <w:p>
      <w:pPr>
        <w:autoSpaceDE w:val="0"/>
        <w:autoSpaceDN w:val="0"/>
        <w:adjustRightInd w:val="0"/>
        <w:spacing w:after="240" w:line="240" w:lineRule="auto"/>
        <w:jc w:val="both"/>
        <w:rPr>
          <w:rFonts w:ascii="Times New Roman" w:hAnsi="Times New Roman" w:cs="Times New Roman"/>
          <w:bCs/>
          <w:noProof/>
          <w:sz w:val="24"/>
          <w:szCs w:val="24"/>
          <w:lang w:val="bg-BG"/>
        </w:rPr>
      </w:pPr>
      <w:r>
        <w:rPr>
          <w:rFonts w:ascii="Times New Roman" w:hAnsi="Times New Roman"/>
          <w:noProof/>
          <w:color w:val="000000"/>
          <w:sz w:val="24"/>
          <w:lang w:val="bg-BG"/>
        </w:rPr>
        <w:t>Както се призовава от финансовите институции</w:t>
      </w:r>
      <w:bookmarkStart w:id="2" w:name="_Ref462326186"/>
      <w:r>
        <w:rPr>
          <w:rFonts w:ascii="Times New Roman" w:hAnsi="Times New Roman"/>
          <w:noProof/>
          <w:color w:val="000000"/>
          <w:sz w:val="24"/>
          <w:vertAlign w:val="superscript"/>
          <w:lang w:val="bg-BG"/>
        </w:rPr>
        <w:footnoteReference w:id="20"/>
      </w:r>
      <w:bookmarkEnd w:id="2"/>
      <w:r>
        <w:rPr>
          <w:rFonts w:ascii="Times New Roman" w:hAnsi="Times New Roman"/>
          <w:noProof/>
          <w:color w:val="000000"/>
          <w:sz w:val="24"/>
          <w:lang w:val="bg-BG"/>
        </w:rPr>
        <w:t xml:space="preserve">, инвеститорите и финансиращите страни трябва да разберат по-добре реалните рискове и ползи от инвестициите в енергийна устойчивост на сгради въз основа на пазарните данни и информация за постигнатите характеристики. Основни аспекти, като например по-малка вероятност за неизпълнение на кредитни задължения при заемите за икономии на енергия, или по-висока стойност на активите поради по-добри енергийни характеристики, следва все повече да се признават от банките и да бъдат отразявани в цените на финансовите им продукти. Разработването на специализирани финансови продукти за енергийно устойчиви сгради също е важно за подкрепата за създаване на вторичен пазар (за рефинансиране) и за увеличаване на участието на частен капитал. </w:t>
      </w:r>
      <w:r>
        <w:rPr>
          <w:rFonts w:ascii="Times New Roman" w:hAnsi="Times New Roman"/>
          <w:noProof/>
          <w:sz w:val="24"/>
          <w:lang w:val="bg-BG"/>
        </w:rPr>
        <w:t>В подкрепа на това трансформиране на пазара Комисията:</w:t>
      </w:r>
    </w:p>
    <w:p>
      <w:pPr>
        <w:numPr>
          <w:ilvl w:val="0"/>
          <w:numId w:val="14"/>
        </w:numPr>
        <w:autoSpaceDE w:val="0"/>
        <w:autoSpaceDN w:val="0"/>
        <w:adjustRightInd w:val="0"/>
        <w:spacing w:after="240" w:line="240" w:lineRule="auto"/>
        <w:ind w:left="709" w:hanging="283"/>
        <w:contextualSpacing/>
        <w:jc w:val="both"/>
        <w:rPr>
          <w:rFonts w:ascii="Times New Roman" w:hAnsi="Times New Roman" w:cs="Times New Roman"/>
          <w:noProof/>
          <w:color w:val="000000"/>
          <w:sz w:val="24"/>
          <w:szCs w:val="24"/>
          <w:lang w:val="bg-BG"/>
        </w:rPr>
      </w:pPr>
      <w:r>
        <w:rPr>
          <w:rFonts w:ascii="Times New Roman" w:hAnsi="Times New Roman"/>
          <w:b/>
          <w:noProof/>
          <w:sz w:val="24"/>
          <w:lang w:val="bg-BG"/>
        </w:rPr>
        <w:t>Стартира платформа за намаляване на риска в областта на енергийната ефективност</w:t>
      </w:r>
      <w:r>
        <w:rPr>
          <w:noProof/>
          <w:lang w:val="bg-BG"/>
        </w:rPr>
        <w:t xml:space="preserve">, в </w:t>
      </w:r>
      <w:r>
        <w:rPr>
          <w:rFonts w:ascii="Times New Roman" w:hAnsi="Times New Roman"/>
          <w:noProof/>
          <w:sz w:val="24"/>
          <w:lang w:val="bg-BG"/>
        </w:rPr>
        <w:t>която са описани техническите и финансовите характеристики на повече от 5000 европейски проекта за енергийна ефективност в промишлеността и в сградния сектор; Разработчиците на проекти, финансиращите страни и инвеститорите са поканени допълнително да попълват тази база данни с отворен код и да се възползват от нейните функции за сравняване и взаимно обучение между партньори.</w:t>
      </w:r>
    </w:p>
    <w:p>
      <w:pPr>
        <w:autoSpaceDE w:val="0"/>
        <w:autoSpaceDN w:val="0"/>
        <w:adjustRightInd w:val="0"/>
        <w:spacing w:after="240" w:line="240" w:lineRule="auto"/>
        <w:ind w:left="1134"/>
        <w:contextualSpacing/>
        <w:jc w:val="both"/>
        <w:rPr>
          <w:rFonts w:ascii="Times New Roman" w:hAnsi="Times New Roman" w:cs="Times New Roman"/>
          <w:noProof/>
          <w:color w:val="000000"/>
          <w:sz w:val="24"/>
          <w:szCs w:val="24"/>
          <w:lang w:val="bg-BG"/>
        </w:rPr>
      </w:pPr>
    </w:p>
    <w:p>
      <w:pPr>
        <w:numPr>
          <w:ilvl w:val="0"/>
          <w:numId w:val="14"/>
        </w:numPr>
        <w:autoSpaceDE w:val="0"/>
        <w:autoSpaceDN w:val="0"/>
        <w:adjustRightInd w:val="0"/>
        <w:spacing w:after="240" w:line="240" w:lineRule="auto"/>
        <w:contextualSpacing/>
        <w:jc w:val="both"/>
        <w:rPr>
          <w:rFonts w:ascii="Times New Roman" w:hAnsi="Times New Roman" w:cs="Times New Roman"/>
          <w:noProof/>
          <w:color w:val="000000"/>
          <w:sz w:val="24"/>
          <w:szCs w:val="24"/>
          <w:lang w:val="bg-BG"/>
        </w:rPr>
      </w:pPr>
      <w:r>
        <w:rPr>
          <w:rFonts w:ascii="Times New Roman" w:hAnsi="Times New Roman"/>
          <w:noProof/>
          <w:sz w:val="24"/>
          <w:lang w:val="bg-BG"/>
        </w:rPr>
        <w:t xml:space="preserve">Ще работи в тясно сътрудничество с публични и частни финансови институции, представители на промишлеността и експерти от секторите относно </w:t>
      </w:r>
      <w:r>
        <w:rPr>
          <w:rFonts w:ascii="Times New Roman" w:hAnsi="Times New Roman"/>
          <w:b/>
          <w:noProof/>
          <w:sz w:val="24"/>
          <w:lang w:val="bg-BG"/>
        </w:rPr>
        <w:t>консенсусна рамка за одобряване на инвестиции за енергийна устойчивост на сградите</w:t>
      </w:r>
      <w:r>
        <w:rPr>
          <w:rFonts w:ascii="Times New Roman" w:hAnsi="Times New Roman"/>
          <w:noProof/>
          <w:sz w:val="24"/>
          <w:lang w:val="bg-BG"/>
        </w:rPr>
        <w:t>. Разработена съвместно с групата на финансовите институции за енергийна ефективност</w:t>
      </w:r>
      <w:r>
        <w:rPr>
          <w:rFonts w:ascii="Times New Roman" w:hAnsi="Times New Roman"/>
          <w:noProof/>
          <w:sz w:val="24"/>
          <w:vertAlign w:val="superscript"/>
          <w:lang w:val="bg-BG"/>
        </w:rPr>
        <w:t>11</w:t>
      </w:r>
      <w:r>
        <w:rPr>
          <w:rFonts w:ascii="Times New Roman" w:hAnsi="Times New Roman"/>
          <w:noProof/>
          <w:sz w:val="24"/>
          <w:lang w:val="bg-BG"/>
        </w:rPr>
        <w:t xml:space="preserve"> и планирана за 2017 г., тази инициатива ще помогне на финансовите институции да интегрират основните енергийни ползи в своята бизнес практика, като същевременно намаляват трансакционните разходи и увеличават доверието на инвеститорите. Това действие ще спомогне и за деблокиране на пазара за екологосъобразни ипотечни кредити (green mortgage market).</w:t>
      </w:r>
    </w:p>
    <w:p>
      <w:pPr>
        <w:autoSpaceDE w:val="0"/>
        <w:autoSpaceDN w:val="0"/>
        <w:adjustRightInd w:val="0"/>
        <w:spacing w:after="240" w:line="240" w:lineRule="auto"/>
        <w:jc w:val="both"/>
        <w:rPr>
          <w:rFonts w:ascii="Times New Roman" w:hAnsi="Times New Roman" w:cs="Times New Roman"/>
          <w:bCs/>
          <w:noProof/>
          <w:sz w:val="24"/>
          <w:szCs w:val="24"/>
          <w:lang w:val="bg-BG"/>
        </w:rPr>
      </w:pPr>
    </w:p>
    <w:p>
      <w:pPr>
        <w:autoSpaceDE w:val="0"/>
        <w:autoSpaceDN w:val="0"/>
        <w:adjustRightInd w:val="0"/>
        <w:spacing w:after="240" w:line="240" w:lineRule="auto"/>
        <w:jc w:val="both"/>
        <w:rPr>
          <w:rFonts w:ascii="Times New Roman" w:hAnsi="Times New Roman" w:cs="Times New Roman"/>
          <w:bCs/>
          <w:noProof/>
          <w:sz w:val="24"/>
          <w:szCs w:val="24"/>
          <w:lang w:val="bg-BG"/>
        </w:rPr>
      </w:pPr>
      <w:r>
        <w:rPr>
          <w:rFonts w:ascii="Times New Roman" w:hAnsi="Times New Roman"/>
          <w:noProof/>
          <w:sz w:val="24"/>
          <w:lang w:val="bg-BG"/>
        </w:rPr>
        <w:t xml:space="preserve">Успоредно с това законодателното предложение за Директивата относно енергийните характеристики на сградите включва мерки за осигуряване на достъп на инвеститорите от частния сектор до повече и по-добра информация, включително до по-надеждни сертификати за енергийните характеристики на сградите, събиране на действителни данни за енергопотреблението в публични сгради и по-нататъшно развитие на дългосрочни пътни карти за саниране, чрез които да се направляват инвестиционните решения. </w:t>
      </w:r>
    </w:p>
    <w:p>
      <w:pPr>
        <w:spacing w:after="240" w:line="240" w:lineRule="auto"/>
        <w:jc w:val="both"/>
        <w:rPr>
          <w:rFonts w:ascii="Times New Roman" w:hAnsi="Times New Roman" w:cs="Times New Roman"/>
          <w:b/>
          <w:i/>
          <w:noProof/>
          <w:color w:val="000000"/>
          <w:sz w:val="24"/>
          <w:szCs w:val="24"/>
          <w:lang w:val="bg-BG"/>
        </w:rPr>
      </w:pPr>
      <w:r>
        <w:rPr>
          <w:rFonts w:ascii="Times New Roman" w:hAnsi="Times New Roman"/>
          <w:noProof/>
          <w:sz w:val="24"/>
          <w:lang w:val="bg-BG"/>
        </w:rPr>
        <w:t xml:space="preserve">Комисията стартира също така </w:t>
      </w:r>
      <w:r>
        <w:rPr>
          <w:rFonts w:ascii="Times New Roman" w:hAnsi="Times New Roman"/>
          <w:b/>
          <w:noProof/>
          <w:sz w:val="24"/>
          <w:lang w:val="bg-BG"/>
        </w:rPr>
        <w:t>Обсерватория на сградния фонд на ЕС</w:t>
      </w:r>
      <w:r>
        <w:rPr>
          <w:rFonts w:ascii="Times New Roman" w:hAnsi="Times New Roman"/>
          <w:noProof/>
          <w:sz w:val="24"/>
          <w:lang w:val="bg-BG"/>
        </w:rPr>
        <w:t xml:space="preserve"> с цел събиране на централно равнище на цялата необходима информация по отношение на сградите на ЕС и енергийното саниране. Това ще даде възможност за подкрепа на проектирането, изпълнението, мониторинга и оценката на политиките и свързаните с тях финансови инструменти.</w:t>
      </w:r>
    </w:p>
    <w:p>
      <w:pPr>
        <w:spacing w:after="240" w:line="240" w:lineRule="auto"/>
        <w:jc w:val="both"/>
        <w:rPr>
          <w:rFonts w:ascii="Times New Roman" w:eastAsia="Times New Roman" w:hAnsi="Times New Roman" w:cs="Times New Roman"/>
          <w:b/>
          <w:noProof/>
          <w:sz w:val="24"/>
          <w:szCs w:val="24"/>
          <w:lang w:val="bg-BG"/>
        </w:rPr>
      </w:pPr>
      <w:r>
        <w:rPr>
          <w:rFonts w:ascii="Times New Roman" w:hAnsi="Times New Roman"/>
          <w:b/>
          <w:noProof/>
          <w:sz w:val="24"/>
          <w:lang w:val="bg-BG"/>
        </w:rPr>
        <w:t>2.</w:t>
      </w:r>
      <w:r>
        <w:rPr>
          <w:noProof/>
          <w:lang w:val="bg-BG"/>
        </w:rPr>
        <w:tab/>
      </w:r>
      <w:r>
        <w:rPr>
          <w:rFonts w:ascii="Times New Roman" w:hAnsi="Times New Roman"/>
          <w:b/>
          <w:noProof/>
          <w:sz w:val="24"/>
          <w:lang w:val="bg-BG"/>
        </w:rPr>
        <w:t>Строителен сектор</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ще покани заинтересованите страни от строителния сектор, за да бъдат обсъдени предизвикателствата и възможностите, които представляват за сектора инвестициите в енергийна устойчивост на сгради, и как това може допълнително да се насърчава. Това допълва работата на Тристранния форум на високо равнище за устойчиво строителство в рамките на Стратегията „Строителство 2020“.</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В рамките на своята Европейска програма за умения</w:t>
      </w:r>
      <w:r>
        <w:rPr>
          <w:rStyle w:val="FootnoteReference"/>
          <w:rFonts w:ascii="Times New Roman" w:hAnsi="Times New Roman"/>
          <w:noProof/>
          <w:sz w:val="24"/>
          <w:lang w:val="bg-BG"/>
        </w:rPr>
        <w:footnoteReference w:id="21"/>
      </w:r>
      <w:r>
        <w:rPr>
          <w:rFonts w:ascii="Times New Roman" w:hAnsi="Times New Roman"/>
          <w:noProof/>
          <w:sz w:val="24"/>
          <w:lang w:val="bg-BG"/>
        </w:rPr>
        <w:t xml:space="preserve"> Комисията започна да полага усилия за справяне с предизвикателствата, свързани с професионалните умения. Въз основа на опита от пилотните схеми, стартирали през тази година, през 2017 г. Комисията ще стартира нови серии от т. нар. „подробни планове за действие за секторно сътрудничество във връзка с уменията“, като една от тях ще се отнася за строителния сектор и ще бъде насочена към енергийна ефективност и умения за боравене с цифрови технологии. В този контекст ще бъдат разработени полезни взаимодействия с инициативата на Комисията „Изграждане на умения“ (BUILD UP Skills), която има за цел повишаване на квалификацията на работниците в строителния сектор относно енергийната ефективност и технологиите за възобновяеми енергийни източници и тяхното внедряване и управление</w:t>
      </w:r>
      <w:r>
        <w:rPr>
          <w:rStyle w:val="FootnoteReference"/>
          <w:rFonts w:ascii="Times New Roman" w:hAnsi="Times New Roman"/>
          <w:noProof/>
          <w:sz w:val="24"/>
          <w:lang w:val="bg-BG"/>
        </w:rPr>
        <w:footnoteReference w:id="22"/>
      </w:r>
      <w:r>
        <w:rPr>
          <w:noProof/>
          <w:lang w:val="bg-BG"/>
        </w:rPr>
        <w:t>.</w:t>
      </w:r>
      <w:r>
        <w:rPr>
          <w:rFonts w:ascii="Times New Roman" w:hAnsi="Times New Roman"/>
          <w:noProof/>
          <w:sz w:val="24"/>
          <w:lang w:val="bg-BG"/>
        </w:rPr>
        <w:t xml:space="preserve">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Строителството на нови сгради или ремонтирането на сгради с цел да станат по-енергоефективни дава възможност да се преосмислят практиките на строителство и събаряне, за да се вземат предвид по-широките аспекти на ресурсната ефективност. Съгласно пакета за кръговратна икономика, Европейската комисия ще представи през следващата година рамката на ЕС за оценка на цялостните екологични характеристики на сградите. Такава рамка следва да се използва за насърчаване на кръговратната икономика в застроената среда, включително да се използва като референция за проекти с широкомащабно прилагане, в европейските структурни и инвестиционни фондове и в националната политика и законодателство. Освен това Европейската комисия проучва възможностите за подкрепа на инициативи за насърчаване на инвестиции в нова и/или иновативна инфраструктура за рециклиране на строителни отпадъци в области, изоставащи по отношение на целта за 70 % повторна употреба, оползотворяване и рециклиране, която съгласно Рамковата директива за отпадъците следва да бъде постигната до 2020 г. Такива инвестиции биха могли да бъдат подкрепени от Европейския фонд за стратегически инвестиции. В процес на създаване е специфична платформа за проекти във връзка с кръговратната икономика. В допълнение Комисията е изготвила протокол за управление на строителните отпадъци, за да се помогне на заинтересованите страни да третират отпадъците по екологосъобразен начин и да се увеличават възможностите за рециклирането им. Като гледа в перспектива, Европейската комисия работи върху принципи и правила за устойчивото проектиране на сгради с цел да се генерират по-малко строителни отпадъци и да се улеснява рециклирането на материалите. Всички тези инициативи от своя страна ще спомогнат за намаляване на енергопотреблението и на разходите, свързани със строителни материали. </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Потенциалът на строителния сектор за стопански растеж и създаване на работни места трябва да бъде деблокиран чрез подобряване на функционирането на пазарите. Резултатите от проверката за пригодност в областта на строителството ще бъдат използвани за гарантиране на по-добра съгласуваност на съответното законодателство относно вътрешноевропейския пазар и енергийната ефективност. Например произтичащите от регламентите за екопроектирането изисквания следва да бъдат включени, когато е целесъобразно, в хармонизираните стандарти съгласно Регламента за строителните продукти, приложими за същите продукти, за да се осигури на производителите една единствена рамка за изпитване на продуктите. Тъй като вътрешноевропейският пазар за строителни продукти все още е фрагментиран, процесът на консултации със заинтересованите страни продължава</w:t>
      </w:r>
      <w:r>
        <w:rPr>
          <w:rStyle w:val="FootnoteReference"/>
          <w:rFonts w:ascii="Times New Roman" w:hAnsi="Times New Roman"/>
          <w:noProof/>
          <w:sz w:val="24"/>
          <w:lang w:val="bg-BG"/>
        </w:rPr>
        <w:footnoteReference w:id="23"/>
      </w:r>
      <w:r>
        <w:rPr>
          <w:rFonts w:ascii="Times New Roman" w:hAnsi="Times New Roman"/>
          <w:noProof/>
          <w:sz w:val="24"/>
          <w:lang w:val="bg-BG"/>
        </w:rPr>
        <w:t>, като е възможно да доведе до преразглеждане на Регламента за строителните продукти в рамките на мандата на настоящата Комисия.</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Европейската комисия ще продължи да подкрепя иновациите чрез стимулиране на развитието на съвременни технологични продукти и процеси в рамките на договорното публично-частно партньорство (cPPP) „Енергийноефективни сгради (</w:t>
      </w:r>
      <w:r>
        <w:rPr>
          <w:rFonts w:ascii="Times New Roman" w:hAnsi="Times New Roman"/>
          <w:i/>
          <w:noProof/>
          <w:sz w:val="24"/>
          <w:lang w:val="bg-BG"/>
        </w:rPr>
        <w:t>ЕеС</w:t>
      </w:r>
      <w:r>
        <w:rPr>
          <w:rFonts w:ascii="Times New Roman" w:hAnsi="Times New Roman"/>
          <w:noProof/>
          <w:sz w:val="24"/>
          <w:lang w:val="bg-BG"/>
        </w:rPr>
        <w:t>)“. Това публично-частно партньорство се очаква да осигури технологиите, необходими за повишаване на устойчивостта и конкурентоспособността на европейската строителна промишленост</w:t>
      </w:r>
      <w:r>
        <w:rPr>
          <w:rStyle w:val="FootnoteReference"/>
          <w:rFonts w:ascii="Times New Roman" w:hAnsi="Times New Roman"/>
          <w:noProof/>
          <w:sz w:val="24"/>
          <w:lang w:val="bg-BG"/>
        </w:rPr>
        <w:footnoteReference w:id="24"/>
      </w:r>
      <w:r>
        <w:rPr>
          <w:noProof/>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Инициативата може да бъде подкрепена от интелигентен подход към обществените поръчки, насърчаващ иновативни нисковъглеродни решения чрез инициативи за стандартизация, ръководени от промишлени отрасли, като например SustSteel</w:t>
      </w:r>
      <w:r>
        <w:rPr>
          <w:rStyle w:val="FootnoteReference"/>
          <w:rFonts w:ascii="Times New Roman" w:hAnsi="Times New Roman"/>
          <w:noProof/>
          <w:sz w:val="24"/>
          <w:lang w:val="bg-BG"/>
        </w:rPr>
        <w:footnoteReference w:id="25"/>
      </w:r>
      <w:r>
        <w:rPr>
          <w:rFonts w:ascii="Times New Roman" w:hAnsi="Times New Roman"/>
          <w:noProof/>
          <w:sz w:val="24"/>
          <w:lang w:val="bg-BG"/>
        </w:rPr>
        <w:t>. След като тези стандарти бъдат финализирани, те могат да бъдат използвани от строителния сектор за изпълнение на целите му за постигане на устойчивост. Този подход може да бъде възпроизведен за други строителни продукти и ще даде възможност на сектора да оцени усилията си и да предлага по по-ефективен начин своите продукти.</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В новите директиви за обществените поръчки (в сила от пролетта на 2016 г.) се консолидират и оптимизират всички съществуващи иновационни инструменти: функционални критерии, варианти, съображения за качество в техническите спецификации и критерии за възлагане. ЕС също допринася за иновативните обществени поръчки чрез европейските структурни и инвестиционни фондове и Програмата „Хоризонт 2020“. Това доведе до серия от новаторски проекти. Интересен пример е трансграничният проект PAPIRUS (обхващащ Германия, Испания, Италия и Норвегия), който има за цел насърчаването, прилагането и валидирането на иновативни решения за устойчиво строителство чрез възлагане на обществени поръчки, насочени към сгради с почти нулево потребление на енергия. Освен това Комисията публикува доброволни критерии за зелени обществени поръчки за проектиране, изграждане и управление на офис сгради, които включват поредица от препоръки за това как да бъде закупена екологосъобразна и енергоефективна офис сграда</w:t>
      </w:r>
      <w:r>
        <w:rPr>
          <w:rFonts w:ascii="Times New Roman" w:hAnsi="Times New Roman"/>
          <w:noProof/>
          <w:sz w:val="24"/>
          <w:vertAlign w:val="superscript"/>
          <w:lang w:val="bg-BG"/>
        </w:rPr>
        <w:footnoteReference w:id="26"/>
      </w:r>
      <w:r>
        <w:rPr>
          <w:rFonts w:ascii="Times New Roman" w:hAnsi="Times New Roman"/>
          <w:noProof/>
          <w:sz w:val="24"/>
          <w:lang w:val="bg-BG"/>
        </w:rPr>
        <w:t>.</w:t>
      </w:r>
    </w:p>
    <w:p>
      <w:pPr>
        <w:spacing w:after="240" w:line="240" w:lineRule="auto"/>
        <w:jc w:val="both"/>
        <w:rPr>
          <w:rFonts w:ascii="Times New Roman" w:hAnsi="Times New Roman" w:cs="Times New Roman"/>
          <w:noProof/>
          <w:sz w:val="24"/>
          <w:szCs w:val="24"/>
          <w:lang w:val="bg-BG"/>
        </w:rPr>
      </w:pPr>
      <w:r>
        <w:rPr>
          <w:rFonts w:ascii="Times New Roman" w:hAnsi="Times New Roman"/>
          <w:noProof/>
          <w:sz w:val="24"/>
          <w:lang w:val="bg-BG"/>
        </w:rPr>
        <w:t>Цифровите технологии имат потенциала да повишат ефективността на строителните процеси и експлоатацията на сградите, като по този начин допринасят за нашите цели за икономии на енергия. Ето защо Комисията подкрепя определянето на общи принципи и правила в областта на обществените поръчки с цел дигитализиране на характеристиките на сградите, включително на техните енергийни характеристики (Информационно моделиране на строителството). Заедно с разработването на обща рамка за цифров дневник на сградата и конкретни действия, насочени към малките и средни предприятия, това значително улеснява обмена на информация и подкрепата за вземане на решения преди, по време на и след строителните проекти, избягването на фрагментирането на конкурентните национални стратегии и съкращаването на разходите на малките и средни предприятия. В допълнение към това съгласно Споразумението на Световната търговска организация за държавните поръчки и в контекста на двустранните споразумения ЕС гарантира, че обществените поръчки се провеждат по прозрачен и конкурентен начин, който не води до дискриминация спрямо стоки, услуги или доставчици от ЕС.</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291097"/>
      <w:docPartObj>
        <w:docPartGallery w:val="Page Numbers (Bottom of Page)"/>
        <w:docPartUnique/>
      </w:docPartObj>
    </w:sdtPr>
    <w:sdtEndPr>
      <w:rPr>
        <w:rFonts w:ascii="Times New Roman" w:hAnsi="Times New Roman" w:cs="Times New Roman"/>
        <w:noProof/>
        <w:sz w:val="24"/>
        <w:szCs w:val="24"/>
      </w:rPr>
    </w:sdtEndPr>
    <w:sdtContent>
      <w:p>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European Commission, The European construction sector – A global partner, 2016 (Европейска комисия, Европейският строителен сектор — глобален партньор, 2016 г.)</w:t>
      </w:r>
    </w:p>
  </w:footnote>
  <w:footnote w:id="2">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Оценка на въздействието за изменение на Директивата относно енергийните характеристики на сградите, SWD(2016) 414; вж. също Доклада на Съвместния изследователски център (JRC) „Energy Renovation: The Trump Card for the New Start for Europe“ („Енергийното саниране — коз за новото начало за Европа“), достъпен на адрес http://iet.jrc.ec.europa.eu/energyefficiency/publication/energy-renovation-trump-card-new-start-europe</w:t>
      </w:r>
    </w:p>
  </w:footnote>
  <w:footnote w:id="3">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Съобщение „Европа инвестира отново — Преглед на постигнатото по Плана за инвестиции за Европа и следващи мерки“, COM(2016) 359. </w:t>
      </w:r>
    </w:p>
  </w:footnote>
  <w:footnote w:id="4">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Забележка: В допълнение са отпуснати съответно 870 милиона евро и 113 милиона евро от Европейския земеделски фонд за развитие на селските райони (ЕЗФРСР) и Европейския фонд за морско дело и рибарство (ЕФМДР), които също са част от ЕСИФ. </w:t>
      </w:r>
    </w:p>
  </w:footnote>
  <w:footnote w:id="5">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Изчисления въз основа на финансовите таблици на оперативните програми за периода 2014—2020 г. за тематичната цел „подпомагане на преминаването към нисковъглеродна икономика“ като цяло.</w:t>
      </w:r>
    </w:p>
  </w:footnote>
  <w:footnote w:id="6">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Включително национално съфинансиране.</w:t>
      </w:r>
    </w:p>
  </w:footnote>
  <w:footnote w:id="7">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Първото годишно обобщение на напредъка по финансовите инструменти в рамките на ЕСИФ за периода 2014—2020 г. ще бъде изготвено до края на ноември 2016 г.</w:t>
      </w:r>
    </w:p>
  </w:footnote>
  <w:footnote w:id="8">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През последните 5 години Европейската инвестиционна банка (ЕИБ) е предоставила 10,5 милиарда евро за сектора на енергийната ефективност.</w:t>
      </w:r>
    </w:p>
  </w:footnote>
  <w:footnote w:id="9">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СOM(2016) 605 от 14 септември 2016 г.</w:t>
      </w:r>
    </w:p>
  </w:footnote>
  <w:footnote w:id="10">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Вж. Изявление на Комисията относно нейната оценка на еднократните вноски в контекста на инициативата за ЕФСИ за целите на прилагането на Пакта за стабилност и растеж, ОВ L 169, 1.7.2015 г., стр. 38, вж. също съобщение „Пълноценно използване на гъвкавостта, заложена в действащите разпоредби на Пакта за стабилност и растеж“, COM(2015) 12.</w:t>
      </w:r>
    </w:p>
  </w:footnote>
  <w:footnote w:id="11">
    <w:p>
      <w:pPr>
        <w:pStyle w:val="FootnoteText"/>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hyperlink r:id="rId1">
        <w:r>
          <w:rPr>
            <w:rStyle w:val="Hyperlink"/>
            <w:rFonts w:ascii="Times New Roman" w:hAnsi="Times New Roman"/>
            <w:lang w:val="bg-BG"/>
          </w:rPr>
          <w:t>http://www.covenantofmayors.eu/index_en.html</w:t>
        </w:r>
      </w:hyperlink>
      <w:r>
        <w:rPr>
          <w:rFonts w:ascii="Times New Roman" w:hAnsi="Times New Roman"/>
          <w:lang w:val="bg-BG"/>
        </w:rPr>
        <w:t xml:space="preserve"> </w:t>
      </w:r>
    </w:p>
  </w:footnote>
  <w:footnote w:id="12">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По-специално решения за отопление и охлаждане, слънчеви фотоволтаични колектори върху покриви и термопомпи. </w:t>
      </w:r>
    </w:p>
  </w:footnote>
  <w:footnote w:id="13">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В своето наскоро прието предложение за регламент „Омнибус“ (COM(2016) 605) Комисията предлага опростени правила, приложими за комбинирането на ЕСИФ с ЕФСИ, които биха могли създадат възможност за по-нататъшно развитие на лесни за употреба модели и образци. </w:t>
      </w:r>
    </w:p>
  </w:footnote>
  <w:footnote w:id="14">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Тези платформи ще осигурят също така по-добра видимост на проектите, финансирани в техните рамки с цел използване на съответните регулаторни и административни предимства, предоставени от ЕФСИ.</w:t>
      </w:r>
    </w:p>
  </w:footnote>
  <w:footnote w:id="15">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fi-compass е платформа за консултантски услуги относно финансови инструменти по линия на европейските структурни и инвестиционни фондове (ЕСИФ), предназначена да подкрепя управляващите органи на ЕСИФ и други заинтересовани страни чрез предоставяне на практическо ноу-хау и средства за обучение по финансови инструменти. </w:t>
      </w:r>
      <w:hyperlink r:id="rId2">
        <w:r>
          <w:rPr>
            <w:rStyle w:val="Hyperlink"/>
            <w:rFonts w:ascii="Times New Roman" w:hAnsi="Times New Roman"/>
            <w:lang w:val="bg-BG"/>
          </w:rPr>
          <w:t>https://www.fi-compass.eu/</w:t>
        </w:r>
      </w:hyperlink>
    </w:p>
  </w:footnote>
  <w:footnote w:id="16">
    <w:p>
      <w:pPr>
        <w:pStyle w:val="FootnoteText"/>
        <w:tabs>
          <w:tab w:val="left" w:pos="240"/>
        </w:tabs>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Механизмът ELENA и поканата за помощ за разработване на проекти по Програма „Хоризонт 2020“.</w:t>
      </w:r>
    </w:p>
  </w:footnote>
  <w:footnote w:id="17">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Въз основа на предишни стойности на коефициента на ливъридж, постигнат по механизма ELENA и механизма за помощ за разработване на проекти по линия на Изпълнителна агенция за малките и средните предприятия (ЕАSМЕ).</w:t>
      </w:r>
    </w:p>
  </w:footnote>
  <w:footnote w:id="18">
    <w:p>
      <w:pPr>
        <w:pStyle w:val="FootnoteText"/>
        <w:ind w:left="240" w:hanging="24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Manag'Energy ще представлява фокусна точка за изграждане на капацитет за повече от 400 местни и областни агенции по енергетика в Европа с цел увеличаване на капацитета им за финансиране на енергийна ефективност и осигуряване на възможност на тези агенции да развиват структури с оглед създаване на цялостни интегрирани местни/областни подходи.</w:t>
      </w:r>
    </w:p>
  </w:footnote>
  <w:footnote w:id="19">
    <w:p>
      <w:pPr>
        <w:pStyle w:val="FootnoteText"/>
        <w:ind w:left="240" w:hanging="24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H2020, EE-23-2017, относно иновативни схеми за финансиране, а именно относно схеми, основани на обединители на проекти или клирингови къщи на регионално или национално равнище.</w:t>
      </w:r>
    </w:p>
  </w:footnote>
  <w:footnote w:id="20">
    <w:p>
      <w:pPr>
        <w:pStyle w:val="FootnoteText"/>
        <w:tabs>
          <w:tab w:val="left" w:pos="240"/>
        </w:tabs>
        <w:jc w:val="both"/>
        <w:rPr>
          <w:rFonts w:ascii="Times New Roman" w:hAnsi="Times New Roman" w:cs="Times New Roman"/>
          <w:lang w:val="bg-BG"/>
        </w:rPr>
      </w:pPr>
      <w:r>
        <w:rPr>
          <w:rStyle w:val="FootnoteReference"/>
          <w:rFonts w:ascii="Times New Roman" w:hAnsi="Times New Roman"/>
          <w:lang w:val="bg-BG"/>
        </w:rPr>
        <w:footnoteRef/>
      </w:r>
      <w:r>
        <w:rPr>
          <w:lang w:val="bg-BG"/>
        </w:rPr>
        <w:tab/>
      </w:r>
      <w:hyperlink r:id="rId3">
        <w:r>
          <w:rPr>
            <w:rStyle w:val="Hyperlink"/>
            <w:rFonts w:ascii="Times New Roman" w:hAnsi="Times New Roman"/>
            <w:lang w:val="bg-BG"/>
          </w:rPr>
          <w:t>www.eefig.com</w:t>
        </w:r>
      </w:hyperlink>
    </w:p>
  </w:footnote>
  <w:footnote w:id="21">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Съобщение „</w:t>
      </w:r>
      <w:r>
        <w:rPr>
          <w:rFonts w:ascii="Times New Roman" w:hAnsi="Times New Roman"/>
          <w:i/>
          <w:lang w:val="bg-BG"/>
        </w:rPr>
        <w:t>Нова европейска програма за умения: Съвместни усилия за укрепване на човешкия капитал, пригодността за заетост и конкурентоспособността</w:t>
      </w:r>
      <w:r>
        <w:rPr>
          <w:rFonts w:ascii="Times New Roman" w:hAnsi="Times New Roman"/>
          <w:lang w:val="bg-BG"/>
        </w:rPr>
        <w:t>“, COM(2016) 381</w:t>
      </w:r>
      <w:r>
        <w:rPr>
          <w:rFonts w:ascii="Times New Roman" w:hAnsi="Times New Roman"/>
          <w:i/>
          <w:lang w:val="bg-BG"/>
        </w:rPr>
        <w:t>.</w:t>
      </w:r>
    </w:p>
  </w:footnote>
  <w:footnote w:id="22">
    <w:p>
      <w:pPr>
        <w:pStyle w:val="FootnoteText"/>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Инициатива, финансирана по програмите: „Интелигентна енергия — Европа“ и „Хоризонт 2020“, обществено предизвикателство 3.</w:t>
      </w:r>
    </w:p>
  </w:footnote>
  <w:footnote w:id="23">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Style w:val="FootnoteReference"/>
          <w:rFonts w:ascii="Times New Roman" w:hAnsi="Times New Roman"/>
          <w:lang w:val="bg-BG"/>
        </w:rPr>
        <w:t xml:space="preserve"> </w:t>
      </w:r>
      <w:r>
        <w:rPr>
          <w:lang w:val="bg-BG"/>
        </w:rPr>
        <w:tab/>
      </w:r>
      <w:r>
        <w:rPr>
          <w:rFonts w:ascii="Times New Roman" w:hAnsi="Times New Roman"/>
          <w:lang w:val="bg-BG"/>
        </w:rPr>
        <w:t>Както е предвидено в доклада за прилагането на Регламента за строителните продукти (да се добави препратка)</w:t>
      </w:r>
    </w:p>
  </w:footnote>
  <w:footnote w:id="24">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http://ec.europa.eu/research/industrial_technologies/energy-efficient-buildings_en.html.</w:t>
      </w:r>
    </w:p>
  </w:footnote>
  <w:footnote w:id="25">
    <w:p>
      <w:pPr>
        <w:pStyle w:val="FootnoteText"/>
        <w:tabs>
          <w:tab w:val="left" w:pos="240"/>
        </w:tabs>
        <w:ind w:left="240" w:hanging="240"/>
        <w:jc w:val="both"/>
        <w:rPr>
          <w:rFonts w:ascii="Times New Roman" w:hAnsi="Times New Roman" w:cs="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Стоманодобивната промишленост работи по европейски стандарти в областта на устойчиво развито производство на стомана (SustSteel), което ще даде възможност на компаниите да удостоверяват, че техните стоманени продукти за строителния сектор отговарят на определените изисквания към икономическите, екологичните и социалните аспекти на устойчивостта.</w:t>
      </w:r>
    </w:p>
  </w:footnote>
  <w:footnote w:id="26">
    <w:p>
      <w:pPr>
        <w:pStyle w:val="FootnoteText"/>
        <w:ind w:left="240" w:hanging="240"/>
        <w:jc w:val="both"/>
        <w:rPr>
          <w:rFonts w:ascii="Times New Roman" w:hAnsi="Times New Roman" w:cs="Times New Roman"/>
          <w:lang w:val="bg-BG"/>
        </w:rPr>
      </w:pPr>
      <w:r>
        <w:rPr>
          <w:rStyle w:val="FootnoteReference"/>
          <w:rFonts w:ascii="Times New Roman" w:hAnsi="Times New Roman"/>
          <w:lang w:val="bg-BG"/>
        </w:rPr>
        <w:footnoteRef/>
      </w:r>
      <w:r>
        <w:rPr>
          <w:rFonts w:ascii="Times New Roman" w:hAnsi="Times New Roman"/>
          <w:lang w:val="bg-BG"/>
        </w:rPr>
        <w:t xml:space="preserve"> Критерии на ЕС за зелени обществени поръчки за проектиране, изграждане и управление на офис сгради (SWD(2016) 180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F15"/>
    <w:multiLevelType w:val="hybridMultilevel"/>
    <w:tmpl w:val="D76C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3D742C"/>
    <w:multiLevelType w:val="hybridMultilevel"/>
    <w:tmpl w:val="3ED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7D7468"/>
    <w:multiLevelType w:val="hybridMultilevel"/>
    <w:tmpl w:val="0DEA47A6"/>
    <w:lvl w:ilvl="0" w:tplc="BA782A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322AC8"/>
    <w:multiLevelType w:val="hybridMultilevel"/>
    <w:tmpl w:val="55BC733E"/>
    <w:lvl w:ilvl="0" w:tplc="307C8940">
      <w:start w:val="1"/>
      <mc:AlternateContent>
        <mc:Choice Requires="w14">
          <w:numFmt w:val="custom" w:format="а, й, к, ..."/>
        </mc:Choice>
        <mc:Fallback>
          <w:numFmt w:val="decimal"/>
        </mc:Fallback>
      </mc:AlternateConten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FB53A3"/>
    <w:multiLevelType w:val="hybridMultilevel"/>
    <w:tmpl w:val="D50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6A6AAB"/>
    <w:multiLevelType w:val="hybridMultilevel"/>
    <w:tmpl w:val="D6BC8892"/>
    <w:lvl w:ilvl="0" w:tplc="F8348F44">
      <w:numFmt w:val="bullet"/>
      <w:lvlText w:val="-"/>
      <w:lvlJc w:val="left"/>
      <w:pPr>
        <w:ind w:left="1440" w:hanging="360"/>
      </w:pPr>
      <w:rPr>
        <w:rFonts w:ascii="Times New Roman" w:eastAsiaTheme="minorHAnsi" w:hAnsi="Times New Roman" w:cs="Times New Roman" w:hint="default"/>
        <w:b/>
      </w:rPr>
    </w:lvl>
    <w:lvl w:ilvl="1" w:tplc="F8348F44">
      <w:numFmt w:val="bullet"/>
      <w:lvlText w:val="-"/>
      <w:lvlJc w:val="left"/>
      <w:pPr>
        <w:ind w:left="2160" w:hanging="360"/>
      </w:pPr>
      <w:rPr>
        <w:rFonts w:ascii="Times New Roman" w:eastAsiaTheme="minorHAnsi" w:hAnsi="Times New Roman" w:cs="Times New Roman" w:hint="default"/>
        <w:b/>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50B0302"/>
    <w:multiLevelType w:val="hybridMultilevel"/>
    <w:tmpl w:val="E7649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580264"/>
    <w:multiLevelType w:val="multilevel"/>
    <w:tmpl w:val="E44495E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4EF84E91"/>
    <w:multiLevelType w:val="hybridMultilevel"/>
    <w:tmpl w:val="BDB4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9E15DE"/>
    <w:multiLevelType w:val="hybridMultilevel"/>
    <w:tmpl w:val="BB00A162"/>
    <w:lvl w:ilvl="0" w:tplc="307C8940">
      <w:start w:val="1"/>
      <mc:AlternateContent>
        <mc:Choice Requires="w14">
          <w:numFmt w:val="custom" w:format="а, й, к, ..."/>
        </mc:Choice>
        <mc:Fallback>
          <w:numFmt w:val="decimal"/>
        </mc:Fallback>
      </mc:AlternateContent>
      <w:lvlText w:val="%1."/>
      <w:lvlJc w:val="left"/>
      <w:pPr>
        <w:ind w:left="108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891779A"/>
    <w:multiLevelType w:val="hybridMultilevel"/>
    <w:tmpl w:val="66FC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E342CA"/>
    <w:multiLevelType w:val="hybridMultilevel"/>
    <w:tmpl w:val="F2A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624AFF"/>
    <w:multiLevelType w:val="hybridMultilevel"/>
    <w:tmpl w:val="B10A6630"/>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1A26C5"/>
    <w:multiLevelType w:val="hybridMultilevel"/>
    <w:tmpl w:val="3DA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596816"/>
    <w:multiLevelType w:val="hybridMultilevel"/>
    <w:tmpl w:val="9956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EA76C3"/>
    <w:multiLevelType w:val="hybridMultilevel"/>
    <w:tmpl w:val="B67AD542"/>
    <w:lvl w:ilvl="0" w:tplc="307C8940">
      <w:start w:val="1"/>
      <mc:AlternateContent>
        <mc:Choice Requires="w14">
          <w:numFmt w:val="custom" w:format="а, й, к, ..."/>
        </mc:Choice>
        <mc:Fallback>
          <w:numFmt w:val="decimal"/>
        </mc:Fallback>
      </mc:AlternateContent>
      <w:lvlText w:val="%1."/>
      <w:lvlJc w:val="left"/>
      <w:pPr>
        <w:ind w:left="108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8"/>
  </w:num>
  <w:num w:numId="5">
    <w:abstractNumId w:val="14"/>
  </w:num>
  <w:num w:numId="6">
    <w:abstractNumId w:val="11"/>
  </w:num>
  <w:num w:numId="7">
    <w:abstractNumId w:val="10"/>
  </w:num>
  <w:num w:numId="8">
    <w:abstractNumId w:val="13"/>
  </w:num>
  <w:num w:numId="9">
    <w:abstractNumId w:val="12"/>
  </w:num>
  <w:num w:numId="10">
    <w:abstractNumId w:val="6"/>
  </w:num>
  <w:num w:numId="11">
    <w:abstractNumId w:val="15"/>
  </w:num>
  <w:num w:numId="12">
    <w:abstractNumId w:val="5"/>
  </w:num>
  <w:num w:numId="13">
    <w:abstractNumId w:val="9"/>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
    <w:docVar w:name="LW_ANNEX_NBR_FIRST" w:val="1"/>
    <w:docVar w:name="LW_ANNEX_NBR_LAST" w:val="1"/>
    <w:docVar w:name="LW_CONFIDENCE" w:val=" "/>
    <w:docVar w:name="LW_CONST_RESTREINT_UE" w:val="RESTREINT UE"/>
    <w:docVar w:name="LW_CORRIGENDUM" w:val="&lt;UNUSED&gt;"/>
    <w:docVar w:name="LW_COVERPAGE_GUID" w:val="D3011BA82BDE40D4AE63477E9F2175B9"/>
    <w:docVar w:name="LW_CROSSREFERENCE" w:val="&lt;UNUSED&gt;"/>
    <w:docVar w:name="LW_DocType" w:val="NORMAL"/>
    <w:docVar w:name="LW_EMISSION" w:val="30.11.2016"/>
    <w:docVar w:name="LW_EMISSION_ISODATE" w:val="2016-11-30"/>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63?\u1080?\u1089?\u1090?\u1072? \u1077?\u1085?\u1077?\u1088?\u1075?\u1080?\u1103? \u1079?\u1072? \u1074?\u1089?\u1080?\u1095?\u1082?\u1080? \u1077?\u1074?\u1088?\u1086?\u1087?\u1077?\u1081?\u1094?\u1080?"/>
    <w:docVar w:name="LW_PART_NBR" w:val="1"/>
    <w:docVar w:name="LW_PART_NBR_TOTAL" w:val="1"/>
    <w:docVar w:name="LW_REF.INST.NEW" w:val="COM"/>
    <w:docVar w:name="LW_REF.INST.NEW_ADOPTED" w:val="final"/>
    <w:docVar w:name="LW_REF.INST.NEW_TEXT" w:val="(2016) 860"/>
    <w:docVar w:name="LW_REF.INTERNE" w:val="&lt;UNUSED&gt;"/>
    <w:docVar w:name="LW_SUPERTITRE" w:val="&lt;UNUSED&gt;"/>
    <w:docVar w:name="LW_TITRE.OBJ.CP" w:val="\u1059?\u1089?\u1082?\u1086?\u1088?\u1103?\u1074?\u1072?\u1085?\u1077? \u1085?\u1072? \u1087?\u1086?\u1089?\u1090?\u1080?\u1075?\u1072?\u1085?\u1077?\u1090?\u1086? \u1085?\u1072? \u1077?\u1085?\u1077?\u1088?\u1075?\u1080?\u1081?\u1085?\u1086? \u1095?\u1080?\u1089?\u1090?\u1080? \u1089?\u1075?\u1088?\u1072?\u1076?\u1080?"/>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Calibri" w:eastAsiaTheme="minorEastAsia" w:hAnsi="Calibri"/>
      <w:kern w:val="3"/>
      <w:sz w:val="20"/>
      <w:szCs w:val="20"/>
      <w:lang w:eastAsia="en-GB"/>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Calibri" w:eastAsiaTheme="minorEastAsia" w:hAnsi="Calibri"/>
      <w:kern w:val="3"/>
      <w:sz w:val="20"/>
      <w:szCs w:val="20"/>
      <w:lang w:eastAsia="en-GB"/>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398">
      <w:bodyDiv w:val="1"/>
      <w:marLeft w:val="0"/>
      <w:marRight w:val="0"/>
      <w:marTop w:val="0"/>
      <w:marBottom w:val="0"/>
      <w:divBdr>
        <w:top w:val="none" w:sz="0" w:space="0" w:color="auto"/>
        <w:left w:val="none" w:sz="0" w:space="0" w:color="auto"/>
        <w:bottom w:val="none" w:sz="0" w:space="0" w:color="auto"/>
        <w:right w:val="none" w:sz="0" w:space="0" w:color="auto"/>
      </w:divBdr>
    </w:div>
    <w:div w:id="88044048">
      <w:bodyDiv w:val="1"/>
      <w:marLeft w:val="0"/>
      <w:marRight w:val="0"/>
      <w:marTop w:val="0"/>
      <w:marBottom w:val="0"/>
      <w:divBdr>
        <w:top w:val="none" w:sz="0" w:space="0" w:color="auto"/>
        <w:left w:val="none" w:sz="0" w:space="0" w:color="auto"/>
        <w:bottom w:val="none" w:sz="0" w:space="0" w:color="auto"/>
        <w:right w:val="none" w:sz="0" w:space="0" w:color="auto"/>
      </w:divBdr>
    </w:div>
    <w:div w:id="432014334">
      <w:bodyDiv w:val="1"/>
      <w:marLeft w:val="0"/>
      <w:marRight w:val="0"/>
      <w:marTop w:val="0"/>
      <w:marBottom w:val="0"/>
      <w:divBdr>
        <w:top w:val="none" w:sz="0" w:space="0" w:color="auto"/>
        <w:left w:val="none" w:sz="0" w:space="0" w:color="auto"/>
        <w:bottom w:val="none" w:sz="0" w:space="0" w:color="auto"/>
        <w:right w:val="none" w:sz="0" w:space="0" w:color="auto"/>
      </w:divBdr>
    </w:div>
    <w:div w:id="789395477">
      <w:bodyDiv w:val="1"/>
      <w:marLeft w:val="0"/>
      <w:marRight w:val="0"/>
      <w:marTop w:val="0"/>
      <w:marBottom w:val="0"/>
      <w:divBdr>
        <w:top w:val="none" w:sz="0" w:space="0" w:color="auto"/>
        <w:left w:val="none" w:sz="0" w:space="0" w:color="auto"/>
        <w:bottom w:val="none" w:sz="0" w:space="0" w:color="auto"/>
        <w:right w:val="none" w:sz="0" w:space="0" w:color="auto"/>
      </w:divBdr>
      <w:divsChild>
        <w:div w:id="1640110907">
          <w:marLeft w:val="547"/>
          <w:marRight w:val="0"/>
          <w:marTop w:val="0"/>
          <w:marBottom w:val="0"/>
          <w:divBdr>
            <w:top w:val="none" w:sz="0" w:space="0" w:color="auto"/>
            <w:left w:val="none" w:sz="0" w:space="0" w:color="auto"/>
            <w:bottom w:val="none" w:sz="0" w:space="0" w:color="auto"/>
            <w:right w:val="none" w:sz="0" w:space="0" w:color="auto"/>
          </w:divBdr>
        </w:div>
      </w:divsChild>
    </w:div>
    <w:div w:id="906234086">
      <w:bodyDiv w:val="1"/>
      <w:marLeft w:val="0"/>
      <w:marRight w:val="0"/>
      <w:marTop w:val="0"/>
      <w:marBottom w:val="0"/>
      <w:divBdr>
        <w:top w:val="none" w:sz="0" w:space="0" w:color="auto"/>
        <w:left w:val="none" w:sz="0" w:space="0" w:color="auto"/>
        <w:bottom w:val="none" w:sz="0" w:space="0" w:color="auto"/>
        <w:right w:val="none" w:sz="0" w:space="0" w:color="auto"/>
      </w:divBdr>
    </w:div>
    <w:div w:id="1173569380">
      <w:bodyDiv w:val="1"/>
      <w:marLeft w:val="0"/>
      <w:marRight w:val="0"/>
      <w:marTop w:val="0"/>
      <w:marBottom w:val="0"/>
      <w:divBdr>
        <w:top w:val="none" w:sz="0" w:space="0" w:color="auto"/>
        <w:left w:val="none" w:sz="0" w:space="0" w:color="auto"/>
        <w:bottom w:val="none" w:sz="0" w:space="0" w:color="auto"/>
        <w:right w:val="none" w:sz="0" w:space="0" w:color="auto"/>
      </w:divBdr>
      <w:divsChild>
        <w:div w:id="1196037987">
          <w:marLeft w:val="547"/>
          <w:marRight w:val="0"/>
          <w:marTop w:val="0"/>
          <w:marBottom w:val="0"/>
          <w:divBdr>
            <w:top w:val="none" w:sz="0" w:space="0" w:color="auto"/>
            <w:left w:val="none" w:sz="0" w:space="0" w:color="auto"/>
            <w:bottom w:val="none" w:sz="0" w:space="0" w:color="auto"/>
            <w:right w:val="none" w:sz="0" w:space="0" w:color="auto"/>
          </w:divBdr>
        </w:div>
      </w:divsChild>
    </w:div>
    <w:div w:id="1441341669">
      <w:bodyDiv w:val="1"/>
      <w:marLeft w:val="0"/>
      <w:marRight w:val="0"/>
      <w:marTop w:val="0"/>
      <w:marBottom w:val="0"/>
      <w:divBdr>
        <w:top w:val="none" w:sz="0" w:space="0" w:color="auto"/>
        <w:left w:val="none" w:sz="0" w:space="0" w:color="auto"/>
        <w:bottom w:val="none" w:sz="0" w:space="0" w:color="auto"/>
        <w:right w:val="none" w:sz="0" w:space="0" w:color="auto"/>
      </w:divBdr>
    </w:div>
    <w:div w:id="19294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efig.com/" TargetMode="External"/><Relationship Id="rId2" Type="http://schemas.openxmlformats.org/officeDocument/2006/relationships/hyperlink" Target="https://www.fi-compass.eu/" TargetMode="External"/><Relationship Id="rId1" Type="http://schemas.openxmlformats.org/officeDocument/2006/relationships/hyperlink" Target="http://www.covenantofmayors.eu/index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E469-7BB2-4427-A4B7-9C671B0E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4139</Words>
  <Characters>25705</Characters>
  <Application>Microsoft Office Word</Application>
  <DocSecurity>0</DocSecurity>
  <Lines>443</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2016-12-16T10:16:00Z</dcterms:created>
  <dcterms:modified xsi:type="dcterms:W3CDTF">2016-12-19T17:55:00Z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