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7F3239B45EF4395A53BD055792A8D0C" style="width:450.75pt;height:393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Увеличаване на средствата по Механизма за бежанците в Турция след Изявлението на ЕС и Турция</w:t>
      </w:r>
    </w:p>
    <w:tbl>
      <w:tblPr>
        <w:tblStyle w:val="TableGrid"/>
        <w:tblW w:w="0" w:type="auto"/>
        <w:jc w:val="center"/>
        <w:tblInd w:w="-1025" w:type="dxa"/>
        <w:tblLook w:val="04A0" w:firstRow="1" w:lastRow="0" w:firstColumn="1" w:lastColumn="0" w:noHBand="0" w:noVBand="1"/>
      </w:tblPr>
      <w:tblGrid>
        <w:gridCol w:w="1407"/>
        <w:gridCol w:w="2552"/>
        <w:gridCol w:w="2551"/>
        <w:gridCol w:w="2410"/>
        <w:gridCol w:w="2410"/>
        <w:gridCol w:w="3915"/>
      </w:tblGrid>
      <w:tr>
        <w:trPr>
          <w:jc w:val="center"/>
        </w:trPr>
        <w:tc>
          <w:tcPr>
            <w:tcW w:w="14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Направление за финансиране по ускорения подход</w:t>
            </w:r>
          </w:p>
        </w:tc>
        <w:tc>
          <w:tcPr>
            <w:tcW w:w="2552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Хуманитарна помощ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за подпомагане на върнатите мигранти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от юли 2016 г. за образование и здравеопазване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от юли 2016 г. за инфраструктура и социално-икономическа подкрепа</w:t>
            </w:r>
          </w:p>
        </w:tc>
        <w:tc>
          <w:tcPr>
            <w:tcW w:w="39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Регионален доверителен фонд на ЕС в отговор на кризата в Сирия (Доверителен фонд на ЕС)</w:t>
            </w:r>
          </w:p>
        </w:tc>
      </w:tr>
      <w:tr>
        <w:trPr>
          <w:jc w:val="center"/>
        </w:trPr>
        <w:tc>
          <w:tcPr>
            <w:tcW w:w="14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Следващи стъпки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октомври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Изпълнението на „Мрежата за социална закрила при извънредни обстоятелства“ (МСЗИО) започна през октомври 2016 г., за да бъдат достигнати близо 1 милион уязвими бежанци през 2017 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Изпълнение на специалната мярка за подпомагане на върнатите мигранти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октомври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Отпускане на преките безвъзмездни средства за образование и здравеопазване на стойност 300 милиона евро за всяка от двете области</w:t>
            </w: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Подготовка на останалите споразумения за делегиране на правомощия с международни финансови институции (МФИ)</w:t>
            </w:r>
          </w:p>
        </w:tc>
        <w:tc>
          <w:tcPr>
            <w:tcW w:w="3915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Края на декември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Очаква се да се подпишат два договора. В първия — на стойност 33 милиона евро — ще участват датския Червен кръст и турския Червен полумесец. Вторият — на стойност 5 милиона евро — ще се изпълнява от нидерландската НПО „Спарк“ и е насочен към осигуряване на висше  образование за уязвими сирийски младежи.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От 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Подготовка на проекти в области, които не са обхванати от други направления: достъп до пазара на труда, дейности на общностите, инициативи за безвъзмездни средства с по-малка стойност, други мерки за интеграция и „меки“ мерки. </w:t>
            </w:r>
          </w:p>
        </w:tc>
      </w:tr>
      <w:tr>
        <w:trPr>
          <w:trHeight w:val="1002"/>
          <w:jc w:val="center"/>
        </w:trPr>
        <w:tc>
          <w:tcPr>
            <w:tcW w:w="1407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Постижения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Началото на септември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договора по линия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МСЗИО</w:t>
            </w:r>
            <w:r>
              <w:rPr>
                <w:rFonts w:ascii="Times New Roman" w:hAnsi="Times New Roman"/>
                <w:noProof/>
                <w:sz w:val="16"/>
              </w:rPr>
              <w:t xml:space="preserve">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348 милиона</w:t>
            </w:r>
            <w:r>
              <w:rPr>
                <w:rFonts w:ascii="Times New Roman" w:hAnsi="Times New Roman"/>
                <w:noProof/>
                <w:sz w:val="16"/>
              </w:rPr>
              <w:t> </w:t>
            </w:r>
            <w:r>
              <w:rPr>
                <w:rFonts w:ascii="Times New Roman" w:hAnsi="Times New Roman"/>
                <w:b/>
                <w:noProof/>
                <w:sz w:val="16"/>
              </w:rPr>
              <w:t>евро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31 юли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договори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74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в областта на здравеопазването, образованието, защитата и подготовката за зимата.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 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Публикуване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плана за изпълнение на хуманитарни дейности</w:t>
            </w:r>
            <w:r>
              <w:rPr>
                <w:rFonts w:ascii="Times New Roman" w:hAnsi="Times New Roman"/>
                <w:noProof/>
                <w:sz w:val="16"/>
              </w:rPr>
              <w:t xml:space="preserve"> на Комисията, включващ първия транш (</w:t>
            </w:r>
            <w:r>
              <w:rPr>
                <w:rFonts w:ascii="Times New Roman" w:hAnsi="Times New Roman"/>
                <w:b/>
                <w:noProof/>
                <w:sz w:val="16"/>
              </w:rPr>
              <w:t>505,65 милиона евро</w:t>
            </w:r>
            <w:r>
              <w:rPr>
                <w:rFonts w:ascii="Times New Roman" w:hAnsi="Times New Roman"/>
                <w:noProof/>
                <w:sz w:val="16"/>
              </w:rPr>
              <w:t>)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Март/април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Комисията подписва проекти със 17 хуманитарни партньора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90 милиона евро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8 август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Пряко споразумение за прилагането на специалната мярка за подпомагане на върнатите мигранти, подписано от турските органи на 8 август 2016 г.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Авансово плащане в размер на 12 милиона евро, извършено на 18 август 2016 г.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19 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Специалната мярка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60 милиона евро</w:t>
            </w:r>
            <w:r>
              <w:rPr>
                <w:rFonts w:ascii="Times New Roman" w:hAnsi="Times New Roman"/>
                <w:noProof/>
                <w:sz w:val="16"/>
              </w:rPr>
              <w:t>, предназначена за осигуряване на храна, подслон и здравни грижи за върнатите от Гърция мигранти.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lang w:val="it-IT"/>
              </w:rPr>
              <w:t>O</w:t>
            </w:r>
            <w:r>
              <w:rPr>
                <w:rFonts w:ascii="Times New Roman" w:hAnsi="Times New Roman"/>
                <w:b/>
                <w:noProof/>
                <w:sz w:val="16"/>
              </w:rPr>
              <w:t>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Предварителни плащания на стойност 270 милиона евро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Края на септември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Подписване на преките безвъзмездни средства за образование и здравеопазване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300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</w:rPr>
              <w:t>за всяка от двете области</w:t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 ноември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Подписване договор с KfW на стойност 50 милиона евро за построяването и оборудването на нови училища.</w:t>
            </w:r>
          </w:p>
        </w:tc>
        <w:tc>
          <w:tcPr>
            <w:tcW w:w="3915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>
        <w:trPr>
          <w:trHeight w:val="601"/>
          <w:jc w:val="center"/>
        </w:trPr>
        <w:tc>
          <w:tcPr>
            <w:tcW w:w="1407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7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28 юли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Приемане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специална мярка в размер на</w:t>
            </w:r>
            <w:r>
              <w:rPr>
                <w:rFonts w:ascii="Times New Roman" w:hAnsi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</w:rPr>
              <w:t>1,4 милиарда 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образование, здравеопазване, общинска инфраструктура и социално-икономическа подкрепа, както и допълнителни средства в размер на 250 милиона евро за проекти „отдолу нагоре“, финансирани от Доверителния фонд на ЕС.</w:t>
            </w:r>
          </w:p>
        </w:tc>
      </w:tr>
      <w:tr>
        <w:trPr>
          <w:trHeight w:val="2650"/>
          <w:jc w:val="center"/>
        </w:trPr>
        <w:tc>
          <w:tcPr>
            <w:tcW w:w="1407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На кръглите маси с международните финансови институции (МФИ) на 24 и 29 юни специалната мярка бе обсъдена и одобрена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Юни </w:t>
            </w:r>
          </w:p>
          <w:p>
            <w:pPr>
              <w:spacing w:after="6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Четири допълнителни проекта „отдолу нагоре“ на обща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59 милиона 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, одобрени от Съвета на Доверителния фонд на ЕС през април и юни, за предоставяне на допълнителна подкрепа за образование и инфраструктура, висше образование, обучение за придобиване на умения, социална подкрепа. 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Май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Сключени са договори за четири проекта на обща стойност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60 милиона евро</w:t>
            </w:r>
            <w:r>
              <w:rPr>
                <w:rFonts w:ascii="Times New Roman" w:hAnsi="Times New Roman"/>
                <w:noProof/>
                <w:sz w:val="16"/>
              </w:rPr>
              <w:t>, включително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z w:val="16"/>
              </w:rPr>
              <w:t xml:space="preserve">регионалният договор с УНИЦЕФ с компонент на стойност </w:t>
            </w:r>
            <w:r>
              <w:rPr>
                <w:rFonts w:ascii="Times New Roman" w:hAnsi="Times New Roman"/>
                <w:b/>
                <w:noProof/>
                <w:sz w:val="16"/>
              </w:rPr>
              <w:t>37 милиона евро</w:t>
            </w:r>
            <w:r>
              <w:rPr>
                <w:rFonts w:ascii="Times New Roman" w:hAnsi="Times New Roman"/>
                <w:noProof/>
                <w:sz w:val="16"/>
              </w:rPr>
              <w:t xml:space="preserve"> за Турция, подписан на </w:t>
            </w:r>
            <w:r>
              <w:rPr>
                <w:rFonts w:ascii="Times New Roman" w:hAnsi="Times New Roman"/>
                <w:b/>
                <w:noProof/>
                <w:sz w:val="16"/>
              </w:rPr>
              <w:t>4 март.</w:t>
            </w:r>
          </w:p>
        </w:tc>
      </w:tr>
      <w:tr>
        <w:trPr>
          <w:jc w:val="center"/>
        </w:trPr>
        <w:tc>
          <w:tcPr>
            <w:tcW w:w="15245" w:type="dxa"/>
            <w:gridSpan w:val="6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Управление на Механизма</w:t>
            </w:r>
          </w:p>
        </w:tc>
      </w:tr>
      <w:tr>
        <w:trPr>
          <w:jc w:val="center"/>
        </w:trPr>
        <w:tc>
          <w:tcPr>
            <w:tcW w:w="140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График от април:</w:t>
            </w:r>
          </w:p>
        </w:tc>
        <w:tc>
          <w:tcPr>
            <w:tcW w:w="2552" w:type="dxa"/>
            <w:shd w:val="clear" w:color="auto" w:fill="auto"/>
          </w:tcPr>
          <w:p>
            <w:pPr>
              <w:tabs>
                <w:tab w:val="center" w:pos="1512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noProof/>
              </w:rPr>
              <w:tab/>
            </w:r>
            <w:r>
              <w:rPr>
                <w:rFonts w:ascii="Times New Roman" w:hAnsi="Times New Roman"/>
                <w:b/>
                <w:noProof/>
                <w:sz w:val="16"/>
              </w:rPr>
              <w:t>Април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Ускорен подход, представен на Турция и доразвит, за да стане стратегическа концептуална бележка за прилагането на Механизма.</w:t>
            </w: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tabs>
                <w:tab w:val="left" w:pos="935"/>
              </w:tabs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noProof/>
              </w:rPr>
              <w:tab/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 май</w:t>
            </w:r>
          </w:p>
          <w:p>
            <w:pPr>
              <w:tabs>
                <w:tab w:val="left" w:pos="4632"/>
              </w:tabs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На 2-то заседание на ръководния комитет бе одобрена стратегическата концептуална бележка и бе представена независима оценка на нуждите. Одобрени бяха шест приоритетни области: хуманитарна помощ, управление на миграцията, образование, здравеопазване, общинска инфраструктура и социално-икономическа подкрепа.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13 юни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Сертификатите за финансов принос на всички държави членки са получени. Те са на обща стойност 2 милиарда евро, обещани за периода 2016—2017 г.</w:t>
            </w:r>
          </w:p>
        </w:tc>
        <w:tc>
          <w:tcPr>
            <w:tcW w:w="241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30 юни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На 3-то заседание на ръководния комитет е направен преглед на изпълнението и са обсъдени специалните мерки в областта на образованието, здравеопазването, общинската и социалната инфраструктура и социално-икономическата подкрепа преди одобрението на мярката от ръководството на Инструмента за предприсъединителна помощ (ИПП).</w:t>
            </w:r>
          </w:p>
        </w:tc>
        <w:tc>
          <w:tcPr>
            <w:tcW w:w="391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4 октомври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4-то заседание на ръководния комитет</w:t>
            </w:r>
          </w:p>
          <w:p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Постоянно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Докладване за изпълнението и съобщаване на постигнатите резултати, включително и с помощта на интерактивна карта</w:t>
            </w:r>
            <w:r>
              <w:rPr>
                <w:rStyle w:val="FootnoteReference"/>
                <w:rFonts w:ascii="Times New Roman" w:hAnsi="Times New Roman"/>
                <w:noProof/>
                <w:sz w:val="16"/>
              </w:rPr>
              <w:footnoteReference w:id="1"/>
            </w:r>
            <w:r>
              <w:rPr>
                <w:rFonts w:ascii="Times New Roman" w:hAnsi="Times New Roman"/>
                <w:noProof/>
                <w:sz w:val="16"/>
              </w:rPr>
              <w:t>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12 януари 2017 г.</w:t>
            </w:r>
          </w:p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5-то заседание на ръководния комитет</w:t>
            </w:r>
          </w:p>
        </w:tc>
      </w:tr>
    </w:tbl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240" w:right="360" w:bottom="240" w:left="3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18556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За повече информация относно начина на работа на Механизма и подробен преглед на финансираните проекти: </w:t>
      </w:r>
      <w:hyperlink r:id="rId1">
        <w:r>
          <w:rPr>
            <w:rStyle w:val="Hyperlink"/>
            <w:rFonts w:ascii="Times New Roman" w:hAnsi="Times New Roman"/>
          </w:rPr>
          <w:t>http://ec.europa.eu/enlargement/news_corner/migration/index_en.htm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17F3239B45EF4395A53BD055792A8D0C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63?\u1077?\u1090?\u1074?\u1098?\u1088?\u1090?\u1080? \u1076?\u1086?\u1082?\u1083?\u1072?\u1076? \u1079?\u1072? \u1085?\u1072?\u1087?\u1088?\u1077?\u1076?\u1098?\u1082?\u1072?, \u1087?\u1086?\u1089?\u1090?\u1080?\u1075?\u1085?\u1072?\u1090? \u1074? \u1080?\u1079?\u1087?\u1098?\u1083?\u1085?\u1077?\u1085?\u1080?\u1077?\u1090?\u1086? \u1085?\u1072? \u1048?\u1079?\u1103?\u1074?\u1083?\u1077?\u1085?\u1080?\u1077?\u1090?\u1086? \u1085?\u1072? \u1045?\u1057? \u1080? \u1058?\u1091?\u1088?\u1094?\u1080?\u1103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\u1058?\u105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"/>
    <w:basedOn w:val="DefaultParagraphFont"/>
    <w:link w:val="BVIfnrChar1CharCharChar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VIfnrChar1CharCharChar">
    <w:name w:val="BVI fnr Char1 Char Char Char"/>
    <w:aliases w:val="BVI fnr Car Car Char1 Char Char Char,BVI fnr Car Char1 Char Char Char,BVI fnr Car Car Car Car Char Char1 Char Char"/>
    <w:basedOn w:val="Normal"/>
    <w:link w:val="FootnoteReference"/>
    <w:uiPriority w:val="99"/>
    <w:pPr>
      <w:spacing w:after="160" w:line="240" w:lineRule="exact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largement/news_corner/migration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707</Words>
  <Characters>4130</Characters>
  <Application>Microsoft Office Word</Application>
  <DocSecurity>0</DocSecurity>
  <Lines>217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14</cp:revision>
  <cp:lastPrinted>2016-11-29T16:33:00Z</cp:lastPrinted>
  <dcterms:created xsi:type="dcterms:W3CDTF">2016-12-06T15:04:00Z</dcterms:created>
  <dcterms:modified xsi:type="dcterms:W3CDTF">2016-12-14T17:04:00Z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