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18" w:rsidRDefault="00F00EE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D46B88882E94B7E832941054CFE0D9F" style="width:450.4pt;height:361.65pt">
            <v:imagedata r:id="rId9" o:title=""/>
          </v:shape>
        </w:pict>
      </w:r>
    </w:p>
    <w:bookmarkEnd w:id="0"/>
    <w:p w:rsidR="00FF3A18" w:rsidRDefault="00FF3A18">
      <w:pPr>
        <w:rPr>
          <w:noProof/>
        </w:rPr>
        <w:sectPr w:rsidR="00FF3A1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FF3A18" w:rsidRDefault="00F00EEC">
      <w:pPr>
        <w:numPr>
          <w:ilvl w:val="0"/>
          <w:numId w:val="1"/>
        </w:numPr>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lastRenderedPageBreak/>
        <w:t>Introduction</w:t>
      </w:r>
    </w:p>
    <w:p w:rsidR="00FF3A18" w:rsidRDefault="00FF3A18">
      <w:pPr>
        <w:spacing w:before="120" w:after="120" w:line="240" w:lineRule="auto"/>
        <w:ind w:left="720"/>
        <w:jc w:val="both"/>
        <w:rPr>
          <w:rFonts w:ascii="Times New Roman" w:eastAsia="Times New Roman" w:hAnsi="Times New Roman"/>
          <w:b/>
          <w:noProof/>
          <w:sz w:val="24"/>
          <w:szCs w:val="24"/>
          <w:u w:val="single"/>
        </w:rPr>
      </w:pP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règlement REACH</w:t>
      </w:r>
      <w:r>
        <w:rPr>
          <w:rFonts w:ascii="Times New Roman" w:hAnsi="Times New Roman"/>
          <w:noProof/>
          <w:sz w:val="24"/>
          <w:vertAlign w:val="superscript"/>
        </w:rPr>
        <w:footnoteReference w:id="1"/>
      </w:r>
      <w:r>
        <w:rPr>
          <w:rFonts w:ascii="Times New Roman" w:hAnsi="Times New Roman"/>
          <w:noProof/>
          <w:sz w:val="24"/>
        </w:rPr>
        <w:t xml:space="preserve"> est entré en vigueur le 1</w:t>
      </w:r>
      <w:r>
        <w:rPr>
          <w:rFonts w:ascii="Times New Roman" w:hAnsi="Times New Roman"/>
          <w:noProof/>
          <w:sz w:val="24"/>
          <w:vertAlign w:val="superscript"/>
        </w:rPr>
        <w:t>er</w:t>
      </w:r>
      <w:r>
        <w:rPr>
          <w:rFonts w:ascii="Times New Roman" w:hAnsi="Times New Roman"/>
          <w:noProof/>
          <w:sz w:val="24"/>
        </w:rPr>
        <w:t> juin 2007. Il vise principalement à assurer un niveau élevé de protection de la santé humaine et de l’environnement ainsi que la libre circulation des substances dans le marché intérieur tout en améliorant la compétitivité et l’innovation. Le règlement tr</w:t>
      </w:r>
      <w:r>
        <w:rPr>
          <w:rFonts w:ascii="Times New Roman" w:hAnsi="Times New Roman"/>
          <w:noProof/>
          <w:sz w:val="24"/>
        </w:rPr>
        <w:t xml:space="preserve">ansfère la responsabilité de gérer les risques chimiques des autorités publiques à l’industrie. Les objectifs poursuivis doivent être atteints au moyen de quatre procédures: l’enregistrement, l’évaluation, l’autorisation et la restriction.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but de la pr</w:t>
      </w:r>
      <w:r>
        <w:rPr>
          <w:rFonts w:ascii="Times New Roman" w:hAnsi="Times New Roman"/>
          <w:noProof/>
          <w:sz w:val="24"/>
        </w:rPr>
        <w:t>océdure d’autorisation est d’assurer le bon fonctionnement du marché intérieur tout en garantissant que les risques résultant de substances extrêmement préoccupantes inscrites à l’annexe XIV seront valablement maîtrisés et que ces substances seront progres</w:t>
      </w:r>
      <w:r>
        <w:rPr>
          <w:rFonts w:ascii="Times New Roman" w:hAnsi="Times New Roman"/>
          <w:noProof/>
          <w:sz w:val="24"/>
        </w:rPr>
        <w:t>sivement remplacées par d’autres substances ou technologies appropriées, lorsque celles-ci sont économiquement et techniquement viables. L’article 60, paragraphe 2, dispose qu’</w:t>
      </w:r>
      <w:r>
        <w:rPr>
          <w:rFonts w:ascii="Times New Roman" w:hAnsi="Times New Roman"/>
          <w:i/>
          <w:noProof/>
          <w:sz w:val="24"/>
        </w:rPr>
        <w:t xml:space="preserve">«une autorisation est octroyée si le risque [...] pour la santé humaine ou pour </w:t>
      </w:r>
      <w:r>
        <w:rPr>
          <w:rFonts w:ascii="Times New Roman" w:hAnsi="Times New Roman"/>
          <w:i/>
          <w:noProof/>
          <w:sz w:val="24"/>
        </w:rPr>
        <w:t>l’environnement [...] est valablement maîtrisé [...]».</w:t>
      </w:r>
      <w:r>
        <w:rPr>
          <w:rFonts w:ascii="Times New Roman" w:hAnsi="Times New Roman"/>
          <w:noProof/>
          <w:sz w:val="24"/>
        </w:rPr>
        <w:t xml:space="preserve"> À cette fin, les fabricants, les importateurs ou les utilisateurs en aval doivent demander une autorisation et analyser la disponibilité de solutions de remplacement en tenant compte des risques qu’ell</w:t>
      </w:r>
      <w:r>
        <w:rPr>
          <w:rFonts w:ascii="Times New Roman" w:hAnsi="Times New Roman"/>
          <w:noProof/>
          <w:sz w:val="24"/>
        </w:rPr>
        <w:t>es comportent ainsi que de leur faisabilité technique et économique. Conformément à l’article 60, paragraphe 3, l’article 60, paragraphe 2 n’est pas applicable aux substances cancérogènes, mutagènes ou toxiques à la reproduction de catégorie 1A ou 1B (subs</w:t>
      </w:r>
      <w:r>
        <w:rPr>
          <w:rFonts w:ascii="Times New Roman" w:hAnsi="Times New Roman"/>
          <w:noProof/>
          <w:sz w:val="24"/>
        </w:rPr>
        <w:t xml:space="preserve">tances CMR de catégorie 1A ou 1B) ni aux substances répondant aux critères énoncés à l’article 57, point f), pour lesquelles il n’est pas possible de déterminer un seuil. Les substances visées à l’article 57, point f) sont, entre autres, </w:t>
      </w:r>
      <w:r>
        <w:rPr>
          <w:rFonts w:ascii="Times New Roman" w:hAnsi="Times New Roman"/>
          <w:i/>
          <w:noProof/>
          <w:sz w:val="24"/>
        </w:rPr>
        <w:t xml:space="preserve">«celles possédant </w:t>
      </w:r>
      <w:r>
        <w:rPr>
          <w:rFonts w:ascii="Times New Roman" w:hAnsi="Times New Roman"/>
          <w:i/>
          <w:noProof/>
          <w:sz w:val="24"/>
        </w:rPr>
        <w:t>des propriétés perturbant le système endocrinien [...] pour lesquelles il est scientifiquement prouvé qu’elles peuvent avoir des effets graves sur la santé humaine ou l’environnement qui suscitent un niveau de préoccupation équivalent à celui suscité par»</w:t>
      </w:r>
      <w:r>
        <w:rPr>
          <w:rFonts w:ascii="Times New Roman" w:hAnsi="Times New Roman"/>
          <w:noProof/>
          <w:sz w:val="24"/>
        </w:rPr>
        <w:t xml:space="preserve"> </w:t>
      </w:r>
      <w:r>
        <w:rPr>
          <w:rFonts w:ascii="Times New Roman" w:hAnsi="Times New Roman"/>
          <w:noProof/>
          <w:sz w:val="24"/>
        </w:rPr>
        <w:t xml:space="preserve">les substances CMR de catégorie 1A ou 1B ou les substances persistantes, bioaccumulables et toxiques ou très persistantes et très bioaccumulables. Pour les substances visées à l’article 60, paragraphe 3, l’autorisation </w:t>
      </w:r>
      <w:r>
        <w:rPr>
          <w:rFonts w:ascii="Times New Roman" w:hAnsi="Times New Roman"/>
          <w:i/>
          <w:noProof/>
          <w:sz w:val="24"/>
        </w:rPr>
        <w:t>«ne peut être octroyée que s’il est d</w:t>
      </w:r>
      <w:r>
        <w:rPr>
          <w:rFonts w:ascii="Times New Roman" w:hAnsi="Times New Roman"/>
          <w:i/>
          <w:noProof/>
          <w:sz w:val="24"/>
        </w:rPr>
        <w:t>émontré que les avantages socio-économiques l’emportent sur les risques [...] pour la santé humaine ou l’environnement»</w:t>
      </w:r>
      <w:r>
        <w:rPr>
          <w:rFonts w:ascii="Times New Roman" w:hAnsi="Times New Roman"/>
          <w:noProof/>
          <w:sz w:val="24"/>
        </w:rPr>
        <w:t xml:space="preserve">, conformément à l’article 60, paragraphe 4 (c’est ce que l’on appelle la «procédure socio-économique»).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L’article 138, paragraphe 7, du</w:t>
      </w:r>
      <w:r>
        <w:rPr>
          <w:rFonts w:ascii="Times New Roman" w:hAnsi="Times New Roman"/>
          <w:noProof/>
          <w:sz w:val="24"/>
        </w:rPr>
        <w:t xml:space="preserve"> règlement REACH dispose: «</w:t>
      </w:r>
      <w:r>
        <w:rPr>
          <w:rFonts w:ascii="Times New Roman" w:hAnsi="Times New Roman"/>
          <w:i/>
          <w:noProof/>
          <w:sz w:val="24"/>
        </w:rPr>
        <w:t>Au plus tard le 1</w:t>
      </w:r>
      <w:r>
        <w:rPr>
          <w:rFonts w:ascii="Times New Roman" w:hAnsi="Times New Roman"/>
          <w:i/>
          <w:noProof/>
          <w:sz w:val="24"/>
          <w:vertAlign w:val="superscript"/>
        </w:rPr>
        <w:t>er </w:t>
      </w:r>
      <w:r>
        <w:rPr>
          <w:rFonts w:ascii="Times New Roman" w:hAnsi="Times New Roman"/>
          <w:i/>
          <w:noProof/>
          <w:sz w:val="24"/>
        </w:rPr>
        <w:t xml:space="preserve">juin 2013, la Commission procède à une révision afin d’évaluer, compte tenu de l’évolution des connaissances scientifiques, s’il convient ou non d’étendre le champ d’application de l’article 60, paragraphe 3, </w:t>
      </w:r>
      <w:r>
        <w:rPr>
          <w:rFonts w:ascii="Times New Roman" w:hAnsi="Times New Roman"/>
          <w:i/>
          <w:noProof/>
          <w:sz w:val="24"/>
        </w:rPr>
        <w:t>aux substances possédant des propriétés perturbant le système endocrinien visées à l’article 57, point f). Sur la base de cette révision, la Commission peut, si nécessaire, présenter une proposition législative.</w:t>
      </w:r>
      <w:r>
        <w:rPr>
          <w:rFonts w:ascii="Times New Roman" w:hAnsi="Times New Roman"/>
          <w:noProof/>
          <w:sz w:val="24"/>
        </w:rPr>
        <w:t>» En d’autres termes, la Commission doit réex</w:t>
      </w:r>
      <w:r>
        <w:rPr>
          <w:rFonts w:ascii="Times New Roman" w:hAnsi="Times New Roman"/>
          <w:noProof/>
          <w:sz w:val="24"/>
        </w:rPr>
        <w:t>aminer la manière dont certaines substances extrêmement préoccupantes, à savoir «</w:t>
      </w:r>
      <w:r>
        <w:rPr>
          <w:rFonts w:ascii="Times New Roman" w:hAnsi="Times New Roman"/>
          <w:i/>
          <w:noProof/>
          <w:sz w:val="24"/>
        </w:rPr>
        <w:t>celles possédant des propriétés perturbant le système endocrinien [...] qui suscitent un niveau de préoccupation équivalent à celui suscité par l’utilisation d’autres substanc</w:t>
      </w:r>
      <w:r>
        <w:rPr>
          <w:rFonts w:ascii="Times New Roman" w:hAnsi="Times New Roman"/>
          <w:i/>
          <w:noProof/>
          <w:sz w:val="24"/>
        </w:rPr>
        <w:t xml:space="preserve">es énumérées aux </w:t>
      </w:r>
      <w:r>
        <w:rPr>
          <w:rFonts w:ascii="Times New Roman" w:hAnsi="Times New Roman"/>
          <w:i/>
          <w:noProof/>
          <w:sz w:val="24"/>
        </w:rPr>
        <w:lastRenderedPageBreak/>
        <w:t>points a) à e) [de l’article 57]</w:t>
      </w:r>
      <w:r>
        <w:rPr>
          <w:rFonts w:ascii="Times New Roman" w:hAnsi="Times New Roman"/>
          <w:noProof/>
          <w:sz w:val="24"/>
        </w:rPr>
        <w:t>»</w:t>
      </w:r>
      <w:r>
        <w:rPr>
          <w:rFonts w:ascii="Times New Roman" w:hAnsi="Times New Roman"/>
          <w:noProof/>
          <w:sz w:val="24"/>
          <w:vertAlign w:val="superscript"/>
        </w:rPr>
        <w:footnoteReference w:id="2"/>
      </w:r>
      <w:r>
        <w:rPr>
          <w:rFonts w:ascii="Times New Roman" w:hAnsi="Times New Roman"/>
          <w:noProof/>
          <w:sz w:val="24"/>
        </w:rPr>
        <w:t xml:space="preserve">, qui sont des substances CMR de catégorie 1A ou 1B et des substances persistantes, bioaccumulables et toxiques ou très persistantes et très bioaccumulables, devraient être traitées dans le cadre de la </w:t>
      </w:r>
      <w:r>
        <w:rPr>
          <w:rFonts w:ascii="Times New Roman" w:hAnsi="Times New Roman"/>
          <w:noProof/>
          <w:sz w:val="24"/>
        </w:rPr>
        <w:t>procédure d’autorisation et notamment réexaminer si les perturbateurs endocriniens ne devraient être autorisés qu’au moyen de la procédure socio-économique.</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clause de révision a été insérée au cours de la procédure de codécision, au terme de laquelle la</w:t>
      </w:r>
      <w:r>
        <w:rPr>
          <w:rFonts w:ascii="Times New Roman" w:hAnsi="Times New Roman"/>
          <w:noProof/>
          <w:sz w:val="24"/>
        </w:rPr>
        <w:t xml:space="preserve"> procédure d’autorisation prévue dans la proposition de la Commission a été substantiellement modifiée. Le temps a manqué pour trouver un accord détaillé sur la question de savoir si les perturbateurs endocriniens devraient être autorisés en toutes circons</w:t>
      </w:r>
      <w:r>
        <w:rPr>
          <w:rFonts w:ascii="Times New Roman" w:hAnsi="Times New Roman"/>
          <w:noProof/>
          <w:sz w:val="24"/>
        </w:rPr>
        <w:t>tances au moyen de la procédure socio-économique. Par conséquent, cette décision a été confiée à la Commission, au moyen de la clause de révision de l’article 138, paragraphe 7, et reportée à 2013, car on postulait que l’évolution des connaissances scienti</w:t>
      </w:r>
      <w:r>
        <w:rPr>
          <w:rFonts w:ascii="Times New Roman" w:hAnsi="Times New Roman"/>
          <w:noProof/>
          <w:sz w:val="24"/>
        </w:rPr>
        <w:t>fiques sur les perturbateurs endocriniens pourrait permettre l’adoption d’une position claire sur cette question.</w:t>
      </w:r>
    </w:p>
    <w:p w:rsidR="00FF3A18" w:rsidRDefault="00F00EEC">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 xml:space="preserve">Il s’agit, dans le présent document, d’examiner si, sur la base des connaissances scientifiques actuelles, il est nécessaire de modifier la </w:t>
      </w:r>
      <w:r>
        <w:rPr>
          <w:rFonts w:ascii="Times New Roman" w:hAnsi="Times New Roman"/>
          <w:noProof/>
          <w:sz w:val="24"/>
        </w:rPr>
        <w:t>législation en ce qui concerne ces substances, comme le prévoit l’article 138, paragraphe 7.</w:t>
      </w:r>
    </w:p>
    <w:p w:rsidR="00FF3A18" w:rsidRDefault="00F00EEC">
      <w:pPr>
        <w:spacing w:before="120" w:after="240" w:line="240" w:lineRule="auto"/>
        <w:jc w:val="both"/>
        <w:rPr>
          <w:rFonts w:ascii="Times New Roman" w:hAnsi="Times New Roman"/>
          <w:i/>
          <w:noProof/>
          <w:sz w:val="24"/>
          <w:szCs w:val="24"/>
        </w:rPr>
      </w:pPr>
      <w:r>
        <w:rPr>
          <w:rFonts w:ascii="Times New Roman" w:hAnsi="Times New Roman"/>
          <w:noProof/>
          <w:sz w:val="24"/>
        </w:rPr>
        <w:t>Les conclusions de la Commission reposent sur les travaux menés avec les États membres, sur les contributions des agences de réglementation de l’UE</w:t>
      </w:r>
      <w:r>
        <w:rPr>
          <w:rFonts w:ascii="Times New Roman" w:hAnsi="Times New Roman"/>
          <w:noProof/>
          <w:sz w:val="24"/>
          <w:vertAlign w:val="superscript"/>
        </w:rPr>
        <w:footnoteReference w:id="3"/>
      </w:r>
      <w:r>
        <w:rPr>
          <w:rFonts w:ascii="Times New Roman" w:hAnsi="Times New Roman"/>
          <w:noProof/>
          <w:sz w:val="24"/>
        </w:rPr>
        <w:t>, des comités s</w:t>
      </w:r>
      <w:r>
        <w:rPr>
          <w:rFonts w:ascii="Times New Roman" w:hAnsi="Times New Roman"/>
          <w:noProof/>
          <w:sz w:val="24"/>
        </w:rPr>
        <w:t>cientifiques indépendants chargés de la conseiller et de son organisme scientifique interne (le Centre commun de recherche</w:t>
      </w:r>
      <w:r>
        <w:rPr>
          <w:rFonts w:ascii="Times New Roman" w:hAnsi="Times New Roman"/>
          <w:noProof/>
          <w:sz w:val="24"/>
          <w:vertAlign w:val="superscript"/>
        </w:rPr>
        <w:footnoteReference w:id="4"/>
      </w:r>
      <w:r>
        <w:rPr>
          <w:rFonts w:ascii="Times New Roman" w:hAnsi="Times New Roman"/>
          <w:noProof/>
          <w:sz w:val="24"/>
        </w:rPr>
        <w:t>), ainsi que sur les résultats de la coopération multilatérale et bilatérale en matière scientifique et réglementaire avec les pays t</w:t>
      </w:r>
      <w:r>
        <w:rPr>
          <w:rFonts w:ascii="Times New Roman" w:hAnsi="Times New Roman"/>
          <w:noProof/>
          <w:sz w:val="24"/>
        </w:rPr>
        <w:t>iers et des nombreux contacts qu’elle a entretenus avec les parties intéressées ces dernières années</w:t>
      </w:r>
      <w:r>
        <w:rPr>
          <w:rFonts w:ascii="Times New Roman" w:hAnsi="Times New Roman"/>
          <w:noProof/>
          <w:sz w:val="24"/>
          <w:vertAlign w:val="superscript"/>
        </w:rPr>
        <w:footnoteReference w:id="5"/>
      </w:r>
      <w:r>
        <w:rPr>
          <w:rFonts w:ascii="Times New Roman" w:hAnsi="Times New Roman"/>
          <w:noProof/>
          <w:sz w:val="24"/>
        </w:rPr>
        <w:t>.</w:t>
      </w:r>
    </w:p>
    <w:p w:rsidR="00FF3A18" w:rsidRDefault="00F00EEC">
      <w:pPr>
        <w:numPr>
          <w:ilvl w:val="0"/>
          <w:numId w:val="1"/>
        </w:numPr>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Contexte</w:t>
      </w:r>
    </w:p>
    <w:p w:rsidR="00FF3A18" w:rsidRDefault="00FF3A18">
      <w:pPr>
        <w:spacing w:before="120" w:after="120" w:line="240" w:lineRule="auto"/>
        <w:jc w:val="both"/>
        <w:rPr>
          <w:rFonts w:ascii="Times New Roman" w:eastAsia="Times New Roman" w:hAnsi="Times New Roman"/>
          <w:b/>
          <w:noProof/>
          <w:sz w:val="24"/>
          <w:szCs w:val="24"/>
          <w:u w:val="single"/>
        </w:rPr>
      </w:pPr>
    </w:p>
    <w:p w:rsidR="00FF3A18" w:rsidRDefault="00F00EEC">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Qu’est-ce qu’un perturbateur endocrinien?</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Aux fins de la présente révision, la Commission applique la définition d’un perturbateur endocrinie</w:t>
      </w:r>
      <w:r>
        <w:rPr>
          <w:rFonts w:ascii="Times New Roman" w:hAnsi="Times New Roman"/>
          <w:noProof/>
          <w:sz w:val="24"/>
        </w:rPr>
        <w:t>n utilisée par le Programme international sur la sécurité des substances chimiques de l’OMS: «</w:t>
      </w:r>
      <w:r>
        <w:rPr>
          <w:rFonts w:ascii="Times New Roman" w:hAnsi="Times New Roman"/>
          <w:i/>
          <w:noProof/>
          <w:sz w:val="24"/>
        </w:rPr>
        <w:t>un perturbateur endocrinien est une substance ou un mélange exogène altérant les fonctions du système endocrinien et induisant donc des effets nocifs sur la santé</w:t>
      </w:r>
      <w:r>
        <w:rPr>
          <w:rFonts w:ascii="Times New Roman" w:hAnsi="Times New Roman"/>
          <w:i/>
          <w:noProof/>
          <w:sz w:val="24"/>
        </w:rPr>
        <w:t xml:space="preserve"> d’un </w:t>
      </w:r>
      <w:r>
        <w:rPr>
          <w:rFonts w:ascii="Times New Roman" w:hAnsi="Times New Roman"/>
          <w:i/>
          <w:noProof/>
          <w:sz w:val="24"/>
        </w:rPr>
        <w:lastRenderedPageBreak/>
        <w:t>organisme intact, de ses descendants ou (sous-)populations</w:t>
      </w:r>
      <w:r>
        <w:rPr>
          <w:rFonts w:ascii="Times New Roman" w:hAnsi="Times New Roman"/>
          <w:noProof/>
          <w:sz w:val="24"/>
        </w:rPr>
        <w:t>». Cette définition est conforme à la publication, le 15 juin 2016, par la Commission de projets de critères scientifiques pour la détermination des propriétés perturbant le système endocrinie</w:t>
      </w:r>
      <w:r>
        <w:rPr>
          <w:rFonts w:ascii="Times New Roman" w:hAnsi="Times New Roman"/>
          <w:noProof/>
          <w:sz w:val="24"/>
        </w:rPr>
        <w:t>n en vertu de la législation sur les produits biocides et phytopharmaceutiques</w:t>
      </w:r>
      <w:r>
        <w:rPr>
          <w:rFonts w:ascii="Times New Roman" w:hAnsi="Times New Roman"/>
          <w:noProof/>
          <w:sz w:val="24"/>
          <w:vertAlign w:val="superscript"/>
        </w:rPr>
        <w:footnoteReference w:id="6"/>
      </w:r>
      <w:r>
        <w:rPr>
          <w:rFonts w:ascii="Times New Roman" w:hAnsi="Times New Roman"/>
          <w:noProof/>
          <w:sz w:val="24"/>
        </w:rPr>
        <w:t>.</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substances possédant des propriétés perturbant le système endocrinien peuvent être identifiées comme étant des substances extrêmement préoccupantes en vertu du règlement R</w:t>
      </w:r>
      <w:r>
        <w:rPr>
          <w:rFonts w:ascii="Times New Roman" w:hAnsi="Times New Roman"/>
          <w:noProof/>
          <w:sz w:val="24"/>
        </w:rPr>
        <w:t>EACH, sur la base de l’article 57, point f), à condition qu’il soit scientifiquement prouvé qu’elles peuvent avoir des effets graves sur la santé humaine ou l’environnement qui suscitent un niveau de préoccupation équivalant à celui suscité par les substan</w:t>
      </w:r>
      <w:r>
        <w:rPr>
          <w:rFonts w:ascii="Times New Roman" w:hAnsi="Times New Roman"/>
          <w:noProof/>
          <w:sz w:val="24"/>
        </w:rPr>
        <w:t>ces CMR de catégorie 1A ou 1B ou les substances persistantes, bioaccumulables et toxiques ou très persistantes et très bioaccumulables. Par souci de simplification, l’abréviation «PE» (pour «perturbateurs endocriniens») est employée aux fins du présent doc</w:t>
      </w:r>
      <w:r>
        <w:rPr>
          <w:rFonts w:ascii="Times New Roman" w:hAnsi="Times New Roman"/>
          <w:noProof/>
          <w:sz w:val="24"/>
        </w:rPr>
        <w:t>ument et recouvre les substances satisfaisant au critère précité, à savoir les substances concernées qui sont considérées comme suscitant un niveau de préoccupation équivalent.</w:t>
      </w:r>
    </w:p>
    <w:p w:rsidR="00FF3A18" w:rsidRDefault="00FF3A18">
      <w:pPr>
        <w:spacing w:before="120" w:after="120" w:line="240" w:lineRule="auto"/>
        <w:jc w:val="both"/>
        <w:rPr>
          <w:rFonts w:ascii="Times New Roman" w:eastAsia="Times New Roman" w:hAnsi="Times New Roman"/>
          <w:b/>
          <w:noProof/>
          <w:sz w:val="24"/>
          <w:szCs w:val="24"/>
        </w:rPr>
      </w:pPr>
    </w:p>
    <w:p w:rsidR="00FF3A18" w:rsidRDefault="00F00EEC">
      <w:p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 Demande d’autorisation de PE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titre VII du règlement REACH établit les di</w:t>
      </w:r>
      <w:r>
        <w:rPr>
          <w:rFonts w:ascii="Times New Roman" w:hAnsi="Times New Roman"/>
          <w:noProof/>
          <w:sz w:val="24"/>
        </w:rPr>
        <w:t>spositions régissant les conditions d’autorisation des substances extrêmement préoccupantes figurant sur la liste de l’annexe XIV, connue sous le nom de «liste des substances soumises à autorisation», qui peuvent inclure les PE. L’Agence européenne des pro</w:t>
      </w:r>
      <w:r>
        <w:rPr>
          <w:rFonts w:ascii="Times New Roman" w:hAnsi="Times New Roman"/>
          <w:noProof/>
          <w:sz w:val="24"/>
        </w:rPr>
        <w:t>duits chimiques (ECHA) publie des informations générales concernant l’autorisation sur son site web</w:t>
      </w:r>
      <w:r>
        <w:rPr>
          <w:rFonts w:ascii="Times New Roman" w:hAnsi="Times New Roman"/>
          <w:noProof/>
          <w:sz w:val="24"/>
          <w:vertAlign w:val="superscript"/>
        </w:rPr>
        <w:footnoteReference w:id="7"/>
      </w:r>
      <w:r>
        <w:rPr>
          <w:rFonts w:ascii="Times New Roman" w:hAnsi="Times New Roman"/>
          <w:noProof/>
          <w:sz w:val="24"/>
        </w:rPr>
        <w:t xml:space="preserv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Une fois qu’une substance est inscrite à l’annexe XIV, un fabricant, un importateur ou un utilisateur en aval ne peut la mettre sur le marché en vue d’un</w:t>
      </w:r>
      <w:r>
        <w:rPr>
          <w:rFonts w:ascii="Times New Roman" w:hAnsi="Times New Roman"/>
          <w:noProof/>
          <w:sz w:val="24"/>
        </w:rPr>
        <w:t xml:space="preserve">e utilisation ou l’utiliser lui-même, sauf si cette utilisation a été autorisée ou exemptée de l’obligation d’autorisation (article 56, paragraphe 1).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demandes d’autorisation doivent être adressées à l’Agence européenne des produits chimiques. Le comi</w:t>
      </w:r>
      <w:r>
        <w:rPr>
          <w:rFonts w:ascii="Times New Roman" w:hAnsi="Times New Roman"/>
          <w:noProof/>
          <w:sz w:val="24"/>
        </w:rPr>
        <w:t>té d’évaluation des risques (CER) et le comité d’analyse socio-économique (CASE) de l’Agence européenne des produits chimiques sont chargés d’évaluer les demandes et d’émettre un avis. La décision d’accorder ou de refuser une autorisation est adoptée par l</w:t>
      </w:r>
      <w:r>
        <w:rPr>
          <w:rFonts w:ascii="Times New Roman" w:hAnsi="Times New Roman"/>
          <w:noProof/>
          <w:sz w:val="24"/>
        </w:rPr>
        <w:t>a Commission, conformément à la procédure d’examen applicable aux actes d’exécution.</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Pour qu’une autorisation soit accordée, l’une des conditions suivantes doit être remplie:</w:t>
      </w:r>
    </w:p>
    <w:p w:rsidR="00FF3A18" w:rsidRDefault="00F00EEC">
      <w:pPr>
        <w:numPr>
          <w:ilvl w:val="0"/>
          <w:numId w:val="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risques liés à l’utilisation de la substance en raison de ses propriétés intr</w:t>
      </w:r>
      <w:r>
        <w:rPr>
          <w:rFonts w:ascii="Times New Roman" w:hAnsi="Times New Roman"/>
          <w:noProof/>
          <w:sz w:val="24"/>
        </w:rPr>
        <w:t xml:space="preserve">insèques, mentionnées à l’annexe XIV, sont valablement maîtrisés, comme le démontre le rapport sur la sécurité chimique (procédure communément appelée «procédure fondée sur la maîtrise appropriée»), </w:t>
      </w:r>
      <w:r>
        <w:rPr>
          <w:rFonts w:ascii="Times New Roman" w:hAnsi="Times New Roman"/>
          <w:noProof/>
          <w:sz w:val="24"/>
          <w:u w:val="single"/>
        </w:rPr>
        <w:t>ou</w:t>
      </w:r>
    </w:p>
    <w:p w:rsidR="00FF3A18" w:rsidRDefault="00F00EEC">
      <w:pPr>
        <w:numPr>
          <w:ilvl w:val="0"/>
          <w:numId w:val="2"/>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il est démontré que les avantages socio-économiques l’</w:t>
      </w:r>
      <w:r>
        <w:rPr>
          <w:rFonts w:ascii="Times New Roman" w:hAnsi="Times New Roman"/>
          <w:noProof/>
          <w:sz w:val="24"/>
        </w:rPr>
        <w:t>emportent sur les risques qu’entraîne l’utilisation de la substance pour la santé humaine ou l’environnement et qu’il n’existe pas de substances ou de technologies de remplacement appropriées. (procédure couramment appelée «procédure socio-économique»). Se</w:t>
      </w:r>
      <w:r>
        <w:rPr>
          <w:rFonts w:ascii="Times New Roman" w:hAnsi="Times New Roman"/>
          <w:noProof/>
          <w:sz w:val="24"/>
        </w:rPr>
        <w:t>ule la seconde procédure s’applique aux substances persistantes, bioaccumulables et toxiques ou très persistantes et très bioaccumulables et aux substances suscitant un niveau de préoccupation équivalent, ainsi qu’aux substances CMR pour lesquelles il n’es</w:t>
      </w:r>
      <w:r>
        <w:rPr>
          <w:rFonts w:ascii="Times New Roman" w:hAnsi="Times New Roman"/>
          <w:noProof/>
          <w:sz w:val="24"/>
        </w:rPr>
        <w:t>t pas possible de déterminer un seuil et aux substances suscitant un niveau de préoccupation équivalent. Les colégislateurs avaient décidé que les substances persistantes, bioaccumulables et toxiques ou très persistantes et très bioaccumulables seraient so</w:t>
      </w:r>
      <w:r>
        <w:rPr>
          <w:rFonts w:ascii="Times New Roman" w:hAnsi="Times New Roman"/>
          <w:noProof/>
          <w:sz w:val="24"/>
        </w:rPr>
        <w:t>umises dans tous les cas à la «procédure socio-économique», étant donné qu’elles présentent le potentiel de se disperser dans l’environnement et de contaminer des milieux environnementaux éloignés de leur source. Il en résulte des incertitudes en ce qui co</w:t>
      </w:r>
      <w:r>
        <w:rPr>
          <w:rFonts w:ascii="Times New Roman" w:hAnsi="Times New Roman"/>
          <w:noProof/>
          <w:sz w:val="24"/>
        </w:rPr>
        <w:t>ncerne la prévision de leurs concentrations dans l’environnement par des modèles prédictifs normaux. Leur persistance et leur capacité de bioaccumulation donnent à penser que leurs concentrations dans l’environnement, du fait de dispersions continues, ne c</w:t>
      </w:r>
      <w:r>
        <w:rPr>
          <w:rFonts w:ascii="Times New Roman" w:hAnsi="Times New Roman"/>
          <w:noProof/>
          <w:sz w:val="24"/>
        </w:rPr>
        <w:t>esseront d’augmenter et auront en définitive des effets toxiques sur les organismes présents dans l’environnement.</w:t>
      </w:r>
    </w:p>
    <w:p w:rsidR="00FF3A18" w:rsidRDefault="00FF3A18">
      <w:pPr>
        <w:spacing w:before="120" w:after="120" w:line="240" w:lineRule="auto"/>
        <w:jc w:val="both"/>
        <w:rPr>
          <w:rFonts w:ascii="Times New Roman" w:eastAsia="Times New Roman" w:hAnsi="Times New Roman"/>
          <w:noProof/>
          <w:sz w:val="24"/>
          <w:szCs w:val="24"/>
        </w:rPr>
      </w:pPr>
    </w:p>
    <w:p w:rsidR="00FF3A18" w:rsidRDefault="00F00EEC">
      <w:pPr>
        <w:spacing w:before="120" w:after="120" w:line="240" w:lineRule="auto"/>
        <w:jc w:val="both"/>
        <w:rPr>
          <w:rFonts w:ascii="Times New Roman" w:eastAsia="Times New Roman" w:hAnsi="Times New Roman"/>
          <w:b/>
          <w:bCs/>
          <w:noProof/>
          <w:sz w:val="24"/>
          <w:szCs w:val="24"/>
        </w:rPr>
      </w:pPr>
      <w:r>
        <w:rPr>
          <w:rFonts w:ascii="Times New Roman" w:hAnsi="Times New Roman"/>
          <w:b/>
          <w:noProof/>
          <w:sz w:val="24"/>
        </w:rPr>
        <w:t>- Que faut-il entendre par «seuil» dans le contexte de la demande d’autorisation?</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Comme indiqué ci-dessus, le règlement REACH prévoit deux procédures d’autorisation selon qu’il est possible ou non de déterminer un seuil pour une substance extrêmement préoccupante (à l’exception des substances persistantes, bioaccumulables et toxiques ou</w:t>
      </w:r>
      <w:r>
        <w:rPr>
          <w:rFonts w:ascii="Times New Roman" w:hAnsi="Times New Roman"/>
          <w:noProof/>
          <w:sz w:val="24"/>
        </w:rPr>
        <w:t xml:space="preserve"> très persistantes et très bioaccumulables qui sont toujours soumises à la «procédure socio-économique»).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En ce qui concerne la santé humaine, selon le document d’orientation R.8 de l’Agence européenne des produits chimiques intitulé «Characterisation of </w:t>
      </w:r>
      <w:r>
        <w:rPr>
          <w:rFonts w:ascii="Times New Roman" w:hAnsi="Times New Roman"/>
          <w:noProof/>
          <w:sz w:val="24"/>
        </w:rPr>
        <w:t>dose (concentration)-response for human health»</w:t>
      </w:r>
      <w:r>
        <w:rPr>
          <w:rFonts w:ascii="Times New Roman" w:hAnsi="Times New Roman"/>
          <w:noProof/>
          <w:sz w:val="24"/>
          <w:vertAlign w:val="superscript"/>
        </w:rPr>
        <w:footnoteReference w:id="8"/>
      </w:r>
      <w:r>
        <w:rPr>
          <w:rFonts w:ascii="Times New Roman" w:hAnsi="Times New Roman"/>
          <w:noProof/>
          <w:sz w:val="24"/>
        </w:rPr>
        <w:t xml:space="preserve"> [Caractérisation de la relation dose (concentration)–réponse aux fins de la santé humaine], la dose dérivée sans effet (DNEL) peut être considérée comme une dose sans effet (nocif) observé (NOAEL) «globale» </w:t>
      </w:r>
      <w:r>
        <w:rPr>
          <w:rFonts w:ascii="Times New Roman" w:hAnsi="Times New Roman"/>
          <w:noProof/>
          <w:sz w:val="24"/>
        </w:rPr>
        <w:t xml:space="preserve">pour une exposition donnée (voie d’administration, durée, fréquence), qui intègre les incertitudes et la variabilité de ces données et de la population humaine exposée. En conséquence, l’exposition d’êtres humains ne devrait pas dépasser la DNEL. La DNEL, </w:t>
      </w:r>
      <w:r>
        <w:rPr>
          <w:rFonts w:ascii="Times New Roman" w:hAnsi="Times New Roman"/>
          <w:noProof/>
          <w:sz w:val="24"/>
        </w:rPr>
        <w:t>lorsqu’il est effectivement possible de l’établir, peut être considérée comme un seuil réglementaire aux fins de l’autorisation au titre du règlement REACH.</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ce qui concerne l’environnement, la concentration en dessous de laquelle il ne devrait pas y avo</w:t>
      </w:r>
      <w:r>
        <w:rPr>
          <w:rFonts w:ascii="Times New Roman" w:hAnsi="Times New Roman"/>
          <w:noProof/>
          <w:sz w:val="24"/>
        </w:rPr>
        <w:t>ir d’effets nocifs dans le milieu environnemental concerné est considérée comme étant la concentration prédite sans effet (PNEC). La PNEC, lorsqu’il est effectivement possible de l’établir, peut être considérée comme un seuil réglementaire aux fins de l’au</w:t>
      </w:r>
      <w:r>
        <w:rPr>
          <w:rFonts w:ascii="Times New Roman" w:hAnsi="Times New Roman"/>
          <w:noProof/>
          <w:sz w:val="24"/>
        </w:rPr>
        <w:t>torisation au titre du règlement REACH. Le document d’orientation R.10 de l’Agence européenne des produits chimiques intitulé «Characterisation of dose (concentration)-response for the environment»</w:t>
      </w:r>
      <w:r>
        <w:rPr>
          <w:rFonts w:ascii="Times New Roman" w:hAnsi="Times New Roman"/>
          <w:noProof/>
          <w:sz w:val="24"/>
          <w:vertAlign w:val="superscript"/>
        </w:rPr>
        <w:footnoteReference w:id="9"/>
      </w:r>
      <w:r>
        <w:rPr>
          <w:rFonts w:ascii="Times New Roman" w:hAnsi="Times New Roman"/>
          <w:noProof/>
          <w:sz w:val="24"/>
        </w:rPr>
        <w:t xml:space="preserve"> [Caractérisation de la relation dose (concentration)–répo</w:t>
      </w:r>
      <w:r>
        <w:rPr>
          <w:rFonts w:ascii="Times New Roman" w:hAnsi="Times New Roman"/>
          <w:noProof/>
          <w:sz w:val="24"/>
        </w:rPr>
        <w:t>nse aux fins de l’environnement] contient des informations plus détaillées sur ce point.</w:t>
      </w:r>
    </w:p>
    <w:p w:rsidR="00FF3A18" w:rsidRDefault="00F00EEC">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Dans le cas d’une substance sans valeur seuil, le CER n’est pas en mesure de donner un avis sur la possibilité d’atteindre des niveaux d’exposition sûrs (ou acceptable</w:t>
      </w:r>
      <w:r>
        <w:rPr>
          <w:rFonts w:ascii="Times New Roman" w:hAnsi="Times New Roman"/>
          <w:noProof/>
          <w:sz w:val="24"/>
        </w:rPr>
        <w:t>s) vu qu’il n’est pas possible de déterminer une DNEL ou une PNEC et, par conséquent, une autorisation ne peut être octroyée que s’il est démontré que les avantages socio-économiques l’emportent sur les risques pour la santé humaine ou pour l’environnement</w:t>
      </w:r>
      <w:r>
        <w:rPr>
          <w:rFonts w:ascii="Times New Roman" w:hAnsi="Times New Roman"/>
          <w:noProof/>
          <w:sz w:val="24"/>
        </w:rPr>
        <w:t xml:space="preserve"> et qu’il n’existe pas de substances ou de technologies de remplacement appropriées.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Il incombe au demandeur d’examiner si un seuil peut être fixé et d’étayer son analyse sur des données appropriées qui doivent être exposées dans le dossier de demande. Il</w:t>
      </w:r>
      <w:r>
        <w:rPr>
          <w:rFonts w:ascii="Times New Roman" w:hAnsi="Times New Roman"/>
          <w:noProof/>
          <w:sz w:val="24"/>
        </w:rPr>
        <w:t xml:space="preserve"> appartient au CER d’évaluer cette analyse et d’émettre un avis. Afin de faciliter l’évaluation des demandes d’autorisation, le CER dispose parfois de DNEL de «référence» pour les substances déjà inscrites à l’annexe XIV (par exemple, pour la toxicité du D</w:t>
      </w:r>
      <w:r>
        <w:rPr>
          <w:rFonts w:ascii="Times New Roman" w:hAnsi="Times New Roman"/>
          <w:noProof/>
          <w:sz w:val="24"/>
        </w:rPr>
        <w:t>EHP pour la reproduction) et de courbes dose-réponse de «référence» pour les cancérogènes sans valeur seuil (l’arsenic et le chrome hexavalent). Ces valeurs de référence ne sont pas juridiquement contraignantes, mais le CER les a établies pour permettre au</w:t>
      </w:r>
      <w:r>
        <w:rPr>
          <w:rFonts w:ascii="Times New Roman" w:hAnsi="Times New Roman"/>
          <w:noProof/>
          <w:sz w:val="24"/>
        </w:rPr>
        <w:t xml:space="preserve">x demandeurs de prévoir la manière dont il souhaiterait qu’ils étayent leur évaluation des risques. </w:t>
      </w:r>
    </w:p>
    <w:p w:rsidR="00FF3A18" w:rsidRDefault="00F00EEC">
      <w:pPr>
        <w:spacing w:before="120" w:after="120" w:line="240" w:lineRule="auto"/>
        <w:jc w:val="both"/>
        <w:rPr>
          <w:rFonts w:ascii="Times New Roman" w:eastAsia="Times New Roman" w:hAnsi="Times New Roman"/>
          <w:iCs/>
          <w:noProof/>
          <w:sz w:val="24"/>
          <w:szCs w:val="24"/>
        </w:rPr>
      </w:pPr>
      <w:r>
        <w:rPr>
          <w:rFonts w:ascii="Times New Roman" w:hAnsi="Times New Roman"/>
          <w:noProof/>
          <w:sz w:val="24"/>
        </w:rPr>
        <w:t>Les demandeurs d’autorisations d’usages de substances sans valeur seuil peuvent décrire le risque résiduel (après application des contrôles opérationnels p</w:t>
      </w:r>
      <w:r>
        <w:rPr>
          <w:rFonts w:ascii="Times New Roman" w:hAnsi="Times New Roman"/>
          <w:noProof/>
          <w:sz w:val="24"/>
        </w:rPr>
        <w:t xml:space="preserve">roposés et des mesures de gestion des risques) quantitativement/semi-quantitativement, sur la base d’informations relatives à la relation dose-réponse, ou qualitativement si les informations relatives à la relation dose-réponse ne sont pas disponibles. Le </w:t>
      </w:r>
      <w:r>
        <w:rPr>
          <w:rFonts w:ascii="Times New Roman" w:hAnsi="Times New Roman"/>
          <w:noProof/>
          <w:sz w:val="24"/>
        </w:rPr>
        <w:t>CER doit alors rendre un avis sur le caractère approprié des contrôles opérationnels et mesures de gestion des risques proposés et sur la capacité de ceux-ci à garantir le respect des niveaux d’exposition figurant dans l’évaluation de l’exposition du deman</w:t>
      </w:r>
      <w:r>
        <w:rPr>
          <w:rFonts w:ascii="Times New Roman" w:hAnsi="Times New Roman"/>
          <w:noProof/>
          <w:sz w:val="24"/>
        </w:rPr>
        <w:t>deur et à faire en sorte que les niveaux d’exposition soient maintenus à un niveau aussi faible qu’il est techniquement et pratiquement possible. Ces informations sur le risque résiduel sont utiles pour l’analyse socio-économique et le CASE les utilisera p</w:t>
      </w:r>
      <w:r>
        <w:rPr>
          <w:rFonts w:ascii="Times New Roman" w:hAnsi="Times New Roman"/>
          <w:noProof/>
          <w:sz w:val="24"/>
        </w:rPr>
        <w:t>our se forger une opinion sur les effets de l’utilisation de la substance sur la santé et l’environnement et donner ensuite un avis sur la question de savoir si ces effets sont compensés par les avantages liés à la poursuite de l’utilisation.</w:t>
      </w:r>
    </w:p>
    <w:p w:rsidR="00FF3A18" w:rsidRDefault="00FF3A18">
      <w:pPr>
        <w:spacing w:before="120" w:after="120" w:line="240" w:lineRule="auto"/>
        <w:jc w:val="both"/>
        <w:rPr>
          <w:rFonts w:ascii="Times New Roman" w:eastAsia="Times New Roman" w:hAnsi="Times New Roman"/>
          <w:iCs/>
          <w:noProof/>
          <w:sz w:val="24"/>
          <w:szCs w:val="24"/>
        </w:rPr>
      </w:pPr>
    </w:p>
    <w:p w:rsidR="00FF3A18" w:rsidRDefault="00F00EEC">
      <w:pPr>
        <w:numPr>
          <w:ilvl w:val="0"/>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 xml:space="preserve">Aspects scientifiques: ce que la science nous apprend sur la détermination des seuils </w:t>
      </w:r>
    </w:p>
    <w:p w:rsidR="00FF3A18" w:rsidRDefault="00FF3A18">
      <w:pPr>
        <w:spacing w:before="120" w:after="120" w:line="240" w:lineRule="auto"/>
        <w:ind w:left="720"/>
        <w:jc w:val="both"/>
        <w:rPr>
          <w:rFonts w:ascii="Times New Roman" w:eastAsia="Times New Roman" w:hAnsi="Times New Roman"/>
          <w:b/>
          <w:noProof/>
          <w:sz w:val="24"/>
          <w:szCs w:val="24"/>
        </w:rPr>
      </w:pPr>
    </w:p>
    <w:p w:rsidR="00FF3A18" w:rsidRDefault="00F00EEC">
      <w:pPr>
        <w:spacing w:before="120" w:after="120" w:line="240" w:lineRule="auto"/>
        <w:jc w:val="both"/>
        <w:rPr>
          <w:rFonts w:ascii="Times New Roman" w:eastAsia="Times New Roman" w:hAnsi="Times New Roman"/>
          <w:b/>
          <w:i/>
          <w:noProof/>
          <w:sz w:val="24"/>
          <w:szCs w:val="24"/>
          <w:u w:val="single"/>
        </w:rPr>
      </w:pPr>
      <w:r>
        <w:rPr>
          <w:rFonts w:ascii="Times New Roman" w:hAnsi="Times New Roman"/>
          <w:b/>
          <w:i/>
          <w:noProof/>
          <w:sz w:val="24"/>
          <w:u w:val="single"/>
        </w:rPr>
        <w:t>3.1. Existence ou non d’un seuil pour les PE</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Comme indiqué au point 2, le seuil applicable dans le contexte du règlement REACH est le seuil biologique ou pratique [par </w:t>
      </w:r>
      <w:r>
        <w:rPr>
          <w:rFonts w:ascii="Times New Roman" w:hAnsi="Times New Roman"/>
          <w:noProof/>
          <w:sz w:val="24"/>
        </w:rPr>
        <w:t>exemple, la dose sans effet nocif observé (NOAEL) ou un autre seuil</w:t>
      </w:r>
      <w:r>
        <w:rPr>
          <w:rFonts w:ascii="Times New Roman" w:hAnsi="Times New Roman"/>
          <w:noProof/>
          <w:sz w:val="24"/>
          <w:vertAlign w:val="superscript"/>
        </w:rPr>
        <w:footnoteReference w:id="10"/>
      </w:r>
      <w:r>
        <w:rPr>
          <w:rFonts w:ascii="Times New Roman" w:hAnsi="Times New Roman"/>
          <w:noProof/>
          <w:sz w:val="24"/>
        </w:rPr>
        <w:t>] qui peut être déterminé par expérimentation et en dessous duquel aucun effet nocif n’est censé apparaître et auquel des facteurs d’incertitude sont appliqués pour déterminer le seuil rég</w:t>
      </w:r>
      <w:r>
        <w:rPr>
          <w:rFonts w:ascii="Times New Roman" w:hAnsi="Times New Roman"/>
          <w:noProof/>
          <w:sz w:val="24"/>
        </w:rPr>
        <w:t xml:space="preserve">lementaire (DNEL/PNEC).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2013, l’EFSA a précisé que «</w:t>
      </w:r>
      <w:r>
        <w:rPr>
          <w:rFonts w:ascii="Times New Roman" w:hAnsi="Times New Roman"/>
          <w:i/>
          <w:noProof/>
          <w:sz w:val="24"/>
        </w:rPr>
        <w:t>[…] la présence de mécanismes homéostatiques et cytoprotecteurs, et la redondance des cibles cellulaires, signifie qu’un certain niveau d’interactions de la substance avec les sites récepteurs critiqu</w:t>
      </w:r>
      <w:r>
        <w:rPr>
          <w:rFonts w:ascii="Times New Roman" w:hAnsi="Times New Roman"/>
          <w:i/>
          <w:noProof/>
          <w:sz w:val="24"/>
        </w:rPr>
        <w:t>es ou leur occupation doit être atteint pour produire un effet toxicologique significatif. (Dybing et al., 2002). En dessous de ce niveau (seuil) critique d’interaction, les mécanismes homéostatiques seraient capables de neutraliser toute perturbation prod</w:t>
      </w:r>
      <w:r>
        <w:rPr>
          <w:rFonts w:ascii="Times New Roman" w:hAnsi="Times New Roman"/>
          <w:i/>
          <w:noProof/>
          <w:sz w:val="24"/>
        </w:rPr>
        <w:t>uite par l’exposition à des substances exogènes (“xénobiotiques”), et aucun changement structurel ou fonctionnel ne serait observé. À certains stades de développement, la capacité homéostatique est limitée, ce qui aura une influence sur la sensibilité de l</w:t>
      </w:r>
      <w:r>
        <w:rPr>
          <w:rFonts w:ascii="Times New Roman" w:hAnsi="Times New Roman"/>
          <w:i/>
          <w:noProof/>
          <w:sz w:val="24"/>
        </w:rPr>
        <w:t>’organisme</w:t>
      </w:r>
      <w:r>
        <w:rPr>
          <w:rFonts w:ascii="Times New Roman" w:hAnsi="Times New Roman"/>
          <w:noProof/>
          <w:sz w:val="24"/>
        </w:rPr>
        <w:t>»</w:t>
      </w:r>
      <w:r>
        <w:rPr>
          <w:rFonts w:ascii="Times New Roman" w:hAnsi="Times New Roman"/>
          <w:noProof/>
          <w:sz w:val="24"/>
          <w:vertAlign w:val="superscript"/>
        </w:rPr>
        <w:footnoteReference w:id="11"/>
      </w:r>
      <w:r>
        <w:rPr>
          <w:noProof/>
        </w:rPr>
        <w:t>.</w:t>
      </w:r>
    </w:p>
    <w:p w:rsidR="00FF3A18" w:rsidRDefault="00F00EEC">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Le groupe consultatif d’experts sur les perturbateurs endocriniens du Centre commun de recherche a conclu en 2013 que «</w:t>
      </w:r>
      <w:r>
        <w:rPr>
          <w:rFonts w:ascii="Times New Roman" w:hAnsi="Times New Roman"/>
          <w:i/>
          <w:noProof/>
          <w:sz w:val="24"/>
        </w:rPr>
        <w:t>la plupart des experts estimaient qu’il peut y avoir des seuils de nocivité pour les PE, mais qu’ils peuvent être très faibles pour des PE individuels, en fonction du mode d’action, de l’activité et de la toxicocinétique, et que ces seuils peuvent être par</w:t>
      </w:r>
      <w:r>
        <w:rPr>
          <w:rFonts w:ascii="Times New Roman" w:hAnsi="Times New Roman"/>
          <w:i/>
          <w:noProof/>
          <w:sz w:val="24"/>
        </w:rPr>
        <w:t>ticulièrement bas pendant le développement fœtal (périodes critiques de sensibilité) en raison de l’immaturité des mécanismes homéostatiques et du métabolisme ainsi que de l’absence de certains axes endocriniens pendant les périodes sensibles de la vie fœt</w:t>
      </w:r>
      <w:r>
        <w:rPr>
          <w:rFonts w:ascii="Times New Roman" w:hAnsi="Times New Roman"/>
          <w:i/>
          <w:noProof/>
          <w:sz w:val="24"/>
        </w:rPr>
        <w:t>ale par rapport aux stades de la vie adulte. C’est pourquoi certains experts ont mis en doute l’existence d’un seuil pendant le développement. Plusieurs experts ont également exprimé le point de vue selon lequel, même si des seuils peuvent exister, il pour</w:t>
      </w:r>
      <w:r>
        <w:rPr>
          <w:rFonts w:ascii="Times New Roman" w:hAnsi="Times New Roman"/>
          <w:i/>
          <w:noProof/>
          <w:sz w:val="24"/>
        </w:rPr>
        <w:t xml:space="preserve">rait être difficile d’évaluer de manière fiable les seuils biologiques de nocivité au moyen des essais standard actuellement disponibles. En outre, de légères variations des taux d’hormones pendant le développement pourraient avoir des conséquences graves </w:t>
      </w:r>
      <w:r>
        <w:rPr>
          <w:rFonts w:ascii="Times New Roman" w:hAnsi="Times New Roman"/>
          <w:i/>
          <w:noProof/>
          <w:sz w:val="24"/>
        </w:rPr>
        <w:t xml:space="preserve">permanentes pour l’organisme.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i/>
          <w:noProof/>
          <w:sz w:val="24"/>
        </w:rPr>
        <w:t>D’autres experts ont avancé que le seuil de nocivité pour PE pourrait être inférieur dans l’organisme en développement que chez l’adulte et que la nature de l’effet pourrait être différente (changement sévère permanent chez l</w:t>
      </w:r>
      <w:r>
        <w:rPr>
          <w:rFonts w:ascii="Times New Roman" w:hAnsi="Times New Roman"/>
          <w:i/>
          <w:noProof/>
          <w:sz w:val="24"/>
        </w:rPr>
        <w:t>e fœtus et effet moins sévère chez l’adulte), mais qu’un seuil de nocivité doit exister et peut être estimé au moyen d’essais appropriés (incluant l’exposition pendant le développement).</w:t>
      </w:r>
      <w:r>
        <w:rPr>
          <w:rFonts w:ascii="Times New Roman" w:hAnsi="Times New Roman"/>
          <w:noProof/>
          <w:sz w:val="24"/>
        </w:rPr>
        <w:t>»</w:t>
      </w:r>
      <w:r>
        <w:rPr>
          <w:rFonts w:ascii="Times New Roman" w:hAnsi="Times New Roman"/>
          <w:noProof/>
          <w:sz w:val="24"/>
          <w:vertAlign w:val="superscript"/>
        </w:rPr>
        <w:footnoteReference w:id="12"/>
      </w:r>
    </w:p>
    <w:p w:rsidR="00FF3A18" w:rsidRDefault="00FF3A18">
      <w:pPr>
        <w:spacing w:before="120" w:after="120" w:line="240" w:lineRule="auto"/>
        <w:jc w:val="both"/>
        <w:rPr>
          <w:rFonts w:ascii="Times New Roman" w:eastAsia="Times New Roman" w:hAnsi="Times New Roman"/>
          <w:noProof/>
          <w:sz w:val="24"/>
          <w:szCs w:val="24"/>
        </w:rPr>
      </w:pPr>
    </w:p>
    <w:p w:rsidR="00FF3A18" w:rsidRDefault="00F00EEC">
      <w:pPr>
        <w:spacing w:before="120" w:after="120" w:line="240" w:lineRule="auto"/>
        <w:jc w:val="both"/>
        <w:rPr>
          <w:rFonts w:ascii="Times New Roman" w:eastAsia="Times New Roman" w:hAnsi="Times New Roman"/>
          <w:b/>
          <w:i/>
          <w:noProof/>
          <w:sz w:val="24"/>
          <w:szCs w:val="24"/>
          <w:u w:val="single"/>
        </w:rPr>
      </w:pPr>
      <w:r>
        <w:rPr>
          <w:rFonts w:ascii="Times New Roman" w:hAnsi="Times New Roman"/>
          <w:b/>
          <w:i/>
          <w:noProof/>
          <w:sz w:val="24"/>
          <w:u w:val="single"/>
        </w:rPr>
        <w:t xml:space="preserve">3.2. Incertitudes connexes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Certaines incertitudes entourant la dé</w:t>
      </w:r>
      <w:r>
        <w:rPr>
          <w:rFonts w:ascii="Times New Roman" w:hAnsi="Times New Roman"/>
          <w:noProof/>
          <w:sz w:val="24"/>
        </w:rPr>
        <w:t>termination de seuils ont été mises en lumière au cours des débats entre scientifiques. Quelques-unes sont spécifiques au PE, mais la plupart sont communes à tous les produits chimiques.</w:t>
      </w:r>
    </w:p>
    <w:p w:rsidR="00FF3A18" w:rsidRDefault="00F00EEC">
      <w:pPr>
        <w:spacing w:before="120" w:after="120" w:line="240" w:lineRule="auto"/>
        <w:jc w:val="both"/>
        <w:rPr>
          <w:rFonts w:ascii="Times New Roman" w:eastAsia="Times New Roman" w:hAnsi="Times New Roman"/>
          <w:b/>
          <w:i/>
          <w:noProof/>
          <w:sz w:val="24"/>
          <w:szCs w:val="24"/>
        </w:rPr>
      </w:pPr>
      <w:r>
        <w:rPr>
          <w:rFonts w:ascii="Times New Roman" w:hAnsi="Times New Roman"/>
          <w:b/>
          <w:i/>
          <w:noProof/>
          <w:sz w:val="24"/>
        </w:rPr>
        <w:t>3.2.1. Méthodes d’essai</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groupe consultatif d’experts sur les pertu</w:t>
      </w:r>
      <w:r>
        <w:rPr>
          <w:rFonts w:ascii="Times New Roman" w:hAnsi="Times New Roman"/>
          <w:noProof/>
          <w:sz w:val="24"/>
        </w:rPr>
        <w:t>rbateurs endocriniens du Centre commun de recherche a constaté en 2013 «la sensibilité limitée des méthodes et l’éventuel manque de prise en considération des paramètres pertinents pour les PE»</w:t>
      </w:r>
      <w:r>
        <w:rPr>
          <w:rFonts w:ascii="Times New Roman" w:hAnsi="Times New Roman"/>
          <w:noProof/>
          <w:sz w:val="24"/>
          <w:vertAlign w:val="superscript"/>
        </w:rPr>
        <w:footnoteReference w:id="13"/>
      </w:r>
      <w:r>
        <w:rPr>
          <w:rFonts w:ascii="Times New Roman" w:hAnsi="Times New Roman"/>
          <w:noProof/>
          <w:sz w:val="24"/>
        </w:rPr>
        <w:t xml:space="preserv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2013, l’EFSA indiquait que «</w:t>
      </w:r>
      <w:r>
        <w:rPr>
          <w:rFonts w:ascii="Times New Roman" w:hAnsi="Times New Roman"/>
          <w:i/>
          <w:noProof/>
          <w:sz w:val="24"/>
        </w:rPr>
        <w:t>[...] une série assez complè</w:t>
      </w:r>
      <w:r>
        <w:rPr>
          <w:rFonts w:ascii="Times New Roman" w:hAnsi="Times New Roman"/>
          <w:i/>
          <w:noProof/>
          <w:sz w:val="24"/>
        </w:rPr>
        <w:t>te d’essais normalisés [destinés à tester les effets des substances actives sur le système endocrinien (SASE)] est (ou sera prochainement) disponible pour les activités œstrogènes, androgènes, thyroïdiennes et stéroïdogéniques (activités OATS) chez les mam</w:t>
      </w:r>
      <w:r>
        <w:rPr>
          <w:rFonts w:ascii="Times New Roman" w:hAnsi="Times New Roman"/>
          <w:i/>
          <w:noProof/>
          <w:sz w:val="24"/>
        </w:rPr>
        <w:t>mifères et les poissons; les essais disponibles pour les oiseaux et les amphibiens seront moins nombreux. Tandis qu’en aval les effets perturbateurs de certaines activités non-OATS peuvent être détectables dans certains essais standardisés pour vertébrés a</w:t>
      </w:r>
      <w:r>
        <w:rPr>
          <w:rFonts w:ascii="Times New Roman" w:hAnsi="Times New Roman"/>
          <w:i/>
          <w:noProof/>
          <w:sz w:val="24"/>
        </w:rPr>
        <w:t>picaux, il est important de reconnaître que les essais mécanistes standardisés des activités non-OATS concernant les mammifères, les poissons et les autres vertébrés ne sont pas ou ne sont pas encore disponibles. Pour les invertébrés, les essais mécanistes</w:t>
      </w:r>
      <w:r>
        <w:rPr>
          <w:rFonts w:ascii="Times New Roman" w:hAnsi="Times New Roman"/>
          <w:i/>
          <w:noProof/>
          <w:sz w:val="24"/>
        </w:rPr>
        <w:t xml:space="preserve"> pertinents font défaut dans la suite d’essais de l’OCDE, principalement en raison d’une mauvaise compréhension de l’endocrinologie des invertébrés. Enfin, l’OCDE ne s’est pas penchée sur le développement d’essais endocriniens pour une série de grands taxo</w:t>
      </w:r>
      <w:r>
        <w:rPr>
          <w:rFonts w:ascii="Times New Roman" w:hAnsi="Times New Roman"/>
          <w:i/>
          <w:noProof/>
          <w:sz w:val="24"/>
        </w:rPr>
        <w:t>ns, dont les reptiles et les échinodermes. On ne sait pas à ce jour s’il sera possible d’extrapoler les résultats de groupes non testés à partir des essais réalisés sur d’autres taxons</w:t>
      </w:r>
      <w:r>
        <w:rPr>
          <w:rFonts w:ascii="Times New Roman" w:hAnsi="Times New Roman"/>
          <w:noProof/>
          <w:sz w:val="24"/>
        </w:rPr>
        <w:t>.»</w:t>
      </w:r>
      <w:r>
        <w:rPr>
          <w:rFonts w:ascii="Times New Roman" w:hAnsi="Times New Roman"/>
          <w:noProof/>
          <w:sz w:val="24"/>
          <w:vertAlign w:val="superscript"/>
        </w:rPr>
        <w:footnoteReference w:id="14"/>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En outre, en ce qui concerne les mammifères, l’EFSA a identifié une </w:t>
      </w:r>
      <w:r>
        <w:rPr>
          <w:rFonts w:ascii="Times New Roman" w:hAnsi="Times New Roman"/>
          <w:noProof/>
          <w:sz w:val="24"/>
        </w:rPr>
        <w:t>lacune qui constitue un obstacle considérable, à savoir que «</w:t>
      </w:r>
      <w:r>
        <w:rPr>
          <w:rFonts w:ascii="Times New Roman" w:hAnsi="Times New Roman"/>
          <w:i/>
          <w:noProof/>
          <w:sz w:val="24"/>
        </w:rPr>
        <w:t>la suite actuelle de méthodes d’essai permettant l’identification des PE (domaine de développement ultérieur) pèche par l’absence d’une étude unique impliquant une exposition durant tout le cycle</w:t>
      </w:r>
      <w:r>
        <w:rPr>
          <w:rFonts w:ascii="Times New Roman" w:hAnsi="Times New Roman"/>
          <w:i/>
          <w:noProof/>
          <w:sz w:val="24"/>
        </w:rPr>
        <w:t xml:space="preserve"> de vie d’un mammifère, de la conception à la vieillesse, ou d’une seule étude impliquant une exposition pendant le développement avec un suivi au cours de la vieillesse</w:t>
      </w:r>
      <w:r>
        <w:rPr>
          <w:rFonts w:ascii="Times New Roman" w:hAnsi="Times New Roman"/>
          <w:noProof/>
          <w:sz w:val="24"/>
        </w:rPr>
        <w:t>»</w:t>
      </w:r>
      <w:r>
        <w:rPr>
          <w:rFonts w:ascii="Times New Roman" w:hAnsi="Times New Roman"/>
          <w:noProof/>
          <w:sz w:val="24"/>
          <w:vertAlign w:val="superscript"/>
        </w:rPr>
        <w:footnoteReference w:id="15"/>
      </w:r>
      <w:r>
        <w:rPr>
          <w:noProof/>
        </w:rPr>
        <w:t>.</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L’EFSA a par ailleurs indiqué, en ce qui concerne en général les substances toxique</w:t>
      </w:r>
      <w:r>
        <w:rPr>
          <w:rFonts w:ascii="Times New Roman" w:hAnsi="Times New Roman"/>
          <w:noProof/>
          <w:sz w:val="24"/>
        </w:rPr>
        <w:t>s pour le développement, y compris les PE, que «</w:t>
      </w:r>
      <w:r>
        <w:rPr>
          <w:rFonts w:ascii="Times New Roman" w:hAnsi="Times New Roman"/>
          <w:i/>
          <w:noProof/>
          <w:sz w:val="24"/>
        </w:rPr>
        <w:t xml:space="preserve">plusieurs rapports d’évaluation récents concluaient que les essais actuels sur les mammifères ne couvraient pas certains effets qui pourraient être induits par l’exposition au cours du développement fœtal ou </w:t>
      </w:r>
      <w:r>
        <w:rPr>
          <w:rFonts w:ascii="Times New Roman" w:hAnsi="Times New Roman"/>
          <w:i/>
          <w:noProof/>
          <w:sz w:val="24"/>
        </w:rPr>
        <w:t>pubertaire mais n’apparaîtraient que plus tard dans la vie, comme certains cancers (du sein, de la prostate, des testicules, des ovaires et de l’endomètre), ni les effets sur la sénescence reproductive)</w:t>
      </w:r>
      <w:r>
        <w:rPr>
          <w:rFonts w:ascii="Times New Roman" w:hAnsi="Times New Roman"/>
          <w:noProof/>
          <w:sz w:val="24"/>
        </w:rPr>
        <w:t>»</w:t>
      </w:r>
      <w:r>
        <w:rPr>
          <w:rFonts w:ascii="Times New Roman" w:hAnsi="Times New Roman"/>
          <w:noProof/>
          <w:sz w:val="24"/>
          <w:vertAlign w:val="superscript"/>
        </w:rPr>
        <w:footnoteReference w:id="16"/>
      </w:r>
      <w:r>
        <w:rPr>
          <w:noProof/>
        </w:rPr>
        <w:t>.</w:t>
      </w:r>
      <w:r>
        <w:rPr>
          <w:rFonts w:ascii="Times New Roman" w:hAnsi="Times New Roman"/>
          <w:noProof/>
          <w:sz w:val="24"/>
        </w:rPr>
        <w:t xml:space="preserve"> </w:t>
      </w:r>
    </w:p>
    <w:p w:rsidR="00FF3A18" w:rsidRDefault="00FF3A18">
      <w:pPr>
        <w:spacing w:before="120" w:after="120" w:line="240" w:lineRule="auto"/>
        <w:jc w:val="both"/>
        <w:rPr>
          <w:rFonts w:ascii="Times New Roman" w:eastAsia="Times New Roman" w:hAnsi="Times New Roman"/>
          <w:noProof/>
          <w:sz w:val="24"/>
          <w:szCs w:val="24"/>
        </w:rPr>
      </w:pPr>
    </w:p>
    <w:p w:rsidR="00FF3A18" w:rsidRDefault="00F00EEC">
      <w:pPr>
        <w:spacing w:before="120" w:after="120" w:line="240" w:lineRule="auto"/>
        <w:jc w:val="both"/>
        <w:rPr>
          <w:rFonts w:ascii="Times New Roman" w:eastAsia="Times New Roman" w:hAnsi="Times New Roman"/>
          <w:b/>
          <w:i/>
          <w:noProof/>
          <w:sz w:val="24"/>
          <w:szCs w:val="24"/>
        </w:rPr>
      </w:pPr>
      <w:r>
        <w:rPr>
          <w:rFonts w:ascii="Times New Roman" w:hAnsi="Times New Roman"/>
          <w:b/>
          <w:i/>
          <w:noProof/>
          <w:sz w:val="24"/>
        </w:rPr>
        <w:t xml:space="preserve">3.2.2. Fenêtre critique d’exposition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2013, l</w:t>
      </w:r>
      <w:r>
        <w:rPr>
          <w:rFonts w:ascii="Times New Roman" w:hAnsi="Times New Roman"/>
          <w:noProof/>
          <w:sz w:val="24"/>
        </w:rPr>
        <w:t>’EFSA a souligné que les préoccupations liées aux «</w:t>
      </w:r>
      <w:r>
        <w:rPr>
          <w:rFonts w:ascii="Times New Roman" w:hAnsi="Times New Roman"/>
          <w:i/>
          <w:noProof/>
          <w:sz w:val="24"/>
        </w:rPr>
        <w:t>fenêtres critiques d’exposition</w:t>
      </w:r>
      <w:r>
        <w:rPr>
          <w:rFonts w:ascii="Times New Roman" w:hAnsi="Times New Roman"/>
          <w:noProof/>
          <w:sz w:val="24"/>
        </w:rPr>
        <w:t>» ne sont «</w:t>
      </w:r>
      <w:r>
        <w:rPr>
          <w:rFonts w:ascii="Times New Roman" w:hAnsi="Times New Roman"/>
          <w:i/>
          <w:noProof/>
          <w:sz w:val="24"/>
        </w:rPr>
        <w:t>pas propres aux SASE [substances actives sur le système endocrinien], mais concernent également des substances ayant d’autres mécanismes d’action</w:t>
      </w:r>
      <w:r>
        <w:rPr>
          <w:rFonts w:ascii="Times New Roman" w:hAnsi="Times New Roman"/>
          <w:noProof/>
          <w:sz w:val="24"/>
        </w:rPr>
        <w:t>»</w:t>
      </w:r>
      <w:r>
        <w:rPr>
          <w:rFonts w:ascii="Times New Roman" w:hAnsi="Times New Roman"/>
          <w:noProof/>
          <w:sz w:val="24"/>
          <w:vertAlign w:val="superscript"/>
        </w:rPr>
        <w:footnoteReference w:id="17"/>
      </w:r>
      <w:r>
        <w:rPr>
          <w:rFonts w:ascii="Times New Roman" w:hAnsi="Times New Roman"/>
          <w:i/>
          <w:noProof/>
          <w:sz w:val="24"/>
        </w:rPr>
        <w:t>.</w:t>
      </w:r>
    </w:p>
    <w:p w:rsidR="00FF3A18" w:rsidRDefault="00F00EEC">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rPr>
        <w:t xml:space="preserve">Le groupe consultatif d’experts sur les perturbateurs endocriniens du Centre commun de recherche a conclu en 2013 «[...] </w:t>
      </w:r>
      <w:r>
        <w:rPr>
          <w:rFonts w:ascii="Times New Roman" w:hAnsi="Times New Roman"/>
          <w:i/>
          <w:noProof/>
          <w:sz w:val="24"/>
        </w:rPr>
        <w:t>que le système endocrinien présente une différence importante de maturité et de fonctionnalité avant et après la naissance. Le principa</w:t>
      </w:r>
      <w:r>
        <w:rPr>
          <w:rFonts w:ascii="Times New Roman" w:hAnsi="Times New Roman"/>
          <w:i/>
          <w:noProof/>
          <w:sz w:val="24"/>
        </w:rPr>
        <w:t>l problème est l’absence ou l’immaturité des mécanismes homéostatiques, l’immaturité du métabolisme et l’absence de boucles de rétroaction, ainsi que l’absence d’axes endocriniens pleinement développés pendant les périodes sensibles de la vie fœtale [...].</w:t>
      </w:r>
      <w:r>
        <w:rPr>
          <w:rFonts w:ascii="Times New Roman" w:hAnsi="Times New Roman"/>
          <w:i/>
          <w:noProof/>
          <w:sz w:val="24"/>
        </w:rPr>
        <w:t xml:space="preserve"> Ces éléments amplifient considérablement les préoccupations au sujet de l’existence d’un seuil de nocivité et, s’il existe, de la possibilité de le déterminer de manière suffisamment fiable. En outre, une légère variation des taux d’hormones pendant le dé</w:t>
      </w:r>
      <w:r>
        <w:rPr>
          <w:rFonts w:ascii="Times New Roman" w:hAnsi="Times New Roman"/>
          <w:i/>
          <w:noProof/>
          <w:sz w:val="24"/>
        </w:rPr>
        <w:t>veloppement pourrait avoir des conséquences graves permanentes pour l’organisme.</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i/>
          <w:noProof/>
          <w:sz w:val="24"/>
        </w:rPr>
        <w:t>D’autres experts [du groupe consultatif d’experts sur les perturbateurs endocriniens] ont avancé qu’un seuil de nocivité pour PE pourrait être moindre dans l’organisme en déve</w:t>
      </w:r>
      <w:r>
        <w:rPr>
          <w:rFonts w:ascii="Times New Roman" w:hAnsi="Times New Roman"/>
          <w:i/>
          <w:noProof/>
          <w:sz w:val="24"/>
        </w:rPr>
        <w:t>loppement que chez l’adulte et que la nature de l’effet pourrait être différente (changement grave permanent chez le fœtus et effet moins grave chez l’adulte), mais qu’un seuil de nocivité doit exister et peut être estimé au moyen d’essais appropriés (incl</w:t>
      </w:r>
      <w:r>
        <w:rPr>
          <w:rFonts w:ascii="Times New Roman" w:hAnsi="Times New Roman"/>
          <w:i/>
          <w:noProof/>
          <w:sz w:val="24"/>
        </w:rPr>
        <w:t xml:space="preserve">uant l’exposition pendant le développement). Enfin, le déficit de connaissances est considérable pour d’autres étapes éventuellement sensibles de la vie qui ont été évoquées (puberté, grossesse, ménopause, etc.). L’absence de prise en considération de ces </w:t>
      </w:r>
      <w:r>
        <w:rPr>
          <w:rFonts w:ascii="Times New Roman" w:hAnsi="Times New Roman"/>
          <w:i/>
          <w:noProof/>
          <w:sz w:val="24"/>
        </w:rPr>
        <w:t>étapes de la vie dans des protocoles d’essai risque d’accroître l’incertitude quant à l’existence d’un seuil et/ou l’approximation fiable d’un seuil</w:t>
      </w:r>
      <w:r>
        <w:rPr>
          <w:rFonts w:ascii="Times New Roman" w:hAnsi="Times New Roman"/>
          <w:noProof/>
          <w:sz w:val="24"/>
        </w:rPr>
        <w:t>.»</w:t>
      </w:r>
      <w:r>
        <w:rPr>
          <w:rFonts w:ascii="Times New Roman" w:hAnsi="Times New Roman"/>
          <w:noProof/>
          <w:sz w:val="24"/>
          <w:vertAlign w:val="superscript"/>
        </w:rPr>
        <w:footnoteReference w:id="18"/>
      </w:r>
      <w:r>
        <w:rPr>
          <w:rFonts w:ascii="Times New Roman" w:hAnsi="Times New Roman"/>
          <w:noProof/>
          <w:sz w:val="24"/>
        </w:rPr>
        <w:t xml:space="preserve"> </w:t>
      </w:r>
    </w:p>
    <w:p w:rsidR="00FF3A18" w:rsidRDefault="00FF3A18">
      <w:pPr>
        <w:spacing w:before="120" w:after="120" w:line="240" w:lineRule="auto"/>
        <w:jc w:val="both"/>
        <w:rPr>
          <w:rFonts w:ascii="Times New Roman" w:eastAsia="Times New Roman" w:hAnsi="Times New Roman"/>
          <w:noProof/>
          <w:sz w:val="24"/>
          <w:szCs w:val="24"/>
        </w:rPr>
      </w:pPr>
    </w:p>
    <w:p w:rsidR="00FF3A18" w:rsidRDefault="00F00EEC">
      <w:pPr>
        <w:spacing w:before="120" w:after="120" w:line="240" w:lineRule="auto"/>
        <w:jc w:val="both"/>
        <w:rPr>
          <w:rFonts w:ascii="Times New Roman" w:eastAsia="Times New Roman" w:hAnsi="Times New Roman"/>
          <w:i/>
          <w:noProof/>
          <w:sz w:val="24"/>
          <w:szCs w:val="24"/>
        </w:rPr>
      </w:pPr>
      <w:r>
        <w:rPr>
          <w:rFonts w:ascii="Times New Roman" w:hAnsi="Times New Roman"/>
          <w:b/>
          <w:i/>
          <w:noProof/>
          <w:sz w:val="24"/>
        </w:rPr>
        <w:t xml:space="preserve">3.2.3. Relations dose-réponse non monotones et effets à faible dose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En 2013, l’EFSA a souligné que le</w:t>
      </w:r>
      <w:r>
        <w:rPr>
          <w:rFonts w:ascii="Times New Roman" w:hAnsi="Times New Roman"/>
          <w:noProof/>
          <w:sz w:val="24"/>
        </w:rPr>
        <w:t>s préoccupations liées aux relations dose-réponse non monotones ne sont «</w:t>
      </w:r>
      <w:r>
        <w:rPr>
          <w:rFonts w:ascii="Times New Roman" w:hAnsi="Times New Roman"/>
          <w:i/>
          <w:noProof/>
          <w:sz w:val="24"/>
        </w:rPr>
        <w:t>pas propres aux SASE [substances actives sur le système endocrinien], mais concernent également des substances ayant d’autres mécanismes d’action</w:t>
      </w:r>
      <w:r>
        <w:rPr>
          <w:rFonts w:ascii="Times New Roman" w:hAnsi="Times New Roman"/>
          <w:noProof/>
          <w:sz w:val="24"/>
        </w:rPr>
        <w:t>»</w:t>
      </w:r>
      <w:r>
        <w:rPr>
          <w:rFonts w:ascii="Times New Roman" w:hAnsi="Times New Roman"/>
          <w:noProof/>
          <w:sz w:val="24"/>
          <w:vertAlign w:val="superscript"/>
        </w:rPr>
        <w:footnoteReference w:id="19"/>
      </w:r>
      <w:r>
        <w:rPr>
          <w:rFonts w:ascii="Times New Roman" w:hAnsi="Times New Roman"/>
          <w:i/>
          <w:noProof/>
          <w:sz w:val="24"/>
        </w:rPr>
        <w:t>.</w:t>
      </w:r>
      <w:r>
        <w:rPr>
          <w:rFonts w:ascii="Times New Roman" w:hAnsi="Times New Roman"/>
          <w:noProof/>
          <w:sz w:val="24"/>
        </w:rPr>
        <w:t xml:space="preserve"> En ce qui concerne les faibles dos</w:t>
      </w:r>
      <w:r>
        <w:rPr>
          <w:rFonts w:ascii="Times New Roman" w:hAnsi="Times New Roman"/>
          <w:noProof/>
          <w:sz w:val="24"/>
        </w:rPr>
        <w:t>es, le groupe consultatif d’experts sur les perturbateurs endocriniens (EDEAG) du Centre commun de recherche a reconnu en 2013 «</w:t>
      </w:r>
      <w:r>
        <w:rPr>
          <w:rFonts w:ascii="Times New Roman" w:hAnsi="Times New Roman"/>
          <w:i/>
          <w:noProof/>
          <w:sz w:val="24"/>
        </w:rPr>
        <w:t xml:space="preserve">qu’il n’y avait toujours pas de consensus scientifique sur la question des réponses à faible dose et que cela se traduisait par </w:t>
      </w:r>
      <w:r>
        <w:rPr>
          <w:rFonts w:ascii="Times New Roman" w:hAnsi="Times New Roman"/>
          <w:i/>
          <w:noProof/>
          <w:sz w:val="24"/>
        </w:rPr>
        <w:t>l’absence de consensus au sein de l’EDEAG»</w:t>
      </w:r>
      <w:r>
        <w:rPr>
          <w:rFonts w:ascii="Times New Roman" w:hAnsi="Times New Roman"/>
          <w:noProof/>
          <w:sz w:val="24"/>
          <w:vertAlign w:val="superscript"/>
        </w:rPr>
        <w:footnoteReference w:id="20"/>
      </w:r>
      <w:r>
        <w:rPr>
          <w:noProof/>
        </w:rPr>
        <w:t>.</w:t>
      </w:r>
      <w:r>
        <w:rPr>
          <w:rFonts w:ascii="Times New Roman" w:hAnsi="Times New Roman"/>
          <w:noProof/>
          <w:sz w:val="24"/>
        </w:rPr>
        <w:t xml:space="preserve"> L’EFSA aussi «</w:t>
      </w:r>
      <w:r>
        <w:rPr>
          <w:rFonts w:ascii="Times New Roman" w:hAnsi="Times New Roman"/>
          <w:i/>
          <w:noProof/>
          <w:sz w:val="24"/>
        </w:rPr>
        <w:t>constate l’absence de consensus au sein de la communauté scientifique en ce qui concerne l’existence et/ou la pertinence d’effets à faible dose et de courbes dose-réponse non monotones en (éco)toxi</w:t>
      </w:r>
      <w:r>
        <w:rPr>
          <w:rFonts w:ascii="Times New Roman" w:hAnsi="Times New Roman"/>
          <w:i/>
          <w:noProof/>
          <w:sz w:val="24"/>
        </w:rPr>
        <w:t>cologie en rapport avec les perturbations endocriniennes ou d’autres effets/modes d’action</w:t>
      </w:r>
      <w:r>
        <w:rPr>
          <w:rFonts w:ascii="Times New Roman" w:hAnsi="Times New Roman"/>
          <w:noProof/>
          <w:sz w:val="24"/>
        </w:rPr>
        <w:t>»</w:t>
      </w:r>
      <w:r>
        <w:rPr>
          <w:rFonts w:ascii="Times New Roman" w:hAnsi="Times New Roman"/>
          <w:noProof/>
          <w:sz w:val="24"/>
          <w:vertAlign w:val="superscript"/>
        </w:rPr>
        <w:footnoteReference w:id="21"/>
      </w:r>
      <w:r>
        <w:rPr>
          <w:rFonts w:ascii="Times New Roman" w:hAnsi="Times New Roman"/>
          <w:i/>
          <w:noProof/>
          <w:sz w:val="24"/>
        </w:rPr>
        <w:t>.</w:t>
      </w:r>
    </w:p>
    <w:p w:rsidR="00FF3A18" w:rsidRDefault="00FF3A18">
      <w:pPr>
        <w:spacing w:before="120" w:after="120" w:line="240" w:lineRule="auto"/>
        <w:jc w:val="both"/>
        <w:rPr>
          <w:rFonts w:ascii="Times New Roman" w:eastAsia="Times New Roman" w:hAnsi="Times New Roman"/>
          <w:noProof/>
          <w:sz w:val="24"/>
          <w:szCs w:val="24"/>
        </w:rPr>
      </w:pPr>
    </w:p>
    <w:p w:rsidR="00FF3A18" w:rsidRDefault="00F00EEC">
      <w:pPr>
        <w:numPr>
          <w:ilvl w:val="0"/>
          <w:numId w:val="1"/>
        </w:numPr>
        <w:spacing w:before="120" w:after="120" w:line="240" w:lineRule="auto"/>
        <w:jc w:val="both"/>
        <w:rPr>
          <w:rFonts w:ascii="Times New Roman" w:eastAsia="Times New Roman" w:hAnsi="Times New Roman"/>
          <w:b/>
          <w:noProof/>
          <w:sz w:val="24"/>
          <w:szCs w:val="24"/>
        </w:rPr>
      </w:pPr>
      <w:r>
        <w:rPr>
          <w:rFonts w:ascii="Times New Roman" w:hAnsi="Times New Roman"/>
          <w:b/>
          <w:noProof/>
          <w:sz w:val="24"/>
        </w:rPr>
        <w:t>Les voies possibles d’une autorisation des PE dans le cadre du règlement REACH</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conséquences du présent réexamen sur l’action réglementaire éventuelle en </w:t>
      </w:r>
      <w:r>
        <w:rPr>
          <w:rFonts w:ascii="Times New Roman" w:hAnsi="Times New Roman"/>
          <w:noProof/>
          <w:sz w:val="24"/>
        </w:rPr>
        <w:t>fonction de l’existence d’un seuil pour les PE peuvent être réparties en quatre possibilités principales:</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 tous les PE n’ont pas un seuil;</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b) les PE n’ont pas un seuil, sauf s’il peut être démontré qu’il existe un seuil; </w:t>
      </w:r>
    </w:p>
    <w:p w:rsidR="00FF3A18" w:rsidRDefault="00F00EEC">
      <w:pPr>
        <w:spacing w:before="120" w:after="120" w:line="240" w:lineRule="auto"/>
        <w:ind w:left="340" w:hanging="340"/>
        <w:jc w:val="both"/>
        <w:rPr>
          <w:rFonts w:ascii="Times New Roman" w:eastAsia="Times New Roman" w:hAnsi="Times New Roman"/>
          <w:noProof/>
          <w:sz w:val="24"/>
          <w:szCs w:val="24"/>
        </w:rPr>
      </w:pPr>
      <w:r>
        <w:rPr>
          <w:rFonts w:ascii="Times New Roman" w:hAnsi="Times New Roman"/>
          <w:noProof/>
          <w:sz w:val="24"/>
        </w:rPr>
        <w:t>c) les PE ont un seuil, sauf s’i</w:t>
      </w:r>
      <w:r>
        <w:rPr>
          <w:rFonts w:ascii="Times New Roman" w:hAnsi="Times New Roman"/>
          <w:noProof/>
          <w:sz w:val="24"/>
        </w:rPr>
        <w:t>l peut être démontré qu’il n’existe pas de seuil;</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d) tous les PE ont un seuil.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Les possibilités a) et d) sont écartées à la lumière du débat en cours dans la communauté scientifique (cf. point 3). Les possibilités b) et c) ne sont pas fondamentalement dif</w:t>
      </w:r>
      <w:r>
        <w:rPr>
          <w:rFonts w:ascii="Times New Roman" w:hAnsi="Times New Roman"/>
          <w:noProof/>
          <w:sz w:val="24"/>
        </w:rPr>
        <w:t>férentes étant donné qu’elles requièrent une évaluation au cas par cas.</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Sur la base des informations exposées aux points précédents, il peut se révéler difficile (mais pas impossible) de fixer, avec un degré de certitude raisonnable, un seuil d’innocuité p</w:t>
      </w:r>
      <w:r>
        <w:rPr>
          <w:rFonts w:ascii="Times New Roman" w:hAnsi="Times New Roman"/>
          <w:noProof/>
          <w:sz w:val="24"/>
        </w:rPr>
        <w:t>our les PE.</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Comme c’est le cas pour toutes les substances soumises à autorisation au titre du règlement REACH, il incombe au demandeur de démontrer qu’il existe un seuil et de fixer ce seuil conformément à l’annexe I du règlement REACH et il appartient au </w:t>
      </w:r>
      <w:r>
        <w:rPr>
          <w:rFonts w:ascii="Times New Roman" w:hAnsi="Times New Roman"/>
          <w:noProof/>
          <w:sz w:val="24"/>
        </w:rPr>
        <w:t>CER d’apprécier la validité de l’évaluation et de se prononcer finalement sur l’existence de ce seuil.</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Néanmoins, afin d’accroître la prévisibilité et la sécurité juridique dans l’intérêt des demandeurs, le CER a fixé au cas par cas des DNEL de référence p</w:t>
      </w:r>
      <w:r>
        <w:rPr>
          <w:rFonts w:ascii="Times New Roman" w:hAnsi="Times New Roman"/>
          <w:noProof/>
          <w:sz w:val="24"/>
        </w:rPr>
        <w:t>our des substances ayant une valeur seuil et des courbes dose-réponse de référence pour des substances sans valeur seuil, que l’industrie peut utiliser lorsqu’elle demande une autorisation. Cette pratique vaut pour les PE comme pour d’autres substances.</w:t>
      </w:r>
    </w:p>
    <w:p w:rsidR="00FF3A18" w:rsidRDefault="00F00EEC" w:rsidP="00F00EEC">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br w:type="page"/>
      </w:r>
      <w:bookmarkStart w:id="1" w:name="_GoBack"/>
      <w:bookmarkEnd w:id="1"/>
      <w:r>
        <w:rPr>
          <w:rFonts w:ascii="Times New Roman" w:hAnsi="Times New Roman"/>
          <w:b/>
          <w:noProof/>
          <w:sz w:val="24"/>
        </w:rPr>
        <w:t>C</w:t>
      </w:r>
      <w:r>
        <w:rPr>
          <w:rFonts w:ascii="Times New Roman" w:hAnsi="Times New Roman"/>
          <w:b/>
          <w:noProof/>
          <w:sz w:val="24"/>
        </w:rPr>
        <w:t>onclusions</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L’article 60, paragraphe 3, point a), du règlement REACH prévoit déjà qu’il est impossible d’appliquer la procédure fondée sur la maîtrise appropriée pour les substances pour lesquelles il n’est pas possible de déterminer un seuil.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Il ressort d</w:t>
      </w:r>
      <w:r>
        <w:rPr>
          <w:rFonts w:ascii="Times New Roman" w:hAnsi="Times New Roman"/>
          <w:noProof/>
          <w:sz w:val="24"/>
        </w:rPr>
        <w:t>es informations exposées aux points précédents qu’il n’y a pas lieu d’étendre a priori le champ d’application de l’article 60, paragraphe 3, à toutes les substances identifiées en vertu de l’article 57, point f), comme substances qui possèdent des propriét</w:t>
      </w:r>
      <w:r>
        <w:rPr>
          <w:rFonts w:ascii="Times New Roman" w:hAnsi="Times New Roman"/>
          <w:noProof/>
          <w:sz w:val="24"/>
        </w:rPr>
        <w:t xml:space="preserve">és perturbant le système endocrinien et suscitent un niveau de préoccupation équivalent. </w:t>
      </w:r>
    </w:p>
    <w:p w:rsidR="00FF3A18" w:rsidRDefault="00F00EEC">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Par conséquent, l’article 60, paragraphe 3, du règlement REACH continuera d’être applicable aux PE pour lesquels il n’est pas possible de déterminer un seuil. Il </w:t>
      </w:r>
      <w:r>
        <w:rPr>
          <w:rFonts w:ascii="Times New Roman" w:hAnsi="Times New Roman"/>
          <w:noProof/>
          <w:sz w:val="24"/>
        </w:rPr>
        <w:t xml:space="preserve">demeure de la responsabilité du demandeur d’une l’autorisation de démontrer qu’il existe un seuil et de fixer ce seuil conformément à l’annexe I du règlement REACH. Même si cela peut se révéler particulièrement difficile dans le cas de PE, il ne peut être </w:t>
      </w:r>
      <w:r>
        <w:rPr>
          <w:rFonts w:ascii="Times New Roman" w:hAnsi="Times New Roman"/>
          <w:noProof/>
          <w:sz w:val="24"/>
        </w:rPr>
        <w:t>exclu, sur la base des connaissances actuelles, que ce soit possible. Il incombe au CER d’apprécier la validité de l’évaluation et de se prononcer finalement sur l’existence de ce seuil. En outre, comme pour d’autres substances, le CER peut fixer, au cas p</w:t>
      </w:r>
      <w:r>
        <w:rPr>
          <w:rFonts w:ascii="Times New Roman" w:hAnsi="Times New Roman"/>
          <w:noProof/>
          <w:sz w:val="24"/>
        </w:rPr>
        <w:t>ar cas, des DNEL de référence ou des courbes dose-réponse de référence, que l’industrie pourra utiliser lorsqu’elle demande une autorisation. En conséquence, conformément au règlement REACH actuel, seule la procédure socio-économique peut être utilisée lor</w:t>
      </w:r>
      <w:r>
        <w:rPr>
          <w:rFonts w:ascii="Times New Roman" w:hAnsi="Times New Roman"/>
          <w:noProof/>
          <w:sz w:val="24"/>
        </w:rPr>
        <w:t>squ’un seuil ne peut être déterminé, et, eu égard à la conclusion tirée au terme du réexamen du règlement REACH selon laquelle la stabilité réglementaire est souhaitable, la Commission n’a pas l’intention de proposer une modification de la législation.</w:t>
      </w:r>
    </w:p>
    <w:p w:rsidR="00FF3A18" w:rsidRDefault="00FF3A18">
      <w:pPr>
        <w:rPr>
          <w:noProof/>
        </w:rPr>
      </w:pPr>
    </w:p>
    <w:sectPr w:rsidR="00FF3A1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18" w:rsidRDefault="00F00EEC">
      <w:pPr>
        <w:spacing w:after="0" w:line="240" w:lineRule="auto"/>
      </w:pPr>
      <w:r>
        <w:separator/>
      </w:r>
    </w:p>
  </w:endnote>
  <w:endnote w:type="continuationSeparator" w:id="0">
    <w:p w:rsidR="00FF3A18" w:rsidRDefault="00F0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00EEC">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00EEC">
    <w:pPr>
      <w:pStyle w:val="Footer"/>
      <w:jc w:val="center"/>
    </w:pPr>
    <w:r>
      <w:fldChar w:fldCharType="begin"/>
    </w:r>
    <w:r>
      <w:instrText xml:space="preserve"> PAGE   \* MERGEFORMAT </w:instrText>
    </w:r>
    <w:r>
      <w:fldChar w:fldCharType="separate"/>
    </w:r>
    <w:r>
      <w:rPr>
        <w:noProof/>
      </w:rPr>
      <w:t>10</w:t>
    </w:r>
    <w:r>
      <w:rPr>
        <w:noProof/>
      </w:rPr>
      <w:fldChar w:fldCharType="end"/>
    </w:r>
  </w:p>
  <w:p w:rsidR="00FF3A18" w:rsidRDefault="00FF3A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18" w:rsidRDefault="00F00EEC">
      <w:pPr>
        <w:spacing w:after="0" w:line="240" w:lineRule="auto"/>
      </w:pPr>
      <w:r>
        <w:separator/>
      </w:r>
    </w:p>
  </w:footnote>
  <w:footnote w:type="continuationSeparator" w:id="0">
    <w:p w:rsidR="00FF3A18" w:rsidRDefault="00F00EEC">
      <w:pPr>
        <w:spacing w:after="0" w:line="240" w:lineRule="auto"/>
      </w:pPr>
      <w:r>
        <w:continuationSeparator/>
      </w:r>
    </w:p>
  </w:footnote>
  <w:footnote w:id="1">
    <w:p w:rsidR="00FF3A18" w:rsidRDefault="00F00EEC">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 xml:space="preserve">Règlement (CE) nº 1907/2006 du Parlement européen et du Conseil du 18 décembre 2006 concernant l’enregistrement, l’évaluation et l’autorisation des substances chimiques, ainsi que les restrictions applicables à ces </w:t>
      </w:r>
      <w:r>
        <w:rPr>
          <w:rFonts w:ascii="Times New Roman" w:hAnsi="Times New Roman"/>
        </w:rPr>
        <w:t>substances (REACH), instituant une agence européenne des produits chimiques, modifiant la directive 1999/45/CE et abrogeant le règlement (CEE) nº 793/93 du Conseil et le règlement (CE) nº 1488/94 de la Commission ainsi que la directive 76/769/CEE du Consei</w:t>
      </w:r>
      <w:r>
        <w:rPr>
          <w:rFonts w:ascii="Times New Roman" w:hAnsi="Times New Roman"/>
        </w:rPr>
        <w:t>l et les directives 91/155/CEE, 93/67/CEE, 93/105/CE et 2000/21/CE de la Commission (JO L 396 du 30.12.2006, p. 1).</w:t>
      </w:r>
    </w:p>
  </w:footnote>
  <w:footnote w:id="2">
    <w:p w:rsidR="00FF3A18" w:rsidRDefault="00F00EEC">
      <w:pPr>
        <w:pStyle w:val="FootnoteText"/>
        <w:spacing w:after="0" w:line="240" w:lineRule="auto"/>
      </w:pPr>
      <w:r>
        <w:rPr>
          <w:rStyle w:val="FootnoteReference"/>
        </w:rPr>
        <w:footnoteRef/>
      </w:r>
      <w:r>
        <w:tab/>
      </w:r>
      <w:r>
        <w:rPr>
          <w:rFonts w:ascii="Times New Roman" w:hAnsi="Times New Roman"/>
        </w:rPr>
        <w:t>Article 57, point f), du règlement REACH.</w:t>
      </w:r>
    </w:p>
  </w:footnote>
  <w:footnote w:id="3">
    <w:p w:rsidR="00FF3A18" w:rsidRDefault="00F00EEC">
      <w:pPr>
        <w:pStyle w:val="FootnoteText"/>
        <w:spacing w:after="0" w:line="240" w:lineRule="auto"/>
        <w:rPr>
          <w:rFonts w:ascii="Times New Roman" w:hAnsi="Times New Roman"/>
        </w:rPr>
      </w:pPr>
      <w:r>
        <w:rPr>
          <w:rStyle w:val="FootnoteReference"/>
        </w:rPr>
        <w:footnoteRef/>
      </w:r>
      <w:r>
        <w:t xml:space="preserve"> </w:t>
      </w:r>
      <w:r>
        <w:tab/>
      </w:r>
      <w:r>
        <w:rPr>
          <w:rFonts w:ascii="Times New Roman" w:hAnsi="Times New Roman"/>
        </w:rPr>
        <w:t>Par exemple, Autorité européenne de sécurité des aliments, «Scientific criteria for identific</w:t>
      </w:r>
      <w:r>
        <w:rPr>
          <w:rFonts w:ascii="Times New Roman" w:hAnsi="Times New Roman"/>
        </w:rPr>
        <w:t>ation of endocrine disruptors and appropriateness of existing test methods for assessing effects mediated by these substances on human health and the environment» (Critères scientifiques d’identification des perturbateurs endocriniens et pertinence des mét</w:t>
      </w:r>
      <w:r>
        <w:rPr>
          <w:rFonts w:ascii="Times New Roman" w:hAnsi="Times New Roman"/>
        </w:rPr>
        <w:t xml:space="preserve">hodes d’essai existantes pour évaluer les effets induits par ces substances sur la santé humaine et l’environnement), 28.2.2013, </w:t>
      </w:r>
      <w:r>
        <w:rPr>
          <w:rFonts w:ascii="Times New Roman" w:hAnsi="Times New Roman"/>
          <w:i/>
        </w:rPr>
        <w:t>EFSA Journal</w:t>
      </w:r>
      <w:r>
        <w:rPr>
          <w:rFonts w:ascii="Times New Roman" w:hAnsi="Times New Roman"/>
        </w:rPr>
        <w:t>, 2013, 11(3): 3132, p. 17 [ci-après «EFSA (2013)»].</w:t>
      </w:r>
    </w:p>
  </w:footnote>
  <w:footnote w:id="4">
    <w:p w:rsidR="00FF3A18" w:rsidRDefault="00F00EEC">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Parmi les rapports scientifiques et politiques du Centre co</w:t>
      </w:r>
      <w:r>
        <w:rPr>
          <w:rFonts w:ascii="Times New Roman" w:hAnsi="Times New Roman"/>
        </w:rPr>
        <w:t>mmun de recherche, les plus importants sont ceux du groupe consultatif d’experts sur les perturbateurs endocriniens, à savoir le rapport «Key scientific issues relevant to the identification and characterisation of endocrine disrupting substances» (Les que</w:t>
      </w:r>
      <w:r>
        <w:rPr>
          <w:rFonts w:ascii="Times New Roman" w:hAnsi="Times New Roman"/>
        </w:rPr>
        <w:t>stions scientifiques clés pertinentes pour l’identification et la caractérisation des substances perturbant le système endocrinien), (2013) et le rapport «Thresholds for endocrine disruptors and related uncertainties» (Les seuils applicables aux perturbate</w:t>
      </w:r>
      <w:r>
        <w:rPr>
          <w:rFonts w:ascii="Times New Roman" w:hAnsi="Times New Roman"/>
        </w:rPr>
        <w:t>urs endocriniens et les incertitudes qui s’y rapportent), (2013) (</w:t>
      </w:r>
      <w:hyperlink r:id="rId1">
        <w:r>
          <w:rPr>
            <w:rFonts w:ascii="Times New Roman" w:hAnsi="Times New Roman"/>
          </w:rPr>
          <w:t>https://ec.europa.eu/jrc/en</w:t>
        </w:r>
        <w:r>
          <w:rPr>
            <w:rFonts w:ascii="Times New Roman" w:hAnsi="Times New Roman"/>
          </w:rPr>
          <w:t>/publication/eur-scientific-and-technical-research-reports/thresholds-endocrine-disrupters-and-related-uncertainties</w:t>
        </w:r>
      </w:hyperlink>
      <w:r>
        <w:rPr>
          <w:rFonts w:ascii="Times New Roman" w:hAnsi="Times New Roman"/>
        </w:rPr>
        <w:t>; https://ec.europa.eu/jrc/en/publication/eur-scientific-and-technical-research-reports/key-scientific-issues-relevant-identification-and-ch</w:t>
      </w:r>
      <w:r>
        <w:rPr>
          <w:rFonts w:ascii="Times New Roman" w:hAnsi="Times New Roman"/>
        </w:rPr>
        <w:t>aracterisation-endocrine-disrupting).</w:t>
      </w:r>
    </w:p>
  </w:footnote>
  <w:footnote w:id="5">
    <w:p w:rsidR="00FF3A18" w:rsidRDefault="00F00EEC">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Pour de plus amples informations sur les nombreuses activités de l’UE, voir le portail web spécifique de la Commission à l’adresse suivante: </w:t>
      </w:r>
      <w:hyperlink r:id="rId2">
        <w:r>
          <w:rPr>
            <w:rFonts w:ascii="Times New Roman" w:hAnsi="Times New Roman"/>
          </w:rPr>
          <w:t>http://ec.europa.eu/health/endocrine_disruptors/policy/index_en.htm</w:t>
        </w:r>
      </w:hyperlink>
      <w:r>
        <w:rPr>
          <w:rFonts w:ascii="Times New Roman" w:hAnsi="Times New Roman"/>
        </w:rPr>
        <w:t xml:space="preserve">. </w:t>
      </w:r>
    </w:p>
  </w:footnote>
  <w:footnote w:id="6">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C(2016) 3751 projet et C(2016) 3752 projet du 16 juin 2016.</w:t>
      </w:r>
    </w:p>
  </w:footnote>
  <w:footnote w:id="7">
    <w:p w:rsidR="00FF3A18" w:rsidRDefault="00F00EEC">
      <w:pPr>
        <w:pStyle w:val="FootnoteText"/>
        <w:spacing w:after="0" w:line="240" w:lineRule="auto"/>
      </w:pPr>
      <w:r>
        <w:rPr>
          <w:rStyle w:val="FootnoteReference"/>
        </w:rPr>
        <w:footnoteRef/>
      </w:r>
      <w:r>
        <w:t xml:space="preserve"> </w:t>
      </w:r>
      <w:r>
        <w:tab/>
      </w:r>
      <w:hyperlink r:id="rId3">
        <w:r>
          <w:rPr>
            <w:rFonts w:ascii="Times New Roman" w:hAnsi="Times New Roman"/>
          </w:rPr>
          <w:t>http://echa.europa.eu/we</w:t>
        </w:r>
        <w:r>
          <w:rPr>
            <w:rFonts w:ascii="Times New Roman" w:hAnsi="Times New Roman"/>
          </w:rPr>
          <w:t>b/guest/regulations/reach/authorisation</w:t>
        </w:r>
      </w:hyperlink>
      <w:r>
        <w:t>.</w:t>
      </w:r>
    </w:p>
  </w:footnote>
  <w:footnote w:id="8">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https://echa.europa.eu/documents/10162/13632/information_requirements_r8_en.pdf/e153243a-03f0-44c5-8808-88af66223258.</w:t>
      </w:r>
    </w:p>
  </w:footnote>
  <w:footnote w:id="9">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https://echa.europa.eu/documents/10162/13632/information_requirements_r10_en.pdf/bb902be7-a</w:t>
      </w:r>
      <w:r>
        <w:rPr>
          <w:rFonts w:ascii="Times New Roman" w:hAnsi="Times New Roman"/>
        </w:rPr>
        <w:t>503-4ab7-9036-d866b8ddce69.</w:t>
      </w:r>
    </w:p>
  </w:footnote>
  <w:footnote w:id="10">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Voir note de bas de page 13.</w:t>
      </w:r>
    </w:p>
  </w:footnote>
  <w:footnote w:id="11">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EFSA (2013), p. 16 (note: le document original est rédigé en anglais).</w:t>
      </w:r>
    </w:p>
  </w:footnote>
  <w:footnote w:id="12">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 xml:space="preserve">«Thresholds for endocrine disruptors and related uncertainties», (2013), p. 11 (note: le document original est rédigé </w:t>
      </w:r>
      <w:r>
        <w:rPr>
          <w:rFonts w:ascii="Times New Roman" w:hAnsi="Times New Roman"/>
        </w:rPr>
        <w:t>en anglais).</w:t>
      </w:r>
    </w:p>
  </w:footnote>
  <w:footnote w:id="13">
    <w:p w:rsidR="00FF3A18" w:rsidRDefault="00F00EEC">
      <w:pPr>
        <w:pStyle w:val="FootnoteText"/>
        <w:spacing w:after="0" w:line="240" w:lineRule="auto"/>
        <w:rPr>
          <w:lang w:val="en-US"/>
        </w:rPr>
      </w:pPr>
      <w:r>
        <w:rPr>
          <w:rStyle w:val="FootnoteReference"/>
        </w:rPr>
        <w:footnoteRef/>
      </w:r>
      <w:r>
        <w:rPr>
          <w:lang w:val="en-US"/>
        </w:rPr>
        <w:t xml:space="preserve"> </w:t>
      </w:r>
      <w:r>
        <w:rPr>
          <w:lang w:val="en-US"/>
        </w:rPr>
        <w:tab/>
      </w:r>
      <w:r>
        <w:rPr>
          <w:rFonts w:ascii="Times New Roman" w:hAnsi="Times New Roman"/>
          <w:lang w:val="en-US"/>
        </w:rPr>
        <w:t>«Thresholds for endocrine disruptors and related uncertainties», (2013), p. 10.</w:t>
      </w:r>
    </w:p>
  </w:footnote>
  <w:footnote w:id="14">
    <w:p w:rsidR="00FF3A18" w:rsidRDefault="00F00EEC">
      <w:pPr>
        <w:pStyle w:val="FootnoteText"/>
        <w:rPr>
          <w:rFonts w:ascii="Times New Roman" w:hAnsi="Times New Roman"/>
          <w:lang w:val="sv-SE"/>
        </w:rPr>
      </w:pPr>
      <w:r>
        <w:rPr>
          <w:rStyle w:val="FootnoteReference"/>
        </w:rPr>
        <w:footnoteRef/>
      </w:r>
      <w:r>
        <w:rPr>
          <w:lang w:val="sv-SE"/>
        </w:rPr>
        <w:t xml:space="preserve"> </w:t>
      </w:r>
      <w:r>
        <w:rPr>
          <w:lang w:val="sv-SE"/>
        </w:rPr>
        <w:tab/>
      </w:r>
      <w:r>
        <w:rPr>
          <w:rFonts w:ascii="Times New Roman" w:hAnsi="Times New Roman"/>
          <w:lang w:val="sv-SE"/>
        </w:rPr>
        <w:t>EFSA (2013), p. 2.</w:t>
      </w:r>
    </w:p>
  </w:footnote>
  <w:footnote w:id="15">
    <w:p w:rsidR="00FF3A18" w:rsidRDefault="00F00EEC">
      <w:pPr>
        <w:pStyle w:val="FootnoteText"/>
        <w:spacing w:after="0" w:line="240" w:lineRule="auto"/>
        <w:rPr>
          <w:lang w:val="sv-SE"/>
        </w:rPr>
      </w:pPr>
      <w:r>
        <w:rPr>
          <w:rStyle w:val="FootnoteReference"/>
        </w:rPr>
        <w:footnoteRef/>
      </w:r>
      <w:r>
        <w:rPr>
          <w:lang w:val="sv-SE"/>
        </w:rPr>
        <w:t xml:space="preserve"> </w:t>
      </w:r>
      <w:r>
        <w:rPr>
          <w:lang w:val="sv-SE"/>
        </w:rPr>
        <w:tab/>
      </w:r>
      <w:r>
        <w:rPr>
          <w:rFonts w:ascii="Times New Roman" w:hAnsi="Times New Roman"/>
          <w:lang w:val="sv-SE"/>
        </w:rPr>
        <w:t>EFSA (2013), p. 30.</w:t>
      </w:r>
    </w:p>
  </w:footnote>
  <w:footnote w:id="16">
    <w:p w:rsidR="00FF3A18" w:rsidRDefault="00F00EEC">
      <w:pPr>
        <w:pStyle w:val="FootnoteText"/>
        <w:spacing w:after="0" w:line="240" w:lineRule="auto"/>
        <w:rPr>
          <w:lang w:val="sv-SE"/>
        </w:rPr>
      </w:pPr>
      <w:r>
        <w:rPr>
          <w:rStyle w:val="FootnoteReference"/>
        </w:rPr>
        <w:footnoteRef/>
      </w:r>
      <w:r>
        <w:rPr>
          <w:lang w:val="sv-SE"/>
        </w:rPr>
        <w:t xml:space="preserve"> </w:t>
      </w:r>
      <w:r>
        <w:rPr>
          <w:lang w:val="sv-SE"/>
        </w:rPr>
        <w:tab/>
      </w:r>
      <w:r>
        <w:rPr>
          <w:rFonts w:ascii="Times New Roman" w:hAnsi="Times New Roman"/>
          <w:lang w:val="sv-SE"/>
        </w:rPr>
        <w:t>EFSA (2013), p. 37.</w:t>
      </w:r>
    </w:p>
  </w:footnote>
  <w:footnote w:id="17">
    <w:p w:rsidR="00FF3A18" w:rsidRDefault="00F00EEC">
      <w:pPr>
        <w:pStyle w:val="FootnoteText"/>
        <w:spacing w:after="0" w:line="240" w:lineRule="auto"/>
        <w:rPr>
          <w:lang w:val="en-US"/>
        </w:rPr>
      </w:pPr>
      <w:r>
        <w:rPr>
          <w:rStyle w:val="FootnoteReference"/>
        </w:rPr>
        <w:footnoteRef/>
      </w:r>
      <w:r>
        <w:rPr>
          <w:lang w:val="en-US"/>
        </w:rPr>
        <w:t xml:space="preserve"> </w:t>
      </w:r>
      <w:r>
        <w:rPr>
          <w:lang w:val="en-US"/>
        </w:rPr>
        <w:tab/>
      </w:r>
      <w:r>
        <w:rPr>
          <w:rFonts w:ascii="Times New Roman" w:hAnsi="Times New Roman"/>
          <w:lang w:val="en-US"/>
        </w:rPr>
        <w:t>EFSA (2013), p. 46.</w:t>
      </w:r>
    </w:p>
  </w:footnote>
  <w:footnote w:id="18">
    <w:p w:rsidR="00FF3A18" w:rsidRDefault="00F00EEC">
      <w:pPr>
        <w:pStyle w:val="FootnoteText"/>
        <w:spacing w:after="0" w:line="240" w:lineRule="auto"/>
        <w:rPr>
          <w:rFonts w:ascii="Times New Roman" w:hAnsi="Times New Roman"/>
          <w:lang w:val="en-US"/>
        </w:rPr>
      </w:pPr>
      <w:r>
        <w:rPr>
          <w:rStyle w:val="FootnoteReference"/>
        </w:rPr>
        <w:footnoteRef/>
      </w:r>
      <w:r>
        <w:rPr>
          <w:lang w:val="en-US"/>
        </w:rPr>
        <w:t xml:space="preserve"> </w:t>
      </w:r>
      <w:r>
        <w:rPr>
          <w:lang w:val="en-US"/>
        </w:rPr>
        <w:tab/>
      </w:r>
      <w:r>
        <w:rPr>
          <w:rFonts w:ascii="Times New Roman" w:hAnsi="Times New Roman"/>
          <w:lang w:val="en-US"/>
        </w:rPr>
        <w:t>Thresholds for endocrine disruptors and related uncertainties, (20</w:t>
      </w:r>
      <w:r>
        <w:rPr>
          <w:rFonts w:ascii="Times New Roman" w:hAnsi="Times New Roman"/>
          <w:lang w:val="en-US"/>
        </w:rPr>
        <w:t>13), p. 9.</w:t>
      </w:r>
    </w:p>
  </w:footnote>
  <w:footnote w:id="19">
    <w:p w:rsidR="00FF3A18" w:rsidRDefault="00F00EEC">
      <w:pPr>
        <w:pStyle w:val="FootnoteText"/>
        <w:rPr>
          <w:lang w:val="en-US"/>
        </w:rPr>
      </w:pPr>
      <w:r>
        <w:rPr>
          <w:rStyle w:val="FootnoteReference"/>
        </w:rPr>
        <w:footnoteRef/>
      </w:r>
      <w:r>
        <w:rPr>
          <w:lang w:val="en-US"/>
        </w:rPr>
        <w:t xml:space="preserve"> </w:t>
      </w:r>
      <w:r>
        <w:rPr>
          <w:lang w:val="en-US"/>
        </w:rPr>
        <w:tab/>
      </w:r>
      <w:r>
        <w:rPr>
          <w:rFonts w:ascii="Times New Roman" w:hAnsi="Times New Roman"/>
          <w:lang w:val="en-US"/>
        </w:rPr>
        <w:t>EFSA (2013), p. 46.</w:t>
      </w:r>
    </w:p>
  </w:footnote>
  <w:footnote w:id="20">
    <w:p w:rsidR="00FF3A18" w:rsidRDefault="00F00EEC">
      <w:pPr>
        <w:pStyle w:val="FootnoteText"/>
        <w:spacing w:after="0" w:line="240" w:lineRule="auto"/>
        <w:rPr>
          <w:rFonts w:ascii="Times New Roman" w:hAnsi="Times New Roman"/>
          <w:lang w:val="en-US"/>
        </w:rPr>
      </w:pPr>
      <w:r>
        <w:rPr>
          <w:rStyle w:val="FootnoteReference"/>
        </w:rPr>
        <w:footnoteRef/>
      </w:r>
      <w:r>
        <w:rPr>
          <w:lang w:val="en-US"/>
        </w:rPr>
        <w:t xml:space="preserve"> </w:t>
      </w:r>
      <w:r>
        <w:rPr>
          <w:lang w:val="en-US"/>
        </w:rPr>
        <w:tab/>
      </w:r>
      <w:r>
        <w:rPr>
          <w:rFonts w:ascii="Times New Roman" w:hAnsi="Times New Roman"/>
          <w:lang w:val="en-US"/>
        </w:rPr>
        <w:t>Thresholds for endocrine disruptors and related uncertainties, (2013), p. 11.</w:t>
      </w:r>
    </w:p>
  </w:footnote>
  <w:footnote w:id="21">
    <w:p w:rsidR="00FF3A18" w:rsidRDefault="00F00EEC">
      <w:pPr>
        <w:pStyle w:val="FootnoteText"/>
        <w:spacing w:after="0" w:line="240" w:lineRule="auto"/>
      </w:pPr>
      <w:r>
        <w:rPr>
          <w:rStyle w:val="FootnoteReference"/>
        </w:rPr>
        <w:footnoteRef/>
      </w:r>
      <w:r>
        <w:t xml:space="preserve"> </w:t>
      </w:r>
      <w:r>
        <w:tab/>
      </w:r>
      <w:r>
        <w:rPr>
          <w:rFonts w:ascii="Times New Roman" w:hAnsi="Times New Roman"/>
        </w:rPr>
        <w:t>EFSA (2013), p.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18" w:rsidRDefault="00FF3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1CB9"/>
    <w:multiLevelType w:val="hybridMultilevel"/>
    <w:tmpl w:val="1E98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03739F"/>
    <w:multiLevelType w:val="hybridMultilevel"/>
    <w:tmpl w:val="EE165D04"/>
    <w:lvl w:ilvl="0" w:tplc="15222474">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540451DF"/>
    <w:multiLevelType w:val="hybridMultilevel"/>
    <w:tmpl w:val="252EB85E"/>
    <w:lvl w:ilvl="0" w:tplc="152224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207525"/>
    <w:multiLevelType w:val="hybridMultilevel"/>
    <w:tmpl w:val="5AE8C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oNotTrackMoves/>
  <w:doNotTrackFormatting/>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FD46B88882E94B7E832941054CFE0D9F"/>
    <w:docVar w:name="LW_CROSSREFERENCE" w:val="&lt;UNUSED&gt;"/>
    <w:docVar w:name="LW_DocType" w:val="NORMAL"/>
    <w:docVar w:name="LW_EMISSION" w:val="20.12.2016"/>
    <w:docVar w:name="LW_EMISSION_ISODATE" w:val="2016-12-20"/>
    <w:docVar w:name="LW_EMISSION_LOCATION" w:val="BRX"/>
    <w:docVar w:name="LW_EMISSION_PREFIX" w:val="Bruxelles, le "/>
    <w:docVar w:name="LW_EMISSION_SUFFIX" w:val=" "/>
    <w:docVar w:name="LW_ID_DOCTYPE_NONLW" w:val="CP-007"/>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14"/>
    <w:docVar w:name="LW_REF.INTERNE" w:val="&lt;UNUSED&gt;"/>
    <w:docVar w:name="LW_SOUS.TITRE.OBJ" w:val="(Text with EEA relevance)"/>
    <w:docVar w:name="LW_SOUS.TITRE.OBJ.CP" w:val="&lt;UNUSED&gt;"/>
    <w:docVar w:name="LW_SUPERTITRE" w:val="&lt;UNUSED&gt;"/>
    <w:docVar w:name="LW_TITRE.OBJ.CP" w:val="sur la révision prévue à l\u8217?article 138, paragraphe 7, du règlement REACH pour évaluer s\u8217?il convient d\u8217?étendre le champ d\u8217?application de l\u8217?article 60, paragraphe 3, aux substances, visées à l\u8217?article 57, point f), qui possèdent des propriétés perturbant le système endocrinien et suscitent un niveau de préoccupation équivalant à celui suscité par d\u8217?autres substances extrêmement préoccupantes"/>
    <w:docVar w:name="LW_TYPE.DOC.CP" w:val="RAPPORT DE LA COMMISSION AU PARLEMENT EUROPÉEN, AU CONSEIL ET AU COMITÉ ÉCONOMIQUE ET SOCIAL EUROPÉEN"/>
  </w:docVars>
  <w:rsids>
    <w:rsidRoot w:val="00FF3A18"/>
    <w:rsid w:val="00F00EEC"/>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qFormat/>
    <w:pPr>
      <w:ind w:left="170" w:hanging="170"/>
    </w:pPr>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semiHidden/>
    <w:rPr>
      <w:rFonts w:cs="Times New Roman"/>
      <w:shd w:val="clear" w:color="auto" w:fill="auto"/>
      <w:vertAlign w:val="superscript"/>
    </w:rPr>
  </w:style>
  <w:style w:type="character" w:styleId="Hyperlink">
    <w:name w:val="Hyperlink"/>
    <w:rPr>
      <w:rFonts w:cs="Times New Roman"/>
      <w:color w:val="0000FF"/>
      <w:u w:val="single"/>
      <w:shd w:val="clear" w:color="auto" w:fil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Revision">
    <w:name w:val="Revision"/>
    <w:hidden/>
    <w:uiPriority w:val="99"/>
    <w:semiHidden/>
    <w:rPr>
      <w:sz w:val="22"/>
      <w:szCs w:val="22"/>
    </w:rPr>
  </w:style>
  <w:style w:type="character" w:customStyle="1" w:styleId="st">
    <w:name w:val="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ha.europa.eu/web/guest/regulations/reach/authorisation" TargetMode="External"/><Relationship Id="rId2" Type="http://schemas.openxmlformats.org/officeDocument/2006/relationships/hyperlink" Target="http://ec.europa.eu/health/endocrine_disruptors/policy/index_en.htm" TargetMode="External"/><Relationship Id="rId1" Type="http://schemas.openxmlformats.org/officeDocument/2006/relationships/hyperlink" Target="https://ec.europa.eu/jrc/en/publication/eur-scientific-and-technical-research-reports/thresholds-endocrine-disrupters-and-related-uncertain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E016-51C9-435B-B922-B2CFDC4A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26414</CharactersWithSpaces>
  <SharedDoc>false</SharedDoc>
  <HLinks>
    <vt:vector size="18" baseType="variant">
      <vt:variant>
        <vt:i4>2949157</vt:i4>
      </vt:variant>
      <vt:variant>
        <vt:i4>6</vt:i4>
      </vt:variant>
      <vt:variant>
        <vt:i4>0</vt:i4>
      </vt:variant>
      <vt:variant>
        <vt:i4>5</vt:i4>
      </vt:variant>
      <vt:variant>
        <vt:lpwstr>http://echa.europa.eu/web/guest/regulations/reach/authorisation</vt:lpwstr>
      </vt:variant>
      <vt:variant>
        <vt:lpwstr/>
      </vt:variant>
      <vt:variant>
        <vt:i4>2097203</vt:i4>
      </vt:variant>
      <vt:variant>
        <vt:i4>3</vt:i4>
      </vt:variant>
      <vt:variant>
        <vt:i4>0</vt:i4>
      </vt:variant>
      <vt:variant>
        <vt:i4>5</vt:i4>
      </vt:variant>
      <vt:variant>
        <vt:lpwstr>http://ec.europa.eu/health/endocrine_disruptors/policy/index_en.htm</vt:lpwstr>
      </vt:variant>
      <vt:variant>
        <vt:lpwstr/>
      </vt:variant>
      <vt:variant>
        <vt:i4>3473471</vt:i4>
      </vt:variant>
      <vt:variant>
        <vt:i4>0</vt:i4>
      </vt:variant>
      <vt:variant>
        <vt:i4>0</vt:i4>
      </vt:variant>
      <vt:variant>
        <vt:i4>5</vt:i4>
      </vt:variant>
      <vt:variant>
        <vt:lpwstr>https://ec.europa.eu/jrc/en/publication/eur-scientific-and-technical-research-reports/thresholds-endocrine-disrupters-and-related-uncertainties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34</cp:revision>
  <cp:lastPrinted>2016-09-26T12:58:00Z</cp:lastPrinted>
  <dcterms:created xsi:type="dcterms:W3CDTF">2016-11-25T07:26:00Z</dcterms:created>
  <dcterms:modified xsi:type="dcterms:W3CDTF">2016-12-20T09:52:00Z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