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865AAC0255F4820A63F61C8A562FB5A" style="width:450.45pt;height:334.65pt">
            <v:imagedata r:id="rId9" o:title=""/>
          </v:shape>
        </w:pict>
      </w:r>
    </w:p>
    <w:bookmarkEnd w:id="0"/>
    <w:p>
      <w:pPr>
        <w:pStyle w:val="Pagedecouverture"/>
        <w:rPr>
          <w:noProof/>
          <w:lang w:val="fr-BE"/>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jc w:val="center"/>
        <w:rPr>
          <w:b/>
          <w:bCs/>
          <w:noProof/>
          <w:lang w:val="bg-BG" w:eastAsia="bg-BG"/>
        </w:rPr>
      </w:pPr>
      <w:bookmarkStart w:id="1" w:name="TOC234897422"/>
      <w:bookmarkStart w:id="2" w:name="CopyToNewDocument_"/>
      <w:bookmarkStart w:id="3" w:name="_GoBack"/>
      <w:bookmarkEnd w:id="1"/>
      <w:bookmarkEnd w:id="2"/>
      <w:bookmarkEnd w:id="3"/>
      <w:r>
        <w:rPr>
          <w:b/>
          <w:smallCaps/>
          <w:noProof/>
          <w:lang w:val="bg-BG" w:eastAsia="bg-BG"/>
        </w:rPr>
        <w:lastRenderedPageBreak/>
        <w:t>Доклад относно последващите действия във връзка с исканията в резолюциите на Европейския парламент и в препоръките на Съвета за освобождаване от отговорност във връзка с изпълнението на бюджета за финансовата 2014 година</w:t>
      </w:r>
      <w:r>
        <w:rPr>
          <w:b/>
          <w:smallCaps/>
          <w:noProof/>
          <w:vertAlign w:val="superscript"/>
          <w:lang w:val="bg-BG" w:eastAsia="bg-BG"/>
        </w:rPr>
        <w:footnoteReference w:id="2"/>
      </w:r>
      <w:r>
        <w:rPr>
          <w:b/>
          <w:noProof/>
          <w:lang w:val="bg-BG" w:eastAsia="bg-BG"/>
        </w:rPr>
        <w:t xml:space="preserve"> </w:t>
      </w:r>
    </w:p>
    <w:p>
      <w:pPr>
        <w:pStyle w:val="ManualHeading1"/>
        <w:keepNext w:val="0"/>
        <w:rPr>
          <w:b w:val="0"/>
          <w:smallCaps w:val="0"/>
          <w:noProof/>
          <w:lang w:val="bg-BG" w:eastAsia="bg-BG"/>
        </w:rPr>
      </w:pPr>
      <w:r>
        <w:rPr>
          <w:noProof/>
          <w:lang w:val="bg-BG" w:eastAsia="bg-BG"/>
        </w:rPr>
        <w:t>Въведение</w:t>
      </w:r>
    </w:p>
    <w:p>
      <w:pPr>
        <w:rPr>
          <w:rFonts w:eastAsia="Arial Unicode MS" w:cs="Arial Unicode MS"/>
          <w:noProof/>
          <w:lang w:val="bg-BG" w:eastAsia="bg-BG"/>
        </w:rPr>
      </w:pPr>
      <w:r>
        <w:rPr>
          <w:noProof/>
          <w:lang w:val="bg-BG" w:eastAsia="bg-BG"/>
        </w:rPr>
        <w:t xml:space="preserve">Освобождаването от отговорност във връзка с изпълнението на бюджета за финансовата 2014 година беше белязано от обединяването на най-важните участващи европейски институции — Европейския парламент (ЕП), Съвета, Европейската сметна палата, Комисията — около това колко е важно да се съсредоточи вниманието върху резултатността на бюджета на ЕС. В рамките на процедурата по освобождаване от отговорност беше постигната нова равновесна точка между въпросите, свързани с осъществяваните чрез бюджета на ЕС резултати, и въпросите относно формалното спазване на правилата. </w:t>
      </w:r>
    </w:p>
    <w:p>
      <w:pPr>
        <w:rPr>
          <w:noProof/>
          <w:lang w:val="bg-BG" w:eastAsia="bg-BG"/>
        </w:rPr>
      </w:pPr>
      <w:r>
        <w:rPr>
          <w:noProof/>
          <w:lang w:val="bg-BG" w:eastAsia="bg-BG"/>
        </w:rPr>
        <w:t xml:space="preserve">Комисията приветства този нов подход, съобразен с ангажимента, който пое Комисията „Юнкер“ в началото на своя мандат за укрепване на ориентираната към резултати култура по отношение на бюджета на ЕС. През 2015 г., като част от продължаващите действия по този ангажимент, беше поставено началото на инициативата „Бюджет, ориентиран към резултатите“, която обхваща широк спектър от дейности, в това число опростяване на правилата, подобряване на информацията за ефективността на политиките и гарантиране на разходоефективен контрол. </w:t>
      </w:r>
    </w:p>
    <w:p>
      <w:pPr>
        <w:rPr>
          <w:noProof/>
          <w:lang w:val="bg-BG" w:eastAsia="bg-BG"/>
        </w:rPr>
      </w:pPr>
      <w:r>
        <w:rPr>
          <w:noProof/>
          <w:lang w:val="bg-BG" w:eastAsia="bg-BG"/>
        </w:rPr>
        <w:t>През същата година по инициативата „Бюджет, ориентиран към резултатите“ беше отбелязан напредък, наред с другото, във връзка с разработването на концептуална рамка, укрепването на финансовите отчети по програмите към годишния бюджет и осъвременяването на цикъла на стратегическо планиране и програмиране на Комисията. Работата продължава и през 2016 г., например със заседания на експертната група за обвързано с резултатите бюджетиране, с опростяването на докладването по въпросите на резултатността и съответствието в новия годишен доклад относно управлението и изпълнението на бюджета, както и с преглед на Финансовия регламент.</w:t>
      </w:r>
    </w:p>
    <w:p>
      <w:pPr>
        <w:rPr>
          <w:rFonts w:eastAsia="Arial Unicode MS" w:cs="Arial Unicode MS"/>
          <w:noProof/>
          <w:lang w:val="bg-BG" w:eastAsia="bg-BG"/>
        </w:rPr>
      </w:pPr>
      <w:r>
        <w:rPr>
          <w:noProof/>
          <w:lang w:val="bg-BG" w:eastAsia="bg-BG"/>
        </w:rPr>
        <w:t xml:space="preserve">Европейската сметна палата също подчерта необходимостта от преразглеждане на баланса между въпросите на резултатността и съответствието, като при публикуването на своя годишен доклад за финансовата 2014 година призова за „изцяло нов подход към инвестициите и разходите“. Тя прикани лицата, отговарящи за вземането на решения в ЕС, законодателите и финансовите ръководители на Съюза да гарантират, че средствата на ЕС се изразходват в съответствие със стратегическите приоритети и че се постигат предвидените резултати. </w:t>
      </w:r>
    </w:p>
    <w:p>
      <w:pPr>
        <w:rPr>
          <w:rFonts w:eastAsia="Arial Unicode MS" w:cs="Arial Unicode MS"/>
          <w:noProof/>
          <w:lang w:val="bg-BG" w:eastAsia="bg-BG"/>
        </w:rPr>
      </w:pPr>
      <w:r>
        <w:rPr>
          <w:noProof/>
          <w:lang w:val="bg-BG" w:eastAsia="bg-BG"/>
        </w:rPr>
        <w:t xml:space="preserve">Въпросите бяха обстойно разисквани по време на процедурата по освобождаване от отговорност във връзка с изпълнението на бюджета както в ЕП, така и в Съвета. </w:t>
      </w:r>
      <w:r>
        <w:rPr>
          <w:noProof/>
          <w:lang w:val="bg-BG" w:eastAsia="bg-BG"/>
        </w:rPr>
        <w:tab/>
      </w:r>
    </w:p>
    <w:p>
      <w:pPr>
        <w:rPr>
          <w:rFonts w:eastAsia="Arial Unicode MS" w:cs="Arial Unicode MS"/>
          <w:i/>
          <w:iCs/>
          <w:noProof/>
          <w:lang w:val="bg-BG" w:eastAsia="bg-BG"/>
        </w:rPr>
      </w:pPr>
      <w:r>
        <w:rPr>
          <w:noProof/>
          <w:lang w:val="bg-BG" w:eastAsia="bg-BG"/>
        </w:rPr>
        <w:t>По-специално докладчикът на ЕП по освобождаването на Комисията от отговорност г­жа Длабайова подчерта необходимостта в рамките на процедурата да се гарантират „</w:t>
      </w:r>
      <w:r>
        <w:rPr>
          <w:i/>
          <w:noProof/>
          <w:lang w:val="bg-BG" w:eastAsia="bg-BG"/>
        </w:rPr>
        <w:t>последователност и иновации</w:t>
      </w:r>
      <w:r>
        <w:rPr>
          <w:noProof/>
          <w:lang w:val="bg-BG" w:eastAsia="bg-BG"/>
        </w:rPr>
        <w:t xml:space="preserve">“. Освен че насочи още повече вниманието към въпросите на резултатността, докладчикът също коментира действията на Комисията, последвали в отговор на исканията, отправени от ЕП при предишните процедури по освобождаване от отговорност. Заместник-председателят Георгиева подкрепи този </w:t>
      </w:r>
      <w:r>
        <w:rPr>
          <w:noProof/>
          <w:lang w:val="bg-BG" w:eastAsia="bg-BG"/>
        </w:rPr>
        <w:lastRenderedPageBreak/>
        <w:t xml:space="preserve">подход и заяви: </w:t>
      </w:r>
      <w:r>
        <w:rPr>
          <w:i/>
          <w:noProof/>
          <w:lang w:val="bg-BG" w:eastAsia="bg-BG"/>
        </w:rPr>
        <w:t>„За да осигурим по-добро бъдеще, следва да се учим от миналото, а освобождаването от отговорност е прекрасно в това отношение“</w:t>
      </w:r>
      <w:r>
        <w:rPr>
          <w:i/>
          <w:noProof/>
          <w:vertAlign w:val="superscript"/>
          <w:lang w:val="bg-BG" w:eastAsia="bg-BG"/>
        </w:rPr>
        <w:footnoteReference w:id="3"/>
      </w:r>
      <w:r>
        <w:rPr>
          <w:i/>
          <w:noProof/>
          <w:lang w:val="bg-BG" w:eastAsia="bg-BG"/>
        </w:rPr>
        <w:t>.</w:t>
      </w:r>
    </w:p>
    <w:p>
      <w:pPr>
        <w:rPr>
          <w:noProof/>
          <w:lang w:val="bg-BG" w:eastAsia="bg-BG"/>
        </w:rPr>
      </w:pPr>
      <w:r>
        <w:rPr>
          <w:noProof/>
          <w:lang w:val="bg-BG" w:eastAsia="bg-BG"/>
        </w:rPr>
        <w:t>В писмата на заместник-председателя Георгиева до ЕП в рамките на процедурата по освобождаване от отговорност</w:t>
      </w:r>
      <w:r>
        <w:rPr>
          <w:noProof/>
          <w:vertAlign w:val="superscript"/>
          <w:lang w:val="bg-BG" w:eastAsia="bg-BG"/>
        </w:rPr>
        <w:footnoteReference w:id="4"/>
      </w:r>
      <w:r>
        <w:rPr>
          <w:noProof/>
          <w:lang w:val="bg-BG" w:eastAsia="bg-BG"/>
        </w:rPr>
        <w:t xml:space="preserve"> бяха представени доказателства за официалните ангажименти на Комисията да изпълни изцяло и навременно поредица от действия и мерки по отношение на установените проблеми.</w:t>
      </w:r>
    </w:p>
    <w:p>
      <w:pPr>
        <w:rPr>
          <w:noProof/>
          <w:lang w:val="bg-BG" w:eastAsia="bg-BG"/>
        </w:rPr>
      </w:pPr>
      <w:r>
        <w:rPr>
          <w:noProof/>
          <w:lang w:val="bg-BG" w:eastAsia="bg-BG"/>
        </w:rPr>
        <w:t>Тези ангажименти са отразени в настоящия доклад, като, където е необходимо, е актуализирана ситуацията чрез преглед на предприетите до този момент последващи действия. Докладът е придружен от два работни документа на службите на Комисията, съдържащи отговорите на 350 конкретни искания на ЕП и 57 конкретни искания на Съвета, свързани с освобождаването от отговорност във връзка с изпълнението на бюджета.</w:t>
      </w:r>
    </w:p>
    <w:p>
      <w:pPr>
        <w:rPr>
          <w:noProof/>
          <w:lang w:val="bg-BG" w:eastAsia="bg-BG"/>
        </w:rPr>
      </w:pPr>
      <w:r>
        <w:rPr>
          <w:noProof/>
          <w:lang w:val="bg-BG" w:eastAsia="bg-BG"/>
        </w:rPr>
        <w:t>Комисията е съгласна да предприеме нови действия по 100 искания (88 от ЕП и 12 от Съвета). Тя счита, че за 272 искания (227 от ЕП и 45 от Съвета) необходимите действия вече са предприети или понастоящем са в ход, въпреки че в някои случаи резултатите от действията трябва да бъдат оценени. Накрая, поради причини, свързани с действащата правна и бюджетна рамка или с институционалната роля и правомощия на Комисията, тя не може да приеме 35</w:t>
      </w:r>
      <w:r>
        <w:rPr>
          <w:rStyle w:val="FootnoteReference"/>
          <w:rFonts w:eastAsia="Arial Unicode MS" w:cs="Arial Unicode MS"/>
          <w:noProof/>
        </w:rPr>
        <w:footnoteReference w:id="5"/>
      </w:r>
      <w:r>
        <w:rPr>
          <w:noProof/>
          <w:lang w:val="bg-BG" w:eastAsia="bg-BG"/>
        </w:rPr>
        <w:t xml:space="preserve"> искания. Подробната обосновка е предоставена в придружаващия работен документа на службите на Комисията</w:t>
      </w:r>
      <w:r>
        <w:rPr>
          <w:rStyle w:val="FootnoteReference"/>
          <w:rFonts w:eastAsia="Arial Unicode MS" w:cs="Arial Unicode MS"/>
          <w:noProof/>
        </w:rPr>
        <w:footnoteReference w:id="6"/>
      </w:r>
      <w:r>
        <w:rPr>
          <w:noProof/>
          <w:lang w:val="bg-BG" w:eastAsia="bg-BG"/>
        </w:rPr>
        <w:t>.</w:t>
      </w:r>
    </w:p>
    <w:p>
      <w:pPr>
        <w:pStyle w:val="ManualHeading1"/>
        <w:keepNext w:val="0"/>
        <w:rPr>
          <w:b w:val="0"/>
          <w:smallCaps w:val="0"/>
          <w:noProof/>
          <w:lang w:val="bg-BG" w:eastAsia="bg-BG"/>
        </w:rPr>
      </w:pPr>
      <w:r>
        <w:rPr>
          <w:noProof/>
          <w:lang w:val="bg-BG" w:eastAsia="bg-BG"/>
        </w:rPr>
        <w:t>1.</w:t>
      </w:r>
      <w:r>
        <w:rPr>
          <w:noProof/>
          <w:lang w:val="bg-BG" w:eastAsia="bg-BG"/>
        </w:rPr>
        <w:tab/>
        <w:t xml:space="preserve">Ангажименти на Комисията във връзка с приоритетите на освобождаването от отговорност </w:t>
      </w:r>
    </w:p>
    <w:p>
      <w:pPr>
        <w:rPr>
          <w:rFonts w:eastAsia="Arial Unicode MS" w:cs="Arial Unicode MS"/>
          <w:noProof/>
          <w:lang w:val="bg-BG" w:eastAsia="bg-BG"/>
        </w:rPr>
      </w:pPr>
      <w:r>
        <w:rPr>
          <w:noProof/>
          <w:lang w:val="bg-BG" w:eastAsia="bg-BG"/>
        </w:rPr>
        <w:t>По време на процедурата по освобождаване от отговорност докладчикът по процедурата и други членове на комисията по бюджетен контрол повдигнаха редица въпроси, отразени в исканията, отправени в резолюцията на ЕП относно освобождаването от отговорност.</w:t>
      </w:r>
    </w:p>
    <w:p>
      <w:pPr>
        <w:rPr>
          <w:rFonts w:eastAsia="Arial Unicode MS" w:cs="Arial Unicode MS"/>
          <w:noProof/>
          <w:lang w:val="bg-BG" w:eastAsia="bg-BG"/>
        </w:rPr>
      </w:pPr>
      <w:r>
        <w:rPr>
          <w:noProof/>
          <w:lang w:val="bg-BG" w:eastAsia="bg-BG"/>
        </w:rPr>
        <w:t>Някои от тези въпроси бяха повдигнати и при процедурата по освобождаване от отговорност в Съвета.</w:t>
      </w:r>
    </w:p>
    <w:p>
      <w:pPr>
        <w:rPr>
          <w:rFonts w:eastAsia="Arial Unicode MS" w:cs="Arial Unicode MS"/>
          <w:noProof/>
          <w:lang w:val="bg-BG" w:eastAsia="bg-BG"/>
        </w:rPr>
      </w:pPr>
      <w:r>
        <w:rPr>
          <w:noProof/>
          <w:lang w:val="bg-BG" w:eastAsia="bg-BG"/>
        </w:rPr>
        <w:t>В писмата на заместник-председателя Георгиева бяха представени доказателства за официалния ангажимент на Комисията да изпълни изцяло и навременно поредица от действия и мерки, отнасящи се до тези въпроси, и по-специално:</w:t>
      </w:r>
    </w:p>
    <w:p>
      <w:pPr>
        <w:rPr>
          <w:rFonts w:eastAsia="Arial Unicode MS" w:cs="Arial Unicode MS"/>
          <w:noProof/>
          <w:lang w:val="bg-BG" w:eastAsia="bg-BG"/>
        </w:rPr>
      </w:pPr>
      <w:r>
        <w:rPr>
          <w:noProof/>
          <w:lang w:val="bg-BG" w:eastAsia="bg-BG"/>
        </w:rPr>
        <w:t xml:space="preserve">– Как да се съгласуват дългосрочните политически цели с многогодишната финансова рамка (МФР). Комисията се ангажира твърдо да се стреми към финансово програмиране с подходящи бюджетни средства за по-дългосрочни приоритети на политиката, като растежа и заетостта, като в същото време запазва достатъчна гъвкавост, за да може да се справи с нови предизвикателства с подкрепата на ЕП и Съвета в ролята им на бюджетни и законодателни органи. В междинния преглед се анализира функционирането на сегашната МФР и се включват предложения за подобряване на резултатите по приоритетите на ЕС, в това число неговата способност </w:t>
      </w:r>
      <w:r>
        <w:rPr>
          <w:noProof/>
          <w:lang w:val="bg-BG" w:eastAsia="bg-BG"/>
        </w:rPr>
        <w:lastRenderedPageBreak/>
        <w:t>да отговори на големите предизвикателства, пред които е изправен</w:t>
      </w:r>
      <w:r>
        <w:rPr>
          <w:noProof/>
          <w:lang w:val="bg-BG"/>
        </w:rPr>
        <w:t xml:space="preserve">. Това </w:t>
      </w:r>
      <w:r>
        <w:rPr>
          <w:noProof/>
          <w:lang w:val="bg-BG" w:eastAsia="bg-BG"/>
        </w:rPr>
        <w:t>преразглеждане на МФР за периода 2014—2020 г. дава възможност за политически дискусии по въпроса как най-добре да се осигури баланс между бюджетните средства и политическите приоритети.</w:t>
      </w:r>
    </w:p>
    <w:p>
      <w:pPr>
        <w:rPr>
          <w:rFonts w:eastAsia="Arial Unicode MS" w:cs="Arial Unicode MS"/>
          <w:noProof/>
          <w:lang w:val="bg-BG" w:eastAsia="bg-BG"/>
        </w:rPr>
      </w:pPr>
      <w:r>
        <w:rPr>
          <w:noProof/>
          <w:lang w:val="bg-BG" w:eastAsia="bg-BG"/>
        </w:rPr>
        <w:t>– Как да се гарантира по-силна връзка между целите на равнището на Съюза, споразуменията за партньорство и оперативните програми. Комисията се ангажира твърдо с прилагането на установената от ЕП и Съвета законодателна рамка, за да изпълни задълженията си за докладване във връзка с Европейските структурни и инвестиционни фондове (ЕСИ фондове) за осъществяването на стратегията на Съюза за интелигентен, устойчив и приобщаващ растеж.</w:t>
      </w:r>
    </w:p>
    <w:p>
      <w:pPr>
        <w:rPr>
          <w:rFonts w:eastAsia="Arial Unicode MS" w:cs="Arial Unicode MS"/>
          <w:noProof/>
          <w:lang w:val="bg-BG" w:eastAsia="bg-BG"/>
        </w:rPr>
      </w:pPr>
      <w:r>
        <w:rPr>
          <w:noProof/>
          <w:lang w:val="bg-BG" w:eastAsia="bg-BG"/>
        </w:rPr>
        <w:t>– Докладване на ГД „Земеделие и развитие на селските райони“ относно разпределението на директното подпомагане на земеделските производители. ГД „Земеделие и развитие на селските райони“ предвижда през следващите години постепенно да развие докладването, за да се измерят резултатите от реформата от 2013 г. на общата селскостопанска политика (ОСП). Това докладване ще постави на солидна основа бъдещите политически решения. Комисията се ангажира да започне да докладва относно разпределението на подпомагането по линия на ОСП още с годишния отчет за дейността на ГД „Земеделие и развитие на селските райони“ за 2015 г.</w:t>
      </w:r>
    </w:p>
    <w:p>
      <w:pPr>
        <w:rPr>
          <w:rFonts w:eastAsia="Arial Unicode MS" w:cs="Arial Unicode MS"/>
          <w:noProof/>
          <w:lang w:val="bg-BG" w:eastAsia="bg-BG"/>
        </w:rPr>
      </w:pPr>
      <w:r>
        <w:rPr>
          <w:noProof/>
          <w:lang w:val="bg-BG" w:eastAsia="bg-BG"/>
        </w:rPr>
        <w:t>– Подходът за преразглежданията на брутния национален доход. Комисията създаде две оперативни групи, които да работят по преразглежданията на салдата на брутния национален доход. Едната от тях е сформирана от директорите по макроикономическа статистика и се занимава по-конкретно с политиката по преразглеждане на референтните стойности. Втората е сформирана от Комитета по парична и финансова статистика и статистика на платежния баланс със задачата да проучи възможностите за хармонизирана европейска политика на преразглеждане. Целта е преди края на 2016 г. да бъдат разработени общи европейски насоки.</w:t>
      </w:r>
    </w:p>
    <w:p>
      <w:pPr>
        <w:autoSpaceDE w:val="0"/>
        <w:autoSpaceDN w:val="0"/>
        <w:adjustRightInd w:val="0"/>
        <w:rPr>
          <w:rFonts w:eastAsia="Arial Unicode MS" w:cs="Arial Unicode MS"/>
          <w:noProof/>
          <w:lang w:val="bg-BG"/>
        </w:rPr>
      </w:pPr>
      <w:r>
        <w:rPr>
          <w:noProof/>
          <w:lang w:val="bg-BG" w:eastAsia="bg-BG"/>
        </w:rPr>
        <w:t xml:space="preserve">– Дългосрочна прогноза за паричните потоци в бюджета на ЕС. </w:t>
      </w:r>
      <w:r>
        <w:rPr>
          <w:rFonts w:eastAsia="Arial Unicode MS" w:cs="Arial Unicode MS"/>
          <w:noProof/>
          <w:lang w:val="bg-BG"/>
        </w:rPr>
        <w:t>В своето съобщение относно междинния преглед на МФР Комисията представи прогноза на плащанията, в която се оценява устойчивостта на сегашните тавани и се включва прогнозата на отменените бюджетни кредити и изменението на непогасени бюджетни задължения</w:t>
      </w:r>
      <w:r>
        <w:rPr>
          <w:rFonts w:ascii="Verdana" w:hAnsi="Verdana"/>
          <w:noProof/>
          <w:sz w:val="18"/>
          <w:szCs w:val="18"/>
          <w:lang w:val="bg-BG"/>
        </w:rPr>
        <w:t xml:space="preserve"> (</w:t>
      </w:r>
      <w:r>
        <w:rPr>
          <w:noProof/>
        </w:rPr>
        <w:t>RAL</w:t>
      </w:r>
      <w:r>
        <w:rPr>
          <w:noProof/>
          <w:lang w:val="bg-BG"/>
        </w:rPr>
        <w:t>) до края на настоящата МФР</w:t>
      </w:r>
      <w:r>
        <w:rPr>
          <w:rFonts w:eastAsia="Arial Unicode MS" w:cs="Arial Unicode MS"/>
          <w:noProof/>
          <w:lang w:val="bg-BG"/>
        </w:rPr>
        <w:t>.</w:t>
      </w:r>
    </w:p>
    <w:p>
      <w:pPr>
        <w:autoSpaceDE w:val="0"/>
        <w:autoSpaceDN w:val="0"/>
        <w:adjustRightInd w:val="0"/>
        <w:spacing w:before="0" w:after="0"/>
        <w:rPr>
          <w:rFonts w:eastAsia="Arial Unicode MS" w:cs="Arial Unicode MS"/>
          <w:noProof/>
          <w:lang w:val="bg-BG" w:eastAsia="bg-BG"/>
        </w:rPr>
      </w:pPr>
      <w:r>
        <w:rPr>
          <w:noProof/>
          <w:lang w:val="bg-BG" w:eastAsia="bg-BG"/>
        </w:rPr>
        <w:t>– Преглед на кодекса за поведение на членовете на Комисията. Комисията се ангажира да служи за пример и да гарантира, че кодексът ѝ отговаря на най-високите стандарти. Що се отнася до дейностите на предишните ѝ членове след изтичането на мандата им, кодексът за поведение предвижда през следващите 18 месеца както задължение те да уведомяват за дейностите, които възнамеряват да извършват, така и забрана да лобират или да се застъпват по въпроси, за които са отговаряли по време на мандата си. Освен това в член 245, втора алинея от ДФЕС се предвижда задължението за почтеност и въздържаност да продължи и след края на мандата им.</w:t>
      </w:r>
    </w:p>
    <w:p>
      <w:pPr>
        <w:rPr>
          <w:rFonts w:eastAsia="Arial Unicode MS" w:cs="Arial Unicode MS"/>
          <w:noProof/>
          <w:lang w:val="bg-BG" w:eastAsia="bg-BG"/>
        </w:rPr>
      </w:pPr>
      <w:r>
        <w:rPr>
          <w:noProof/>
          <w:lang w:val="bg-BG" w:eastAsia="bg-BG"/>
        </w:rPr>
        <w:t>– Последващи действия по препоръките на Европейската сметна палата относно европейските училища. Комисията ще продължи по своя инициатива да подкрепя европейските училища, зачитайки в същото време пълната им автономия. Тя няма да се поколебае да гласува на Управителния съвет против освобождаването от отговорност във връзка с изпълнението на бюджета им, ако прецени, че предложените действия са недостатъчни за ограничаване на рисковете.</w:t>
      </w:r>
    </w:p>
    <w:p>
      <w:pPr>
        <w:autoSpaceDE w:val="0"/>
        <w:autoSpaceDN w:val="0"/>
        <w:adjustRightInd w:val="0"/>
        <w:spacing w:before="0" w:after="0"/>
        <w:rPr>
          <w:rFonts w:eastAsia="Arial Unicode MS" w:cs="Arial Unicode MS"/>
          <w:noProof/>
          <w:lang w:val="bg-BG" w:eastAsia="bg-BG"/>
        </w:rPr>
      </w:pPr>
      <w:r>
        <w:rPr>
          <w:noProof/>
          <w:lang w:val="bg-BG" w:eastAsia="bg-BG"/>
        </w:rPr>
        <w:t>– Публикуване от съответните генерални дирекции в годишните отчети за тяхната дейност на информация за приноса им към специфичните за всяка държава препоръки, приети в рамките на европейския семестър. В своите годишни отчети за дейността за 2015 г. и следващите бюджетни години съответните генерални дирекции ще продължават да се отчитат за приноса, който са оказали към специфичните за всяка държава препоръки в рамките на европейския семестър.</w:t>
      </w:r>
    </w:p>
    <w:p>
      <w:pPr>
        <w:rPr>
          <w:rFonts w:eastAsia="Arial Unicode MS" w:cs="Arial Unicode MS"/>
          <w:noProof/>
          <w:lang w:val="bg-BG" w:eastAsia="bg-BG"/>
        </w:rPr>
      </w:pPr>
      <w:r>
        <w:rPr>
          <w:noProof/>
          <w:lang w:val="bg-BG" w:eastAsia="bg-BG"/>
        </w:rPr>
        <w:t>– Работни договорености между Европейската служба за борба с измамите (OLAF) и нейния Надзорен съвет. На 4 март 2016 г. Комисията представи своето предложение на съзаконодателите.</w:t>
      </w:r>
    </w:p>
    <w:p>
      <w:pPr>
        <w:rPr>
          <w:rFonts w:eastAsia="Arial Unicode MS" w:cs="Arial Unicode MS"/>
          <w:noProof/>
          <w:lang w:val="bg-BG" w:eastAsia="bg-BG"/>
        </w:rPr>
      </w:pPr>
      <w:r>
        <w:rPr>
          <w:noProof/>
          <w:lang w:val="bg-BG" w:eastAsia="bg-BG"/>
        </w:rPr>
        <w:t>– Споразумения за тютюна (конкретни коментари са дадени в точка 5.3 по-долу).</w:t>
      </w:r>
    </w:p>
    <w:p>
      <w:pPr>
        <w:rPr>
          <w:rFonts w:eastAsia="Arial Unicode MS" w:cs="Arial Unicode MS"/>
          <w:noProof/>
          <w:lang w:val="bg-BG" w:eastAsia="bg-BG"/>
        </w:rPr>
      </w:pPr>
      <w:r>
        <w:rPr>
          <w:noProof/>
          <w:lang w:val="bg-BG" w:eastAsia="bg-BG"/>
        </w:rPr>
        <w:t>– Убежище и миграция. На 13 юли 2016 г. членът на комисията Аврамопулос представи пред комисията по бюджетен контрол на ЕП състоянието на финансирането и прилагането на мерките от страна на Съюза в тази област, като обърна специално внимание на системите за докладване и контрол.</w:t>
      </w:r>
    </w:p>
    <w:p>
      <w:pPr>
        <w:rPr>
          <w:noProof/>
          <w:lang w:val="bg-BG" w:eastAsia="bg-BG"/>
        </w:rPr>
      </w:pPr>
      <w:r>
        <w:rPr>
          <w:noProof/>
          <w:lang w:val="bg-BG" w:eastAsia="bg-BG"/>
        </w:rPr>
        <w:t>Разгледано бе и специалното искане на ЕП Комисията да не приема новата рамка за експертните групи на Комисията до провеждането на среща между първия заместник-председател Тимерманс, Европейския омбудсман, ключови членове на ЕП и гражданското общество. Комисията потвърждава, че предвид изготвянето на новите правила първият заместник-председател и кабинетът му са имали срещи с всички важни участници, посочени в резолюцията на ЕП, в различни формати и по разни поводи, като са предложени още срещи на политическо равнище. Следователно Комисията счита, че е изпълнила това искане на ЕП.</w:t>
      </w:r>
    </w:p>
    <w:p>
      <w:pPr>
        <w:pStyle w:val="ManualHeading1"/>
        <w:keepNext w:val="0"/>
        <w:rPr>
          <w:b w:val="0"/>
          <w:smallCaps w:val="0"/>
          <w:noProof/>
          <w:lang w:val="bg-BG" w:eastAsia="bg-BG"/>
        </w:rPr>
      </w:pPr>
      <w:r>
        <w:rPr>
          <w:noProof/>
          <w:lang w:val="bg-BG" w:eastAsia="bg-BG"/>
        </w:rPr>
        <w:t xml:space="preserve">2. Резултатността като втори стълб на освобождаването от отговорност </w:t>
      </w:r>
    </w:p>
    <w:p>
      <w:pPr>
        <w:rPr>
          <w:rFonts w:eastAsia="Arial Unicode MS" w:cs="Arial Unicode MS"/>
          <w:noProof/>
          <w:lang w:val="bg-BG" w:eastAsia="bg-BG"/>
        </w:rPr>
      </w:pPr>
      <w:r>
        <w:rPr>
          <w:noProof/>
          <w:lang w:val="bg-BG" w:eastAsia="bg-BG"/>
        </w:rPr>
        <w:t>И ЕП, и Съветът подкрепят въвеждането, в допълнение към „традиционния“ стълб на въпросите за съответствието, на резултатността като втори стълб на освобождаването от отговорност във връзка с изпълнението на бюджета. Ето защо този нов подход е отразен в ключовите искания на двете институции във връзка с освобождаването от отговорност за 2014 г.</w:t>
      </w:r>
    </w:p>
    <w:p>
      <w:pPr>
        <w:rPr>
          <w:noProof/>
          <w:lang w:val="bg-BG" w:eastAsia="bg-BG"/>
        </w:rPr>
      </w:pPr>
      <w:r>
        <w:rPr>
          <w:noProof/>
          <w:lang w:val="bg-BG" w:eastAsia="bg-BG"/>
        </w:rPr>
        <w:t>От ЕП предявяват две основни искания — относно съгласуването на МФР с политическите програмни периоди и съответно относно по-силната взаимовръзка между целите на стратегията „Европа 2020“, споразуменията за партньорство и оперативните програми.</w:t>
      </w:r>
    </w:p>
    <w:p>
      <w:pPr>
        <w:rPr>
          <w:noProof/>
          <w:lang w:val="bg-BG" w:eastAsia="bg-BG"/>
        </w:rPr>
      </w:pPr>
      <w:r>
        <w:rPr>
          <w:noProof/>
          <w:lang w:val="bg-BG" w:eastAsia="bg-BG"/>
        </w:rPr>
        <w:t>В споменатите по-горе писма на заместник-председателя Георгиева тя подчертава, че Комисията се ангажира твърдо: а) да се стреми към финансово програмиране чрез подходящи бюджетни средства за по-дългосрочни приоритети на политиката и б) да прилага установената от ЕП и Съвета законодателна рамка, за да се подобри докладването относно приноса на ЕСИ фондовете за осъществяването на стратегията на Съюза за интелигентен, устойчив и приобщаващ растеж.</w:t>
      </w:r>
    </w:p>
    <w:p>
      <w:pPr>
        <w:rPr>
          <w:noProof/>
          <w:lang w:val="bg-BG" w:eastAsia="bg-BG"/>
        </w:rPr>
      </w:pPr>
      <w:r>
        <w:rPr>
          <w:noProof/>
          <w:lang w:val="bg-BG" w:eastAsia="bg-BG"/>
        </w:rPr>
        <w:t>Освен това ЕП иска Комисията да използва по-пълноценно възможностите, които предоставя съществуващото законодателство по отношение на резерва за изпълнение. Комисията потвърждава, че ще приложи възможностите, които нормативната основа предлага, и смята, че настоящата правна уредба вече предоставя на държавите членки достатъчно стимули за укрепване на резултатността. При необходимост от допълнително укрепване на правилата относно резерва за изпълнение, то ще бъде предприето, когато се изготвя рамката за периода след 2020 г.</w:t>
      </w:r>
    </w:p>
    <w:p>
      <w:pPr>
        <w:rPr>
          <w:noProof/>
          <w:lang w:val="bg-BG" w:eastAsia="bg-BG"/>
        </w:rPr>
      </w:pPr>
      <w:r>
        <w:rPr>
          <w:noProof/>
          <w:lang w:val="bg-BG" w:eastAsia="bg-BG"/>
        </w:rPr>
        <w:t>ЕП призовава Комисията да подобри докладването по въпросите за резултатността. Комисията представи новия годишен доклад за управлението и изпълнението на бюджета на ЕС за 2015 г.</w:t>
      </w:r>
      <w:r>
        <w:rPr>
          <w:noProof/>
          <w:vertAlign w:val="superscript"/>
          <w:lang w:val="bg-BG" w:eastAsia="bg-BG"/>
        </w:rPr>
        <w:footnoteReference w:id="7"/>
      </w:r>
      <w:r>
        <w:rPr>
          <w:noProof/>
          <w:lang w:val="bg-BG" w:eastAsia="bg-BG"/>
        </w:rPr>
        <w:t xml:space="preserve">, в който са обединени два досегашни доклада: годишният доклад за оценка съгласно член 318 от ДФЕС и обобщаващият доклад, който се изисква съгласно член 66, параграф 9 от Финансовия регламент. Съчетавайки информацията за изпълнението и за управлението на бюджета на ЕС, този доклад представя всеобхватен преглед на начините, по които бюджетът на ЕС подпомага постигането на политическите приоритети на ЕС, и на ролята на Комисията както в утвърждаването на ориентираната към резултати култура, така и в гарантирането и насърчаването на най-високите стандарти за бюджетно управление. Докладът е важен принос на Комисията към ежегодния процес на освобождаване от отговорност във връзка с изпълнението на бюджета. </w:t>
      </w:r>
    </w:p>
    <w:p>
      <w:pPr>
        <w:spacing w:before="0" w:after="0"/>
        <w:rPr>
          <w:noProof/>
          <w:lang w:val="bg-BG" w:eastAsia="bg-BG"/>
        </w:rPr>
      </w:pPr>
      <w:r>
        <w:rPr>
          <w:noProof/>
          <w:lang w:val="bg-BG" w:eastAsia="bg-BG"/>
        </w:rPr>
        <w:t>„Целенасоченост, бързина и резултати“ са ръководните принципи на редица инициативи, групирани в четири различни насоки, както е показано в новия годишен доклад за управлението и изпълнението. Този подход демонстрира ангажимента на Комисията да оптимизира докладването относно изпълнението на бюджета.</w:t>
      </w:r>
    </w:p>
    <w:p>
      <w:pPr>
        <w:rPr>
          <w:noProof/>
          <w:lang w:val="bg-BG" w:eastAsia="bg-BG"/>
        </w:rPr>
      </w:pPr>
      <w:r>
        <w:rPr>
          <w:noProof/>
          <w:lang w:val="bg-BG" w:eastAsia="bg-BG"/>
        </w:rPr>
        <w:t>Стремежът в рамките на новата инициатива „Бюджет, ориентиран към резултатите“ е за непрекъснат напредък в тази област. Още през 2015 г. бяха постигнати конкретни подобрения във възприетия от Комисията цикъл на стратегическо планиране и програмиране и в бюджетната процедура. Тези промени укрепват планирането на основата на резултатите, наблюдението и отчитането по всички програми.</w:t>
      </w:r>
    </w:p>
    <w:p>
      <w:pPr>
        <w:pStyle w:val="ManualHeading1"/>
        <w:keepNext w:val="0"/>
        <w:rPr>
          <w:b w:val="0"/>
          <w:smallCaps w:val="0"/>
          <w:noProof/>
          <w:lang w:val="bg-BG" w:eastAsia="bg-BG"/>
        </w:rPr>
      </w:pPr>
      <w:r>
        <w:rPr>
          <w:noProof/>
          <w:lang w:val="bg-BG" w:eastAsia="bg-BG"/>
        </w:rPr>
        <w:t>3.</w:t>
      </w:r>
      <w:r>
        <w:rPr>
          <w:noProof/>
          <w:lang w:val="bg-BG" w:eastAsia="bg-BG"/>
        </w:rPr>
        <w:tab/>
        <w:t xml:space="preserve">Мерки относно нивото на грешки </w:t>
      </w:r>
    </w:p>
    <w:p>
      <w:pPr>
        <w:rPr>
          <w:iCs/>
          <w:noProof/>
          <w:lang w:val="bg-BG" w:eastAsia="bg-BG"/>
        </w:rPr>
      </w:pPr>
      <w:r>
        <w:rPr>
          <w:noProof/>
          <w:lang w:val="bg-BG" w:eastAsia="bg-BG"/>
        </w:rPr>
        <w:t>ЕП и Съветът отправят искания във връзка с проблеми със съответствието въз основа на констатациите на Европейската сметна палата в годишния ѝ доклад за 2014 г., както и на информация, предоставена от Комисията в докладите ѝ, свързани с освобождаването ѝ от отговорност, като доклада „Обобщение за резултатите от управлението на Комисията през 2014 г.“ и съобщението „Защита на бюджета на ЕС до края на 2014 г.“.</w:t>
      </w:r>
    </w:p>
    <w:p>
      <w:pPr>
        <w:rPr>
          <w:noProof/>
          <w:lang w:val="bg-BG" w:eastAsia="bg-BG"/>
        </w:rPr>
      </w:pPr>
      <w:r>
        <w:rPr>
          <w:noProof/>
          <w:lang w:val="bg-BG" w:eastAsia="bg-BG"/>
        </w:rPr>
        <w:t>В отговор на искането на ЕП и на Съвета за стриктно прилагане на член 32, параграф 5 от Финансовия регламент, Комисията ще извърши анализи на „областите с трайно високи нива на грешки“ и ще докладва за основните причини и за предприетите с оглед на тяхното решаване мерки, като същевременно осигури разходна ефективност на контрола.</w:t>
      </w:r>
    </w:p>
    <w:p>
      <w:pPr>
        <w:rPr>
          <w:noProof/>
          <w:lang w:val="bg-BG" w:eastAsia="bg-BG"/>
        </w:rPr>
      </w:pPr>
      <w:r>
        <w:rPr>
          <w:noProof/>
          <w:lang w:val="bg-BG" w:eastAsia="bg-BG"/>
        </w:rPr>
        <w:t>В това отношение Комисията е поела ангажимент да продължи тясното си сътрудничество с държавите членки и другите субекти, на които е възложено изпълнението на бюджета на ЕС, с цел да установи в кои области съгласувани действия са необходими или се смята, че могат да принесат полза. При нужда ще бъдат предприемани превантивни действия, като предоставяне на указания за държавите членки или временно спиране/преустановяване на финансирането.</w:t>
      </w:r>
    </w:p>
    <w:p>
      <w:pPr>
        <w:autoSpaceDE w:val="0"/>
        <w:autoSpaceDN w:val="0"/>
        <w:adjustRightInd w:val="0"/>
        <w:spacing w:before="0" w:after="0"/>
        <w:rPr>
          <w:rFonts w:eastAsia="Times New Roman"/>
          <w:noProof/>
          <w:lang w:val="bg-BG" w:eastAsia="bg-BG"/>
        </w:rPr>
      </w:pPr>
      <w:r>
        <w:rPr>
          <w:rFonts w:eastAsia="Times New Roman"/>
          <w:noProof/>
          <w:lang w:val="bg-BG" w:eastAsia="bg-BG"/>
        </w:rPr>
        <w:t xml:space="preserve">Както бе поискано от ЕП и Съвета, Комисията, в сътрудничество с държавите членки, ще продължи да използва цялата налична информация, за да предотвратява, открива и коригира евентуалните грешки. Тя се ангажира още, като част от прегледа на Финансовия регламент, да опрости още повече правилата и ще продължи с усилията за опростяване на ОСП, предприети от члена на Комисията Хоган, както и ще проследи заключенията и препоръките на групата на високо равнище, наблюдаваща опростяването за получателите на средства по линия на ЕСИ фондовете. </w:t>
      </w:r>
    </w:p>
    <w:p>
      <w:pPr>
        <w:rPr>
          <w:rFonts w:eastAsia="Arial Unicode MS" w:cs="Arial Unicode MS"/>
          <w:noProof/>
          <w:shd w:val="clear" w:color="000000" w:fill="auto"/>
          <w:lang w:val="bg-BG" w:eastAsia="bg-BG"/>
        </w:rPr>
      </w:pPr>
      <w:r>
        <w:rPr>
          <w:noProof/>
          <w:lang w:val="bg-BG" w:eastAsia="bg-BG"/>
        </w:rPr>
        <w:t>ЕП иска от Комисията да изчисли за всички области на политиката, както и за бюджета на Съюза като цяло, процента на грешки, останали след прилагането на всички корективни мерки, като се отчита същевременно многогодишният характер на програмите. Парламентът иска още от Комисията да преразгледа метода за изчисляване на капацитета за прилагане на корективни мерки навреме за освобождаването от отговорност във връзка с изпълнението на бюджета за 2015 г.</w:t>
      </w:r>
    </w:p>
    <w:p>
      <w:pPr>
        <w:rPr>
          <w:noProof/>
          <w:lang w:val="bg-BG" w:eastAsia="bg-BG"/>
        </w:rPr>
      </w:pPr>
      <w:r>
        <w:rPr>
          <w:noProof/>
          <w:lang w:val="bg-BG" w:eastAsia="bg-BG"/>
        </w:rPr>
        <w:t>Комисията предприе последващи действия и по двете искания в своя годишен доклад за управлението и изпълнението на бюджета на ЕС за 2015 г., като представи най-добрия си разчет на така наречените „изложени на риск суми при приключване“ за всяка област на политика и за бюджета като цяло. Сумите, изложени на риск при приключване, представляват прогноза на ръководството на Комисията за нивото на грешки след прилагането на всички корективни мерки при приключването на програмите</w:t>
      </w:r>
      <w:r>
        <w:rPr>
          <w:noProof/>
          <w:vertAlign w:val="superscript"/>
          <w:lang w:val="bg-BG" w:eastAsia="bg-BG"/>
        </w:rPr>
        <w:footnoteReference w:id="8"/>
      </w:r>
      <w:r>
        <w:rPr>
          <w:noProof/>
          <w:lang w:val="bg-BG" w:eastAsia="bg-BG"/>
        </w:rPr>
        <w:t xml:space="preserve"> и са изчислени на базата на всички съответни данни и при направена професионална преценка. Те отразяват по съответен начин обстоятелството, че цикълът на контрола е многогодишен и че ще бъдат приложени по-нататъшни корективни мерки след установяване на грешките. Целта на това не е да се подмени оценката на Европейската сметна палата, а да се предложи допълнителен поглед.</w:t>
      </w:r>
    </w:p>
    <w:p>
      <w:pPr>
        <w:rPr>
          <w:rFonts w:eastAsia="Arial Unicode MS" w:cs="Arial Unicode MS"/>
          <w:noProof/>
          <w:lang w:val="bg-BG" w:eastAsia="bg-BG"/>
        </w:rPr>
      </w:pPr>
      <w:r>
        <w:rPr>
          <w:noProof/>
          <w:lang w:val="bg-BG" w:eastAsia="bg-BG"/>
        </w:rPr>
        <w:t>ЕП иска от Комисията да работи в тясно сътрудничество с държавите членки за гарантиране на пълна, точна и надеждна информация, като се има предвид целта за пълно прилагане на подхода за единен одит.</w:t>
      </w:r>
      <w:r>
        <w:rPr>
          <w:i/>
          <w:noProof/>
          <w:lang w:val="bg-BG" w:eastAsia="bg-BG"/>
        </w:rPr>
        <w:t xml:space="preserve"> </w:t>
      </w:r>
    </w:p>
    <w:p>
      <w:pPr>
        <w:autoSpaceDE w:val="0"/>
        <w:autoSpaceDN w:val="0"/>
        <w:rPr>
          <w:noProof/>
          <w:lang w:val="bg-BG" w:eastAsia="bg-BG"/>
        </w:rPr>
      </w:pPr>
      <w:r>
        <w:rPr>
          <w:noProof/>
          <w:lang w:val="bg-BG" w:eastAsia="bg-BG"/>
        </w:rPr>
        <w:t xml:space="preserve">Комисията провежда проверки за съгласуваност на данните на държавите членки, като например статистическите данни за контрола на разходите в рамките на ОСП и годишните отчети за финансовите корекции за всички държави членки и оперативни програми в областите на политиката на сближаване. Освен това чрез годишната си оценка на риска Комисията определя целенасочени одитни мисии и проследява всички установени слабости. Резултатите от одитната дейност водят до корекции в отчетите на националните органи и подобряват базата на прогнозите за очакваното ниво на грешки. Повече информация по тези въпроси може да се намери в годишните отчети за дейността на съответните генерални дирекции. </w:t>
      </w:r>
    </w:p>
    <w:p>
      <w:pPr>
        <w:autoSpaceDE w:val="0"/>
        <w:autoSpaceDN w:val="0"/>
        <w:rPr>
          <w:rFonts w:eastAsia="Arial Unicode MS" w:cs="Arial Unicode MS"/>
          <w:noProof/>
          <w:lang w:val="bg-BG" w:eastAsia="bg-BG"/>
        </w:rPr>
      </w:pPr>
      <w:r>
        <w:rPr>
          <w:noProof/>
          <w:lang w:val="bg-BG" w:eastAsia="bg-BG"/>
        </w:rPr>
        <w:t>За селскостопанските разходи, считано от финансовата 2015 година сертифициращите органи в държавите членки трябва да определят извадки и да проверяват повторно контрола, извършен преди това от разплащателните агенции. Комисията разработи подробни насоки с цел да подкрепя и ръководи сертифициращите органи в тази нова роля.</w:t>
      </w:r>
    </w:p>
    <w:p>
      <w:pPr>
        <w:autoSpaceDE w:val="0"/>
        <w:autoSpaceDN w:val="0"/>
        <w:rPr>
          <w:rFonts w:eastAsia="Arial Unicode MS" w:cs="Arial Unicode MS"/>
          <w:noProof/>
          <w:lang w:val="bg-BG" w:eastAsia="bg-BG"/>
        </w:rPr>
      </w:pPr>
      <w:r>
        <w:rPr>
          <w:noProof/>
          <w:lang w:val="bg-BG" w:eastAsia="bg-BG"/>
        </w:rPr>
        <w:t>В областта на сближаването, при изпълнението на програмния период 2014—2020 г. точността на информацията за финансовите корекции ще бъде обхваната от годишните становища на одитните органи относно счетоводните отчети.</w:t>
      </w:r>
    </w:p>
    <w:p>
      <w:pPr>
        <w:pStyle w:val="ManualHeading1"/>
        <w:keepNext w:val="0"/>
        <w:rPr>
          <w:b w:val="0"/>
          <w:smallCaps w:val="0"/>
          <w:noProof/>
          <w:lang w:val="bg-BG" w:eastAsia="bg-BG"/>
        </w:rPr>
      </w:pPr>
      <w:r>
        <w:rPr>
          <w:noProof/>
          <w:lang w:val="bg-BG" w:eastAsia="bg-BG"/>
        </w:rPr>
        <w:t>4.</w:t>
      </w:r>
      <w:r>
        <w:rPr>
          <w:noProof/>
          <w:lang w:val="bg-BG" w:eastAsia="bg-BG"/>
        </w:rPr>
        <w:tab/>
        <w:t xml:space="preserve">Натиск върху бюджета </w:t>
      </w:r>
    </w:p>
    <w:p>
      <w:pPr>
        <w:rPr>
          <w:noProof/>
          <w:lang w:val="bg-BG" w:eastAsia="bg-BG"/>
        </w:rPr>
      </w:pPr>
      <w:r>
        <w:rPr>
          <w:noProof/>
          <w:lang w:val="bg-BG" w:eastAsia="bg-BG"/>
        </w:rPr>
        <w:t xml:space="preserve">ЕП изисква оценка на всички разпоредби за гъвкавост на МФР и предложения за мерки за преодоляване на недостатъчния капацитет на усвояване. Както вече беше посочено, в своето съобщение относно междинния </w:t>
      </w:r>
      <w:r>
        <w:rPr>
          <w:rFonts w:eastAsia="Arial Unicode MS" w:cs="Arial Unicode MS"/>
          <w:noProof/>
          <w:lang w:val="bg-BG"/>
        </w:rPr>
        <w:t>преглед на МФР Комисията представи прогноза на плащанията, в която се оценява устойчивостта на сегашните тавани и се включва прогнозата на отменените бюджетни кредити и изменението на непогасени бюджетни задължения</w:t>
      </w:r>
      <w:r>
        <w:rPr>
          <w:rFonts w:ascii="Verdana" w:hAnsi="Verdana"/>
          <w:noProof/>
          <w:sz w:val="18"/>
          <w:szCs w:val="18"/>
          <w:lang w:val="bg-BG"/>
        </w:rPr>
        <w:t xml:space="preserve"> (</w:t>
      </w:r>
      <w:r>
        <w:rPr>
          <w:noProof/>
        </w:rPr>
        <w:t>RAL</w:t>
      </w:r>
      <w:r>
        <w:rPr>
          <w:noProof/>
          <w:lang w:val="bg-BG"/>
        </w:rPr>
        <w:t>) до края на настоящата МФР</w:t>
      </w:r>
      <w:r>
        <w:rPr>
          <w:rFonts w:eastAsia="Arial Unicode MS" w:cs="Arial Unicode MS"/>
          <w:noProof/>
          <w:lang w:val="bg-BG"/>
        </w:rPr>
        <w:t>.</w:t>
      </w:r>
    </w:p>
    <w:p>
      <w:pPr>
        <w:rPr>
          <w:noProof/>
          <w:lang w:val="bg-BG" w:eastAsia="bg-BG"/>
        </w:rPr>
      </w:pPr>
      <w:r>
        <w:rPr>
          <w:noProof/>
          <w:lang w:val="bg-BG" w:eastAsia="bg-BG"/>
        </w:rPr>
        <w:t>Освен това Комисията отчита в пълна степен препоръките на Европейската сметна палата относно ограничения капацитет в някои държави членки, особено в областта на ЕСИ фондовете.</w:t>
      </w:r>
    </w:p>
    <w:p>
      <w:pPr>
        <w:rPr>
          <w:noProof/>
          <w:lang w:val="bg-BG" w:eastAsia="bg-BG"/>
        </w:rPr>
      </w:pPr>
      <w:r>
        <w:rPr>
          <w:noProof/>
          <w:lang w:val="bg-BG" w:eastAsia="bg-BG"/>
        </w:rPr>
        <w:t>Що се отнася до ОСП, ЕЗФРСР</w:t>
      </w:r>
      <w:r>
        <w:rPr>
          <w:noProof/>
          <w:vertAlign w:val="superscript"/>
          <w:lang w:val="bg-BG" w:eastAsia="bg-BG"/>
        </w:rPr>
        <w:footnoteReference w:id="9"/>
      </w:r>
      <w:r>
        <w:rPr>
          <w:noProof/>
          <w:lang w:val="bg-BG" w:eastAsia="bg-BG"/>
        </w:rPr>
        <w:t xml:space="preserve"> предоставя на държавите членки предварително финансиране за прилагането на техните програми в периода 2014—2020 г. През програмния период 2014—2020 г. Комисията увеличи с година времето, през което държавите членки трябва да изпълнят бюджетните задължения. В момента се прилага правилото N + 3, което означава, че те разполагат с 4 години, за да усвоят средствата по ЕЗФРСР. С това ново правило държавите членки ще оползотворяват по-добре средствата.</w:t>
      </w:r>
    </w:p>
    <w:p>
      <w:pPr>
        <w:rPr>
          <w:noProof/>
          <w:lang w:val="bg-BG" w:eastAsia="bg-BG"/>
        </w:rPr>
      </w:pPr>
      <w:r>
        <w:rPr>
          <w:noProof/>
          <w:lang w:val="bg-BG" w:eastAsia="bg-BG"/>
        </w:rPr>
        <w:t>По отношение на политиката на сближаване Комисията пое инициативата да разгледа по гъвкав начин проблемите с усвояването и създаде оперативна група за по-добро изпълнение. Групата одобри планове за действие, с което се гарантира обменът на опит и добри практики. Тя оказа съдействие и на някои държави членки да прегледат състоянието на своите програми и да потърсят активно решение на някои от срещнатите предизвикателства, като същевременно продължат да гарантират стриктно спазване на приложимите правила.</w:t>
      </w:r>
    </w:p>
    <w:p>
      <w:pPr>
        <w:rPr>
          <w:noProof/>
          <w:lang w:val="bg-BG" w:eastAsia="bg-BG"/>
        </w:rPr>
      </w:pPr>
      <w:r>
        <w:rPr>
          <w:noProof/>
          <w:lang w:val="bg-BG" w:eastAsia="bg-BG"/>
        </w:rPr>
        <w:t>Комисията ще може да оцени пълното въздействие на работата на оперативната група върху начина, по който държавите членки са използвали бюджетните средства в периода 2007—2013 г., след приключването на всички съответни програми. В периода 2014—2020 г. всички национални органи силно се насърчават да задвижат изпълнението на програмите.</w:t>
      </w:r>
    </w:p>
    <w:p>
      <w:pPr>
        <w:rPr>
          <w:noProof/>
          <w:lang w:val="bg-BG" w:eastAsia="bg-BG"/>
        </w:rPr>
      </w:pPr>
    </w:p>
    <w:p>
      <w:pPr>
        <w:rPr>
          <w:b/>
          <w:smallCaps/>
          <w:noProof/>
          <w:szCs w:val="20"/>
          <w:lang w:val="bg-BG" w:eastAsia="bg-BG"/>
        </w:rPr>
      </w:pPr>
      <w:r>
        <w:rPr>
          <w:b/>
          <w:noProof/>
          <w:lang w:val="bg-BG" w:eastAsia="bg-BG"/>
        </w:rPr>
        <w:t>5.</w:t>
      </w:r>
      <w:r>
        <w:rPr>
          <w:b/>
          <w:noProof/>
          <w:lang w:val="bg-BG" w:eastAsia="bg-BG"/>
        </w:rPr>
        <w:tab/>
      </w:r>
      <w:r>
        <w:rPr>
          <w:b/>
          <w:smallCaps/>
          <w:noProof/>
          <w:lang w:val="bg-BG" w:eastAsia="bg-BG"/>
        </w:rPr>
        <w:t>Специфични въпроси</w:t>
      </w:r>
    </w:p>
    <w:p>
      <w:pPr>
        <w:pStyle w:val="ManualHeading1"/>
        <w:keepNext w:val="0"/>
        <w:rPr>
          <w:b w:val="0"/>
          <w:smallCaps w:val="0"/>
          <w:noProof/>
          <w:lang w:val="bg-BG" w:eastAsia="bg-BG"/>
        </w:rPr>
      </w:pPr>
      <w:r>
        <w:rPr>
          <w:noProof/>
          <w:lang w:val="bg-BG" w:eastAsia="bg-BG"/>
        </w:rPr>
        <w:t xml:space="preserve">5.1. </w:t>
      </w:r>
      <w:r>
        <w:rPr>
          <w:noProof/>
          <w:lang w:val="bg-BG" w:eastAsia="bg-BG"/>
        </w:rPr>
        <w:tab/>
        <w:t>Глобална Европа — Доклади за управлението на външната помощ</w:t>
      </w:r>
    </w:p>
    <w:p>
      <w:pPr>
        <w:spacing w:before="100" w:after="90"/>
        <w:rPr>
          <w:rFonts w:eastAsia="Calibri"/>
          <w:noProof/>
          <w:sz w:val="20"/>
          <w:szCs w:val="20"/>
          <w:lang w:val="bg-BG" w:eastAsia="bg-BG"/>
        </w:rPr>
      </w:pPr>
      <w:r>
        <w:rPr>
          <w:noProof/>
          <w:lang w:val="bg-BG" w:eastAsia="bg-BG"/>
        </w:rPr>
        <w:t>Комисията получи няколко искания във връзка с докладите за управлението на външната помощ (ДУВП), като например за система за мониторинг на текущите проекти и актуален доклад, корективни действия по проблеми, свързани с проектите.</w:t>
      </w:r>
    </w:p>
    <w:p>
      <w:pPr>
        <w:spacing w:before="100" w:after="90"/>
        <w:rPr>
          <w:rFonts w:eastAsia="Calibri"/>
          <w:noProof/>
          <w:lang w:val="bg-BG" w:eastAsia="bg-BG"/>
        </w:rPr>
      </w:pPr>
      <w:r>
        <w:rPr>
          <w:noProof/>
          <w:lang w:val="bg-BG" w:eastAsia="bg-BG"/>
        </w:rPr>
        <w:t>Комисията изтъква, че оценката на проектите в ДУВП представлява моментна оценка на състоянието на всеки проект в края на годината. Червеният и оранжевият цвят показват рисковете, установени от ръководителите на проектите във връзка с изпълнението на дейностите или постигането на целите в края на годината. Системата подава сигнал към йерархията в делегацията и централата, така че да бъдат взети необходимите корективни мерки. Действителното въздействие на установените затруднения може да бъде оценено едва в края на проекта. Финансовото отражение на срещнатите затруднения и закъсненията при изпълнението на проектите следва да се измерва внимателно.</w:t>
      </w:r>
    </w:p>
    <w:p>
      <w:pPr>
        <w:spacing w:before="100" w:after="90"/>
        <w:rPr>
          <w:rFonts w:eastAsia="Calibri"/>
          <w:noProof/>
          <w:sz w:val="20"/>
          <w:szCs w:val="20"/>
          <w:lang w:val="bg-BG" w:eastAsia="bg-BG"/>
        </w:rPr>
      </w:pPr>
      <w:r>
        <w:rPr>
          <w:noProof/>
          <w:lang w:val="bg-BG" w:eastAsia="bg-BG"/>
        </w:rPr>
        <w:t>След искането на ЕП да се представи доклад за състоянието на проектите, включително програмите за помощ по линия на политиката за съседство, ГД „Политика за съседство и преговори за разширяване“ възнамерява да въведе тази оценка за 2016 г.</w:t>
      </w:r>
    </w:p>
    <w:p>
      <w:pPr>
        <w:spacing w:before="100" w:after="90"/>
        <w:rPr>
          <w:rFonts w:eastAsia="Calibri"/>
          <w:noProof/>
          <w:lang w:val="bg-BG" w:eastAsia="bg-BG"/>
        </w:rPr>
      </w:pPr>
      <w:r>
        <w:rPr>
          <w:noProof/>
          <w:lang w:val="bg-BG" w:eastAsia="bg-BG"/>
        </w:rPr>
        <w:t>ЕП призовава още за въвеждането на процедури за вътрешен контрол, които да гарантират уравняване на сметките по предварителното финансиране на базата на действително извършени разходи, а не въз основа на правните задължения. В отговор на това искане Комисията доизясни съответните правила.</w:t>
      </w:r>
    </w:p>
    <w:p>
      <w:pPr>
        <w:rPr>
          <w:noProof/>
          <w:color w:val="1F497D"/>
          <w:lang w:val="bg-BG" w:eastAsia="bg-BG"/>
        </w:rPr>
      </w:pPr>
      <w:r>
        <w:rPr>
          <w:noProof/>
          <w:lang w:val="bg-BG" w:eastAsia="bg-BG"/>
        </w:rPr>
        <w:t>Считано от януари 2016 г. делегациите на ЕС и оперативните служби на ГД „Международно сътрудничество и развитие“ трябва да попълват и да актуализират план за наблюдение и оценки във връзка с управлението на своите портфейли, включително основни събития и дейности по наблюдение — на годишна основа за наблюдението и на многогодишна основа за оценките. Планирането следва да се основава на анализ на риска, проведен от делегацията на ЕС или оперативното звено в централата във връзка с общия портфейл от проекти и програми. Методически указания за управлението на риска са дадени в насоките в подкрепа на бюджета за 2012 г. По отношение на проектния способ трябва да бъдат издадени указания в насоките за управление на проектния и програмния цикъл.</w:t>
      </w:r>
    </w:p>
    <w:p>
      <w:pPr>
        <w:spacing w:before="100" w:after="90"/>
        <w:rPr>
          <w:rFonts w:eastAsia="Calibri"/>
          <w:noProof/>
          <w:sz w:val="20"/>
          <w:szCs w:val="20"/>
          <w:lang w:val="bg-BG" w:eastAsia="bg-BG"/>
        </w:rPr>
      </w:pPr>
      <w:r>
        <w:rPr>
          <w:noProof/>
          <w:lang w:val="bg-BG" w:eastAsia="bg-BG"/>
        </w:rPr>
        <w:t>В държавите в процес на присъединяване и в съседните на Съюза страни основен приоритет продължава да бъде необходимостта от справяне с последствията от кризата с бежанците и миграцията. Комисията увеличи финансирането и гъвкавостта за този приоритет, за да бъде реакцията бърза и целенасочена.</w:t>
      </w:r>
    </w:p>
    <w:p>
      <w:pPr>
        <w:spacing w:before="100" w:after="90"/>
        <w:rPr>
          <w:rFonts w:eastAsia="Calibri"/>
          <w:noProof/>
          <w:sz w:val="20"/>
          <w:szCs w:val="20"/>
          <w:lang w:val="bg-BG" w:eastAsia="bg-BG"/>
        </w:rPr>
      </w:pPr>
      <w:r>
        <w:rPr>
          <w:noProof/>
          <w:lang w:val="bg-BG" w:eastAsia="bg-BG"/>
        </w:rPr>
        <w:t>Освен това, за да се отговори на бързо променящите се приоритети, Комисията гарантира също възможността за преразпределяне на средства в рамките на Инструмента за предприсъединителна помощ ІІ, за да се осигури през 2016 г. бързото финансиране на интервенции с цел преодоляване на проблема с миграцията, включително принос към Доверителния фонд за Сирия, за да се подкрепи изграждането на приемни съоръжения за бежанци в Западните Балкани.</w:t>
      </w:r>
    </w:p>
    <w:p>
      <w:pPr>
        <w:spacing w:before="100" w:after="90"/>
        <w:rPr>
          <w:rFonts w:eastAsia="Calibri"/>
          <w:noProof/>
          <w:sz w:val="20"/>
          <w:szCs w:val="20"/>
          <w:lang w:val="bg-BG" w:eastAsia="bg-BG"/>
        </w:rPr>
      </w:pPr>
      <w:r>
        <w:rPr>
          <w:noProof/>
          <w:lang w:val="bg-BG" w:eastAsia="bg-BG"/>
        </w:rPr>
        <w:t>И последно, ЕП иска от Комисията да му предоставя ежегодно обща оценка за ДУВП и да докладва в годишните отчети за дейността на ГД „Международно сътрудничество и развитие“ и ГД „Политика за съседство и преговори за разширяване“ относно предприетите мерки за подобряване на положението в делегациите, които имат проблеми с изпълнението.</w:t>
      </w:r>
    </w:p>
    <w:p>
      <w:pPr>
        <w:spacing w:before="100" w:after="90"/>
        <w:rPr>
          <w:rFonts w:eastAsia="Calibri"/>
          <w:noProof/>
          <w:sz w:val="20"/>
          <w:szCs w:val="20"/>
          <w:lang w:val="bg-BG" w:eastAsia="bg-BG"/>
        </w:rPr>
      </w:pPr>
      <w:r>
        <w:rPr>
          <w:noProof/>
          <w:lang w:val="bg-BG" w:eastAsia="bg-BG"/>
        </w:rPr>
        <w:t>Плановете за действие на 22 делегации на ГД „Международно сътрудничество и развитие“, които през 2014 г. са изпълнили под 60 % от своите ключови показатели за ефективност (КПЕ), бяха официално предадени на ЕП на 5 ноември 2015 г. Освен това в годишния отчет за дейността на ГД „Международно сътрудничество и развитие“ е включен подробен анализ на резултатите по КПЕ за финансовата 2015 година.</w:t>
      </w:r>
    </w:p>
    <w:p>
      <w:pPr>
        <w:spacing w:before="100" w:after="90"/>
        <w:rPr>
          <w:rFonts w:eastAsia="Calibri"/>
          <w:noProof/>
          <w:lang w:val="bg-BG" w:eastAsia="bg-BG"/>
        </w:rPr>
      </w:pPr>
      <w:r>
        <w:rPr>
          <w:noProof/>
          <w:lang w:val="bg-BG" w:eastAsia="bg-BG"/>
        </w:rPr>
        <w:t>Що се отнася до ГД „Политика за съседство и преговори за разширяване“, ДУВП бяха въведени през 2015 г. Ключовите показатели за ефективност във връзка с оценката на проектите ще бъдат въведени в ДУВП за 2016 г. и ще бъдат анализирани допълнително в контекста на годишния отчет за дейността за 2016 г.</w:t>
      </w:r>
    </w:p>
    <w:p>
      <w:pPr>
        <w:pStyle w:val="ManualHeading1"/>
        <w:keepNext w:val="0"/>
        <w:rPr>
          <w:b w:val="0"/>
          <w:noProof/>
          <w:lang w:val="bg-BG" w:eastAsia="bg-BG"/>
        </w:rPr>
      </w:pPr>
      <w:r>
        <w:rPr>
          <w:noProof/>
          <w:lang w:val="bg-BG" w:eastAsia="bg-BG"/>
        </w:rPr>
        <w:t>5.2.</w:t>
      </w:r>
      <w:r>
        <w:rPr>
          <w:noProof/>
          <w:lang w:val="bg-BG" w:eastAsia="bg-BG"/>
        </w:rPr>
        <w:tab/>
        <w:t>Европейска служба за борба с измамите (OLAF)</w:t>
      </w:r>
    </w:p>
    <w:p>
      <w:pPr>
        <w:rPr>
          <w:rFonts w:eastAsia="Arial Unicode MS" w:cs="Arial Unicode MS"/>
          <w:noProof/>
          <w:lang w:val="bg-BG" w:eastAsia="bg-BG"/>
        </w:rPr>
      </w:pPr>
      <w:r>
        <w:rPr>
          <w:noProof/>
          <w:lang w:val="bg-BG" w:eastAsia="bg-BG"/>
        </w:rPr>
        <w:t xml:space="preserve">Във връзка с исканията на ЕП относно прилагането от страна на OLAF на препоръките на нейния Надзорен съвет, от OLAF посочват, че винаги са следвали препоръките на Надзорния съвет. Всички издадени от него препоръки са били внимателно оценявани и обсъждани в цялата служба, и изпълнявани според възможността. Отговорите на OLAF са публично достъпни на нейния уебсайт. </w:t>
      </w:r>
    </w:p>
    <w:p>
      <w:pPr>
        <w:rPr>
          <w:rFonts w:eastAsia="Arial Unicode MS" w:cs="Arial Unicode MS"/>
          <w:noProof/>
          <w:lang w:val="bg-BG" w:eastAsia="bg-BG"/>
        </w:rPr>
      </w:pPr>
      <w:r>
        <w:rPr>
          <w:noProof/>
          <w:lang w:val="bg-BG" w:eastAsia="bg-BG"/>
        </w:rPr>
        <w:t>Колкото до достъпа на Надзорния съвет до документите на OLAF, Комисията счита, че такъв достъп следва да бъде даден в съответствие с приложимата правна рамка. Понеже от OLAF и Надзорния съвет тълкуват по различен начин правните разпоредби, правните служби на ЕП, Съвета и Комисията работят съвместно, за да изяснят какво тълкуване да бъде дадено на разпоредбите относно достъпа на Надзорния съвет до документите на OLAF.</w:t>
      </w:r>
    </w:p>
    <w:p>
      <w:pPr>
        <w:rPr>
          <w:rFonts w:eastAsia="Arial Unicode MS" w:cs="Arial Unicode MS"/>
          <w:noProof/>
          <w:lang w:val="bg-BG" w:eastAsia="bg-BG"/>
        </w:rPr>
      </w:pPr>
      <w:r>
        <w:rPr>
          <w:noProof/>
          <w:lang w:val="bg-BG" w:eastAsia="bg-BG"/>
        </w:rPr>
        <w:t>Що се отнася до искането OLAF да изготви вътрешен правилник относно подаването на сигнали за нередности, Комисията счита, че подходящите мерки вече са предприети. Насоките на Комисията за подаване на сигнали за нередности</w:t>
      </w:r>
      <w:r>
        <w:rPr>
          <w:noProof/>
          <w:vertAlign w:val="superscript"/>
          <w:lang w:val="bg-BG" w:eastAsia="bg-BG"/>
        </w:rPr>
        <w:footnoteReference w:id="10"/>
      </w:r>
      <w:r>
        <w:rPr>
          <w:noProof/>
          <w:lang w:val="bg-BG" w:eastAsia="bg-BG"/>
        </w:rPr>
        <w:t xml:space="preserve"> се отнасят и за OLAF. Те обхващат поверителността, процедурите за докладване, закрилата на лицата, които подават сигналите, обратната връзка с тях и указанията и подкрепата за тези лица. Освен това на 27 юли 2015 г. OLAF прие специална процедура в контекста на докладването от персонала на ЕС съгласно членове 22а и 22б от Правилника за длъжностните лица. Въз основа на това бяха изяснени вътрешните процедури на OLAF (включително поверителността), защитата срещу репресивни мерки и ролята на служителя по етичните въпроси.</w:t>
      </w:r>
    </w:p>
    <w:p>
      <w:pPr>
        <w:rPr>
          <w:rFonts w:eastAsia="Arial Unicode MS" w:cs="Arial Unicode MS"/>
          <w:noProof/>
          <w:spacing w:val="-4"/>
          <w:lang w:val="bg-BG" w:eastAsia="bg-BG"/>
        </w:rPr>
      </w:pPr>
      <w:r>
        <w:rPr>
          <w:noProof/>
          <w:spacing w:val="-4"/>
          <w:lang w:val="bg-BG" w:eastAsia="bg-BG"/>
        </w:rPr>
        <w:t>И накрая, по повод на искането OLAF да предоставя в годишния си отчет информация за видовете разследвания и резултатите във всички сектори, службата се стреми да гарантира, че информацията в доклада ѝ съответства на нуждите на читателите, и ще обмисли начини да включи поисканите данни в следващите си годишни отчети,</w:t>
      </w:r>
      <w:r>
        <w:rPr>
          <w:noProof/>
          <w:spacing w:val="-4"/>
          <w:lang w:val="bg-BG"/>
        </w:rPr>
        <w:t xml:space="preserve"> </w:t>
      </w:r>
      <w:r>
        <w:rPr>
          <w:noProof/>
          <w:spacing w:val="-4"/>
          <w:lang w:val="bg-BG" w:eastAsia="bg-BG"/>
        </w:rPr>
        <w:t>опирайки се на доказателствата, представени в публикувания на 31 май 2016 г. отчет на OLAF за 2015 г.</w:t>
      </w:r>
    </w:p>
    <w:p>
      <w:pPr>
        <w:pStyle w:val="ManualHeading1"/>
        <w:keepNext w:val="0"/>
        <w:rPr>
          <w:b w:val="0"/>
          <w:smallCaps w:val="0"/>
          <w:noProof/>
          <w:lang w:val="bg-BG" w:eastAsia="bg-BG"/>
        </w:rPr>
      </w:pPr>
      <w:r>
        <w:rPr>
          <w:noProof/>
          <w:lang w:val="bg-BG" w:eastAsia="bg-BG"/>
        </w:rPr>
        <w:t>5.3.</w:t>
      </w:r>
      <w:r>
        <w:rPr>
          <w:noProof/>
          <w:lang w:val="bg-BG" w:eastAsia="bg-BG"/>
        </w:rPr>
        <w:tab/>
        <w:t xml:space="preserve">Споразумения за тютюна </w:t>
      </w:r>
    </w:p>
    <w:p>
      <w:pPr>
        <w:rPr>
          <w:rFonts w:eastAsia="Arial Unicode MS" w:cs="Arial Unicode MS"/>
          <w:noProof/>
          <w:lang w:val="bg-BG" w:eastAsia="bg-BG"/>
        </w:rPr>
      </w:pPr>
      <w:r>
        <w:rPr>
          <w:noProof/>
          <w:lang w:val="bg-BG" w:eastAsia="bg-BG"/>
        </w:rPr>
        <w:t>След изтичането на споразумението с Philip Morris International (PMI) Комисията ще продължи усилията за борба с незаконната търговия с тютюневи изделия, като съсредоточи вниманието си върху евтините бели цигари, строгото прилагане на правото и засиленото международно сътрудничество и прилагане на Протокола за премахване на незаконната търговия с тютюневи изделия към Рамковата конвенция на СЗО за контрол на тютюна (Протокол към РККТ).</w:t>
      </w:r>
    </w:p>
    <w:p>
      <w:pPr>
        <w:rPr>
          <w:rFonts w:eastAsia="Arial Unicode MS" w:cs="Arial Unicode MS"/>
          <w:noProof/>
          <w:spacing w:val="-4"/>
          <w:lang w:val="bg-BG" w:eastAsia="bg-BG"/>
        </w:rPr>
      </w:pPr>
      <w:r>
        <w:rPr>
          <w:noProof/>
          <w:spacing w:val="-4"/>
          <w:lang w:val="bg-BG" w:eastAsia="bg-BG"/>
        </w:rPr>
        <w:t>ЕП призовава за план за действие, с който да се определят нови мерки за справяне с незаконната търговия с тютюневи изделия („евтини бели цигари“). Комисията е наясно с разрастващия се проблем с така наречените „евтини бели цигари“ на незаконния пазар на тютюневи изделия в ЕС. Този проблем заема съществено място и в стратегическия документ на Комисията от 2013 г. „Засилване на борбата с контрабандата на цигари и други форми на незаконна търговия с тютюневи изделия“</w:t>
      </w:r>
      <w:r>
        <w:rPr>
          <w:noProof/>
          <w:spacing w:val="-4"/>
          <w:vertAlign w:val="superscript"/>
          <w:lang w:val="bg-BG" w:eastAsia="bg-BG"/>
        </w:rPr>
        <w:footnoteReference w:id="11"/>
      </w:r>
      <w:r>
        <w:rPr>
          <w:noProof/>
          <w:spacing w:val="-4"/>
          <w:lang w:val="bg-BG" w:eastAsia="bg-BG"/>
        </w:rPr>
        <w:t xml:space="preserve">. Предстои по-късно през годината Комисията да представи доклад по изпълнението на стратегията от 2013 г. </w:t>
      </w:r>
    </w:p>
    <w:p>
      <w:pPr>
        <w:rPr>
          <w:rFonts w:eastAsia="Arial Unicode MS" w:cs="Arial Unicode MS"/>
          <w:noProof/>
          <w:lang w:val="bg-BG" w:eastAsia="bg-BG"/>
        </w:rPr>
      </w:pPr>
      <w:r>
        <w:rPr>
          <w:noProof/>
          <w:lang w:val="bg-BG" w:eastAsia="bg-BG"/>
        </w:rPr>
        <w:t>На призива на ЕП да бъде представен нов допълнителен регламент за установяване на независима система за наблюдение и проследяване и за прилагане на разпоредби за нарязания суров тютюн, филтрите и хартията, използвани от тютюневата промишленост, Комисията счита, че акцентът трябва да бъде по-специално върху прилагането на новата Директива относно тютюневите изделия и нейните разпоредби за наблюдение и проследяване, които ще се прилагат от май 2019 г. (за цигарите и тютюна за ръчно свиване на цигари) и от май 2024 г. (за останалите тютюневи изделия). В момента Комисията анализира възможните правно приложими и практически осъществими начини, за да отговори на искането на ЕП във връзка с наблюдението и проследяването на тютюневите изделия на PMI след изтичането на споразумението с дружеството.</w:t>
      </w:r>
    </w:p>
    <w:p>
      <w:pPr>
        <w:rPr>
          <w:rFonts w:eastAsia="Arial Unicode MS" w:cs="Arial Unicode MS"/>
          <w:noProof/>
          <w:spacing w:val="-4"/>
          <w:lang w:val="bg-BG" w:eastAsia="bg-BG"/>
        </w:rPr>
      </w:pPr>
      <w:r>
        <w:rPr>
          <w:noProof/>
          <w:spacing w:val="-4"/>
          <w:lang w:val="bg-BG" w:eastAsia="bg-BG"/>
        </w:rPr>
        <w:t>Що се отнася до оценката на споразуменията за тютюна, Комисията припомня, че оценката на споразумението с PMI е публикувана на 24 февруари 2016 г.</w:t>
      </w:r>
      <w:r>
        <w:rPr>
          <w:noProof/>
          <w:spacing w:val="-4"/>
          <w:vertAlign w:val="superscript"/>
          <w:lang w:val="bg-BG" w:eastAsia="bg-BG"/>
        </w:rPr>
        <w:footnoteReference w:id="12"/>
      </w:r>
      <w:r>
        <w:rPr>
          <w:noProof/>
          <w:spacing w:val="-4"/>
          <w:lang w:val="bg-BG" w:eastAsia="bg-BG"/>
        </w:rPr>
        <w:t xml:space="preserve"> и е предадена на ЕП.</w:t>
      </w:r>
    </w:p>
    <w:p>
      <w:pPr>
        <w:rPr>
          <w:rFonts w:eastAsia="Arial Unicode MS" w:cs="Arial Unicode MS"/>
          <w:noProof/>
          <w:lang w:val="bg-BG" w:eastAsia="bg-BG"/>
        </w:rPr>
      </w:pPr>
      <w:r>
        <w:rPr>
          <w:noProof/>
          <w:lang w:val="bg-BG" w:eastAsia="bg-BG"/>
        </w:rPr>
        <w:t>И на последно място, що се отнася до прилагането на член 5, параграф 3 от РККТ на СЗО, както и до публикуването на сключените с производителите на тютюневи изделия „споразумения за оценка“ и на оценката на въздействието във връзка с прилагането на РККТ на СЗО, Комисията посочва, че ЕС и всички държави членки са страни по РККТ на СЗО и прилагат конвенцията в зависимост от съответните си области на компетентност. Оценка на въздействието от прилагането на РККТ не се предвижда.</w:t>
      </w:r>
    </w:p>
    <w:p>
      <w:pPr>
        <w:spacing w:before="0" w:after="200" w:line="276" w:lineRule="auto"/>
        <w:jc w:val="left"/>
        <w:rPr>
          <w:rFonts w:ascii="Calibri" w:eastAsia="Calibri" w:hAnsi="Calibri"/>
          <w:noProof/>
          <w:sz w:val="22"/>
          <w:szCs w:val="22"/>
          <w:lang w:val="bg-BG" w:eastAsia="bg-BG"/>
        </w:rPr>
      </w:pPr>
    </w:p>
    <w:p>
      <w:pPr>
        <w:jc w:val="center"/>
        <w:rPr>
          <w:rFonts w:eastAsia="Times New Roman"/>
          <w:noProof/>
          <w:sz w:val="20"/>
          <w:lang w:val="bg-BG" w:eastAsia="bg-BG"/>
        </w:rPr>
      </w:pPr>
      <w:r>
        <w:rPr>
          <w:noProof/>
          <w:lang w:val="bg-BG" w:eastAsia="bg-BG"/>
        </w:rPr>
        <w:t>* * *</w:t>
      </w:r>
    </w:p>
    <w:sectPr>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roman"/>
    <w:pitch w:val="default"/>
  </w:font>
  <w:font w:name="ヒラギノ角ゴ Pro W3">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sz w:val="20"/>
      </w:rPr>
    </w:pPr>
    <w:r>
      <w:rPr>
        <w:rFonts w:ascii="Arial" w:hAnsi="Arial"/>
        <w:b/>
        <w:sz w:val="48"/>
      </w:rPr>
      <w:t>EN</w:t>
    </w:r>
    <w:r>
      <w:rPr>
        <w:rFonts w:ascii="Arial" w:hAnsi="Arial"/>
        <w:b/>
        <w:sz w:val="48"/>
      </w:rPr>
      <w:tab/>
    </w:r>
    <w:r>
      <w:rPr>
        <w:rFonts w:ascii="Arial" w:hAnsi="Arial"/>
        <w:b/>
        <w:sz w:val="48"/>
      </w:rPr>
      <w:tab/>
    </w:r>
    <w:r>
      <w:t xml:space="preserve"> </w:t>
    </w:r>
    <w:r>
      <w:tab/>
    </w:r>
    <w:r>
      <w:rPr>
        <w:rFonts w:ascii="Arial" w:hAnsi="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16"/>
        <w:szCs w:val="16"/>
        <w:lang w:val="it-IT"/>
      </w:rPr>
    </w:pPr>
    <w:r>
      <w:rPr>
        <w:sz w:val="16"/>
        <w:szCs w:val="16"/>
        <w:lang w:val="it-IT"/>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r>
      <w:rPr>
        <w:noProof/>
        <w:sz w:val="16"/>
        <w:szCs w:val="16"/>
        <w:lang w:val="it-IT"/>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rPr>
          <w:lang w:val="bg-BG"/>
        </w:rPr>
      </w:pPr>
      <w:r>
        <w:rPr>
          <w:rStyle w:val="FootnoteReference"/>
          <w:sz w:val="18"/>
          <w:lang w:val="bg-BG"/>
        </w:rPr>
        <w:footnoteRef/>
      </w:r>
      <w:r>
        <w:rPr>
          <w:sz w:val="18"/>
          <w:lang w:val="bg-BG"/>
        </w:rPr>
        <w:t xml:space="preserve"> Съгласно член 319, параграф 3 от Договора за функционирането на Европейския съюз (ДФЕС) и член 166 от Финансовия регламент. Резолюциите относно освобождаването от отговорност и препоръката на Съвета могат да бъдат намерени на следния адрес: http://www.europarl.europa.eu/committees/bg/cont/discharge-2014.html</w:t>
      </w:r>
    </w:p>
  </w:footnote>
  <w:footnote w:id="3">
    <w:p>
      <w:pPr>
        <w:pStyle w:val="FootnoteText"/>
        <w:rPr>
          <w:lang w:val="bg-BG"/>
        </w:rPr>
      </w:pPr>
      <w:r>
        <w:rPr>
          <w:rStyle w:val="FootnoteReference"/>
          <w:lang w:val="bg-BG"/>
        </w:rPr>
        <w:footnoteRef/>
      </w:r>
      <w:r>
        <w:rPr>
          <w:lang w:val="bg-BG"/>
        </w:rPr>
        <w:t xml:space="preserve"> </w:t>
      </w:r>
      <w:r>
        <w:rPr>
          <w:sz w:val="18"/>
          <w:lang w:val="bg-BG"/>
        </w:rPr>
        <w:t>Изявление на заместник-председателя Георгиева по време на разискванията на пленарното заседание в ЕП (27.4.2016 г.)</w:t>
      </w:r>
    </w:p>
  </w:footnote>
  <w:footnote w:id="4">
    <w:p>
      <w:pPr>
        <w:pStyle w:val="FootnoteText"/>
        <w:rPr>
          <w:sz w:val="18"/>
          <w:szCs w:val="18"/>
          <w:lang w:val="bg-BG"/>
        </w:rPr>
      </w:pPr>
      <w:r>
        <w:rPr>
          <w:rStyle w:val="FootnoteReferenceFootnoteFootnotesymbolFootnotesrefssFootnoteReferenceNumberBVIfnrBVIfnrCarCarBVIfnrCarBVIfnrCarCarCarCarCharBVIfnrCarCarCarCarCharCharCharCharCharChar1CharCharCharChar"/>
          <w:lang w:val="bg-BG"/>
        </w:rPr>
        <w:footnoteRef/>
      </w:r>
      <w:r>
        <w:rPr>
          <w:lang w:val="bg-BG"/>
        </w:rPr>
        <w:t xml:space="preserve"> </w:t>
      </w:r>
      <w:r>
        <w:rPr>
          <w:sz w:val="18"/>
          <w:lang w:val="bg-BG"/>
        </w:rPr>
        <w:t>Ares(2016)899463 (22.2.2016 г.), ARES(2016)1254065 (11.3.2016 г.)</w:t>
      </w:r>
    </w:p>
  </w:footnote>
  <w:footnote w:id="5">
    <w:p>
      <w:pPr>
        <w:pStyle w:val="FootnoteText"/>
        <w:rPr>
          <w:lang w:val="bg-BG"/>
        </w:rPr>
      </w:pPr>
      <w:r>
        <w:rPr>
          <w:rStyle w:val="FootnoteReference"/>
        </w:rPr>
        <w:footnoteRef/>
      </w:r>
      <w:r>
        <w:t xml:space="preserve"> </w:t>
      </w:r>
      <w:r>
        <w:rPr>
          <w:lang w:val="bg-BG"/>
        </w:rPr>
        <w:t xml:space="preserve">Вж. точки </w:t>
      </w:r>
      <w:r>
        <w:rPr>
          <w:highlight w:val="yellow"/>
          <w:lang w:val="bg-BG"/>
        </w:rPr>
        <w:t>3</w:t>
      </w:r>
      <w:r>
        <w:rPr>
          <w:lang w:val="bg-BG"/>
        </w:rPr>
        <w:t>, 15, 16, 34, 35, 39, 40, 46, 48, 75, 76, 79, 80, 83, 125, 142, 148, 150—</w:t>
      </w:r>
      <w:r>
        <w:rPr>
          <w:highlight w:val="yellow"/>
          <w:lang w:val="bg-BG"/>
        </w:rPr>
        <w:t>152</w:t>
      </w:r>
      <w:r>
        <w:rPr>
          <w:lang w:val="bg-BG"/>
        </w:rPr>
        <w:t xml:space="preserve">, </w:t>
      </w:r>
      <w:r>
        <w:rPr>
          <w:highlight w:val="yellow"/>
          <w:lang w:val="bg-BG"/>
        </w:rPr>
        <w:t>154</w:t>
      </w:r>
      <w:r>
        <w:rPr>
          <w:lang w:val="bg-BG"/>
        </w:rPr>
        <w:t xml:space="preserve">, 156-158, 164, 176, 185, 195, 205, 233, 241, 282, 309, 335, 336 от </w:t>
      </w:r>
      <w:r>
        <w:rPr>
          <w:sz w:val="19"/>
          <w:szCs w:val="19"/>
        </w:rPr>
        <w:t>работ</w:t>
      </w:r>
      <w:r>
        <w:rPr>
          <w:sz w:val="19"/>
          <w:szCs w:val="19"/>
          <w:lang w:val="bg-BG"/>
        </w:rPr>
        <w:t>ния</w:t>
      </w:r>
      <w:r>
        <w:rPr>
          <w:sz w:val="19"/>
          <w:szCs w:val="19"/>
        </w:rPr>
        <w:t xml:space="preserve"> документ на службите на Комисията</w:t>
      </w:r>
      <w:r>
        <w:rPr>
          <w:lang w:val="bg-BG"/>
        </w:rPr>
        <w:t xml:space="preserve"> относно резолюциите на ЕП.</w:t>
      </w:r>
    </w:p>
  </w:footnote>
  <w:footnote w:id="6">
    <w:p>
      <w:pPr>
        <w:pStyle w:val="FootnoteText"/>
        <w:rPr>
          <w:lang w:val="en-GB"/>
        </w:rPr>
      </w:pPr>
      <w:r>
        <w:rPr>
          <w:rStyle w:val="FootnoteReference"/>
        </w:rPr>
        <w:footnoteRef/>
      </w:r>
      <w:r>
        <w:t xml:space="preserve"> </w:t>
      </w:r>
    </w:p>
  </w:footnote>
  <w:footnote w:id="7">
    <w:p>
      <w:pPr>
        <w:pStyle w:val="FootnoteText"/>
        <w:rPr>
          <w:lang w:val="bg-BG"/>
        </w:rPr>
      </w:pPr>
      <w:r>
        <w:rPr>
          <w:rStyle w:val="FootnoteReference"/>
          <w:lang w:val="bg-BG"/>
        </w:rPr>
        <w:footnoteRef/>
      </w:r>
      <w:r>
        <w:rPr>
          <w:lang w:val="bg-BG"/>
        </w:rPr>
        <w:t xml:space="preserve"> COM(2016) 446 final.</w:t>
      </w:r>
    </w:p>
  </w:footnote>
  <w:footnote w:id="8">
    <w:p>
      <w:pPr>
        <w:pStyle w:val="FootnoteText"/>
        <w:rPr>
          <w:lang w:val="bg-BG"/>
        </w:rPr>
      </w:pPr>
      <w:r>
        <w:rPr>
          <w:rStyle w:val="FootnoteReference"/>
          <w:lang w:val="bg-BG"/>
        </w:rPr>
        <w:footnoteRef/>
      </w:r>
      <w:r>
        <w:rPr>
          <w:lang w:val="bg-BG"/>
        </w:rPr>
        <w:t xml:space="preserve"> </w:t>
      </w:r>
      <w:r>
        <w:rPr>
          <w:sz w:val="18"/>
          <w:lang w:val="bg-BG"/>
        </w:rPr>
        <w:t>За годишните програми това е моментът, когато целият корективен контрол е извършен. Обикновено това става няколко години след плащането в зависимост от условията на програмата.</w:t>
      </w:r>
    </w:p>
  </w:footnote>
  <w:footnote w:id="9">
    <w:p>
      <w:pPr>
        <w:pStyle w:val="FootnoteText"/>
        <w:rPr>
          <w:lang w:val="bg-BG"/>
        </w:rPr>
      </w:pPr>
      <w:r>
        <w:rPr>
          <w:rStyle w:val="FootnoteReference"/>
          <w:lang w:val="bg-BG"/>
        </w:rPr>
        <w:footnoteRef/>
      </w:r>
      <w:r>
        <w:rPr>
          <w:lang w:val="bg-BG"/>
        </w:rPr>
        <w:t xml:space="preserve"> Европейски земеделски фонд за развитие на селските райони.</w:t>
      </w:r>
    </w:p>
  </w:footnote>
  <w:footnote w:id="10">
    <w:p>
      <w:pPr>
        <w:pStyle w:val="FootnoteText"/>
        <w:rPr>
          <w:lang w:val="bg-BG"/>
        </w:rPr>
      </w:pPr>
      <w:r>
        <w:rPr>
          <w:rStyle w:val="FootnoteReference"/>
          <w:lang w:val="bg-BG"/>
        </w:rPr>
        <w:footnoteRef/>
      </w:r>
      <w:r>
        <w:rPr>
          <w:lang w:val="bg-BG"/>
        </w:rPr>
        <w:t xml:space="preserve"> SEC(2012) 679.</w:t>
      </w:r>
    </w:p>
  </w:footnote>
  <w:footnote w:id="11">
    <w:p>
      <w:pPr>
        <w:pStyle w:val="FootnoteText"/>
        <w:rPr>
          <w:lang w:val="bg-BG"/>
        </w:rPr>
      </w:pPr>
      <w:r>
        <w:rPr>
          <w:rStyle w:val="FootnoteReference"/>
          <w:lang w:val="bg-BG"/>
        </w:rPr>
        <w:footnoteRef/>
      </w:r>
      <w:r>
        <w:rPr>
          <w:lang w:val="bg-BG"/>
        </w:rPr>
        <w:t xml:space="preserve"> COM(2013) 324 final.</w:t>
      </w:r>
    </w:p>
  </w:footnote>
  <w:footnote w:id="12">
    <w:p>
      <w:pPr>
        <w:pStyle w:val="FootnoteText"/>
        <w:rPr>
          <w:lang w:val="bg-BG"/>
        </w:rPr>
      </w:pPr>
      <w:r>
        <w:rPr>
          <w:rStyle w:val="FootnoteReference"/>
          <w:lang w:val="bg-BG"/>
        </w:rPr>
        <w:footnoteRef/>
      </w:r>
      <w:r>
        <w:rPr>
          <w:lang w:val="bg-BG"/>
        </w:rPr>
        <w:t xml:space="preserve"> SWD(2016) 44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2693"/>
      </w:pPr>
      <w:rPr>
        <w:rFonts w:hint="default"/>
        <w:color w:val="000000"/>
        <w:position w:val="0"/>
        <w:sz w:val="24"/>
      </w:rPr>
    </w:lvl>
    <w:lvl w:ilvl="1">
      <w:start w:val="1"/>
      <w:numFmt w:val="decimal"/>
      <w:isLgl/>
      <w:lvlText w:val="%1.%2."/>
      <w:lvlJc w:val="left"/>
      <w:pPr>
        <w:tabs>
          <w:tab w:val="num" w:pos="567"/>
        </w:tabs>
        <w:ind w:left="567" w:firstLine="0"/>
      </w:pPr>
      <w:rPr>
        <w:rFonts w:hint="default"/>
        <w:color w:val="000000"/>
        <w:position w:val="0"/>
        <w:sz w:val="24"/>
      </w:rPr>
    </w:lvl>
    <w:lvl w:ilvl="2">
      <w:start w:val="1"/>
      <w:numFmt w:val="decimal"/>
      <w:isLgl/>
      <w:suff w:val="nothing"/>
      <w:lvlText w:val="%1.%2.%3."/>
      <w:lvlJc w:val="left"/>
      <w:pPr>
        <w:ind w:left="0" w:firstLine="850"/>
      </w:pPr>
      <w:rPr>
        <w:rFonts w:hint="default"/>
        <w:color w:val="000000"/>
        <w:position w:val="0"/>
        <w:sz w:val="24"/>
      </w:rPr>
    </w:lvl>
    <w:lvl w:ilvl="3">
      <w:start w:val="1"/>
      <w:numFmt w:val="decimal"/>
      <w:isLgl/>
      <w:suff w:val="nothing"/>
      <w:lvlText w:val="%1.%2.%3.%4."/>
      <w:lvlJc w:val="left"/>
      <w:pPr>
        <w:ind w:left="0" w:firstLine="850"/>
      </w:pPr>
      <w:rPr>
        <w:rFonts w:hint="default"/>
        <w:color w:val="000000"/>
        <w:position w:val="0"/>
        <w:sz w:val="24"/>
      </w:rPr>
    </w:lvl>
    <w:lvl w:ilvl="4">
      <w:start w:val="1"/>
      <w:numFmt w:val="lowerLetter"/>
      <w:suff w:val="nothing"/>
      <w:lvlText w:val="(%5)"/>
      <w:lvlJc w:val="left"/>
      <w:pPr>
        <w:ind w:left="0" w:firstLine="1800"/>
      </w:pPr>
      <w:rPr>
        <w:rFonts w:hint="default"/>
        <w:color w:val="000000"/>
        <w:position w:val="0"/>
        <w:sz w:val="24"/>
      </w:rPr>
    </w:lvl>
    <w:lvl w:ilvl="5">
      <w:start w:val="1"/>
      <w:numFmt w:val="lowerRoman"/>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lowerLetter"/>
      <w:suff w:val="nothing"/>
      <w:lvlText w:val="%8."/>
      <w:lvlJc w:val="left"/>
      <w:pPr>
        <w:ind w:left="0" w:firstLine="2880"/>
      </w:pPr>
      <w:rPr>
        <w:rFonts w:hint="default"/>
        <w:color w:val="000000"/>
        <w:position w:val="0"/>
        <w:sz w:val="24"/>
      </w:rPr>
    </w:lvl>
    <w:lvl w:ilvl="8">
      <w:start w:val="1"/>
      <w:numFmt w:val="lowerRoman"/>
      <w:suff w:val="nothing"/>
      <w:lvlText w:val="%9."/>
      <w:lvlJc w:val="left"/>
      <w:pPr>
        <w:ind w:left="0" w:firstLine="3240"/>
      </w:pPr>
      <w:rPr>
        <w:rFont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284"/>
        </w:tabs>
        <w:ind w:left="284" w:firstLine="43"/>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2">
    <w:nsid w:val="00000003"/>
    <w:multiLevelType w:val="multilevel"/>
    <w:tmpl w:val="894EE875"/>
    <w:lvl w:ilvl="0">
      <w:start w:val="1"/>
      <w:numFmt w:val="bullet"/>
      <w:lvlText w:val="•"/>
      <w:lvlJc w:val="left"/>
      <w:pPr>
        <w:tabs>
          <w:tab w:val="num" w:pos="230"/>
        </w:tabs>
        <w:ind w:left="230" w:firstLine="1210"/>
      </w:pPr>
      <w:rPr>
        <w:rFonts w:hint="default"/>
        <w:color w:val="000000"/>
        <w:position w:val="0"/>
        <w:sz w:val="24"/>
      </w:rPr>
    </w:lvl>
    <w:lvl w:ilvl="1">
      <w:start w:val="1"/>
      <w:numFmt w:val="bullet"/>
      <w:suff w:val="nothing"/>
      <w:lvlText w:val="o"/>
      <w:lvlJc w:val="left"/>
      <w:pPr>
        <w:ind w:left="0" w:firstLine="2290"/>
      </w:pPr>
      <w:rPr>
        <w:rFonts w:ascii="Courier New" w:eastAsia="ヒラギノ角ゴ Pro W3" w:hAnsi="Courier New" w:hint="default"/>
        <w:color w:val="000000"/>
        <w:position w:val="0"/>
        <w:sz w:val="24"/>
      </w:rPr>
    </w:lvl>
    <w:lvl w:ilvl="2">
      <w:start w:val="1"/>
      <w:numFmt w:val="bullet"/>
      <w:suff w:val="nothing"/>
      <w:lvlText w:val=""/>
      <w:lvlJc w:val="left"/>
      <w:pPr>
        <w:ind w:left="0" w:firstLine="3010"/>
      </w:pPr>
      <w:rPr>
        <w:rFonts w:ascii="Wingdings" w:eastAsia="ヒラギノ角ゴ Pro W3" w:hAnsi="Wingdings" w:hint="default"/>
        <w:color w:val="000000"/>
        <w:position w:val="0"/>
        <w:sz w:val="24"/>
      </w:rPr>
    </w:lvl>
    <w:lvl w:ilvl="3">
      <w:start w:val="1"/>
      <w:numFmt w:val="bullet"/>
      <w:suff w:val="nothing"/>
      <w:lvlText w:val="•"/>
      <w:lvlJc w:val="left"/>
      <w:pPr>
        <w:ind w:left="0" w:firstLine="3730"/>
      </w:pPr>
      <w:rPr>
        <w:rFonts w:hint="default"/>
        <w:color w:val="000000"/>
        <w:position w:val="0"/>
        <w:sz w:val="24"/>
      </w:rPr>
    </w:lvl>
    <w:lvl w:ilvl="4">
      <w:start w:val="1"/>
      <w:numFmt w:val="bullet"/>
      <w:suff w:val="nothing"/>
      <w:lvlText w:val="o"/>
      <w:lvlJc w:val="left"/>
      <w:pPr>
        <w:ind w:left="0" w:firstLine="4450"/>
      </w:pPr>
      <w:rPr>
        <w:rFonts w:ascii="Courier New" w:eastAsia="ヒラギノ角ゴ Pro W3" w:hAnsi="Courier New" w:hint="default"/>
        <w:color w:val="000000"/>
        <w:position w:val="0"/>
        <w:sz w:val="24"/>
      </w:rPr>
    </w:lvl>
    <w:lvl w:ilvl="5">
      <w:start w:val="1"/>
      <w:numFmt w:val="bullet"/>
      <w:suff w:val="nothing"/>
      <w:lvlText w:val=""/>
      <w:lvlJc w:val="left"/>
      <w:pPr>
        <w:ind w:left="0" w:firstLine="5170"/>
      </w:pPr>
      <w:rPr>
        <w:rFonts w:ascii="Wingdings" w:eastAsia="ヒラギノ角ゴ Pro W3" w:hAnsi="Wingdings" w:hint="default"/>
        <w:color w:val="000000"/>
        <w:position w:val="0"/>
        <w:sz w:val="24"/>
      </w:rPr>
    </w:lvl>
    <w:lvl w:ilvl="6">
      <w:start w:val="1"/>
      <w:numFmt w:val="bullet"/>
      <w:suff w:val="nothing"/>
      <w:lvlText w:val="•"/>
      <w:lvlJc w:val="left"/>
      <w:pPr>
        <w:ind w:left="0" w:firstLine="5890"/>
      </w:pPr>
      <w:rPr>
        <w:rFonts w:hint="default"/>
        <w:color w:val="000000"/>
        <w:position w:val="0"/>
        <w:sz w:val="24"/>
      </w:rPr>
    </w:lvl>
    <w:lvl w:ilvl="7">
      <w:start w:val="1"/>
      <w:numFmt w:val="bullet"/>
      <w:suff w:val="nothing"/>
      <w:lvlText w:val="o"/>
      <w:lvlJc w:val="left"/>
      <w:pPr>
        <w:ind w:left="0" w:firstLine="6610"/>
      </w:pPr>
      <w:rPr>
        <w:rFonts w:ascii="Courier New" w:eastAsia="ヒラギノ角ゴ Pro W3" w:hAnsi="Courier New" w:hint="default"/>
        <w:color w:val="000000"/>
        <w:position w:val="0"/>
        <w:sz w:val="24"/>
      </w:rPr>
    </w:lvl>
    <w:lvl w:ilvl="8">
      <w:start w:val="1"/>
      <w:numFmt w:val="bullet"/>
      <w:suff w:val="nothing"/>
      <w:lvlText w:val=""/>
      <w:lvlJc w:val="left"/>
      <w:pPr>
        <w:ind w:left="0" w:firstLine="7330"/>
      </w:pPr>
      <w:rPr>
        <w:rFonts w:ascii="Wingdings" w:eastAsia="ヒラギノ角ゴ Pro W3" w:hAnsi="Wingdings" w:hint="default"/>
        <w:color w:val="000000"/>
        <w:position w:val="0"/>
        <w:sz w:val="24"/>
      </w:rPr>
    </w:lvl>
  </w:abstractNum>
  <w:abstractNum w:abstractNumId="3">
    <w:nsid w:val="0F0C662C"/>
    <w:multiLevelType w:val="hybridMultilevel"/>
    <w:tmpl w:val="CDEC5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9161DEA"/>
    <w:multiLevelType w:val="hybridMultilevel"/>
    <w:tmpl w:val="A79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922CBF"/>
    <w:multiLevelType w:val="hybridMultilevel"/>
    <w:tmpl w:val="367CA750"/>
    <w:lvl w:ilvl="0" w:tplc="DFAEC8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425336C"/>
    <w:multiLevelType w:val="hybridMultilevel"/>
    <w:tmpl w:val="0BB6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9614BC"/>
    <w:multiLevelType w:val="hybridMultilevel"/>
    <w:tmpl w:val="2B5A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2909D8"/>
    <w:multiLevelType w:val="hybridMultilevel"/>
    <w:tmpl w:val="9A86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B80D02"/>
    <w:multiLevelType w:val="hybridMultilevel"/>
    <w:tmpl w:val="A83C802C"/>
    <w:lvl w:ilvl="0" w:tplc="F10C0560">
      <w:numFmt w:val="bullet"/>
      <w:lvlText w:val="-"/>
      <w:lvlJc w:val="left"/>
      <w:pPr>
        <w:ind w:left="720" w:hanging="360"/>
      </w:pPr>
      <w:rPr>
        <w:rFonts w:ascii="Simplified Arabic Fixed" w:eastAsia="Calibri" w:hAnsi="Simplified Arabic Fixed" w:cs="Simplified Arabic Fixed" w:hint="default"/>
        <w:color w:val="000000"/>
        <w:sz w:val="23"/>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0">
    <w:nsid w:val="7EA835DC"/>
    <w:multiLevelType w:val="hybridMultilevel"/>
    <w:tmpl w:val="12EEB8E0"/>
    <w:lvl w:ilvl="0" w:tplc="D58AB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9"/>
  </w:num>
  <w:num w:numId="7">
    <w:abstractNumId w:val="5"/>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markup="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865AAC0255F4820A63F61C8A562FB5A"/>
    <w:docVar w:name="LW_CROSSREFERENCE" w:val="{SWD(2016) 338 final}_x000b_{SWD(2016) 339 final}"/>
    <w:docVar w:name="LW_DocType" w:val="NORMAL"/>
    <w:docVar w:name="LW_EMISSION" w:val="17.10.2016"/>
    <w:docVar w:name="LW_EMISSION_ISODATE" w:val="2016-10-1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74"/>
    <w:docVar w:name="LW_REF.INTERNE" w:val="&lt;UNUSED&gt;"/>
    <w:docVar w:name="LW_SOUS.TITRE.OBJ.CP" w:val="&lt;UNUSED&gt;"/>
    <w:docVar w:name="LW_SUPERTITRE" w:val="&lt;UNUSED&gt;"/>
    <w:docVar w:name="LW_TITRE.OBJ.CP" w:val="\u1086?\u1090?\u1085?\u1086?\u1089?\u1085?\u1086? \u1087?\u1086?\u1089?\u1083?\u1077?\u1076?\u1074?\u1072?\u1097?\u1080?\u1090?\u1077? \u1076?\u1077?\u1081?\u1089?\u1090?\u1074?\u1080?\u1103?, \u1089?\u1074?\u1098?\u1088?\u1079?\u1072?\u1085?\u1080? \u1089? \u1086?\u1089?\u1074?\u1086?\u1073?\u1086?\u1078?\u1076?\u1072?\u1074?\u1072?\u1085?\u1077?\u1090?\u1086? \u1086?\u1090? \u1086?\u1090?\u1075?\u1086?\u1074?\u1086?\u1088?\u1085?\u1086?\u1089?\u1090? \u1074?\u1098?\u1074? \u1074?\u1088?\u1098?\u1079?\u1082?\u1072? \u1089? \u1080?\u1079?\u1087?\u1098?\u1083?\u1085?\u1077?\u1085?\u1080?\u1077?\u1090?\u1086? \u1085?\u1072? \u1073?\u1102?\u1076?\u1078?\u1077?\u1090?\u1072? \u1079?\u1072? \u1092?\u1080?\u1085?\u1072?\u1085?\u1089?\u1086?\u1074?\u1072?\u1090?\u1072? 2014 \u1075?\u1086?\u1076?\u1080?\u1085?\u1072? (\u1054?\u1073?\u1086?\u1073?\u1097?\u1077?\u1085?\u108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before="120" w:after="120"/>
      <w:jc w:val="both"/>
    </w:pPr>
    <w:rPr>
      <w:rFonts w:eastAsia="ヒラギノ角ゴ Pro W3"/>
      <w:color w:val="00000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Text1"/>
    <w:qFormat/>
    <w:pPr>
      <w:keepNext/>
      <w:tabs>
        <w:tab w:val="left" w:pos="1701"/>
      </w:tabs>
      <w:spacing w:before="120" w:after="120"/>
      <w:jc w:val="both"/>
      <w:outlineLvl w:val="1"/>
    </w:pPr>
    <w:rPr>
      <w:rFonts w:eastAsia="ヒラギノ角ゴ Pro W3"/>
      <w:b/>
      <w:color w:val="000000"/>
      <w:sz w:val="24"/>
    </w:rPr>
  </w:style>
  <w:style w:type="paragraph" w:customStyle="1" w:styleId="ModulovuotoA">
    <w:name w:val="Modulo vuoto A"/>
    <w:rPr>
      <w:rFonts w:eastAsia="ヒラギノ角ゴ Pro W3"/>
      <w:color w:val="000000"/>
      <w:lang w:val="en-US"/>
    </w:rPr>
  </w:style>
  <w:style w:type="paragraph" w:customStyle="1" w:styleId="Footer1">
    <w:name w:val="Footer1"/>
    <w:pPr>
      <w:tabs>
        <w:tab w:val="center" w:pos="4535"/>
        <w:tab w:val="right" w:pos="9071"/>
        <w:tab w:val="right" w:pos="9921"/>
      </w:tabs>
      <w:spacing w:before="360"/>
    </w:pPr>
    <w:rPr>
      <w:rFonts w:eastAsia="ヒラギノ角ゴ Pro W3"/>
      <w:color w:val="000000"/>
      <w:sz w:val="24"/>
    </w:rPr>
  </w:style>
  <w:style w:type="paragraph" w:customStyle="1" w:styleId="Pagedecouverture">
    <w:name w:val="Page de couverture"/>
    <w:next w:val="Normal"/>
    <w:link w:val="PagedecouvertureChar"/>
    <w:pPr>
      <w:jc w:val="both"/>
    </w:pPr>
    <w:rPr>
      <w:rFonts w:eastAsia="ヒラギノ角ゴ Pro W3"/>
      <w:color w:val="000000"/>
      <w:sz w:val="24"/>
    </w:rPr>
  </w:style>
  <w:style w:type="paragraph" w:customStyle="1" w:styleId="Modulovuoto">
    <w:name w:val="Modulo vuoto"/>
    <w:rPr>
      <w:rFonts w:eastAsia="ヒラギノ角ゴ Pro W3"/>
      <w:color w:val="000000"/>
      <w:lang w:val="en-US"/>
    </w:rPr>
  </w:style>
  <w:style w:type="paragraph" w:customStyle="1" w:styleId="Typedudocument">
    <w:name w:val="Type du document"/>
    <w:next w:val="Titreobjet"/>
    <w:pPr>
      <w:spacing w:before="360"/>
      <w:jc w:val="center"/>
    </w:pPr>
    <w:rPr>
      <w:rFonts w:eastAsia="ヒラギノ角ゴ Pro W3"/>
      <w:b/>
      <w:color w:val="000000"/>
      <w:sz w:val="24"/>
    </w:rPr>
  </w:style>
  <w:style w:type="paragraph" w:customStyle="1" w:styleId="Titreobjet">
    <w:name w:val="Titre objet"/>
    <w:pPr>
      <w:spacing w:before="360" w:after="360"/>
      <w:jc w:val="center"/>
    </w:pPr>
    <w:rPr>
      <w:rFonts w:eastAsia="ヒラギノ角ゴ Pro W3"/>
      <w:b/>
      <w:color w:val="000000"/>
      <w:sz w:val="24"/>
    </w:rPr>
  </w:style>
  <w:style w:type="paragraph" w:customStyle="1" w:styleId="Text1">
    <w:name w:val="Text 1"/>
    <w:pPr>
      <w:spacing w:before="120" w:after="120"/>
      <w:ind w:left="850"/>
      <w:jc w:val="both"/>
    </w:pPr>
    <w:rPr>
      <w:rFonts w:eastAsia="ヒラギノ角ゴ Pro W3"/>
      <w:color w:val="000000"/>
      <w:sz w:val="24"/>
    </w:rPr>
  </w:style>
  <w:style w:type="paragraph" w:customStyle="1" w:styleId="ManualHeading1">
    <w:name w:val="Manual Heading 1"/>
    <w:next w:val="Text1"/>
    <w:pPr>
      <w:keepNext/>
      <w:tabs>
        <w:tab w:val="left" w:pos="850"/>
      </w:tabs>
      <w:spacing w:before="360" w:after="120"/>
      <w:ind w:left="850" w:hanging="850"/>
      <w:jc w:val="both"/>
      <w:outlineLvl w:val="0"/>
    </w:pPr>
    <w:rPr>
      <w:rFonts w:eastAsia="ヒラギノ角ゴ Pro W3"/>
      <w:b/>
      <w:smallCaps/>
      <w:color w:val="000000"/>
      <w:sz w:val="24"/>
    </w:rPr>
  </w:style>
  <w:style w:type="paragraph" w:customStyle="1" w:styleId="FootnoteText1">
    <w:name w:val="Footnote Text1"/>
    <w:pPr>
      <w:ind w:left="720" w:hanging="720"/>
      <w:jc w:val="both"/>
    </w:pPr>
    <w:rPr>
      <w:rFonts w:eastAsia="ヒラギノ角ゴ Pro W3"/>
      <w:color w:val="000000"/>
    </w:rPr>
  </w:style>
  <w:style w:type="character" w:customStyle="1" w:styleId="FootnoteReference1">
    <w:name w:val="Footnote Reference1"/>
    <w:rPr>
      <w:color w:val="000000"/>
      <w:sz w:val="20"/>
      <w:vertAlign w:val="superscript"/>
    </w:rPr>
  </w:style>
  <w:style w:type="character" w:customStyle="1" w:styleId="Hyperlink1">
    <w:name w:val="Hyperlink1"/>
    <w:rPr>
      <w:color w:val="0000FF"/>
      <w:sz w:val="20"/>
      <w:u w:val="single"/>
    </w:rPr>
  </w:style>
  <w:style w:type="paragraph" w:customStyle="1" w:styleId="FootnoteText2">
    <w:name w:val="Footnote Text2"/>
    <w:pPr>
      <w:spacing w:before="120" w:after="120"/>
      <w:jc w:val="both"/>
    </w:pPr>
    <w:rPr>
      <w:rFonts w:eastAsia="ヒラギノ角ゴ Pro W3"/>
      <w:color w:val="000000"/>
    </w:rPr>
  </w:style>
  <w:style w:type="character" w:customStyle="1" w:styleId="FootnoteReference2">
    <w:name w:val="Footnote Reference2"/>
    <w:rPr>
      <w:color w:val="000000"/>
      <w:sz w:val="20"/>
      <w:vertAlign w:val="superscript"/>
    </w:rPr>
  </w:style>
  <w:style w:type="paragraph" w:styleId="FootnoteText">
    <w:name w:val="footnote text"/>
    <w:basedOn w:val="Normal"/>
    <w:link w:val="FootnoteTextChar"/>
    <w:locked/>
    <w:rPr>
      <w:sz w:val="20"/>
      <w:szCs w:val="20"/>
      <w:lang w:val="x-none"/>
    </w:rPr>
  </w:style>
  <w:style w:type="character" w:customStyle="1" w:styleId="FootnoteTextChar">
    <w:name w:val="Footnote Text Char"/>
    <w:link w:val="FootnoteText"/>
    <w:rPr>
      <w:rFonts w:eastAsia="ヒラギノ角ゴ Pro W3"/>
      <w:color w:val="000000"/>
      <w:lang w:eastAsia="en-US"/>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uiPriority w:val="99"/>
    <w:qFormat/>
    <w:locked/>
    <w:rPr>
      <w:vertAlign w:val="superscript"/>
    </w:rPr>
  </w:style>
  <w:style w:type="paragraph" w:customStyle="1" w:styleId="Corpo">
    <w:name w:val="Corpo"/>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TableText">
    <w:name w:val="TableText"/>
    <w:pPr>
      <w:keepNext/>
      <w:keepLines/>
      <w:pBdr>
        <w:top w:val="nil"/>
        <w:left w:val="nil"/>
        <w:bottom w:val="nil"/>
        <w:right w:val="nil"/>
        <w:between w:val="nil"/>
        <w:bar w:val="nil"/>
      </w:pBdr>
      <w:spacing w:before="60" w:after="60"/>
      <w:ind w:left="10"/>
    </w:pPr>
    <w:rPr>
      <w:rFonts w:ascii="Arial Unicode MS" w:eastAsia="Arial Unicode MS" w:hAnsi="Arial" w:cs="Arial Unicode MS"/>
      <w:color w:val="000000"/>
      <w:sz w:val="16"/>
      <w:szCs w:val="16"/>
      <w:u w:color="000000"/>
      <w:bdr w:val="nil"/>
      <w:lang w:val="en-US"/>
    </w:rPr>
  </w:style>
  <w:style w:type="paragraph" w:styleId="BalloonText">
    <w:name w:val="Balloon Text"/>
    <w:basedOn w:val="Normal"/>
    <w:link w:val="BalloonTextChar"/>
    <w:locked/>
    <w:pPr>
      <w:spacing w:before="0" w:after="0"/>
    </w:pPr>
    <w:rPr>
      <w:rFonts w:ascii="Tahoma" w:hAnsi="Tahoma"/>
      <w:sz w:val="16"/>
      <w:szCs w:val="16"/>
      <w:lang w:val="x-none"/>
    </w:rPr>
  </w:style>
  <w:style w:type="character" w:customStyle="1" w:styleId="BalloonTextChar">
    <w:name w:val="Balloon Text Char"/>
    <w:link w:val="BalloonText"/>
    <w:rPr>
      <w:rFonts w:ascii="Tahoma" w:eastAsia="ヒラギノ角ゴ Pro W3" w:hAnsi="Tahoma" w:cs="Tahoma"/>
      <w:color w:val="000000"/>
      <w:sz w:val="16"/>
      <w:szCs w:val="16"/>
      <w:lang w:eastAsia="en-US"/>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lang w:val="x-none"/>
    </w:rPr>
  </w:style>
  <w:style w:type="character" w:customStyle="1" w:styleId="CommentTextChar">
    <w:name w:val="Comment Text Char"/>
    <w:link w:val="CommentText"/>
    <w:rPr>
      <w:rFonts w:eastAsia="ヒラギノ角ゴ Pro W3"/>
      <w:color w:val="000000"/>
      <w:lang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eastAsia="ヒラギノ角ゴ Pro W3"/>
      <w:b/>
      <w:bCs/>
      <w:color w:val="000000"/>
      <w:lang w:eastAsia="en-US"/>
    </w:rPr>
  </w:style>
  <w:style w:type="paragraph" w:customStyle="1" w:styleId="ColorfulShading-Accent11">
    <w:name w:val="Colorful Shading - Accent 11"/>
    <w:hidden/>
    <w:uiPriority w:val="99"/>
    <w:semiHidden/>
    <w:rPr>
      <w:rFonts w:eastAsia="ヒラギノ角ゴ Pro W3"/>
      <w:color w:val="000000"/>
      <w:sz w:val="24"/>
      <w:szCs w:val="24"/>
      <w:lang w:eastAsia="en-US"/>
    </w:rPr>
  </w:style>
  <w:style w:type="character" w:customStyle="1" w:styleId="Marker">
    <w:name w:val="Marker"/>
    <w:rPr>
      <w:color w:val="0000FF"/>
      <w:shd w:val="clear" w:color="auto" w:fill="auto"/>
    </w:rPr>
  </w:style>
  <w:style w:type="paragraph" w:styleId="Header">
    <w:name w:val="header"/>
    <w:basedOn w:val="Normal"/>
    <w:link w:val="HeaderChar"/>
    <w:locked/>
    <w:pPr>
      <w:tabs>
        <w:tab w:val="center" w:pos="4536"/>
        <w:tab w:val="right" w:pos="9072"/>
      </w:tabs>
    </w:pPr>
    <w:rPr>
      <w:lang w:val="x-none"/>
    </w:rPr>
  </w:style>
  <w:style w:type="character" w:customStyle="1" w:styleId="HeaderChar">
    <w:name w:val="Header Char"/>
    <w:link w:val="Header"/>
    <w:rPr>
      <w:rFonts w:eastAsia="ヒラギノ角ゴ Pro W3"/>
      <w:color w:val="000000"/>
      <w:sz w:val="24"/>
      <w:szCs w:val="24"/>
      <w:lang w:eastAsia="en-US"/>
    </w:rPr>
  </w:style>
  <w:style w:type="paragraph" w:styleId="Footer">
    <w:name w:val="footer"/>
    <w:basedOn w:val="Normal"/>
    <w:link w:val="FooterChar"/>
    <w:uiPriority w:val="99"/>
    <w:locked/>
    <w:pPr>
      <w:tabs>
        <w:tab w:val="center" w:pos="4536"/>
        <w:tab w:val="right" w:pos="9072"/>
      </w:tabs>
    </w:pPr>
    <w:rPr>
      <w:lang w:val="x-none"/>
    </w:rPr>
  </w:style>
  <w:style w:type="character" w:customStyle="1" w:styleId="FooterChar">
    <w:name w:val="Footer Char"/>
    <w:link w:val="Footer"/>
    <w:uiPriority w:val="99"/>
    <w:rPr>
      <w:rFonts w:eastAsia="ヒラギノ角ゴ Pro W3"/>
      <w:color w:val="000000"/>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eastAsia="en-GB"/>
    </w:rPr>
  </w:style>
  <w:style w:type="character" w:customStyle="1" w:styleId="PagedecouvertureChar">
    <w:name w:val="Page de couverture Char"/>
    <w:link w:val="Pagedecouverture"/>
    <w:rPr>
      <w:rFonts w:eastAsia="ヒラギノ角ゴ Pro W3"/>
      <w:color w:val="000000"/>
      <w:sz w:val="24"/>
      <w:lang w:bidi="ar-SA"/>
    </w:rPr>
  </w:style>
  <w:style w:type="character" w:customStyle="1" w:styleId="FooterCoverPageChar">
    <w:name w:val="Footer Cover Page Char"/>
    <w:link w:val="FooterCoverPage"/>
    <w:rPr>
      <w:rFonts w:eastAsia="ヒラギノ角ゴ Pro W3"/>
      <w:color w:val="000000"/>
      <w:sz w:val="24"/>
      <w:szCs w:val="24"/>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link w:val="HeaderCoverPage"/>
    <w:rPr>
      <w:rFonts w:eastAsia="ヒラギノ角ゴ Pro W3"/>
      <w:color w:val="000000"/>
      <w:sz w:val="24"/>
      <w:szCs w:val="24"/>
    </w:rPr>
  </w:style>
  <w:style w:type="character" w:styleId="Hyperlink">
    <w:name w:val="Hyperlink"/>
    <w:locked/>
    <w:rPr>
      <w:color w:val="0000FF"/>
      <w:u w:val="single"/>
    </w:rPr>
  </w:style>
  <w:style w:type="paragraph" w:customStyle="1" w:styleId="Normal12Hanging">
    <w:name w:val="Normal12Hanging"/>
    <w:basedOn w:val="Normal"/>
    <w:pPr>
      <w:widowControl w:val="0"/>
      <w:spacing w:before="0" w:after="240"/>
      <w:ind w:left="357" w:hanging="357"/>
      <w:jc w:val="left"/>
    </w:pPr>
    <w:rPr>
      <w:rFonts w:eastAsia="Times New Roman"/>
      <w:snapToGrid w:val="0"/>
      <w:color w:val="auto"/>
      <w:szCs w:val="20"/>
      <w:lang w:eastAsia="en-GB"/>
    </w:rPr>
  </w:style>
  <w:style w:type="paragraph" w:customStyle="1" w:styleId="AddressTR">
    <w:name w:val="AddressTR"/>
    <w:basedOn w:val="Normal"/>
    <w:next w:val="Normal"/>
    <w:pPr>
      <w:spacing w:before="0" w:after="720" w:line="276" w:lineRule="auto"/>
      <w:ind w:left="5103"/>
      <w:jc w:val="left"/>
    </w:pPr>
    <w:rPr>
      <w:rFonts w:ascii="Calibri" w:eastAsia="Calibri" w:hAnsi="Calibri"/>
      <w:color w:val="auto"/>
      <w:sz w:val="22"/>
      <w:szCs w:val="22"/>
    </w:rPr>
  </w:style>
  <w:style w:type="paragraph" w:styleId="Closing">
    <w:name w:val="Closing"/>
    <w:basedOn w:val="Normal"/>
    <w:link w:val="ClosingChar"/>
    <w:locked/>
    <w:pPr>
      <w:ind w:left="4252"/>
    </w:pPr>
    <w:rPr>
      <w:lang w:val="x-none"/>
    </w:rPr>
  </w:style>
  <w:style w:type="character" w:customStyle="1" w:styleId="ClosingChar">
    <w:name w:val="Closing Char"/>
    <w:link w:val="Closing"/>
    <w:rPr>
      <w:rFonts w:eastAsia="ヒラギノ角ゴ Pro W3"/>
      <w:color w:val="000000"/>
      <w:sz w:val="24"/>
      <w:szCs w:val="24"/>
      <w:lang w:eastAsia="en-US"/>
    </w:rPr>
  </w:style>
  <w:style w:type="paragraph" w:customStyle="1" w:styleId="CorpoA">
    <w:name w:val="Corpo 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nl-NL"/>
    </w:rPr>
  </w:style>
  <w:style w:type="paragraph" w:styleId="NormalWeb">
    <w:name w:val="Normal (Web)"/>
    <w:basedOn w:val="Normal"/>
    <w:uiPriority w:val="99"/>
    <w:unhideWhenUsed/>
    <w:locked/>
    <w:pPr>
      <w:spacing w:before="100" w:beforeAutospacing="1" w:after="100" w:afterAutospacing="1"/>
      <w:jc w:val="left"/>
    </w:pPr>
    <w:rPr>
      <w:rFonts w:eastAsia="Calibri"/>
      <w:color w:val="auto"/>
      <w:lang w:eastAsia="en-GB"/>
    </w:rPr>
  </w:style>
  <w:style w:type="character" w:styleId="FollowedHyperlink">
    <w:name w:val="FollowedHyperlink"/>
    <w:locked/>
    <w:rPr>
      <w:color w:val="800080"/>
      <w:u w:val="single"/>
    </w:rPr>
  </w:style>
  <w:style w:type="paragraph" w:styleId="Revision">
    <w:name w:val="Revision"/>
    <w:hidden/>
    <w:uiPriority w:val="99"/>
    <w:semiHidden/>
    <w:rPr>
      <w:rFonts w:eastAsia="ヒラギノ角ゴ Pro W3"/>
      <w:color w:val="000000"/>
      <w:sz w:val="24"/>
      <w:szCs w:val="24"/>
      <w:lang w:eastAsia="en-US"/>
    </w:rPr>
  </w:style>
  <w:style w:type="paragraph" w:customStyle="1" w:styleId="BVIfnrCarCarCarCarCharCharCharChar">
    <w:name w:val="BVI fnr Car Car Car Car Char Char Char Char"/>
    <w:basedOn w:val="Normal"/>
    <w:link w:val="FootnoteReference"/>
    <w:uiPriority w:val="99"/>
    <w:pPr>
      <w:spacing w:before="0" w:after="160" w:line="240" w:lineRule="exact"/>
      <w:jc w:val="left"/>
    </w:pPr>
    <w:rPr>
      <w:rFonts w:eastAsia="Times New Roman"/>
      <w:color w:val="auto"/>
      <w:sz w:val="20"/>
      <w:szCs w:val="20"/>
      <w:vertAlign w:val="superscript"/>
      <w:lang w:eastAsia="en-GB"/>
    </w:rPr>
  </w:style>
  <w:style w:type="paragraph" w:customStyle="1" w:styleId="Normal6">
    <w:name w:val="Normal6"/>
    <w:basedOn w:val="Normal"/>
    <w:link w:val="Normal6Char"/>
    <w:pPr>
      <w:widowControl w:val="0"/>
      <w:spacing w:before="0"/>
      <w:jc w:val="left"/>
    </w:pPr>
    <w:rPr>
      <w:rFonts w:eastAsia="Times New Roman"/>
      <w:noProof/>
      <w:color w:val="auto"/>
      <w:szCs w:val="20"/>
      <w:lang w:eastAsia="en-GB"/>
    </w:rPr>
  </w:style>
  <w:style w:type="character" w:customStyle="1" w:styleId="Normal6Char">
    <w:name w:val="Normal6 Char"/>
    <w:link w:val="Normal6"/>
    <w:rPr>
      <w:noProof/>
      <w:sz w:val="24"/>
    </w:rPr>
  </w:style>
  <w:style w:type="paragraph" w:styleId="TOC1">
    <w:name w:val="toc 1"/>
    <w:basedOn w:val="Normal"/>
    <w:next w:val="Normal"/>
    <w:autoRedefine/>
    <w:locked/>
  </w:style>
  <w:style w:type="character" w:customStyle="1" w:styleId="FootnoteReferenceFootnoteFootnotesymbolFootnotesrefssFootnoteReferenceNumberBVIfnrBVIfnrCarCarBVIfnrCarBVIfnrCarCarCarCarCharBVIfnrCarCarCarCarCharCharCharCharCharChar1CharCharCharChar">
    <w:name w:val="Footnote Reference;Footnote;Footnote symbol;Footnotes refss;Footnote Reference Number;BVI fnr;BVI fnr Car Car;BVI fnr Car;BVI fnr Car Car Car Car Char;BVI fnr Car Car Car Car Char Char Char Char Char;Char1 Char Char Char Char"/>
    <w:rPr>
      <w:vertAlign w:val="superscript"/>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color w:val="auto"/>
      <w:sz w:val="22"/>
      <w:szCs w:val="22"/>
    </w:rPr>
  </w:style>
  <w:style w:type="character" w:styleId="Strong">
    <w:name w:val="Strong"/>
    <w:uiPriority w:val="22"/>
    <w:qFormat/>
    <w:locked/>
    <w:rPr>
      <w:b/>
      <w:bC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2415">
      <w:bodyDiv w:val="1"/>
      <w:marLeft w:val="0"/>
      <w:marRight w:val="0"/>
      <w:marTop w:val="0"/>
      <w:marBottom w:val="0"/>
      <w:divBdr>
        <w:top w:val="none" w:sz="0" w:space="0" w:color="auto"/>
        <w:left w:val="none" w:sz="0" w:space="0" w:color="auto"/>
        <w:bottom w:val="none" w:sz="0" w:space="0" w:color="auto"/>
        <w:right w:val="none" w:sz="0" w:space="0" w:color="auto"/>
      </w:divBdr>
      <w:divsChild>
        <w:div w:id="1428816002">
          <w:marLeft w:val="0"/>
          <w:marRight w:val="0"/>
          <w:marTop w:val="0"/>
          <w:marBottom w:val="0"/>
          <w:divBdr>
            <w:top w:val="none" w:sz="0" w:space="0" w:color="auto"/>
            <w:left w:val="none" w:sz="0" w:space="0" w:color="auto"/>
            <w:bottom w:val="none" w:sz="0" w:space="0" w:color="auto"/>
            <w:right w:val="none" w:sz="0" w:space="0" w:color="auto"/>
          </w:divBdr>
          <w:divsChild>
            <w:div w:id="1395085019">
              <w:marLeft w:val="0"/>
              <w:marRight w:val="0"/>
              <w:marTop w:val="0"/>
              <w:marBottom w:val="0"/>
              <w:divBdr>
                <w:top w:val="none" w:sz="0" w:space="0" w:color="auto"/>
                <w:left w:val="none" w:sz="0" w:space="0" w:color="auto"/>
                <w:bottom w:val="none" w:sz="0" w:space="0" w:color="auto"/>
                <w:right w:val="none" w:sz="0" w:space="0" w:color="auto"/>
              </w:divBdr>
              <w:divsChild>
                <w:div w:id="1289124698">
                  <w:marLeft w:val="0"/>
                  <w:marRight w:val="0"/>
                  <w:marTop w:val="0"/>
                  <w:marBottom w:val="0"/>
                  <w:divBdr>
                    <w:top w:val="none" w:sz="0" w:space="0" w:color="auto"/>
                    <w:left w:val="none" w:sz="0" w:space="0" w:color="auto"/>
                    <w:bottom w:val="none" w:sz="0" w:space="0" w:color="auto"/>
                    <w:right w:val="none" w:sz="0" w:space="0" w:color="auto"/>
                  </w:divBdr>
                  <w:divsChild>
                    <w:div w:id="208496639">
                      <w:marLeft w:val="0"/>
                      <w:marRight w:val="0"/>
                      <w:marTop w:val="0"/>
                      <w:marBottom w:val="0"/>
                      <w:divBdr>
                        <w:top w:val="none" w:sz="0" w:space="0" w:color="auto"/>
                        <w:left w:val="none" w:sz="0" w:space="0" w:color="auto"/>
                        <w:bottom w:val="none" w:sz="0" w:space="0" w:color="auto"/>
                        <w:right w:val="none" w:sz="0" w:space="0" w:color="auto"/>
                      </w:divBdr>
                      <w:divsChild>
                        <w:div w:id="801581429">
                          <w:marLeft w:val="0"/>
                          <w:marRight w:val="0"/>
                          <w:marTop w:val="0"/>
                          <w:marBottom w:val="0"/>
                          <w:divBdr>
                            <w:top w:val="none" w:sz="0" w:space="0" w:color="auto"/>
                            <w:left w:val="none" w:sz="0" w:space="0" w:color="auto"/>
                            <w:bottom w:val="none" w:sz="0" w:space="0" w:color="auto"/>
                            <w:right w:val="none" w:sz="0" w:space="0" w:color="auto"/>
                          </w:divBdr>
                          <w:divsChild>
                            <w:div w:id="223225930">
                              <w:marLeft w:val="0"/>
                              <w:marRight w:val="0"/>
                              <w:marTop w:val="0"/>
                              <w:marBottom w:val="0"/>
                              <w:divBdr>
                                <w:top w:val="none" w:sz="0" w:space="0" w:color="auto"/>
                                <w:left w:val="none" w:sz="0" w:space="0" w:color="auto"/>
                                <w:bottom w:val="none" w:sz="0" w:space="0" w:color="auto"/>
                                <w:right w:val="none" w:sz="0" w:space="0" w:color="auto"/>
                              </w:divBdr>
                              <w:divsChild>
                                <w:div w:id="753278882">
                                  <w:marLeft w:val="0"/>
                                  <w:marRight w:val="0"/>
                                  <w:marTop w:val="0"/>
                                  <w:marBottom w:val="0"/>
                                  <w:divBdr>
                                    <w:top w:val="none" w:sz="0" w:space="0" w:color="auto"/>
                                    <w:left w:val="none" w:sz="0" w:space="0" w:color="auto"/>
                                    <w:bottom w:val="none" w:sz="0" w:space="0" w:color="auto"/>
                                    <w:right w:val="none" w:sz="0" w:space="0" w:color="auto"/>
                                  </w:divBdr>
                                  <w:divsChild>
                                    <w:div w:id="773013353">
                                      <w:marLeft w:val="60"/>
                                      <w:marRight w:val="0"/>
                                      <w:marTop w:val="0"/>
                                      <w:marBottom w:val="0"/>
                                      <w:divBdr>
                                        <w:top w:val="none" w:sz="0" w:space="0" w:color="auto"/>
                                        <w:left w:val="none" w:sz="0" w:space="0" w:color="auto"/>
                                        <w:bottom w:val="none" w:sz="0" w:space="0" w:color="auto"/>
                                        <w:right w:val="none" w:sz="0" w:space="0" w:color="auto"/>
                                      </w:divBdr>
                                      <w:divsChild>
                                        <w:div w:id="1624456664">
                                          <w:marLeft w:val="0"/>
                                          <w:marRight w:val="0"/>
                                          <w:marTop w:val="0"/>
                                          <w:marBottom w:val="0"/>
                                          <w:divBdr>
                                            <w:top w:val="none" w:sz="0" w:space="0" w:color="auto"/>
                                            <w:left w:val="none" w:sz="0" w:space="0" w:color="auto"/>
                                            <w:bottom w:val="none" w:sz="0" w:space="0" w:color="auto"/>
                                            <w:right w:val="none" w:sz="0" w:space="0" w:color="auto"/>
                                          </w:divBdr>
                                          <w:divsChild>
                                            <w:div w:id="965425779">
                                              <w:marLeft w:val="0"/>
                                              <w:marRight w:val="0"/>
                                              <w:marTop w:val="0"/>
                                              <w:marBottom w:val="120"/>
                                              <w:divBdr>
                                                <w:top w:val="single" w:sz="6" w:space="0" w:color="F5F5F5"/>
                                                <w:left w:val="single" w:sz="6" w:space="0" w:color="F5F5F5"/>
                                                <w:bottom w:val="single" w:sz="6" w:space="0" w:color="F5F5F5"/>
                                                <w:right w:val="single" w:sz="6" w:space="0" w:color="F5F5F5"/>
                                              </w:divBdr>
                                              <w:divsChild>
                                                <w:div w:id="1823425666">
                                                  <w:marLeft w:val="0"/>
                                                  <w:marRight w:val="0"/>
                                                  <w:marTop w:val="0"/>
                                                  <w:marBottom w:val="0"/>
                                                  <w:divBdr>
                                                    <w:top w:val="none" w:sz="0" w:space="0" w:color="auto"/>
                                                    <w:left w:val="none" w:sz="0" w:space="0" w:color="auto"/>
                                                    <w:bottom w:val="none" w:sz="0" w:space="0" w:color="auto"/>
                                                    <w:right w:val="none" w:sz="0" w:space="0" w:color="auto"/>
                                                  </w:divBdr>
                                                  <w:divsChild>
                                                    <w:div w:id="2044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6331273">
      <w:bodyDiv w:val="1"/>
      <w:marLeft w:val="0"/>
      <w:marRight w:val="0"/>
      <w:marTop w:val="0"/>
      <w:marBottom w:val="0"/>
      <w:divBdr>
        <w:top w:val="none" w:sz="0" w:space="0" w:color="auto"/>
        <w:left w:val="none" w:sz="0" w:space="0" w:color="auto"/>
        <w:bottom w:val="none" w:sz="0" w:space="0" w:color="auto"/>
        <w:right w:val="none" w:sz="0" w:space="0" w:color="auto"/>
      </w:divBdr>
    </w:div>
    <w:div w:id="294213419">
      <w:bodyDiv w:val="1"/>
      <w:marLeft w:val="0"/>
      <w:marRight w:val="0"/>
      <w:marTop w:val="0"/>
      <w:marBottom w:val="0"/>
      <w:divBdr>
        <w:top w:val="none" w:sz="0" w:space="0" w:color="auto"/>
        <w:left w:val="none" w:sz="0" w:space="0" w:color="auto"/>
        <w:bottom w:val="none" w:sz="0" w:space="0" w:color="auto"/>
        <w:right w:val="none" w:sz="0" w:space="0" w:color="auto"/>
      </w:divBdr>
    </w:div>
    <w:div w:id="345986122">
      <w:bodyDiv w:val="1"/>
      <w:marLeft w:val="0"/>
      <w:marRight w:val="0"/>
      <w:marTop w:val="0"/>
      <w:marBottom w:val="0"/>
      <w:divBdr>
        <w:top w:val="none" w:sz="0" w:space="0" w:color="auto"/>
        <w:left w:val="none" w:sz="0" w:space="0" w:color="auto"/>
        <w:bottom w:val="none" w:sz="0" w:space="0" w:color="auto"/>
        <w:right w:val="none" w:sz="0" w:space="0" w:color="auto"/>
      </w:divBdr>
    </w:div>
    <w:div w:id="371350354">
      <w:bodyDiv w:val="1"/>
      <w:marLeft w:val="0"/>
      <w:marRight w:val="0"/>
      <w:marTop w:val="0"/>
      <w:marBottom w:val="0"/>
      <w:divBdr>
        <w:top w:val="none" w:sz="0" w:space="0" w:color="auto"/>
        <w:left w:val="none" w:sz="0" w:space="0" w:color="auto"/>
        <w:bottom w:val="none" w:sz="0" w:space="0" w:color="auto"/>
        <w:right w:val="none" w:sz="0" w:space="0" w:color="auto"/>
      </w:divBdr>
    </w:div>
    <w:div w:id="377707317">
      <w:bodyDiv w:val="1"/>
      <w:marLeft w:val="0"/>
      <w:marRight w:val="0"/>
      <w:marTop w:val="0"/>
      <w:marBottom w:val="0"/>
      <w:divBdr>
        <w:top w:val="none" w:sz="0" w:space="0" w:color="auto"/>
        <w:left w:val="none" w:sz="0" w:space="0" w:color="auto"/>
        <w:bottom w:val="none" w:sz="0" w:space="0" w:color="auto"/>
        <w:right w:val="none" w:sz="0" w:space="0" w:color="auto"/>
      </w:divBdr>
    </w:div>
    <w:div w:id="413475715">
      <w:bodyDiv w:val="1"/>
      <w:marLeft w:val="0"/>
      <w:marRight w:val="0"/>
      <w:marTop w:val="0"/>
      <w:marBottom w:val="0"/>
      <w:divBdr>
        <w:top w:val="none" w:sz="0" w:space="0" w:color="auto"/>
        <w:left w:val="none" w:sz="0" w:space="0" w:color="auto"/>
        <w:bottom w:val="none" w:sz="0" w:space="0" w:color="auto"/>
        <w:right w:val="none" w:sz="0" w:space="0" w:color="auto"/>
      </w:divBdr>
    </w:div>
    <w:div w:id="597713542">
      <w:bodyDiv w:val="1"/>
      <w:marLeft w:val="0"/>
      <w:marRight w:val="0"/>
      <w:marTop w:val="0"/>
      <w:marBottom w:val="0"/>
      <w:divBdr>
        <w:top w:val="none" w:sz="0" w:space="0" w:color="auto"/>
        <w:left w:val="none" w:sz="0" w:space="0" w:color="auto"/>
        <w:bottom w:val="none" w:sz="0" w:space="0" w:color="auto"/>
        <w:right w:val="none" w:sz="0" w:space="0" w:color="auto"/>
      </w:divBdr>
    </w:div>
    <w:div w:id="625236451">
      <w:bodyDiv w:val="1"/>
      <w:marLeft w:val="0"/>
      <w:marRight w:val="0"/>
      <w:marTop w:val="0"/>
      <w:marBottom w:val="0"/>
      <w:divBdr>
        <w:top w:val="none" w:sz="0" w:space="0" w:color="auto"/>
        <w:left w:val="none" w:sz="0" w:space="0" w:color="auto"/>
        <w:bottom w:val="none" w:sz="0" w:space="0" w:color="auto"/>
        <w:right w:val="none" w:sz="0" w:space="0" w:color="auto"/>
      </w:divBdr>
      <w:divsChild>
        <w:div w:id="311444519">
          <w:marLeft w:val="0"/>
          <w:marRight w:val="0"/>
          <w:marTop w:val="0"/>
          <w:marBottom w:val="0"/>
          <w:divBdr>
            <w:top w:val="none" w:sz="0" w:space="0" w:color="auto"/>
            <w:left w:val="none" w:sz="0" w:space="0" w:color="auto"/>
            <w:bottom w:val="none" w:sz="0" w:space="0" w:color="auto"/>
            <w:right w:val="none" w:sz="0" w:space="0" w:color="auto"/>
          </w:divBdr>
          <w:divsChild>
            <w:div w:id="1697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871">
      <w:bodyDiv w:val="1"/>
      <w:marLeft w:val="0"/>
      <w:marRight w:val="0"/>
      <w:marTop w:val="0"/>
      <w:marBottom w:val="0"/>
      <w:divBdr>
        <w:top w:val="none" w:sz="0" w:space="0" w:color="auto"/>
        <w:left w:val="none" w:sz="0" w:space="0" w:color="auto"/>
        <w:bottom w:val="none" w:sz="0" w:space="0" w:color="auto"/>
        <w:right w:val="none" w:sz="0" w:space="0" w:color="auto"/>
      </w:divBdr>
    </w:div>
    <w:div w:id="699748782">
      <w:bodyDiv w:val="1"/>
      <w:marLeft w:val="0"/>
      <w:marRight w:val="0"/>
      <w:marTop w:val="0"/>
      <w:marBottom w:val="0"/>
      <w:divBdr>
        <w:top w:val="none" w:sz="0" w:space="0" w:color="auto"/>
        <w:left w:val="none" w:sz="0" w:space="0" w:color="auto"/>
        <w:bottom w:val="none" w:sz="0" w:space="0" w:color="auto"/>
        <w:right w:val="none" w:sz="0" w:space="0" w:color="auto"/>
      </w:divBdr>
    </w:div>
    <w:div w:id="709108238">
      <w:bodyDiv w:val="1"/>
      <w:marLeft w:val="0"/>
      <w:marRight w:val="0"/>
      <w:marTop w:val="0"/>
      <w:marBottom w:val="0"/>
      <w:divBdr>
        <w:top w:val="none" w:sz="0" w:space="0" w:color="auto"/>
        <w:left w:val="none" w:sz="0" w:space="0" w:color="auto"/>
        <w:bottom w:val="none" w:sz="0" w:space="0" w:color="auto"/>
        <w:right w:val="none" w:sz="0" w:space="0" w:color="auto"/>
      </w:divBdr>
    </w:div>
    <w:div w:id="796677576">
      <w:bodyDiv w:val="1"/>
      <w:marLeft w:val="0"/>
      <w:marRight w:val="0"/>
      <w:marTop w:val="0"/>
      <w:marBottom w:val="0"/>
      <w:divBdr>
        <w:top w:val="none" w:sz="0" w:space="0" w:color="auto"/>
        <w:left w:val="none" w:sz="0" w:space="0" w:color="auto"/>
        <w:bottom w:val="none" w:sz="0" w:space="0" w:color="auto"/>
        <w:right w:val="none" w:sz="0" w:space="0" w:color="auto"/>
      </w:divBdr>
    </w:div>
    <w:div w:id="836117270">
      <w:bodyDiv w:val="1"/>
      <w:marLeft w:val="0"/>
      <w:marRight w:val="0"/>
      <w:marTop w:val="0"/>
      <w:marBottom w:val="0"/>
      <w:divBdr>
        <w:top w:val="none" w:sz="0" w:space="0" w:color="auto"/>
        <w:left w:val="none" w:sz="0" w:space="0" w:color="auto"/>
        <w:bottom w:val="none" w:sz="0" w:space="0" w:color="auto"/>
        <w:right w:val="none" w:sz="0" w:space="0" w:color="auto"/>
      </w:divBdr>
    </w:div>
    <w:div w:id="937179222">
      <w:bodyDiv w:val="1"/>
      <w:marLeft w:val="0"/>
      <w:marRight w:val="0"/>
      <w:marTop w:val="0"/>
      <w:marBottom w:val="0"/>
      <w:divBdr>
        <w:top w:val="none" w:sz="0" w:space="0" w:color="auto"/>
        <w:left w:val="none" w:sz="0" w:space="0" w:color="auto"/>
        <w:bottom w:val="none" w:sz="0" w:space="0" w:color="auto"/>
        <w:right w:val="none" w:sz="0" w:space="0" w:color="auto"/>
      </w:divBdr>
    </w:div>
    <w:div w:id="1043024131">
      <w:bodyDiv w:val="1"/>
      <w:marLeft w:val="0"/>
      <w:marRight w:val="0"/>
      <w:marTop w:val="0"/>
      <w:marBottom w:val="0"/>
      <w:divBdr>
        <w:top w:val="none" w:sz="0" w:space="0" w:color="auto"/>
        <w:left w:val="none" w:sz="0" w:space="0" w:color="auto"/>
        <w:bottom w:val="none" w:sz="0" w:space="0" w:color="auto"/>
        <w:right w:val="none" w:sz="0" w:space="0" w:color="auto"/>
      </w:divBdr>
    </w:div>
    <w:div w:id="1183473811">
      <w:bodyDiv w:val="1"/>
      <w:marLeft w:val="0"/>
      <w:marRight w:val="0"/>
      <w:marTop w:val="0"/>
      <w:marBottom w:val="0"/>
      <w:divBdr>
        <w:top w:val="none" w:sz="0" w:space="0" w:color="auto"/>
        <w:left w:val="none" w:sz="0" w:space="0" w:color="auto"/>
        <w:bottom w:val="none" w:sz="0" w:space="0" w:color="auto"/>
        <w:right w:val="none" w:sz="0" w:space="0" w:color="auto"/>
      </w:divBdr>
    </w:div>
    <w:div w:id="1586064949">
      <w:bodyDiv w:val="1"/>
      <w:marLeft w:val="0"/>
      <w:marRight w:val="0"/>
      <w:marTop w:val="0"/>
      <w:marBottom w:val="0"/>
      <w:divBdr>
        <w:top w:val="none" w:sz="0" w:space="0" w:color="auto"/>
        <w:left w:val="none" w:sz="0" w:space="0" w:color="auto"/>
        <w:bottom w:val="none" w:sz="0" w:space="0" w:color="auto"/>
        <w:right w:val="none" w:sz="0" w:space="0" w:color="auto"/>
      </w:divBdr>
    </w:div>
    <w:div w:id="1690451473">
      <w:bodyDiv w:val="1"/>
      <w:marLeft w:val="0"/>
      <w:marRight w:val="0"/>
      <w:marTop w:val="0"/>
      <w:marBottom w:val="0"/>
      <w:divBdr>
        <w:top w:val="none" w:sz="0" w:space="0" w:color="auto"/>
        <w:left w:val="none" w:sz="0" w:space="0" w:color="auto"/>
        <w:bottom w:val="none" w:sz="0" w:space="0" w:color="auto"/>
        <w:right w:val="none" w:sz="0" w:space="0" w:color="auto"/>
      </w:divBdr>
    </w:div>
    <w:div w:id="1742556449">
      <w:bodyDiv w:val="1"/>
      <w:marLeft w:val="0"/>
      <w:marRight w:val="0"/>
      <w:marTop w:val="0"/>
      <w:marBottom w:val="0"/>
      <w:divBdr>
        <w:top w:val="none" w:sz="0" w:space="0" w:color="auto"/>
        <w:left w:val="none" w:sz="0" w:space="0" w:color="auto"/>
        <w:bottom w:val="none" w:sz="0" w:space="0" w:color="auto"/>
        <w:right w:val="none" w:sz="0" w:space="0" w:color="auto"/>
      </w:divBdr>
    </w:div>
    <w:div w:id="1766028797">
      <w:bodyDiv w:val="1"/>
      <w:marLeft w:val="0"/>
      <w:marRight w:val="0"/>
      <w:marTop w:val="0"/>
      <w:marBottom w:val="0"/>
      <w:divBdr>
        <w:top w:val="none" w:sz="0" w:space="0" w:color="auto"/>
        <w:left w:val="none" w:sz="0" w:space="0" w:color="auto"/>
        <w:bottom w:val="none" w:sz="0" w:space="0" w:color="auto"/>
        <w:right w:val="none" w:sz="0" w:space="0" w:color="auto"/>
      </w:divBdr>
    </w:div>
    <w:div w:id="1843163844">
      <w:bodyDiv w:val="1"/>
      <w:marLeft w:val="0"/>
      <w:marRight w:val="0"/>
      <w:marTop w:val="0"/>
      <w:marBottom w:val="0"/>
      <w:divBdr>
        <w:top w:val="none" w:sz="0" w:space="0" w:color="auto"/>
        <w:left w:val="none" w:sz="0" w:space="0" w:color="auto"/>
        <w:bottom w:val="none" w:sz="0" w:space="0" w:color="auto"/>
        <w:right w:val="none" w:sz="0" w:space="0" w:color="auto"/>
      </w:divBdr>
    </w:div>
    <w:div w:id="1924410699">
      <w:bodyDiv w:val="1"/>
      <w:marLeft w:val="0"/>
      <w:marRight w:val="0"/>
      <w:marTop w:val="0"/>
      <w:marBottom w:val="0"/>
      <w:divBdr>
        <w:top w:val="none" w:sz="0" w:space="0" w:color="auto"/>
        <w:left w:val="none" w:sz="0" w:space="0" w:color="auto"/>
        <w:bottom w:val="none" w:sz="0" w:space="0" w:color="auto"/>
        <w:right w:val="none" w:sz="0" w:space="0" w:color="auto"/>
      </w:divBdr>
    </w:div>
    <w:div w:id="1934312739">
      <w:bodyDiv w:val="1"/>
      <w:marLeft w:val="0"/>
      <w:marRight w:val="0"/>
      <w:marTop w:val="0"/>
      <w:marBottom w:val="0"/>
      <w:divBdr>
        <w:top w:val="none" w:sz="0" w:space="0" w:color="auto"/>
        <w:left w:val="none" w:sz="0" w:space="0" w:color="auto"/>
        <w:bottom w:val="none" w:sz="0" w:space="0" w:color="auto"/>
        <w:right w:val="none" w:sz="0" w:space="0" w:color="auto"/>
      </w:divBdr>
    </w:div>
    <w:div w:id="213270475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7CC9-EEAD-4606-A7AC-CF852C5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Pages>
  <Words>4253</Words>
  <Characters>24626</Characters>
  <Application>Microsoft Office Word</Application>
  <DocSecurity>0</DocSecurity>
  <Lines>403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30</cp:revision>
  <cp:lastPrinted>2016-08-02T07:37:00Z</cp:lastPrinted>
  <dcterms:created xsi:type="dcterms:W3CDTF">2016-08-24T07:43:00Z</dcterms:created>
  <dcterms:modified xsi:type="dcterms:W3CDTF">2016-10-18T07:29:00Z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