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1278FB32A3C347C2871B6DFD76229AD6" style="width:450.6pt;height:408.4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bookmarkStart w:id="1" w:name="_GoBack" w:displacedByCustomXml="next"/>
    <w:bookmarkEnd w:id="1" w:displacedByCustomXml="next"/>
    <w:sdt>
      <w:sdtPr>
        <w:rPr>
          <w:rFonts w:ascii="Calibri" w:eastAsia="Calibri" w:hAnsi="Calibri" w:cs="Times New Roman"/>
          <w:b w:val="0"/>
          <w:bCs w:val="0"/>
          <w:noProof/>
          <w:color w:val="auto"/>
          <w:sz w:val="22"/>
          <w:szCs w:val="22"/>
          <w:lang w:val="en-GB" w:eastAsia="en-US"/>
        </w:rPr>
        <w:id w:val="8181146"/>
        <w:docPartObj>
          <w:docPartGallery w:val="Table of Contents"/>
          <w:docPartUnique/>
        </w:docPartObj>
      </w:sdtPr>
      <w:sdtEndPr>
        <w:rPr>
          <w:rFonts w:ascii="Times New Roman" w:hAnsi="Times New Roman"/>
        </w:rPr>
      </w:sdtEndPr>
      <w:sdtContent>
        <w:p>
          <w:pPr>
            <w:pStyle w:val="TOCHeading"/>
            <w:rPr>
              <w:rFonts w:ascii="Times New Roman" w:hAnsi="Times New Roman"/>
              <w:noProof/>
              <w:color w:val="auto"/>
              <w:lang w:val="en-GB"/>
            </w:rPr>
          </w:pPr>
          <w:r>
            <w:rPr>
              <w:rFonts w:ascii="Times New Roman" w:hAnsi="Times New Roman"/>
              <w:noProof/>
              <w:color w:val="auto"/>
              <w:lang w:val="en-GB"/>
            </w:rPr>
            <w:t>Table of Contents</w:t>
          </w:r>
        </w:p>
        <w:p>
          <w:pPr>
            <w:rPr>
              <w:noProof/>
              <w:lang w:eastAsia="ja-JP"/>
            </w:rPr>
          </w:pPr>
        </w:p>
        <w:p>
          <w:pPr>
            <w:pStyle w:val="TOC1"/>
            <w:tabs>
              <w:tab w:val="left" w:pos="993"/>
              <w:tab w:val="right" w:leader="dot" w:pos="9062"/>
            </w:tabs>
            <w:rPr>
              <w:noProof/>
              <w:lang w:val="en-GB" w:eastAsia="en-GB"/>
            </w:rPr>
          </w:pPr>
          <w:r>
            <w:rPr>
              <w:rFonts w:ascii="Times New Roman" w:hAnsi="Times New Roman"/>
              <w:noProof/>
              <w:lang w:val="en-GB"/>
            </w:rPr>
            <w:fldChar w:fldCharType="begin"/>
          </w:r>
          <w:r>
            <w:rPr>
              <w:rFonts w:ascii="Times New Roman" w:hAnsi="Times New Roman" w:cs="Times New Roman"/>
              <w:noProof/>
              <w:lang w:val="en-GB"/>
            </w:rPr>
            <w:instrText xml:space="preserve"> TOC \o "1-3" \h \z \u </w:instrText>
          </w:r>
          <w:r>
            <w:rPr>
              <w:rFonts w:ascii="Times New Roman" w:hAnsi="Times New Roman"/>
              <w:noProof/>
              <w:lang w:val="en-GB"/>
            </w:rPr>
            <w:fldChar w:fldCharType="separate"/>
          </w:r>
          <w:hyperlink w:anchor="_Toc457466027" w:history="1">
            <w:r>
              <w:rPr>
                <w:rStyle w:val="Hyperlink"/>
                <w:rFonts w:ascii="Times New Roman" w:hAnsi="Times New Roman"/>
                <w:b/>
                <w:noProof/>
              </w:rPr>
              <w:t>0.</w:t>
            </w:r>
            <w:r>
              <w:rPr>
                <w:noProof/>
                <w:lang w:val="en-GB" w:eastAsia="en-GB"/>
              </w:rPr>
              <w:tab/>
            </w:r>
            <w:r>
              <w:rPr>
                <w:rStyle w:val="Hyperlink"/>
                <w:rFonts w:ascii="Times New Roman" w:hAnsi="Times New Roman"/>
                <w:b/>
                <w:noProof/>
              </w:rPr>
              <w:t>Introduction</w:t>
            </w:r>
            <w:r>
              <w:rPr>
                <w:noProof/>
                <w:webHidden/>
              </w:rPr>
              <w:tab/>
            </w:r>
            <w:r>
              <w:rPr>
                <w:noProof/>
                <w:webHidden/>
              </w:rPr>
              <w:fldChar w:fldCharType="begin"/>
            </w:r>
            <w:r>
              <w:rPr>
                <w:noProof/>
                <w:webHidden/>
              </w:rPr>
              <w:instrText xml:space="preserve"> PAGEREF _Toc457466027 \h </w:instrText>
            </w:r>
            <w:r>
              <w:rPr>
                <w:noProof/>
                <w:webHidden/>
              </w:rPr>
            </w:r>
            <w:r>
              <w:rPr>
                <w:noProof/>
                <w:webHidden/>
              </w:rPr>
              <w:fldChar w:fldCharType="separate"/>
            </w:r>
            <w:r>
              <w:rPr>
                <w:noProof/>
                <w:webHidden/>
              </w:rPr>
              <w:t>4</w:t>
            </w:r>
            <w:r>
              <w:rPr>
                <w:noProof/>
                <w:webHidden/>
              </w:rPr>
              <w:fldChar w:fldCharType="end"/>
            </w:r>
          </w:hyperlink>
        </w:p>
        <w:p>
          <w:pPr>
            <w:pStyle w:val="TOC1"/>
            <w:tabs>
              <w:tab w:val="left" w:pos="993"/>
              <w:tab w:val="right" w:leader="dot" w:pos="9062"/>
            </w:tabs>
            <w:rPr>
              <w:noProof/>
              <w:lang w:val="en-GB" w:eastAsia="en-GB"/>
            </w:rPr>
          </w:pPr>
          <w:hyperlink w:anchor="_Toc457466028" w:history="1">
            <w:r>
              <w:rPr>
                <w:rStyle w:val="Hyperlink"/>
                <w:rFonts w:ascii="Times New Roman" w:hAnsi="Times New Roman"/>
                <w:b/>
                <w:noProof/>
              </w:rPr>
              <w:t>1.</w:t>
            </w:r>
            <w:r>
              <w:rPr>
                <w:noProof/>
                <w:lang w:val="en-GB" w:eastAsia="en-GB"/>
              </w:rPr>
              <w:tab/>
            </w:r>
            <w:r>
              <w:rPr>
                <w:rStyle w:val="Hyperlink"/>
                <w:rFonts w:ascii="Times New Roman" w:hAnsi="Times New Roman"/>
                <w:b/>
                <w:noProof/>
              </w:rPr>
              <w:t>Section 1. Problem definition and drivers</w:t>
            </w:r>
            <w:r>
              <w:rPr>
                <w:noProof/>
                <w:webHidden/>
              </w:rPr>
              <w:tab/>
            </w:r>
            <w:r>
              <w:rPr>
                <w:noProof/>
                <w:webHidden/>
              </w:rPr>
              <w:fldChar w:fldCharType="begin"/>
            </w:r>
            <w:r>
              <w:rPr>
                <w:noProof/>
                <w:webHidden/>
              </w:rPr>
              <w:instrText xml:space="preserve"> PAGEREF _Toc457466028 \h </w:instrText>
            </w:r>
            <w:r>
              <w:rPr>
                <w:noProof/>
                <w:webHidden/>
              </w:rPr>
            </w:r>
            <w:r>
              <w:rPr>
                <w:noProof/>
                <w:webHidden/>
              </w:rPr>
              <w:fldChar w:fldCharType="separate"/>
            </w:r>
            <w:r>
              <w:rPr>
                <w:noProof/>
                <w:webHidden/>
              </w:rPr>
              <w:t>11</w:t>
            </w:r>
            <w:r>
              <w:rPr>
                <w:noProof/>
                <w:webHidden/>
              </w:rPr>
              <w:fldChar w:fldCharType="end"/>
            </w:r>
          </w:hyperlink>
        </w:p>
        <w:p>
          <w:pPr>
            <w:pStyle w:val="TOC1"/>
            <w:tabs>
              <w:tab w:val="left" w:pos="993"/>
              <w:tab w:val="right" w:leader="dot" w:pos="9062"/>
            </w:tabs>
            <w:rPr>
              <w:noProof/>
              <w:lang w:val="en-GB" w:eastAsia="en-GB"/>
            </w:rPr>
          </w:pPr>
          <w:hyperlink w:anchor="_Toc457466029" w:history="1">
            <w:r>
              <w:rPr>
                <w:rStyle w:val="Hyperlink"/>
                <w:rFonts w:ascii="Times New Roman" w:hAnsi="Times New Roman"/>
                <w:noProof/>
              </w:rPr>
              <w:t>1.1.</w:t>
            </w:r>
            <w:r>
              <w:rPr>
                <w:noProof/>
                <w:lang w:val="en-GB" w:eastAsia="en-GB"/>
              </w:rPr>
              <w:tab/>
            </w:r>
            <w:r>
              <w:rPr>
                <w:rStyle w:val="Hyperlink"/>
                <w:rFonts w:ascii="Times New Roman" w:hAnsi="Times New Roman"/>
                <w:noProof/>
              </w:rPr>
              <w:t>The problem</w:t>
            </w:r>
            <w:r>
              <w:rPr>
                <w:noProof/>
                <w:webHidden/>
              </w:rPr>
              <w:tab/>
            </w:r>
            <w:r>
              <w:rPr>
                <w:noProof/>
                <w:webHidden/>
              </w:rPr>
              <w:fldChar w:fldCharType="begin"/>
            </w:r>
            <w:r>
              <w:rPr>
                <w:noProof/>
                <w:webHidden/>
              </w:rPr>
              <w:instrText xml:space="preserve"> PAGEREF _Toc457466029 \h </w:instrText>
            </w:r>
            <w:r>
              <w:rPr>
                <w:noProof/>
                <w:webHidden/>
              </w:rPr>
            </w:r>
            <w:r>
              <w:rPr>
                <w:noProof/>
                <w:webHidden/>
              </w:rPr>
              <w:fldChar w:fldCharType="separate"/>
            </w:r>
            <w:r>
              <w:rPr>
                <w:noProof/>
                <w:webHidden/>
              </w:rPr>
              <w:t>11</w:t>
            </w:r>
            <w:r>
              <w:rPr>
                <w:noProof/>
                <w:webHidden/>
              </w:rPr>
              <w:fldChar w:fldCharType="end"/>
            </w:r>
          </w:hyperlink>
        </w:p>
        <w:p>
          <w:pPr>
            <w:pStyle w:val="TOC1"/>
            <w:tabs>
              <w:tab w:val="left" w:pos="993"/>
              <w:tab w:val="right" w:leader="dot" w:pos="9062"/>
            </w:tabs>
            <w:rPr>
              <w:noProof/>
              <w:lang w:val="en-GB" w:eastAsia="en-GB"/>
            </w:rPr>
          </w:pPr>
          <w:hyperlink w:anchor="_Toc457466030" w:history="1">
            <w:r>
              <w:rPr>
                <w:rStyle w:val="Hyperlink"/>
                <w:rFonts w:ascii="Times New Roman" w:hAnsi="Times New Roman"/>
                <w:noProof/>
              </w:rPr>
              <w:t>1.2.</w:t>
            </w:r>
            <w:r>
              <w:rPr>
                <w:noProof/>
                <w:lang w:val="en-GB" w:eastAsia="en-GB"/>
              </w:rPr>
              <w:tab/>
            </w:r>
            <w:r>
              <w:rPr>
                <w:rStyle w:val="Hyperlink"/>
                <w:rFonts w:ascii="Times New Roman" w:hAnsi="Times New Roman"/>
                <w:noProof/>
              </w:rPr>
              <w:t>The drivers</w:t>
            </w:r>
            <w:r>
              <w:rPr>
                <w:noProof/>
                <w:webHidden/>
              </w:rPr>
              <w:tab/>
            </w:r>
            <w:r>
              <w:rPr>
                <w:noProof/>
                <w:webHidden/>
              </w:rPr>
              <w:fldChar w:fldCharType="begin"/>
            </w:r>
            <w:r>
              <w:rPr>
                <w:noProof/>
                <w:webHidden/>
              </w:rPr>
              <w:instrText xml:space="preserve"> PAGEREF _Toc457466030 \h </w:instrText>
            </w:r>
            <w:r>
              <w:rPr>
                <w:noProof/>
                <w:webHidden/>
              </w:rPr>
            </w:r>
            <w:r>
              <w:rPr>
                <w:noProof/>
                <w:webHidden/>
              </w:rPr>
              <w:fldChar w:fldCharType="separate"/>
            </w:r>
            <w:r>
              <w:rPr>
                <w:noProof/>
                <w:webHidden/>
              </w:rPr>
              <w:t>12</w:t>
            </w:r>
            <w:r>
              <w:rPr>
                <w:noProof/>
                <w:webHidden/>
              </w:rPr>
              <w:fldChar w:fldCharType="end"/>
            </w:r>
          </w:hyperlink>
        </w:p>
        <w:p>
          <w:pPr>
            <w:pStyle w:val="TOC1"/>
            <w:tabs>
              <w:tab w:val="left" w:pos="993"/>
              <w:tab w:val="right" w:leader="dot" w:pos="9062"/>
            </w:tabs>
            <w:rPr>
              <w:noProof/>
              <w:lang w:val="en-GB" w:eastAsia="en-GB"/>
            </w:rPr>
          </w:pPr>
          <w:hyperlink w:anchor="_Toc457466031" w:history="1">
            <w:r>
              <w:rPr>
                <w:rStyle w:val="Hyperlink"/>
                <w:rFonts w:ascii="Times New Roman" w:hAnsi="Times New Roman"/>
                <w:noProof/>
              </w:rPr>
              <w:t>1.3.</w:t>
            </w:r>
            <w:r>
              <w:rPr>
                <w:noProof/>
                <w:lang w:val="en-GB" w:eastAsia="en-GB"/>
              </w:rPr>
              <w:tab/>
            </w:r>
            <w:r>
              <w:rPr>
                <w:rStyle w:val="Hyperlink"/>
                <w:rFonts w:ascii="Times New Roman" w:hAnsi="Times New Roman"/>
                <w:noProof/>
              </w:rPr>
              <w:t>Who is affected by the problem</w:t>
            </w:r>
            <w:r>
              <w:rPr>
                <w:noProof/>
                <w:webHidden/>
              </w:rPr>
              <w:tab/>
            </w:r>
            <w:r>
              <w:rPr>
                <w:noProof/>
                <w:webHidden/>
              </w:rPr>
              <w:fldChar w:fldCharType="begin"/>
            </w:r>
            <w:r>
              <w:rPr>
                <w:noProof/>
                <w:webHidden/>
              </w:rPr>
              <w:instrText xml:space="preserve"> PAGEREF _Toc457466031 \h </w:instrText>
            </w:r>
            <w:r>
              <w:rPr>
                <w:noProof/>
                <w:webHidden/>
              </w:rPr>
            </w:r>
            <w:r>
              <w:rPr>
                <w:noProof/>
                <w:webHidden/>
              </w:rPr>
              <w:fldChar w:fldCharType="separate"/>
            </w:r>
            <w:r>
              <w:rPr>
                <w:noProof/>
                <w:webHidden/>
              </w:rPr>
              <w:t>17</w:t>
            </w:r>
            <w:r>
              <w:rPr>
                <w:noProof/>
                <w:webHidden/>
              </w:rPr>
              <w:fldChar w:fldCharType="end"/>
            </w:r>
          </w:hyperlink>
        </w:p>
        <w:p>
          <w:pPr>
            <w:pStyle w:val="TOC1"/>
            <w:tabs>
              <w:tab w:val="left" w:pos="993"/>
              <w:tab w:val="right" w:leader="dot" w:pos="9062"/>
            </w:tabs>
            <w:rPr>
              <w:noProof/>
              <w:lang w:val="en-GB" w:eastAsia="en-GB"/>
            </w:rPr>
          </w:pPr>
          <w:hyperlink w:anchor="_Toc457466032" w:history="1">
            <w:r>
              <w:rPr>
                <w:rStyle w:val="Hyperlink"/>
                <w:rFonts w:ascii="Times New Roman" w:hAnsi="Times New Roman"/>
                <w:noProof/>
              </w:rPr>
              <w:t>1.4.</w:t>
            </w:r>
            <w:r>
              <w:rPr>
                <w:noProof/>
                <w:lang w:val="en-GB" w:eastAsia="en-GB"/>
              </w:rPr>
              <w:tab/>
            </w:r>
            <w:r>
              <w:rPr>
                <w:rStyle w:val="Hyperlink"/>
                <w:rFonts w:ascii="Times New Roman" w:hAnsi="Times New Roman"/>
                <w:noProof/>
              </w:rPr>
              <w:t>EU dimension of the problem</w:t>
            </w:r>
            <w:r>
              <w:rPr>
                <w:noProof/>
                <w:webHidden/>
              </w:rPr>
              <w:tab/>
            </w:r>
            <w:r>
              <w:rPr>
                <w:noProof/>
                <w:webHidden/>
              </w:rPr>
              <w:fldChar w:fldCharType="begin"/>
            </w:r>
            <w:r>
              <w:rPr>
                <w:noProof/>
                <w:webHidden/>
              </w:rPr>
              <w:instrText xml:space="preserve"> PAGEREF _Toc457466032 \h </w:instrText>
            </w:r>
            <w:r>
              <w:rPr>
                <w:noProof/>
                <w:webHidden/>
              </w:rPr>
            </w:r>
            <w:r>
              <w:rPr>
                <w:noProof/>
                <w:webHidden/>
              </w:rPr>
              <w:fldChar w:fldCharType="separate"/>
            </w:r>
            <w:r>
              <w:rPr>
                <w:noProof/>
                <w:webHidden/>
              </w:rPr>
              <w:t>17</w:t>
            </w:r>
            <w:r>
              <w:rPr>
                <w:noProof/>
                <w:webHidden/>
              </w:rPr>
              <w:fldChar w:fldCharType="end"/>
            </w:r>
          </w:hyperlink>
        </w:p>
        <w:p>
          <w:pPr>
            <w:pStyle w:val="TOC1"/>
            <w:tabs>
              <w:tab w:val="left" w:pos="993"/>
              <w:tab w:val="right" w:leader="dot" w:pos="9062"/>
            </w:tabs>
            <w:rPr>
              <w:noProof/>
              <w:lang w:val="en-GB" w:eastAsia="en-GB"/>
            </w:rPr>
          </w:pPr>
          <w:hyperlink w:anchor="_Toc457466033" w:history="1">
            <w:r>
              <w:rPr>
                <w:rStyle w:val="Hyperlink"/>
                <w:rFonts w:ascii="Times New Roman" w:hAnsi="Times New Roman"/>
                <w:noProof/>
              </w:rPr>
              <w:t>1.5.</w:t>
            </w:r>
            <w:r>
              <w:rPr>
                <w:noProof/>
                <w:lang w:val="en-GB" w:eastAsia="en-GB"/>
              </w:rPr>
              <w:tab/>
            </w:r>
            <w:r>
              <w:rPr>
                <w:rStyle w:val="Hyperlink"/>
                <w:rFonts w:ascii="Times New Roman" w:hAnsi="Times New Roman"/>
                <w:noProof/>
              </w:rPr>
              <w:t>How would the problem evolve, all things being equal?</w:t>
            </w:r>
            <w:r>
              <w:rPr>
                <w:noProof/>
                <w:webHidden/>
              </w:rPr>
              <w:tab/>
            </w:r>
            <w:r>
              <w:rPr>
                <w:noProof/>
                <w:webHidden/>
              </w:rPr>
              <w:fldChar w:fldCharType="begin"/>
            </w:r>
            <w:r>
              <w:rPr>
                <w:noProof/>
                <w:webHidden/>
              </w:rPr>
              <w:instrText xml:space="preserve"> PAGEREF _Toc457466033 \h </w:instrText>
            </w:r>
            <w:r>
              <w:rPr>
                <w:noProof/>
                <w:webHidden/>
              </w:rPr>
            </w:r>
            <w:r>
              <w:rPr>
                <w:noProof/>
                <w:webHidden/>
              </w:rPr>
              <w:fldChar w:fldCharType="separate"/>
            </w:r>
            <w:r>
              <w:rPr>
                <w:noProof/>
                <w:webHidden/>
              </w:rPr>
              <w:t>18</w:t>
            </w:r>
            <w:r>
              <w:rPr>
                <w:noProof/>
                <w:webHidden/>
              </w:rPr>
              <w:fldChar w:fldCharType="end"/>
            </w:r>
          </w:hyperlink>
        </w:p>
        <w:p>
          <w:pPr>
            <w:pStyle w:val="TOC1"/>
            <w:tabs>
              <w:tab w:val="left" w:pos="993"/>
              <w:tab w:val="right" w:leader="dot" w:pos="9062"/>
            </w:tabs>
            <w:rPr>
              <w:noProof/>
              <w:lang w:val="en-GB" w:eastAsia="en-GB"/>
            </w:rPr>
          </w:pPr>
          <w:hyperlink w:anchor="_Toc457466034" w:history="1">
            <w:r>
              <w:rPr>
                <w:rStyle w:val="Hyperlink"/>
                <w:rFonts w:ascii="Times New Roman" w:hAnsi="Times New Roman"/>
                <w:noProof/>
              </w:rPr>
              <w:t>1.6.</w:t>
            </w:r>
            <w:r>
              <w:rPr>
                <w:noProof/>
                <w:lang w:val="en-GB" w:eastAsia="en-GB"/>
              </w:rPr>
              <w:tab/>
            </w:r>
            <w:r>
              <w:rPr>
                <w:rStyle w:val="Hyperlink"/>
                <w:rFonts w:ascii="Times New Roman" w:hAnsi="Times New Roman"/>
                <w:noProof/>
              </w:rPr>
              <w:t>Fitness check /retrospective evaluation</w:t>
            </w:r>
            <w:r>
              <w:rPr>
                <w:noProof/>
                <w:webHidden/>
              </w:rPr>
              <w:tab/>
            </w:r>
            <w:r>
              <w:rPr>
                <w:noProof/>
                <w:webHidden/>
              </w:rPr>
              <w:fldChar w:fldCharType="begin"/>
            </w:r>
            <w:r>
              <w:rPr>
                <w:noProof/>
                <w:webHidden/>
              </w:rPr>
              <w:instrText xml:space="preserve"> PAGEREF _Toc457466034 \h </w:instrText>
            </w:r>
            <w:r>
              <w:rPr>
                <w:noProof/>
                <w:webHidden/>
              </w:rPr>
            </w:r>
            <w:r>
              <w:rPr>
                <w:noProof/>
                <w:webHidden/>
              </w:rPr>
              <w:fldChar w:fldCharType="separate"/>
            </w:r>
            <w:r>
              <w:rPr>
                <w:noProof/>
                <w:webHidden/>
              </w:rPr>
              <w:t>19</w:t>
            </w:r>
            <w:r>
              <w:rPr>
                <w:noProof/>
                <w:webHidden/>
              </w:rPr>
              <w:fldChar w:fldCharType="end"/>
            </w:r>
          </w:hyperlink>
        </w:p>
        <w:p>
          <w:pPr>
            <w:pStyle w:val="TOC1"/>
            <w:tabs>
              <w:tab w:val="left" w:pos="993"/>
              <w:tab w:val="right" w:leader="dot" w:pos="9062"/>
            </w:tabs>
            <w:rPr>
              <w:noProof/>
              <w:lang w:val="en-GB" w:eastAsia="en-GB"/>
            </w:rPr>
          </w:pPr>
          <w:hyperlink w:anchor="_Toc457466035" w:history="1">
            <w:r>
              <w:rPr>
                <w:rStyle w:val="Hyperlink"/>
                <w:rFonts w:ascii="Times New Roman" w:hAnsi="Times New Roman"/>
                <w:b/>
                <w:noProof/>
              </w:rPr>
              <w:t>2.</w:t>
            </w:r>
            <w:r>
              <w:rPr>
                <w:noProof/>
                <w:lang w:val="en-GB" w:eastAsia="en-GB"/>
              </w:rPr>
              <w:tab/>
            </w:r>
            <w:r>
              <w:rPr>
                <w:rStyle w:val="Hyperlink"/>
                <w:rFonts w:ascii="Times New Roman" w:hAnsi="Times New Roman"/>
                <w:b/>
                <w:noProof/>
              </w:rPr>
              <w:t>Section 2. Why should the EU act?</w:t>
            </w:r>
            <w:r>
              <w:rPr>
                <w:noProof/>
                <w:webHidden/>
              </w:rPr>
              <w:tab/>
            </w:r>
            <w:r>
              <w:rPr>
                <w:noProof/>
                <w:webHidden/>
              </w:rPr>
              <w:fldChar w:fldCharType="begin"/>
            </w:r>
            <w:r>
              <w:rPr>
                <w:noProof/>
                <w:webHidden/>
              </w:rPr>
              <w:instrText xml:space="preserve"> PAGEREF _Toc457466035 \h </w:instrText>
            </w:r>
            <w:r>
              <w:rPr>
                <w:noProof/>
                <w:webHidden/>
              </w:rPr>
            </w:r>
            <w:r>
              <w:rPr>
                <w:noProof/>
                <w:webHidden/>
              </w:rPr>
              <w:fldChar w:fldCharType="separate"/>
            </w:r>
            <w:r>
              <w:rPr>
                <w:noProof/>
                <w:webHidden/>
              </w:rPr>
              <w:t>20</w:t>
            </w:r>
            <w:r>
              <w:rPr>
                <w:noProof/>
                <w:webHidden/>
              </w:rPr>
              <w:fldChar w:fldCharType="end"/>
            </w:r>
          </w:hyperlink>
        </w:p>
        <w:p>
          <w:pPr>
            <w:pStyle w:val="TOC1"/>
            <w:tabs>
              <w:tab w:val="left" w:pos="993"/>
              <w:tab w:val="right" w:leader="dot" w:pos="9062"/>
            </w:tabs>
            <w:rPr>
              <w:noProof/>
              <w:lang w:val="en-GB" w:eastAsia="en-GB"/>
            </w:rPr>
          </w:pPr>
          <w:hyperlink w:anchor="_Toc457466036" w:history="1">
            <w:r>
              <w:rPr>
                <w:rStyle w:val="Hyperlink"/>
                <w:rFonts w:ascii="Times New Roman" w:hAnsi="Times New Roman"/>
                <w:noProof/>
              </w:rPr>
              <w:t>2.1.</w:t>
            </w:r>
            <w:r>
              <w:rPr>
                <w:noProof/>
                <w:lang w:val="en-GB" w:eastAsia="en-GB"/>
              </w:rPr>
              <w:tab/>
            </w:r>
            <w:r>
              <w:rPr>
                <w:rStyle w:val="Hyperlink"/>
                <w:rFonts w:ascii="Times New Roman" w:hAnsi="Times New Roman"/>
                <w:noProof/>
              </w:rPr>
              <w:t>EU right to act</w:t>
            </w:r>
            <w:r>
              <w:rPr>
                <w:noProof/>
                <w:webHidden/>
              </w:rPr>
              <w:tab/>
            </w:r>
            <w:r>
              <w:rPr>
                <w:noProof/>
                <w:webHidden/>
              </w:rPr>
              <w:fldChar w:fldCharType="begin"/>
            </w:r>
            <w:r>
              <w:rPr>
                <w:noProof/>
                <w:webHidden/>
              </w:rPr>
              <w:instrText xml:space="preserve"> PAGEREF _Toc457466036 \h </w:instrText>
            </w:r>
            <w:r>
              <w:rPr>
                <w:noProof/>
                <w:webHidden/>
              </w:rPr>
            </w:r>
            <w:r>
              <w:rPr>
                <w:noProof/>
                <w:webHidden/>
              </w:rPr>
              <w:fldChar w:fldCharType="separate"/>
            </w:r>
            <w:r>
              <w:rPr>
                <w:noProof/>
                <w:webHidden/>
              </w:rPr>
              <w:t>20</w:t>
            </w:r>
            <w:r>
              <w:rPr>
                <w:noProof/>
                <w:webHidden/>
              </w:rPr>
              <w:fldChar w:fldCharType="end"/>
            </w:r>
          </w:hyperlink>
        </w:p>
        <w:p>
          <w:pPr>
            <w:pStyle w:val="TOC1"/>
            <w:tabs>
              <w:tab w:val="left" w:pos="993"/>
              <w:tab w:val="right" w:leader="dot" w:pos="9062"/>
            </w:tabs>
            <w:ind w:left="990" w:hanging="990"/>
            <w:rPr>
              <w:noProof/>
              <w:lang w:val="en-GB" w:eastAsia="en-GB"/>
            </w:rPr>
          </w:pPr>
          <w:hyperlink w:anchor="_Toc457466037" w:history="1">
            <w:r>
              <w:rPr>
                <w:rStyle w:val="Hyperlink"/>
                <w:rFonts w:ascii="Times New Roman" w:hAnsi="Times New Roman"/>
                <w:noProof/>
              </w:rPr>
              <w:t>2.2.</w:t>
            </w:r>
            <w:r>
              <w:rPr>
                <w:noProof/>
                <w:lang w:val="en-GB" w:eastAsia="en-GB"/>
              </w:rPr>
              <w:tab/>
            </w:r>
            <w:r>
              <w:rPr>
                <w:rStyle w:val="Hyperlink"/>
                <w:rFonts w:ascii="Times New Roman" w:hAnsi="Times New Roman"/>
                <w:noProof/>
              </w:rPr>
              <w:t>Why could Member States not achieve the objectives of the proposed action sufficiently by themselves?</w:t>
            </w:r>
            <w:r>
              <w:rPr>
                <w:noProof/>
                <w:webHidden/>
              </w:rPr>
              <w:tab/>
            </w:r>
            <w:r>
              <w:rPr>
                <w:noProof/>
                <w:webHidden/>
              </w:rPr>
              <w:fldChar w:fldCharType="begin"/>
            </w:r>
            <w:r>
              <w:rPr>
                <w:noProof/>
                <w:webHidden/>
              </w:rPr>
              <w:instrText xml:space="preserve"> PAGEREF _Toc457466037 \h </w:instrText>
            </w:r>
            <w:r>
              <w:rPr>
                <w:noProof/>
                <w:webHidden/>
              </w:rPr>
            </w:r>
            <w:r>
              <w:rPr>
                <w:noProof/>
                <w:webHidden/>
              </w:rPr>
              <w:fldChar w:fldCharType="separate"/>
            </w:r>
            <w:r>
              <w:rPr>
                <w:noProof/>
                <w:webHidden/>
              </w:rPr>
              <w:t>21</w:t>
            </w:r>
            <w:r>
              <w:rPr>
                <w:noProof/>
                <w:webHidden/>
              </w:rPr>
              <w:fldChar w:fldCharType="end"/>
            </w:r>
          </w:hyperlink>
        </w:p>
        <w:p>
          <w:pPr>
            <w:pStyle w:val="TOC1"/>
            <w:tabs>
              <w:tab w:val="left" w:pos="993"/>
              <w:tab w:val="right" w:leader="dot" w:pos="9062"/>
            </w:tabs>
            <w:rPr>
              <w:noProof/>
              <w:lang w:val="en-GB" w:eastAsia="en-GB"/>
            </w:rPr>
          </w:pPr>
          <w:hyperlink w:anchor="_Toc457466038" w:history="1">
            <w:r>
              <w:rPr>
                <w:rStyle w:val="Hyperlink"/>
                <w:rFonts w:ascii="Times New Roman" w:hAnsi="Times New Roman"/>
                <w:noProof/>
              </w:rPr>
              <w:t>2.3.</w:t>
            </w:r>
            <w:r>
              <w:rPr>
                <w:noProof/>
                <w:lang w:val="en-GB" w:eastAsia="en-GB"/>
              </w:rPr>
              <w:tab/>
            </w:r>
            <w:r>
              <w:rPr>
                <w:rStyle w:val="Hyperlink"/>
                <w:rFonts w:ascii="Times New Roman" w:hAnsi="Times New Roman"/>
                <w:noProof/>
              </w:rPr>
              <w:t>What would be the added-value of action at EU-level?</w:t>
            </w:r>
            <w:r>
              <w:rPr>
                <w:noProof/>
                <w:webHidden/>
              </w:rPr>
              <w:tab/>
            </w:r>
            <w:r>
              <w:rPr>
                <w:noProof/>
                <w:webHidden/>
              </w:rPr>
              <w:fldChar w:fldCharType="begin"/>
            </w:r>
            <w:r>
              <w:rPr>
                <w:noProof/>
                <w:webHidden/>
              </w:rPr>
              <w:instrText xml:space="preserve"> PAGEREF _Toc457466038 \h </w:instrText>
            </w:r>
            <w:r>
              <w:rPr>
                <w:noProof/>
                <w:webHidden/>
              </w:rPr>
            </w:r>
            <w:r>
              <w:rPr>
                <w:noProof/>
                <w:webHidden/>
              </w:rPr>
              <w:fldChar w:fldCharType="separate"/>
            </w:r>
            <w:r>
              <w:rPr>
                <w:noProof/>
                <w:webHidden/>
              </w:rPr>
              <w:t>22</w:t>
            </w:r>
            <w:r>
              <w:rPr>
                <w:noProof/>
                <w:webHidden/>
              </w:rPr>
              <w:fldChar w:fldCharType="end"/>
            </w:r>
          </w:hyperlink>
        </w:p>
        <w:p>
          <w:pPr>
            <w:pStyle w:val="TOC1"/>
            <w:tabs>
              <w:tab w:val="left" w:pos="993"/>
              <w:tab w:val="right" w:leader="dot" w:pos="9062"/>
            </w:tabs>
            <w:rPr>
              <w:noProof/>
              <w:lang w:val="en-GB" w:eastAsia="en-GB"/>
            </w:rPr>
          </w:pPr>
          <w:hyperlink w:anchor="_Toc457466039" w:history="1">
            <w:r>
              <w:rPr>
                <w:rStyle w:val="Hyperlink"/>
                <w:rFonts w:ascii="Times New Roman" w:hAnsi="Times New Roman"/>
                <w:b/>
                <w:noProof/>
              </w:rPr>
              <w:t>3.</w:t>
            </w:r>
            <w:r>
              <w:rPr>
                <w:noProof/>
                <w:lang w:val="en-GB" w:eastAsia="en-GB"/>
              </w:rPr>
              <w:tab/>
            </w:r>
            <w:r>
              <w:rPr>
                <w:rStyle w:val="Hyperlink"/>
                <w:rFonts w:ascii="Times New Roman" w:hAnsi="Times New Roman"/>
                <w:b/>
                <w:noProof/>
              </w:rPr>
              <w:t>Section 3. What should be achieved?</w:t>
            </w:r>
            <w:r>
              <w:rPr>
                <w:noProof/>
                <w:webHidden/>
              </w:rPr>
              <w:tab/>
            </w:r>
            <w:r>
              <w:rPr>
                <w:noProof/>
                <w:webHidden/>
              </w:rPr>
              <w:fldChar w:fldCharType="begin"/>
            </w:r>
            <w:r>
              <w:rPr>
                <w:noProof/>
                <w:webHidden/>
              </w:rPr>
              <w:instrText xml:space="preserve"> PAGEREF _Toc457466039 \h </w:instrText>
            </w:r>
            <w:r>
              <w:rPr>
                <w:noProof/>
                <w:webHidden/>
              </w:rPr>
            </w:r>
            <w:r>
              <w:rPr>
                <w:noProof/>
                <w:webHidden/>
              </w:rPr>
              <w:fldChar w:fldCharType="separate"/>
            </w:r>
            <w:r>
              <w:rPr>
                <w:noProof/>
                <w:webHidden/>
              </w:rPr>
              <w:t>24</w:t>
            </w:r>
            <w:r>
              <w:rPr>
                <w:noProof/>
                <w:webHidden/>
              </w:rPr>
              <w:fldChar w:fldCharType="end"/>
            </w:r>
          </w:hyperlink>
        </w:p>
        <w:p>
          <w:pPr>
            <w:pStyle w:val="TOC1"/>
            <w:tabs>
              <w:tab w:val="left" w:pos="993"/>
              <w:tab w:val="right" w:leader="dot" w:pos="9062"/>
            </w:tabs>
            <w:rPr>
              <w:noProof/>
              <w:lang w:val="en-GB" w:eastAsia="en-GB"/>
            </w:rPr>
          </w:pPr>
          <w:hyperlink w:anchor="_Toc457466040" w:history="1">
            <w:r>
              <w:rPr>
                <w:rStyle w:val="Hyperlink"/>
                <w:rFonts w:ascii="Times New Roman" w:hAnsi="Times New Roman"/>
                <w:noProof/>
              </w:rPr>
              <w:t>3.1.</w:t>
            </w:r>
            <w:r>
              <w:rPr>
                <w:noProof/>
                <w:lang w:val="en-GB" w:eastAsia="en-GB"/>
              </w:rPr>
              <w:tab/>
            </w:r>
            <w:r>
              <w:rPr>
                <w:rStyle w:val="Hyperlink"/>
                <w:rFonts w:ascii="Times New Roman" w:hAnsi="Times New Roman"/>
                <w:noProof/>
              </w:rPr>
              <w:t>Policy Objectives</w:t>
            </w:r>
            <w:r>
              <w:rPr>
                <w:noProof/>
                <w:webHidden/>
              </w:rPr>
              <w:tab/>
            </w:r>
            <w:r>
              <w:rPr>
                <w:noProof/>
                <w:webHidden/>
              </w:rPr>
              <w:fldChar w:fldCharType="begin"/>
            </w:r>
            <w:r>
              <w:rPr>
                <w:noProof/>
                <w:webHidden/>
              </w:rPr>
              <w:instrText xml:space="preserve"> PAGEREF _Toc457466040 \h </w:instrText>
            </w:r>
            <w:r>
              <w:rPr>
                <w:noProof/>
                <w:webHidden/>
              </w:rPr>
            </w:r>
            <w:r>
              <w:rPr>
                <w:noProof/>
                <w:webHidden/>
              </w:rPr>
              <w:fldChar w:fldCharType="separate"/>
            </w:r>
            <w:r>
              <w:rPr>
                <w:noProof/>
                <w:webHidden/>
              </w:rPr>
              <w:t>24</w:t>
            </w:r>
            <w:r>
              <w:rPr>
                <w:noProof/>
                <w:webHidden/>
              </w:rPr>
              <w:fldChar w:fldCharType="end"/>
            </w:r>
          </w:hyperlink>
        </w:p>
        <w:p>
          <w:pPr>
            <w:pStyle w:val="TOC1"/>
            <w:tabs>
              <w:tab w:val="left" w:pos="993"/>
              <w:tab w:val="right" w:leader="dot" w:pos="9062"/>
            </w:tabs>
            <w:rPr>
              <w:noProof/>
              <w:lang w:val="en-GB" w:eastAsia="en-GB"/>
            </w:rPr>
          </w:pPr>
          <w:hyperlink w:anchor="_Toc457466041" w:history="1">
            <w:r>
              <w:rPr>
                <w:rStyle w:val="Hyperlink"/>
                <w:rFonts w:ascii="Times New Roman" w:hAnsi="Times New Roman"/>
                <w:noProof/>
              </w:rPr>
              <w:t>3.2.</w:t>
            </w:r>
            <w:r>
              <w:rPr>
                <w:noProof/>
                <w:lang w:val="en-GB" w:eastAsia="en-GB"/>
              </w:rPr>
              <w:tab/>
            </w:r>
            <w:r>
              <w:rPr>
                <w:rStyle w:val="Hyperlink"/>
                <w:rFonts w:ascii="Times New Roman" w:hAnsi="Times New Roman"/>
                <w:noProof/>
              </w:rPr>
              <w:t>Specific Objectives</w:t>
            </w:r>
            <w:r>
              <w:rPr>
                <w:noProof/>
                <w:webHidden/>
              </w:rPr>
              <w:tab/>
            </w:r>
            <w:r>
              <w:rPr>
                <w:noProof/>
                <w:webHidden/>
              </w:rPr>
              <w:fldChar w:fldCharType="begin"/>
            </w:r>
            <w:r>
              <w:rPr>
                <w:noProof/>
                <w:webHidden/>
              </w:rPr>
              <w:instrText xml:space="preserve"> PAGEREF _Toc457466041 \h </w:instrText>
            </w:r>
            <w:r>
              <w:rPr>
                <w:noProof/>
                <w:webHidden/>
              </w:rPr>
            </w:r>
            <w:r>
              <w:rPr>
                <w:noProof/>
                <w:webHidden/>
              </w:rPr>
              <w:fldChar w:fldCharType="separate"/>
            </w:r>
            <w:r>
              <w:rPr>
                <w:noProof/>
                <w:webHidden/>
              </w:rPr>
              <w:t>24</w:t>
            </w:r>
            <w:r>
              <w:rPr>
                <w:noProof/>
                <w:webHidden/>
              </w:rPr>
              <w:fldChar w:fldCharType="end"/>
            </w:r>
          </w:hyperlink>
        </w:p>
        <w:p>
          <w:pPr>
            <w:pStyle w:val="TOC1"/>
            <w:tabs>
              <w:tab w:val="left" w:pos="993"/>
              <w:tab w:val="right" w:leader="dot" w:pos="9062"/>
            </w:tabs>
            <w:rPr>
              <w:noProof/>
              <w:lang w:val="en-GB" w:eastAsia="en-GB"/>
            </w:rPr>
          </w:pPr>
          <w:hyperlink w:anchor="_Toc457466042" w:history="1">
            <w:r>
              <w:rPr>
                <w:rStyle w:val="Hyperlink"/>
                <w:rFonts w:ascii="Times New Roman" w:hAnsi="Times New Roman"/>
                <w:noProof/>
              </w:rPr>
              <w:t>3.3.</w:t>
            </w:r>
            <w:r>
              <w:rPr>
                <w:noProof/>
                <w:lang w:val="en-GB" w:eastAsia="en-GB"/>
              </w:rPr>
              <w:tab/>
            </w:r>
            <w:r>
              <w:rPr>
                <w:rStyle w:val="Hyperlink"/>
                <w:rFonts w:ascii="Times New Roman" w:hAnsi="Times New Roman"/>
                <w:noProof/>
              </w:rPr>
              <w:t>Consistency with other EU policies</w:t>
            </w:r>
            <w:r>
              <w:rPr>
                <w:noProof/>
                <w:webHidden/>
              </w:rPr>
              <w:tab/>
            </w:r>
            <w:r>
              <w:rPr>
                <w:noProof/>
                <w:webHidden/>
              </w:rPr>
              <w:fldChar w:fldCharType="begin"/>
            </w:r>
            <w:r>
              <w:rPr>
                <w:noProof/>
                <w:webHidden/>
              </w:rPr>
              <w:instrText xml:space="preserve"> PAGEREF _Toc457466042 \h </w:instrText>
            </w:r>
            <w:r>
              <w:rPr>
                <w:noProof/>
                <w:webHidden/>
              </w:rPr>
            </w:r>
            <w:r>
              <w:rPr>
                <w:noProof/>
                <w:webHidden/>
              </w:rPr>
              <w:fldChar w:fldCharType="separate"/>
            </w:r>
            <w:r>
              <w:rPr>
                <w:noProof/>
                <w:webHidden/>
              </w:rPr>
              <w:t>25</w:t>
            </w:r>
            <w:r>
              <w:rPr>
                <w:noProof/>
                <w:webHidden/>
              </w:rPr>
              <w:fldChar w:fldCharType="end"/>
            </w:r>
          </w:hyperlink>
        </w:p>
        <w:p>
          <w:pPr>
            <w:pStyle w:val="TOC1"/>
            <w:tabs>
              <w:tab w:val="left" w:pos="993"/>
              <w:tab w:val="right" w:leader="dot" w:pos="9062"/>
            </w:tabs>
            <w:rPr>
              <w:noProof/>
              <w:lang w:val="en-GB" w:eastAsia="en-GB"/>
            </w:rPr>
          </w:pPr>
          <w:hyperlink w:anchor="_Toc457466043" w:history="1">
            <w:r>
              <w:rPr>
                <w:rStyle w:val="Hyperlink"/>
                <w:rFonts w:ascii="Times New Roman" w:hAnsi="Times New Roman"/>
                <w:b/>
                <w:noProof/>
              </w:rPr>
              <w:t>4.</w:t>
            </w:r>
            <w:r>
              <w:rPr>
                <w:noProof/>
                <w:lang w:val="en-GB" w:eastAsia="en-GB"/>
              </w:rPr>
              <w:tab/>
            </w:r>
            <w:r>
              <w:rPr>
                <w:rStyle w:val="Hyperlink"/>
                <w:rFonts w:ascii="Times New Roman" w:hAnsi="Times New Roman"/>
                <w:b/>
                <w:noProof/>
              </w:rPr>
              <w:t>Section 4. What are the different options to achieve the objectives?</w:t>
            </w:r>
            <w:r>
              <w:rPr>
                <w:noProof/>
                <w:webHidden/>
              </w:rPr>
              <w:tab/>
            </w:r>
            <w:r>
              <w:rPr>
                <w:noProof/>
                <w:webHidden/>
              </w:rPr>
              <w:fldChar w:fldCharType="begin"/>
            </w:r>
            <w:r>
              <w:rPr>
                <w:noProof/>
                <w:webHidden/>
              </w:rPr>
              <w:instrText xml:space="preserve"> PAGEREF _Toc457466043 \h </w:instrText>
            </w:r>
            <w:r>
              <w:rPr>
                <w:noProof/>
                <w:webHidden/>
              </w:rPr>
            </w:r>
            <w:r>
              <w:rPr>
                <w:noProof/>
                <w:webHidden/>
              </w:rPr>
              <w:fldChar w:fldCharType="separate"/>
            </w:r>
            <w:r>
              <w:rPr>
                <w:noProof/>
                <w:webHidden/>
              </w:rPr>
              <w:t>27</w:t>
            </w:r>
            <w:r>
              <w:rPr>
                <w:noProof/>
                <w:webHidden/>
              </w:rPr>
              <w:fldChar w:fldCharType="end"/>
            </w:r>
          </w:hyperlink>
        </w:p>
        <w:p>
          <w:pPr>
            <w:pStyle w:val="TOC1"/>
            <w:tabs>
              <w:tab w:val="left" w:pos="993"/>
              <w:tab w:val="right" w:leader="dot" w:pos="9062"/>
            </w:tabs>
            <w:rPr>
              <w:noProof/>
              <w:lang w:val="en-GB" w:eastAsia="en-GB"/>
            </w:rPr>
          </w:pPr>
          <w:hyperlink w:anchor="_Toc457466044" w:history="1">
            <w:r>
              <w:rPr>
                <w:rStyle w:val="Hyperlink"/>
                <w:rFonts w:ascii="Times New Roman" w:hAnsi="Times New Roman"/>
                <w:noProof/>
              </w:rPr>
              <w:t>4.1.</w:t>
            </w:r>
            <w:r>
              <w:rPr>
                <w:noProof/>
                <w:lang w:val="en-GB" w:eastAsia="en-GB"/>
              </w:rPr>
              <w:tab/>
            </w:r>
            <w:r>
              <w:rPr>
                <w:rStyle w:val="Hyperlink"/>
                <w:rFonts w:ascii="Times New Roman" w:hAnsi="Times New Roman"/>
                <w:noProof/>
              </w:rPr>
              <w:t>Analysis of the possible options</w:t>
            </w:r>
            <w:r>
              <w:rPr>
                <w:noProof/>
                <w:webHidden/>
              </w:rPr>
              <w:tab/>
            </w:r>
            <w:r>
              <w:rPr>
                <w:noProof/>
                <w:webHidden/>
              </w:rPr>
              <w:fldChar w:fldCharType="begin"/>
            </w:r>
            <w:r>
              <w:rPr>
                <w:noProof/>
                <w:webHidden/>
              </w:rPr>
              <w:instrText xml:space="preserve"> PAGEREF _Toc457466044 \h </w:instrText>
            </w:r>
            <w:r>
              <w:rPr>
                <w:noProof/>
                <w:webHidden/>
              </w:rPr>
            </w:r>
            <w:r>
              <w:rPr>
                <w:noProof/>
                <w:webHidden/>
              </w:rPr>
              <w:fldChar w:fldCharType="separate"/>
            </w:r>
            <w:r>
              <w:rPr>
                <w:noProof/>
                <w:webHidden/>
              </w:rPr>
              <w:t>27</w:t>
            </w:r>
            <w:r>
              <w:rPr>
                <w:noProof/>
                <w:webHidden/>
              </w:rPr>
              <w:fldChar w:fldCharType="end"/>
            </w:r>
          </w:hyperlink>
        </w:p>
        <w:p>
          <w:pPr>
            <w:pStyle w:val="TOC1"/>
            <w:tabs>
              <w:tab w:val="left" w:pos="993"/>
              <w:tab w:val="right" w:leader="dot" w:pos="9062"/>
            </w:tabs>
            <w:rPr>
              <w:noProof/>
              <w:lang w:val="en-GB" w:eastAsia="en-GB"/>
            </w:rPr>
          </w:pPr>
          <w:hyperlink w:anchor="_Toc457466045" w:history="1">
            <w:r>
              <w:rPr>
                <w:rStyle w:val="Hyperlink"/>
                <w:rFonts w:ascii="Times New Roman" w:hAnsi="Times New Roman"/>
                <w:noProof/>
              </w:rPr>
              <w:t>4.2.</w:t>
            </w:r>
            <w:r>
              <w:rPr>
                <w:noProof/>
                <w:lang w:val="en-GB" w:eastAsia="en-GB"/>
              </w:rPr>
              <w:tab/>
            </w:r>
            <w:r>
              <w:rPr>
                <w:rStyle w:val="Hyperlink"/>
                <w:rFonts w:ascii="Times New Roman" w:hAnsi="Times New Roman"/>
                <w:noProof/>
              </w:rPr>
              <w:t>Options discarded at an early stage</w:t>
            </w:r>
            <w:r>
              <w:rPr>
                <w:noProof/>
                <w:webHidden/>
              </w:rPr>
              <w:tab/>
            </w:r>
            <w:r>
              <w:rPr>
                <w:noProof/>
                <w:webHidden/>
              </w:rPr>
              <w:fldChar w:fldCharType="begin"/>
            </w:r>
            <w:r>
              <w:rPr>
                <w:noProof/>
                <w:webHidden/>
              </w:rPr>
              <w:instrText xml:space="preserve"> PAGEREF _Toc457466045 \h </w:instrText>
            </w:r>
            <w:r>
              <w:rPr>
                <w:noProof/>
                <w:webHidden/>
              </w:rPr>
            </w:r>
            <w:r>
              <w:rPr>
                <w:noProof/>
                <w:webHidden/>
              </w:rPr>
              <w:fldChar w:fldCharType="separate"/>
            </w:r>
            <w:r>
              <w:rPr>
                <w:noProof/>
                <w:webHidden/>
              </w:rPr>
              <w:t>27</w:t>
            </w:r>
            <w:r>
              <w:rPr>
                <w:noProof/>
                <w:webHidden/>
              </w:rPr>
              <w:fldChar w:fldCharType="end"/>
            </w:r>
          </w:hyperlink>
        </w:p>
        <w:p>
          <w:pPr>
            <w:pStyle w:val="TOC1"/>
            <w:tabs>
              <w:tab w:val="left" w:pos="993"/>
              <w:tab w:val="right" w:leader="dot" w:pos="9062"/>
            </w:tabs>
            <w:rPr>
              <w:noProof/>
              <w:lang w:val="en-GB" w:eastAsia="en-GB"/>
            </w:rPr>
          </w:pPr>
          <w:hyperlink w:anchor="_Toc457466046" w:history="1">
            <w:r>
              <w:rPr>
                <w:rStyle w:val="Hyperlink"/>
                <w:rFonts w:ascii="Times New Roman" w:hAnsi="Times New Roman"/>
                <w:noProof/>
              </w:rPr>
              <w:t>4.3.</w:t>
            </w:r>
            <w:r>
              <w:rPr>
                <w:noProof/>
                <w:lang w:val="en-GB" w:eastAsia="en-GB"/>
              </w:rPr>
              <w:tab/>
            </w:r>
            <w:r>
              <w:rPr>
                <w:rStyle w:val="Hyperlink"/>
                <w:rFonts w:ascii="Times New Roman" w:hAnsi="Times New Roman"/>
                <w:noProof/>
              </w:rPr>
              <w:t>Retained policy options</w:t>
            </w:r>
            <w:r>
              <w:rPr>
                <w:noProof/>
                <w:webHidden/>
              </w:rPr>
              <w:tab/>
            </w:r>
            <w:r>
              <w:rPr>
                <w:noProof/>
                <w:webHidden/>
              </w:rPr>
              <w:fldChar w:fldCharType="begin"/>
            </w:r>
            <w:r>
              <w:rPr>
                <w:noProof/>
                <w:webHidden/>
              </w:rPr>
              <w:instrText xml:space="preserve"> PAGEREF _Toc457466046 \h </w:instrText>
            </w:r>
            <w:r>
              <w:rPr>
                <w:noProof/>
                <w:webHidden/>
              </w:rPr>
            </w:r>
            <w:r>
              <w:rPr>
                <w:noProof/>
                <w:webHidden/>
              </w:rPr>
              <w:fldChar w:fldCharType="separate"/>
            </w:r>
            <w:r>
              <w:rPr>
                <w:noProof/>
                <w:webHidden/>
              </w:rPr>
              <w:t>28</w:t>
            </w:r>
            <w:r>
              <w:rPr>
                <w:noProof/>
                <w:webHidden/>
              </w:rPr>
              <w:fldChar w:fldCharType="end"/>
            </w:r>
          </w:hyperlink>
        </w:p>
        <w:p>
          <w:pPr>
            <w:pStyle w:val="TOC1"/>
            <w:tabs>
              <w:tab w:val="left" w:pos="993"/>
              <w:tab w:val="right" w:leader="dot" w:pos="9062"/>
            </w:tabs>
            <w:rPr>
              <w:noProof/>
              <w:lang w:val="en-GB" w:eastAsia="en-GB"/>
            </w:rPr>
          </w:pPr>
          <w:hyperlink w:anchor="_Toc457466047" w:history="1">
            <w:r>
              <w:rPr>
                <w:rStyle w:val="Hyperlink"/>
                <w:rFonts w:ascii="Times New Roman" w:hAnsi="Times New Roman"/>
                <w:noProof/>
              </w:rPr>
              <w:t>4.4.</w:t>
            </w:r>
            <w:r>
              <w:rPr>
                <w:noProof/>
                <w:lang w:val="en-GB" w:eastAsia="en-GB"/>
              </w:rPr>
              <w:tab/>
            </w:r>
            <w:r>
              <w:rPr>
                <w:rStyle w:val="Hyperlink"/>
                <w:rFonts w:ascii="Times New Roman" w:hAnsi="Times New Roman"/>
                <w:noProof/>
              </w:rPr>
              <w:t>Stakeholders targeted by the different policy options</w:t>
            </w:r>
            <w:r>
              <w:rPr>
                <w:noProof/>
                <w:webHidden/>
              </w:rPr>
              <w:tab/>
            </w:r>
            <w:r>
              <w:rPr>
                <w:noProof/>
                <w:webHidden/>
              </w:rPr>
              <w:fldChar w:fldCharType="begin"/>
            </w:r>
            <w:r>
              <w:rPr>
                <w:noProof/>
                <w:webHidden/>
              </w:rPr>
              <w:instrText xml:space="preserve"> PAGEREF _Toc457466047 \h </w:instrText>
            </w:r>
            <w:r>
              <w:rPr>
                <w:noProof/>
                <w:webHidden/>
              </w:rPr>
            </w:r>
            <w:r>
              <w:rPr>
                <w:noProof/>
                <w:webHidden/>
              </w:rPr>
              <w:fldChar w:fldCharType="separate"/>
            </w:r>
            <w:r>
              <w:rPr>
                <w:noProof/>
                <w:webHidden/>
              </w:rPr>
              <w:t>36</w:t>
            </w:r>
            <w:r>
              <w:rPr>
                <w:noProof/>
                <w:webHidden/>
              </w:rPr>
              <w:fldChar w:fldCharType="end"/>
            </w:r>
          </w:hyperlink>
        </w:p>
        <w:p>
          <w:pPr>
            <w:pStyle w:val="TOC1"/>
            <w:tabs>
              <w:tab w:val="left" w:pos="993"/>
              <w:tab w:val="right" w:leader="dot" w:pos="9062"/>
            </w:tabs>
            <w:ind w:left="990" w:hanging="990"/>
            <w:rPr>
              <w:noProof/>
              <w:lang w:val="en-GB" w:eastAsia="en-GB"/>
            </w:rPr>
          </w:pPr>
          <w:hyperlink w:anchor="_Toc457466048" w:history="1">
            <w:r>
              <w:rPr>
                <w:rStyle w:val="Hyperlink"/>
                <w:rFonts w:ascii="Times New Roman" w:hAnsi="Times New Roman"/>
                <w:b/>
                <w:noProof/>
              </w:rPr>
              <w:t>5.</w:t>
            </w:r>
            <w:r>
              <w:rPr>
                <w:noProof/>
                <w:lang w:val="en-GB" w:eastAsia="en-GB"/>
              </w:rPr>
              <w:tab/>
            </w:r>
            <w:r>
              <w:rPr>
                <w:noProof/>
                <w:lang w:val="en-GB" w:eastAsia="en-GB"/>
              </w:rPr>
              <w:tab/>
            </w:r>
            <w:r>
              <w:rPr>
                <w:rStyle w:val="Hyperlink"/>
                <w:rFonts w:ascii="Times New Roman" w:hAnsi="Times New Roman"/>
                <w:b/>
                <w:noProof/>
              </w:rPr>
              <w:t>Section 5. What are the impacts of the different policy options and who will be affected?</w:t>
            </w:r>
            <w:r>
              <w:rPr>
                <w:noProof/>
                <w:webHidden/>
              </w:rPr>
              <w:tab/>
            </w:r>
            <w:r>
              <w:rPr>
                <w:noProof/>
                <w:webHidden/>
              </w:rPr>
              <w:fldChar w:fldCharType="begin"/>
            </w:r>
            <w:r>
              <w:rPr>
                <w:noProof/>
                <w:webHidden/>
              </w:rPr>
              <w:instrText xml:space="preserve"> PAGEREF _Toc457466048 \h </w:instrText>
            </w:r>
            <w:r>
              <w:rPr>
                <w:noProof/>
                <w:webHidden/>
              </w:rPr>
            </w:r>
            <w:r>
              <w:rPr>
                <w:noProof/>
                <w:webHidden/>
              </w:rPr>
              <w:fldChar w:fldCharType="separate"/>
            </w:r>
            <w:r>
              <w:rPr>
                <w:noProof/>
                <w:webHidden/>
              </w:rPr>
              <w:t>37</w:t>
            </w:r>
            <w:r>
              <w:rPr>
                <w:noProof/>
                <w:webHidden/>
              </w:rPr>
              <w:fldChar w:fldCharType="end"/>
            </w:r>
          </w:hyperlink>
        </w:p>
        <w:p>
          <w:pPr>
            <w:pStyle w:val="TOC1"/>
            <w:tabs>
              <w:tab w:val="left" w:pos="993"/>
              <w:tab w:val="right" w:leader="dot" w:pos="9062"/>
            </w:tabs>
            <w:rPr>
              <w:noProof/>
              <w:lang w:val="en-GB" w:eastAsia="en-GB"/>
            </w:rPr>
          </w:pPr>
          <w:hyperlink w:anchor="_Toc457466049" w:history="1">
            <w:r>
              <w:rPr>
                <w:rStyle w:val="Hyperlink"/>
                <w:rFonts w:ascii="Times New Roman" w:hAnsi="Times New Roman"/>
                <w:noProof/>
              </w:rPr>
              <w:t>5.1.</w:t>
            </w:r>
            <w:r>
              <w:rPr>
                <w:noProof/>
                <w:lang w:val="en-GB" w:eastAsia="en-GB"/>
              </w:rPr>
              <w:tab/>
            </w:r>
            <w:r>
              <w:rPr>
                <w:rStyle w:val="Hyperlink"/>
                <w:rFonts w:ascii="Times New Roman" w:hAnsi="Times New Roman"/>
                <w:noProof/>
              </w:rPr>
              <w:t>Likely economic, social and environmental impacts of each of the short-listed options</w:t>
            </w:r>
            <w:r>
              <w:rPr>
                <w:noProof/>
                <w:webHidden/>
              </w:rPr>
              <w:tab/>
            </w:r>
            <w:r>
              <w:rPr>
                <w:noProof/>
                <w:webHidden/>
              </w:rPr>
              <w:fldChar w:fldCharType="begin"/>
            </w:r>
            <w:r>
              <w:rPr>
                <w:noProof/>
                <w:webHidden/>
              </w:rPr>
              <w:instrText xml:space="preserve"> PAGEREF _Toc457466049 \h </w:instrText>
            </w:r>
            <w:r>
              <w:rPr>
                <w:noProof/>
                <w:webHidden/>
              </w:rPr>
            </w:r>
            <w:r>
              <w:rPr>
                <w:noProof/>
                <w:webHidden/>
              </w:rPr>
              <w:fldChar w:fldCharType="separate"/>
            </w:r>
            <w:r>
              <w:rPr>
                <w:noProof/>
                <w:webHidden/>
              </w:rPr>
              <w:t>37</w:t>
            </w:r>
            <w:r>
              <w:rPr>
                <w:noProof/>
                <w:webHidden/>
              </w:rPr>
              <w:fldChar w:fldCharType="end"/>
            </w:r>
          </w:hyperlink>
        </w:p>
        <w:p>
          <w:pPr>
            <w:pStyle w:val="TOC1"/>
            <w:tabs>
              <w:tab w:val="left" w:pos="993"/>
              <w:tab w:val="right" w:leader="dot" w:pos="9062"/>
            </w:tabs>
            <w:rPr>
              <w:noProof/>
              <w:lang w:val="en-GB" w:eastAsia="en-GB"/>
            </w:rPr>
          </w:pPr>
          <w:hyperlink w:anchor="_Toc457466050" w:history="1">
            <w:r>
              <w:rPr>
                <w:rStyle w:val="Hyperlink"/>
                <w:rFonts w:ascii="Times New Roman" w:hAnsi="Times New Roman"/>
                <w:noProof/>
              </w:rPr>
              <w:t>5.2.</w:t>
            </w:r>
            <w:r>
              <w:rPr>
                <w:noProof/>
                <w:lang w:val="en-GB" w:eastAsia="en-GB"/>
              </w:rPr>
              <w:tab/>
            </w:r>
            <w:r>
              <w:rPr>
                <w:rStyle w:val="Hyperlink"/>
                <w:rFonts w:ascii="Times New Roman" w:hAnsi="Times New Roman"/>
                <w:noProof/>
              </w:rPr>
              <w:t>Direct impacts</w:t>
            </w:r>
            <w:r>
              <w:rPr>
                <w:noProof/>
                <w:webHidden/>
              </w:rPr>
              <w:tab/>
            </w:r>
            <w:r>
              <w:rPr>
                <w:noProof/>
                <w:webHidden/>
              </w:rPr>
              <w:fldChar w:fldCharType="begin"/>
            </w:r>
            <w:r>
              <w:rPr>
                <w:noProof/>
                <w:webHidden/>
              </w:rPr>
              <w:instrText xml:space="preserve"> PAGEREF _Toc457466050 \h </w:instrText>
            </w:r>
            <w:r>
              <w:rPr>
                <w:noProof/>
                <w:webHidden/>
              </w:rPr>
            </w:r>
            <w:r>
              <w:rPr>
                <w:noProof/>
                <w:webHidden/>
              </w:rPr>
              <w:fldChar w:fldCharType="separate"/>
            </w:r>
            <w:r>
              <w:rPr>
                <w:noProof/>
                <w:webHidden/>
              </w:rPr>
              <w:t>37</w:t>
            </w:r>
            <w:r>
              <w:rPr>
                <w:noProof/>
                <w:webHidden/>
              </w:rPr>
              <w:fldChar w:fldCharType="end"/>
            </w:r>
          </w:hyperlink>
        </w:p>
        <w:p>
          <w:pPr>
            <w:pStyle w:val="TOC1"/>
            <w:tabs>
              <w:tab w:val="left" w:pos="993"/>
              <w:tab w:val="right" w:leader="dot" w:pos="9062"/>
            </w:tabs>
            <w:rPr>
              <w:noProof/>
              <w:lang w:val="en-GB" w:eastAsia="en-GB"/>
            </w:rPr>
          </w:pPr>
          <w:hyperlink w:anchor="_Toc457466051" w:history="1">
            <w:r>
              <w:rPr>
                <w:rStyle w:val="Hyperlink"/>
                <w:rFonts w:ascii="Times New Roman" w:hAnsi="Times New Roman"/>
                <w:noProof/>
              </w:rPr>
              <w:t>5.2.1.</w:t>
            </w:r>
            <w:r>
              <w:rPr>
                <w:noProof/>
                <w:lang w:val="en-GB" w:eastAsia="en-GB"/>
              </w:rPr>
              <w:tab/>
            </w:r>
            <w:r>
              <w:rPr>
                <w:rStyle w:val="Hyperlink"/>
                <w:rFonts w:ascii="Times New Roman" w:hAnsi="Times New Roman"/>
                <w:noProof/>
              </w:rPr>
              <w:t>Rapid integration of national R&amp;I programmes and activities in the Mediterranean area</w:t>
            </w:r>
            <w:r>
              <w:rPr>
                <w:noProof/>
                <w:webHidden/>
              </w:rPr>
              <w:tab/>
            </w:r>
            <w:r>
              <w:rPr>
                <w:noProof/>
                <w:webHidden/>
              </w:rPr>
              <w:fldChar w:fldCharType="begin"/>
            </w:r>
            <w:r>
              <w:rPr>
                <w:noProof/>
                <w:webHidden/>
              </w:rPr>
              <w:instrText xml:space="preserve"> PAGEREF _Toc457466051 \h </w:instrText>
            </w:r>
            <w:r>
              <w:rPr>
                <w:noProof/>
                <w:webHidden/>
              </w:rPr>
            </w:r>
            <w:r>
              <w:rPr>
                <w:noProof/>
                <w:webHidden/>
              </w:rPr>
              <w:fldChar w:fldCharType="separate"/>
            </w:r>
            <w:r>
              <w:rPr>
                <w:noProof/>
                <w:webHidden/>
              </w:rPr>
              <w:t>37</w:t>
            </w:r>
            <w:r>
              <w:rPr>
                <w:noProof/>
                <w:webHidden/>
              </w:rPr>
              <w:fldChar w:fldCharType="end"/>
            </w:r>
          </w:hyperlink>
        </w:p>
        <w:p>
          <w:pPr>
            <w:pStyle w:val="TOC1"/>
            <w:tabs>
              <w:tab w:val="left" w:pos="993"/>
              <w:tab w:val="right" w:leader="dot" w:pos="9062"/>
            </w:tabs>
            <w:ind w:left="990" w:hanging="990"/>
            <w:rPr>
              <w:noProof/>
              <w:lang w:val="en-GB" w:eastAsia="en-GB"/>
            </w:rPr>
          </w:pPr>
          <w:hyperlink w:anchor="_Toc457466052" w:history="1">
            <w:r>
              <w:rPr>
                <w:rStyle w:val="Hyperlink"/>
                <w:rFonts w:ascii="Times New Roman" w:hAnsi="Times New Roman"/>
                <w:noProof/>
              </w:rPr>
              <w:t>5.2.2.</w:t>
            </w:r>
            <w:r>
              <w:rPr>
                <w:noProof/>
                <w:lang w:val="en-GB" w:eastAsia="en-GB"/>
              </w:rPr>
              <w:tab/>
            </w:r>
            <w:r>
              <w:rPr>
                <w:noProof/>
                <w:lang w:val="en-GB" w:eastAsia="en-GB"/>
              </w:rPr>
              <w:tab/>
            </w:r>
            <w:r>
              <w:rPr>
                <w:rStyle w:val="Hyperlink"/>
                <w:rFonts w:ascii="Times New Roman" w:hAnsi="Times New Roman"/>
                <w:noProof/>
              </w:rPr>
              <w:t>Efficient and effective delivery of fully piloted and demonstrated, common innovative, integrated solutions for the sustainable management of water provision and food systems</w:t>
            </w:r>
            <w:r>
              <w:rPr>
                <w:noProof/>
                <w:webHidden/>
              </w:rPr>
              <w:tab/>
            </w:r>
            <w:r>
              <w:rPr>
                <w:noProof/>
                <w:webHidden/>
              </w:rPr>
              <w:fldChar w:fldCharType="begin"/>
            </w:r>
            <w:r>
              <w:rPr>
                <w:noProof/>
                <w:webHidden/>
              </w:rPr>
              <w:instrText xml:space="preserve"> PAGEREF _Toc457466052 \h </w:instrText>
            </w:r>
            <w:r>
              <w:rPr>
                <w:noProof/>
                <w:webHidden/>
              </w:rPr>
            </w:r>
            <w:r>
              <w:rPr>
                <w:noProof/>
                <w:webHidden/>
              </w:rPr>
              <w:fldChar w:fldCharType="separate"/>
            </w:r>
            <w:r>
              <w:rPr>
                <w:noProof/>
                <w:webHidden/>
              </w:rPr>
              <w:t>39</w:t>
            </w:r>
            <w:r>
              <w:rPr>
                <w:noProof/>
                <w:webHidden/>
              </w:rPr>
              <w:fldChar w:fldCharType="end"/>
            </w:r>
          </w:hyperlink>
        </w:p>
        <w:p>
          <w:pPr>
            <w:pStyle w:val="TOC1"/>
            <w:tabs>
              <w:tab w:val="left" w:pos="993"/>
              <w:tab w:val="right" w:leader="dot" w:pos="9062"/>
            </w:tabs>
            <w:rPr>
              <w:noProof/>
            </w:rPr>
          </w:pPr>
          <w:hyperlink w:anchor="_Toc457466053" w:history="1">
            <w:r>
              <w:rPr>
                <w:rStyle w:val="Hyperlink"/>
                <w:rFonts w:ascii="Times New Roman" w:hAnsi="Times New Roman"/>
                <w:noProof/>
              </w:rPr>
              <w:t>5.2.3.</w:t>
            </w:r>
            <w:r>
              <w:rPr>
                <w:noProof/>
                <w:lang w:val="en-GB" w:eastAsia="en-GB"/>
              </w:rPr>
              <w:tab/>
            </w:r>
            <w:r>
              <w:rPr>
                <w:rStyle w:val="Hyperlink"/>
                <w:rFonts w:ascii="Times New Roman" w:hAnsi="Times New Roman"/>
                <w:noProof/>
              </w:rPr>
              <w:t>Greater opportunities for food industry and other SMEs and other companies</w:t>
            </w:r>
            <w:r>
              <w:rPr>
                <w:noProof/>
                <w:webHidden/>
              </w:rPr>
              <w:tab/>
            </w:r>
            <w:r>
              <w:rPr>
                <w:noProof/>
                <w:webHidden/>
              </w:rPr>
              <w:fldChar w:fldCharType="begin"/>
            </w:r>
            <w:r>
              <w:rPr>
                <w:noProof/>
                <w:webHidden/>
              </w:rPr>
              <w:instrText xml:space="preserve"> PAGEREF _Toc457466053 \h </w:instrText>
            </w:r>
            <w:r>
              <w:rPr>
                <w:noProof/>
                <w:webHidden/>
              </w:rPr>
            </w:r>
            <w:r>
              <w:rPr>
                <w:noProof/>
                <w:webHidden/>
              </w:rPr>
              <w:fldChar w:fldCharType="separate"/>
            </w:r>
            <w:r>
              <w:rPr>
                <w:noProof/>
                <w:webHidden/>
              </w:rPr>
              <w:t>39</w:t>
            </w:r>
            <w:r>
              <w:rPr>
                <w:noProof/>
                <w:webHidden/>
              </w:rPr>
              <w:fldChar w:fldCharType="end"/>
            </w:r>
          </w:hyperlink>
        </w:p>
        <w:p>
          <w:pPr>
            <w:rPr>
              <w:rFonts w:asciiTheme="minorHAnsi" w:eastAsiaTheme="minorEastAsia" w:hAnsiTheme="minorHAnsi" w:cstheme="minorBidi"/>
              <w:noProof/>
              <w:lang w:val="en-US" w:eastAsia="ja-JP"/>
            </w:rPr>
          </w:pPr>
          <w:r>
            <w:rPr>
              <w:noProof/>
            </w:rPr>
            <w:br w:type="page"/>
          </w:r>
        </w:p>
        <w:p>
          <w:pPr>
            <w:pStyle w:val="TOC1"/>
            <w:tabs>
              <w:tab w:val="left" w:pos="993"/>
              <w:tab w:val="right" w:leader="dot" w:pos="9062"/>
            </w:tabs>
            <w:rPr>
              <w:noProof/>
              <w:lang w:val="en-GB" w:eastAsia="en-GB"/>
            </w:rPr>
          </w:pPr>
          <w:hyperlink w:anchor="_Toc457466054" w:history="1">
            <w:r>
              <w:rPr>
                <w:rStyle w:val="Hyperlink"/>
                <w:rFonts w:ascii="Times New Roman" w:hAnsi="Times New Roman"/>
                <w:noProof/>
              </w:rPr>
              <w:t>5.3.</w:t>
            </w:r>
            <w:r>
              <w:rPr>
                <w:noProof/>
                <w:lang w:val="en-GB" w:eastAsia="en-GB"/>
              </w:rPr>
              <w:tab/>
            </w:r>
            <w:r>
              <w:rPr>
                <w:rStyle w:val="Hyperlink"/>
                <w:rFonts w:ascii="Times New Roman" w:hAnsi="Times New Roman"/>
                <w:noProof/>
              </w:rPr>
              <w:t>Indirect impact</w:t>
            </w:r>
            <w:r>
              <w:rPr>
                <w:noProof/>
                <w:webHidden/>
              </w:rPr>
              <w:tab/>
            </w:r>
            <w:r>
              <w:rPr>
                <w:noProof/>
                <w:webHidden/>
              </w:rPr>
              <w:fldChar w:fldCharType="begin"/>
            </w:r>
            <w:r>
              <w:rPr>
                <w:noProof/>
                <w:webHidden/>
              </w:rPr>
              <w:instrText xml:space="preserve"> PAGEREF _Toc457466054 \h </w:instrText>
            </w:r>
            <w:r>
              <w:rPr>
                <w:noProof/>
                <w:webHidden/>
              </w:rPr>
            </w:r>
            <w:r>
              <w:rPr>
                <w:noProof/>
                <w:webHidden/>
              </w:rPr>
              <w:fldChar w:fldCharType="separate"/>
            </w:r>
            <w:r>
              <w:rPr>
                <w:noProof/>
                <w:webHidden/>
              </w:rPr>
              <w:t>40</w:t>
            </w:r>
            <w:r>
              <w:rPr>
                <w:noProof/>
                <w:webHidden/>
              </w:rPr>
              <w:fldChar w:fldCharType="end"/>
            </w:r>
          </w:hyperlink>
        </w:p>
        <w:p>
          <w:pPr>
            <w:pStyle w:val="TOC1"/>
            <w:tabs>
              <w:tab w:val="left" w:pos="993"/>
              <w:tab w:val="right" w:leader="dot" w:pos="9062"/>
            </w:tabs>
            <w:rPr>
              <w:noProof/>
              <w:lang w:val="en-GB" w:eastAsia="en-GB"/>
            </w:rPr>
          </w:pPr>
          <w:hyperlink w:anchor="_Toc457466055" w:history="1">
            <w:r>
              <w:rPr>
                <w:rStyle w:val="Hyperlink"/>
                <w:rFonts w:ascii="Times New Roman" w:hAnsi="Times New Roman"/>
                <w:noProof/>
              </w:rPr>
              <w:t>5.3.1.</w:t>
            </w:r>
            <w:r>
              <w:rPr>
                <w:noProof/>
                <w:lang w:val="en-GB" w:eastAsia="en-GB"/>
              </w:rPr>
              <w:tab/>
            </w:r>
            <w:r>
              <w:rPr>
                <w:rStyle w:val="Hyperlink"/>
                <w:rFonts w:ascii="Times New Roman" w:hAnsi="Times New Roman"/>
                <w:noProof/>
              </w:rPr>
              <w:t>Large-scale aggregate economic impacts</w:t>
            </w:r>
            <w:r>
              <w:rPr>
                <w:noProof/>
                <w:webHidden/>
              </w:rPr>
              <w:tab/>
            </w:r>
            <w:r>
              <w:rPr>
                <w:noProof/>
                <w:webHidden/>
              </w:rPr>
              <w:fldChar w:fldCharType="begin"/>
            </w:r>
            <w:r>
              <w:rPr>
                <w:noProof/>
                <w:webHidden/>
              </w:rPr>
              <w:instrText xml:space="preserve"> PAGEREF _Toc457466055 \h </w:instrText>
            </w:r>
            <w:r>
              <w:rPr>
                <w:noProof/>
                <w:webHidden/>
              </w:rPr>
            </w:r>
            <w:r>
              <w:rPr>
                <w:noProof/>
                <w:webHidden/>
              </w:rPr>
              <w:fldChar w:fldCharType="separate"/>
            </w:r>
            <w:r>
              <w:rPr>
                <w:noProof/>
                <w:webHidden/>
              </w:rPr>
              <w:t>40</w:t>
            </w:r>
            <w:r>
              <w:rPr>
                <w:noProof/>
                <w:webHidden/>
              </w:rPr>
              <w:fldChar w:fldCharType="end"/>
            </w:r>
          </w:hyperlink>
        </w:p>
        <w:p>
          <w:pPr>
            <w:pStyle w:val="TOC1"/>
            <w:tabs>
              <w:tab w:val="left" w:pos="993"/>
              <w:tab w:val="right" w:leader="dot" w:pos="9062"/>
            </w:tabs>
            <w:rPr>
              <w:noProof/>
              <w:lang w:val="en-GB" w:eastAsia="en-GB"/>
            </w:rPr>
          </w:pPr>
          <w:hyperlink w:anchor="_Toc457466056" w:history="1">
            <w:r>
              <w:rPr>
                <w:rStyle w:val="Hyperlink"/>
                <w:rFonts w:ascii="Times New Roman" w:hAnsi="Times New Roman"/>
                <w:noProof/>
              </w:rPr>
              <w:t>5.3.2.</w:t>
            </w:r>
            <w:r>
              <w:rPr>
                <w:noProof/>
                <w:lang w:val="en-GB" w:eastAsia="en-GB"/>
              </w:rPr>
              <w:tab/>
            </w:r>
            <w:r>
              <w:rPr>
                <w:rStyle w:val="Hyperlink"/>
                <w:rFonts w:ascii="Times New Roman" w:hAnsi="Times New Roman"/>
                <w:noProof/>
              </w:rPr>
              <w:t>Improved livelihoods for farmers</w:t>
            </w:r>
            <w:r>
              <w:rPr>
                <w:noProof/>
                <w:webHidden/>
              </w:rPr>
              <w:tab/>
            </w:r>
            <w:r>
              <w:rPr>
                <w:noProof/>
                <w:webHidden/>
              </w:rPr>
              <w:fldChar w:fldCharType="begin"/>
            </w:r>
            <w:r>
              <w:rPr>
                <w:noProof/>
                <w:webHidden/>
              </w:rPr>
              <w:instrText xml:space="preserve"> PAGEREF _Toc457466056 \h </w:instrText>
            </w:r>
            <w:r>
              <w:rPr>
                <w:noProof/>
                <w:webHidden/>
              </w:rPr>
            </w:r>
            <w:r>
              <w:rPr>
                <w:noProof/>
                <w:webHidden/>
              </w:rPr>
              <w:fldChar w:fldCharType="separate"/>
            </w:r>
            <w:r>
              <w:rPr>
                <w:noProof/>
                <w:webHidden/>
              </w:rPr>
              <w:t>42</w:t>
            </w:r>
            <w:r>
              <w:rPr>
                <w:noProof/>
                <w:webHidden/>
              </w:rPr>
              <w:fldChar w:fldCharType="end"/>
            </w:r>
          </w:hyperlink>
        </w:p>
        <w:p>
          <w:pPr>
            <w:pStyle w:val="TOC1"/>
            <w:tabs>
              <w:tab w:val="left" w:pos="993"/>
              <w:tab w:val="right" w:leader="dot" w:pos="9062"/>
            </w:tabs>
            <w:rPr>
              <w:noProof/>
              <w:lang w:val="en-GB" w:eastAsia="en-GB"/>
            </w:rPr>
          </w:pPr>
          <w:hyperlink w:anchor="_Toc457466057" w:history="1">
            <w:r>
              <w:rPr>
                <w:rStyle w:val="Hyperlink"/>
                <w:rFonts w:ascii="Times New Roman" w:hAnsi="Times New Roman"/>
                <w:noProof/>
              </w:rPr>
              <w:t>5.3.3.</w:t>
            </w:r>
            <w:r>
              <w:rPr>
                <w:noProof/>
                <w:lang w:val="en-GB" w:eastAsia="en-GB"/>
              </w:rPr>
              <w:tab/>
            </w:r>
            <w:r>
              <w:rPr>
                <w:rStyle w:val="Hyperlink"/>
                <w:rFonts w:ascii="Times New Roman" w:hAnsi="Times New Roman"/>
                <w:noProof/>
              </w:rPr>
              <w:t>Improved nutrition and health for the people of the Mediterranean area</w:t>
            </w:r>
            <w:r>
              <w:rPr>
                <w:noProof/>
                <w:webHidden/>
              </w:rPr>
              <w:tab/>
            </w:r>
            <w:r>
              <w:rPr>
                <w:noProof/>
                <w:webHidden/>
              </w:rPr>
              <w:fldChar w:fldCharType="begin"/>
            </w:r>
            <w:r>
              <w:rPr>
                <w:noProof/>
                <w:webHidden/>
              </w:rPr>
              <w:instrText xml:space="preserve"> PAGEREF _Toc457466057 \h </w:instrText>
            </w:r>
            <w:r>
              <w:rPr>
                <w:noProof/>
                <w:webHidden/>
              </w:rPr>
            </w:r>
            <w:r>
              <w:rPr>
                <w:noProof/>
                <w:webHidden/>
              </w:rPr>
              <w:fldChar w:fldCharType="separate"/>
            </w:r>
            <w:r>
              <w:rPr>
                <w:noProof/>
                <w:webHidden/>
              </w:rPr>
              <w:t>43</w:t>
            </w:r>
            <w:r>
              <w:rPr>
                <w:noProof/>
                <w:webHidden/>
              </w:rPr>
              <w:fldChar w:fldCharType="end"/>
            </w:r>
          </w:hyperlink>
        </w:p>
        <w:p>
          <w:pPr>
            <w:pStyle w:val="TOC1"/>
            <w:tabs>
              <w:tab w:val="left" w:pos="993"/>
              <w:tab w:val="right" w:leader="dot" w:pos="9062"/>
            </w:tabs>
            <w:rPr>
              <w:noProof/>
              <w:lang w:val="en-GB" w:eastAsia="en-GB"/>
            </w:rPr>
          </w:pPr>
          <w:hyperlink w:anchor="_Toc457466058" w:history="1">
            <w:r>
              <w:rPr>
                <w:rStyle w:val="Hyperlink"/>
                <w:rFonts w:ascii="Times New Roman" w:hAnsi="Times New Roman"/>
                <w:noProof/>
              </w:rPr>
              <w:t>5.3.4.</w:t>
            </w:r>
            <w:r>
              <w:rPr>
                <w:noProof/>
                <w:lang w:val="en-GB" w:eastAsia="en-GB"/>
              </w:rPr>
              <w:tab/>
            </w:r>
            <w:r>
              <w:rPr>
                <w:rStyle w:val="Hyperlink"/>
                <w:rFonts w:ascii="Times New Roman" w:hAnsi="Times New Roman"/>
                <w:noProof/>
              </w:rPr>
              <w:t>Greater political stability and reduced internal and external migration</w:t>
            </w:r>
            <w:r>
              <w:rPr>
                <w:noProof/>
                <w:webHidden/>
              </w:rPr>
              <w:tab/>
            </w:r>
            <w:r>
              <w:rPr>
                <w:noProof/>
                <w:webHidden/>
              </w:rPr>
              <w:fldChar w:fldCharType="begin"/>
            </w:r>
            <w:r>
              <w:rPr>
                <w:noProof/>
                <w:webHidden/>
              </w:rPr>
              <w:instrText xml:space="preserve"> PAGEREF _Toc457466058 \h </w:instrText>
            </w:r>
            <w:r>
              <w:rPr>
                <w:noProof/>
                <w:webHidden/>
              </w:rPr>
            </w:r>
            <w:r>
              <w:rPr>
                <w:noProof/>
                <w:webHidden/>
              </w:rPr>
              <w:fldChar w:fldCharType="separate"/>
            </w:r>
            <w:r>
              <w:rPr>
                <w:noProof/>
                <w:webHidden/>
              </w:rPr>
              <w:t>43</w:t>
            </w:r>
            <w:r>
              <w:rPr>
                <w:noProof/>
                <w:webHidden/>
              </w:rPr>
              <w:fldChar w:fldCharType="end"/>
            </w:r>
          </w:hyperlink>
        </w:p>
        <w:p>
          <w:pPr>
            <w:pStyle w:val="TOC1"/>
            <w:tabs>
              <w:tab w:val="left" w:pos="993"/>
              <w:tab w:val="right" w:leader="dot" w:pos="9062"/>
            </w:tabs>
            <w:rPr>
              <w:noProof/>
              <w:lang w:val="en-GB" w:eastAsia="en-GB"/>
            </w:rPr>
          </w:pPr>
          <w:hyperlink w:anchor="_Toc457466059" w:history="1">
            <w:r>
              <w:rPr>
                <w:rStyle w:val="Hyperlink"/>
                <w:rFonts w:ascii="Times New Roman" w:hAnsi="Times New Roman"/>
                <w:noProof/>
              </w:rPr>
              <w:t>5.3.5.</w:t>
            </w:r>
            <w:r>
              <w:rPr>
                <w:noProof/>
                <w:lang w:val="en-GB" w:eastAsia="en-GB"/>
              </w:rPr>
              <w:tab/>
            </w:r>
            <w:r>
              <w:rPr>
                <w:rStyle w:val="Hyperlink"/>
                <w:rFonts w:ascii="Times New Roman" w:hAnsi="Times New Roman"/>
                <w:noProof/>
              </w:rPr>
              <w:t>Large-scale environmental impacts</w:t>
            </w:r>
            <w:r>
              <w:rPr>
                <w:noProof/>
                <w:webHidden/>
              </w:rPr>
              <w:tab/>
            </w:r>
            <w:r>
              <w:rPr>
                <w:noProof/>
                <w:webHidden/>
              </w:rPr>
              <w:fldChar w:fldCharType="begin"/>
            </w:r>
            <w:r>
              <w:rPr>
                <w:noProof/>
                <w:webHidden/>
              </w:rPr>
              <w:instrText xml:space="preserve"> PAGEREF _Toc457466059 \h </w:instrText>
            </w:r>
            <w:r>
              <w:rPr>
                <w:noProof/>
                <w:webHidden/>
              </w:rPr>
            </w:r>
            <w:r>
              <w:rPr>
                <w:noProof/>
                <w:webHidden/>
              </w:rPr>
              <w:fldChar w:fldCharType="separate"/>
            </w:r>
            <w:r>
              <w:rPr>
                <w:noProof/>
                <w:webHidden/>
              </w:rPr>
              <w:t>44</w:t>
            </w:r>
            <w:r>
              <w:rPr>
                <w:noProof/>
                <w:webHidden/>
              </w:rPr>
              <w:fldChar w:fldCharType="end"/>
            </w:r>
          </w:hyperlink>
        </w:p>
        <w:p>
          <w:pPr>
            <w:pStyle w:val="TOC1"/>
            <w:tabs>
              <w:tab w:val="left" w:pos="993"/>
              <w:tab w:val="right" w:leader="dot" w:pos="9062"/>
            </w:tabs>
            <w:rPr>
              <w:noProof/>
              <w:lang w:val="en-GB" w:eastAsia="en-GB"/>
            </w:rPr>
          </w:pPr>
          <w:hyperlink w:anchor="_Toc457466060" w:history="1">
            <w:r>
              <w:rPr>
                <w:rStyle w:val="Hyperlink"/>
                <w:rFonts w:ascii="Times New Roman" w:hAnsi="Times New Roman"/>
                <w:noProof/>
              </w:rPr>
              <w:t>5.4.</w:t>
            </w:r>
            <w:r>
              <w:rPr>
                <w:noProof/>
                <w:lang w:val="en-GB" w:eastAsia="en-GB"/>
              </w:rPr>
              <w:tab/>
            </w:r>
            <w:r>
              <w:rPr>
                <w:rStyle w:val="Hyperlink"/>
                <w:rFonts w:ascii="Times New Roman" w:hAnsi="Times New Roman"/>
                <w:noProof/>
              </w:rPr>
              <w:t>Budgetary impacts</w:t>
            </w:r>
            <w:r>
              <w:rPr>
                <w:noProof/>
                <w:webHidden/>
              </w:rPr>
              <w:tab/>
            </w:r>
            <w:r>
              <w:rPr>
                <w:noProof/>
                <w:webHidden/>
              </w:rPr>
              <w:fldChar w:fldCharType="begin"/>
            </w:r>
            <w:r>
              <w:rPr>
                <w:noProof/>
                <w:webHidden/>
              </w:rPr>
              <w:instrText xml:space="preserve"> PAGEREF _Toc457466060 \h </w:instrText>
            </w:r>
            <w:r>
              <w:rPr>
                <w:noProof/>
                <w:webHidden/>
              </w:rPr>
            </w:r>
            <w:r>
              <w:rPr>
                <w:noProof/>
                <w:webHidden/>
              </w:rPr>
              <w:fldChar w:fldCharType="separate"/>
            </w:r>
            <w:r>
              <w:rPr>
                <w:noProof/>
                <w:webHidden/>
              </w:rPr>
              <w:t>45</w:t>
            </w:r>
            <w:r>
              <w:rPr>
                <w:noProof/>
                <w:webHidden/>
              </w:rPr>
              <w:fldChar w:fldCharType="end"/>
            </w:r>
          </w:hyperlink>
        </w:p>
        <w:p>
          <w:pPr>
            <w:pStyle w:val="TOC1"/>
            <w:tabs>
              <w:tab w:val="left" w:pos="993"/>
              <w:tab w:val="right" w:leader="dot" w:pos="9062"/>
            </w:tabs>
            <w:rPr>
              <w:noProof/>
              <w:lang w:val="en-GB" w:eastAsia="en-GB"/>
            </w:rPr>
          </w:pPr>
          <w:hyperlink w:anchor="_Toc457466061" w:history="1">
            <w:r>
              <w:rPr>
                <w:rStyle w:val="Hyperlink"/>
                <w:rFonts w:ascii="Times New Roman" w:hAnsi="Times New Roman"/>
                <w:noProof/>
              </w:rPr>
              <w:t>5.5.</w:t>
            </w:r>
            <w:r>
              <w:rPr>
                <w:noProof/>
                <w:lang w:val="en-GB" w:eastAsia="en-GB"/>
              </w:rPr>
              <w:tab/>
            </w:r>
            <w:r>
              <w:rPr>
                <w:rStyle w:val="Hyperlink"/>
                <w:rFonts w:ascii="Times New Roman" w:hAnsi="Times New Roman"/>
                <w:noProof/>
              </w:rPr>
              <w:t>Affected actors, measures to comply with requirements, and potential obstacles</w:t>
            </w:r>
            <w:r>
              <w:rPr>
                <w:noProof/>
                <w:webHidden/>
              </w:rPr>
              <w:tab/>
            </w:r>
            <w:r>
              <w:rPr>
                <w:noProof/>
                <w:webHidden/>
              </w:rPr>
              <w:fldChar w:fldCharType="begin"/>
            </w:r>
            <w:r>
              <w:rPr>
                <w:noProof/>
                <w:webHidden/>
              </w:rPr>
              <w:instrText xml:space="preserve"> PAGEREF _Toc457466061 \h </w:instrText>
            </w:r>
            <w:r>
              <w:rPr>
                <w:noProof/>
                <w:webHidden/>
              </w:rPr>
            </w:r>
            <w:r>
              <w:rPr>
                <w:noProof/>
                <w:webHidden/>
              </w:rPr>
              <w:fldChar w:fldCharType="separate"/>
            </w:r>
            <w:r>
              <w:rPr>
                <w:noProof/>
                <w:webHidden/>
              </w:rPr>
              <w:t>48</w:t>
            </w:r>
            <w:r>
              <w:rPr>
                <w:noProof/>
                <w:webHidden/>
              </w:rPr>
              <w:fldChar w:fldCharType="end"/>
            </w:r>
          </w:hyperlink>
        </w:p>
        <w:p>
          <w:pPr>
            <w:pStyle w:val="TOC1"/>
            <w:tabs>
              <w:tab w:val="left" w:pos="993"/>
              <w:tab w:val="right" w:leader="dot" w:pos="9062"/>
            </w:tabs>
            <w:ind w:left="990" w:hanging="990"/>
            <w:rPr>
              <w:noProof/>
              <w:lang w:val="en-GB" w:eastAsia="en-GB"/>
            </w:rPr>
          </w:pPr>
          <w:hyperlink w:anchor="_Toc457466062" w:history="1">
            <w:r>
              <w:rPr>
                <w:rStyle w:val="Hyperlink"/>
                <w:rFonts w:ascii="Times New Roman" w:hAnsi="Times New Roman"/>
                <w:noProof/>
              </w:rPr>
              <w:t>5.5.1.</w:t>
            </w:r>
            <w:r>
              <w:rPr>
                <w:noProof/>
                <w:lang w:val="en-GB" w:eastAsia="en-GB"/>
              </w:rPr>
              <w:tab/>
            </w:r>
            <w:r>
              <w:rPr>
                <w:rStyle w:val="Hyperlink"/>
                <w:rFonts w:ascii="Times New Roman" w:hAnsi="Times New Roman"/>
                <w:noProof/>
              </w:rPr>
              <w:t>Assessment of capability and expected contribution of third countries not associated to Horizon 2020 in relation to the conditions to be met by Participating States in PRIMA under Option 2 (Article 185 TFEU)</w:t>
            </w:r>
            <w:r>
              <w:rPr>
                <w:noProof/>
                <w:webHidden/>
              </w:rPr>
              <w:tab/>
            </w:r>
            <w:r>
              <w:rPr>
                <w:noProof/>
                <w:webHidden/>
              </w:rPr>
              <w:fldChar w:fldCharType="begin"/>
            </w:r>
            <w:r>
              <w:rPr>
                <w:noProof/>
                <w:webHidden/>
              </w:rPr>
              <w:instrText xml:space="preserve"> PAGEREF _Toc457466062 \h </w:instrText>
            </w:r>
            <w:r>
              <w:rPr>
                <w:noProof/>
                <w:webHidden/>
              </w:rPr>
            </w:r>
            <w:r>
              <w:rPr>
                <w:noProof/>
                <w:webHidden/>
              </w:rPr>
              <w:fldChar w:fldCharType="separate"/>
            </w:r>
            <w:r>
              <w:rPr>
                <w:noProof/>
                <w:webHidden/>
              </w:rPr>
              <w:t>49</w:t>
            </w:r>
            <w:r>
              <w:rPr>
                <w:noProof/>
                <w:webHidden/>
              </w:rPr>
              <w:fldChar w:fldCharType="end"/>
            </w:r>
          </w:hyperlink>
        </w:p>
        <w:p>
          <w:pPr>
            <w:pStyle w:val="TOC1"/>
            <w:tabs>
              <w:tab w:val="left" w:pos="993"/>
              <w:tab w:val="right" w:leader="dot" w:pos="9062"/>
            </w:tabs>
            <w:rPr>
              <w:noProof/>
              <w:lang w:val="en-GB" w:eastAsia="en-GB"/>
            </w:rPr>
          </w:pPr>
          <w:hyperlink w:anchor="_Toc457466063" w:history="1">
            <w:r>
              <w:rPr>
                <w:rStyle w:val="Hyperlink"/>
                <w:rFonts w:ascii="Times New Roman" w:hAnsi="Times New Roman"/>
                <w:noProof/>
              </w:rPr>
              <w:t>5.6.</w:t>
            </w:r>
            <w:r>
              <w:rPr>
                <w:noProof/>
                <w:lang w:val="en-GB" w:eastAsia="en-GB"/>
              </w:rPr>
              <w:tab/>
            </w:r>
            <w:r>
              <w:rPr>
                <w:rStyle w:val="Hyperlink"/>
                <w:rFonts w:ascii="Times New Roman" w:hAnsi="Times New Roman"/>
                <w:noProof/>
              </w:rPr>
              <w:t>Impacts likely to change over time</w:t>
            </w:r>
            <w:r>
              <w:rPr>
                <w:noProof/>
                <w:webHidden/>
              </w:rPr>
              <w:tab/>
            </w:r>
            <w:r>
              <w:rPr>
                <w:noProof/>
                <w:webHidden/>
              </w:rPr>
              <w:fldChar w:fldCharType="begin"/>
            </w:r>
            <w:r>
              <w:rPr>
                <w:noProof/>
                <w:webHidden/>
              </w:rPr>
              <w:instrText xml:space="preserve"> PAGEREF _Toc457466063 \h </w:instrText>
            </w:r>
            <w:r>
              <w:rPr>
                <w:noProof/>
                <w:webHidden/>
              </w:rPr>
            </w:r>
            <w:r>
              <w:rPr>
                <w:noProof/>
                <w:webHidden/>
              </w:rPr>
              <w:fldChar w:fldCharType="separate"/>
            </w:r>
            <w:r>
              <w:rPr>
                <w:noProof/>
                <w:webHidden/>
              </w:rPr>
              <w:t>54</w:t>
            </w:r>
            <w:r>
              <w:rPr>
                <w:noProof/>
                <w:webHidden/>
              </w:rPr>
              <w:fldChar w:fldCharType="end"/>
            </w:r>
          </w:hyperlink>
        </w:p>
        <w:p>
          <w:pPr>
            <w:pStyle w:val="TOC1"/>
            <w:tabs>
              <w:tab w:val="left" w:pos="993"/>
              <w:tab w:val="right" w:leader="dot" w:pos="9062"/>
            </w:tabs>
            <w:rPr>
              <w:noProof/>
              <w:lang w:val="en-GB" w:eastAsia="en-GB"/>
            </w:rPr>
          </w:pPr>
          <w:hyperlink w:anchor="_Toc457466064" w:history="1">
            <w:r>
              <w:rPr>
                <w:rStyle w:val="Hyperlink"/>
                <w:rFonts w:ascii="Times New Roman" w:hAnsi="Times New Roman"/>
                <w:b/>
                <w:noProof/>
              </w:rPr>
              <w:t>6.</w:t>
            </w:r>
            <w:r>
              <w:rPr>
                <w:noProof/>
                <w:lang w:val="en-GB" w:eastAsia="en-GB"/>
              </w:rPr>
              <w:tab/>
            </w:r>
            <w:r>
              <w:rPr>
                <w:rStyle w:val="Hyperlink"/>
                <w:rFonts w:ascii="Times New Roman" w:hAnsi="Times New Roman"/>
                <w:b/>
                <w:noProof/>
              </w:rPr>
              <w:t>Section 6.</w:t>
            </w:r>
            <w:r>
              <w:rPr>
                <w:rStyle w:val="Hyperlink"/>
                <w:rFonts w:ascii="Times New Roman" w:eastAsia="Times New Roman" w:hAnsi="Times New Roman"/>
                <w:b/>
                <w:bCs/>
                <w:noProof/>
                <w:lang w:eastAsia="en-GB"/>
              </w:rPr>
              <w:t xml:space="preserve"> How do the options compare</w:t>
            </w:r>
            <w:r>
              <w:rPr>
                <w:rStyle w:val="Hyperlink"/>
                <w:rFonts w:ascii="Times New Roman" w:hAnsi="Times New Roman"/>
                <w:b/>
                <w:noProof/>
              </w:rPr>
              <w:t>?</w:t>
            </w:r>
            <w:r>
              <w:rPr>
                <w:noProof/>
                <w:webHidden/>
              </w:rPr>
              <w:tab/>
            </w:r>
            <w:r>
              <w:rPr>
                <w:noProof/>
                <w:webHidden/>
              </w:rPr>
              <w:fldChar w:fldCharType="begin"/>
            </w:r>
            <w:r>
              <w:rPr>
                <w:noProof/>
                <w:webHidden/>
              </w:rPr>
              <w:instrText xml:space="preserve"> PAGEREF _Toc457466064 \h </w:instrText>
            </w:r>
            <w:r>
              <w:rPr>
                <w:noProof/>
                <w:webHidden/>
              </w:rPr>
            </w:r>
            <w:r>
              <w:rPr>
                <w:noProof/>
                <w:webHidden/>
              </w:rPr>
              <w:fldChar w:fldCharType="separate"/>
            </w:r>
            <w:r>
              <w:rPr>
                <w:noProof/>
                <w:webHidden/>
              </w:rPr>
              <w:t>55</w:t>
            </w:r>
            <w:r>
              <w:rPr>
                <w:noProof/>
                <w:webHidden/>
              </w:rPr>
              <w:fldChar w:fldCharType="end"/>
            </w:r>
          </w:hyperlink>
        </w:p>
        <w:p>
          <w:pPr>
            <w:pStyle w:val="TOC1"/>
            <w:tabs>
              <w:tab w:val="left" w:pos="993"/>
              <w:tab w:val="right" w:leader="dot" w:pos="9062"/>
            </w:tabs>
            <w:rPr>
              <w:noProof/>
              <w:lang w:val="en-GB" w:eastAsia="en-GB"/>
            </w:rPr>
          </w:pPr>
          <w:hyperlink w:anchor="_Toc457466065" w:history="1">
            <w:r>
              <w:rPr>
                <w:rStyle w:val="Hyperlink"/>
                <w:rFonts w:ascii="Times New Roman" w:hAnsi="Times New Roman"/>
                <w:noProof/>
              </w:rPr>
              <w:t>6.1.</w:t>
            </w:r>
            <w:r>
              <w:rPr>
                <w:noProof/>
                <w:lang w:val="en-GB" w:eastAsia="en-GB"/>
              </w:rPr>
              <w:tab/>
            </w:r>
            <w:r>
              <w:rPr>
                <w:rStyle w:val="Hyperlink"/>
                <w:rFonts w:ascii="Times New Roman" w:hAnsi="Times New Roman"/>
                <w:noProof/>
              </w:rPr>
              <w:t>Compare the options</w:t>
            </w:r>
            <w:r>
              <w:rPr>
                <w:noProof/>
                <w:webHidden/>
              </w:rPr>
              <w:tab/>
            </w:r>
            <w:r>
              <w:rPr>
                <w:noProof/>
                <w:webHidden/>
              </w:rPr>
              <w:fldChar w:fldCharType="begin"/>
            </w:r>
            <w:r>
              <w:rPr>
                <w:noProof/>
                <w:webHidden/>
              </w:rPr>
              <w:instrText xml:space="preserve"> PAGEREF _Toc457466065 \h </w:instrText>
            </w:r>
            <w:r>
              <w:rPr>
                <w:noProof/>
                <w:webHidden/>
              </w:rPr>
            </w:r>
            <w:r>
              <w:rPr>
                <w:noProof/>
                <w:webHidden/>
              </w:rPr>
              <w:fldChar w:fldCharType="separate"/>
            </w:r>
            <w:r>
              <w:rPr>
                <w:noProof/>
                <w:webHidden/>
              </w:rPr>
              <w:t>55</w:t>
            </w:r>
            <w:r>
              <w:rPr>
                <w:noProof/>
                <w:webHidden/>
              </w:rPr>
              <w:fldChar w:fldCharType="end"/>
            </w:r>
          </w:hyperlink>
        </w:p>
        <w:p>
          <w:pPr>
            <w:pStyle w:val="TOC1"/>
            <w:tabs>
              <w:tab w:val="left" w:pos="993"/>
              <w:tab w:val="right" w:leader="dot" w:pos="9062"/>
            </w:tabs>
            <w:rPr>
              <w:noProof/>
              <w:lang w:val="en-GB" w:eastAsia="en-GB"/>
            </w:rPr>
          </w:pPr>
          <w:hyperlink w:anchor="_Toc457466066" w:history="1">
            <w:r>
              <w:rPr>
                <w:rStyle w:val="Hyperlink"/>
                <w:rFonts w:ascii="Times New Roman" w:hAnsi="Times New Roman"/>
                <w:noProof/>
              </w:rPr>
              <w:t>6.2.</w:t>
            </w:r>
            <w:r>
              <w:rPr>
                <w:noProof/>
                <w:lang w:val="en-GB" w:eastAsia="en-GB"/>
              </w:rPr>
              <w:tab/>
            </w:r>
            <w:r>
              <w:rPr>
                <w:rStyle w:val="Hyperlink"/>
                <w:rFonts w:ascii="Times New Roman" w:hAnsi="Times New Roman"/>
                <w:noProof/>
              </w:rPr>
              <w:t>Highlight the trade-offs and synergies associated with each option</w:t>
            </w:r>
            <w:r>
              <w:rPr>
                <w:noProof/>
                <w:webHidden/>
              </w:rPr>
              <w:tab/>
            </w:r>
            <w:r>
              <w:rPr>
                <w:noProof/>
                <w:webHidden/>
              </w:rPr>
              <w:fldChar w:fldCharType="begin"/>
            </w:r>
            <w:r>
              <w:rPr>
                <w:noProof/>
                <w:webHidden/>
              </w:rPr>
              <w:instrText xml:space="preserve"> PAGEREF _Toc457466066 \h </w:instrText>
            </w:r>
            <w:r>
              <w:rPr>
                <w:noProof/>
                <w:webHidden/>
              </w:rPr>
            </w:r>
            <w:r>
              <w:rPr>
                <w:noProof/>
                <w:webHidden/>
              </w:rPr>
              <w:fldChar w:fldCharType="separate"/>
            </w:r>
            <w:r>
              <w:rPr>
                <w:noProof/>
                <w:webHidden/>
              </w:rPr>
              <w:t>57</w:t>
            </w:r>
            <w:r>
              <w:rPr>
                <w:noProof/>
                <w:webHidden/>
              </w:rPr>
              <w:fldChar w:fldCharType="end"/>
            </w:r>
          </w:hyperlink>
        </w:p>
        <w:p>
          <w:pPr>
            <w:pStyle w:val="TOC1"/>
            <w:tabs>
              <w:tab w:val="left" w:pos="993"/>
              <w:tab w:val="right" w:leader="dot" w:pos="9062"/>
            </w:tabs>
            <w:ind w:left="990" w:hanging="990"/>
            <w:rPr>
              <w:noProof/>
              <w:lang w:val="en-GB" w:eastAsia="en-GB"/>
            </w:rPr>
          </w:pPr>
          <w:hyperlink w:anchor="_Toc457466067" w:history="1">
            <w:r>
              <w:rPr>
                <w:rStyle w:val="Hyperlink"/>
                <w:rFonts w:ascii="Times New Roman" w:hAnsi="Times New Roman"/>
                <w:noProof/>
              </w:rPr>
              <w:t>6.3.</w:t>
            </w:r>
            <w:r>
              <w:rPr>
                <w:noProof/>
                <w:lang w:val="en-GB" w:eastAsia="en-GB"/>
              </w:rPr>
              <w:tab/>
            </w:r>
            <w:r>
              <w:rPr>
                <w:rStyle w:val="Hyperlink"/>
                <w:rFonts w:ascii="Times New Roman" w:hAnsi="Times New Roman"/>
                <w:noProof/>
              </w:rPr>
              <w:t>The likely uncertainty in the key findings and conclusions and how these might affect the choice of preferred option</w:t>
            </w:r>
            <w:r>
              <w:rPr>
                <w:noProof/>
                <w:webHidden/>
              </w:rPr>
              <w:tab/>
            </w:r>
            <w:r>
              <w:rPr>
                <w:noProof/>
                <w:webHidden/>
              </w:rPr>
              <w:fldChar w:fldCharType="begin"/>
            </w:r>
            <w:r>
              <w:rPr>
                <w:noProof/>
                <w:webHidden/>
              </w:rPr>
              <w:instrText xml:space="preserve"> PAGEREF _Toc457466067 \h </w:instrText>
            </w:r>
            <w:r>
              <w:rPr>
                <w:noProof/>
                <w:webHidden/>
              </w:rPr>
            </w:r>
            <w:r>
              <w:rPr>
                <w:noProof/>
                <w:webHidden/>
              </w:rPr>
              <w:fldChar w:fldCharType="separate"/>
            </w:r>
            <w:r>
              <w:rPr>
                <w:noProof/>
                <w:webHidden/>
              </w:rPr>
              <w:t>57</w:t>
            </w:r>
            <w:r>
              <w:rPr>
                <w:noProof/>
                <w:webHidden/>
              </w:rPr>
              <w:fldChar w:fldCharType="end"/>
            </w:r>
          </w:hyperlink>
        </w:p>
        <w:p>
          <w:pPr>
            <w:pStyle w:val="TOC1"/>
            <w:tabs>
              <w:tab w:val="left" w:pos="993"/>
              <w:tab w:val="right" w:leader="dot" w:pos="9062"/>
            </w:tabs>
            <w:rPr>
              <w:noProof/>
              <w:lang w:val="en-GB" w:eastAsia="en-GB"/>
            </w:rPr>
          </w:pPr>
          <w:hyperlink w:anchor="_Toc457466068" w:history="1">
            <w:r>
              <w:rPr>
                <w:rStyle w:val="Hyperlink"/>
                <w:rFonts w:ascii="Times New Roman" w:hAnsi="Times New Roman"/>
                <w:noProof/>
              </w:rPr>
              <w:t>6.4.</w:t>
            </w:r>
            <w:r>
              <w:rPr>
                <w:noProof/>
                <w:lang w:val="en-GB" w:eastAsia="en-GB"/>
              </w:rPr>
              <w:tab/>
            </w:r>
            <w:r>
              <w:rPr>
                <w:rStyle w:val="Hyperlink"/>
                <w:rFonts w:ascii="Times New Roman" w:hAnsi="Times New Roman"/>
                <w:noProof/>
              </w:rPr>
              <w:t>Preferred policy option</w:t>
            </w:r>
            <w:r>
              <w:rPr>
                <w:noProof/>
                <w:webHidden/>
              </w:rPr>
              <w:tab/>
            </w:r>
            <w:r>
              <w:rPr>
                <w:noProof/>
                <w:webHidden/>
              </w:rPr>
              <w:fldChar w:fldCharType="begin"/>
            </w:r>
            <w:r>
              <w:rPr>
                <w:noProof/>
                <w:webHidden/>
              </w:rPr>
              <w:instrText xml:space="preserve"> PAGEREF _Toc457466068 \h </w:instrText>
            </w:r>
            <w:r>
              <w:rPr>
                <w:noProof/>
                <w:webHidden/>
              </w:rPr>
            </w:r>
            <w:r>
              <w:rPr>
                <w:noProof/>
                <w:webHidden/>
              </w:rPr>
              <w:fldChar w:fldCharType="separate"/>
            </w:r>
            <w:r>
              <w:rPr>
                <w:noProof/>
                <w:webHidden/>
              </w:rPr>
              <w:t>57</w:t>
            </w:r>
            <w:r>
              <w:rPr>
                <w:noProof/>
                <w:webHidden/>
              </w:rPr>
              <w:fldChar w:fldCharType="end"/>
            </w:r>
          </w:hyperlink>
        </w:p>
        <w:p>
          <w:pPr>
            <w:pStyle w:val="TOC1"/>
            <w:tabs>
              <w:tab w:val="left" w:pos="993"/>
              <w:tab w:val="right" w:leader="dot" w:pos="9062"/>
            </w:tabs>
            <w:rPr>
              <w:noProof/>
              <w:lang w:val="en-GB" w:eastAsia="en-GB"/>
            </w:rPr>
          </w:pPr>
          <w:hyperlink w:anchor="_Toc457466069" w:history="1">
            <w:r>
              <w:rPr>
                <w:rStyle w:val="Hyperlink"/>
                <w:rFonts w:ascii="Times New Roman" w:hAnsi="Times New Roman"/>
                <w:noProof/>
              </w:rPr>
              <w:t>6.5.</w:t>
            </w:r>
            <w:r>
              <w:rPr>
                <w:noProof/>
                <w:lang w:val="en-GB" w:eastAsia="en-GB"/>
              </w:rPr>
              <w:tab/>
            </w:r>
            <w:r>
              <w:rPr>
                <w:rStyle w:val="Hyperlink"/>
                <w:rFonts w:ascii="Times New Roman" w:hAnsi="Times New Roman"/>
                <w:noProof/>
              </w:rPr>
              <w:t>Conformity to principles of subsidiarity and proportionality</w:t>
            </w:r>
            <w:r>
              <w:rPr>
                <w:noProof/>
                <w:webHidden/>
              </w:rPr>
              <w:tab/>
            </w:r>
            <w:r>
              <w:rPr>
                <w:noProof/>
                <w:webHidden/>
              </w:rPr>
              <w:fldChar w:fldCharType="begin"/>
            </w:r>
            <w:r>
              <w:rPr>
                <w:noProof/>
                <w:webHidden/>
              </w:rPr>
              <w:instrText xml:space="preserve"> PAGEREF _Toc457466069 \h </w:instrText>
            </w:r>
            <w:r>
              <w:rPr>
                <w:noProof/>
                <w:webHidden/>
              </w:rPr>
            </w:r>
            <w:r>
              <w:rPr>
                <w:noProof/>
                <w:webHidden/>
              </w:rPr>
              <w:fldChar w:fldCharType="separate"/>
            </w:r>
            <w:r>
              <w:rPr>
                <w:noProof/>
                <w:webHidden/>
              </w:rPr>
              <w:t>58</w:t>
            </w:r>
            <w:r>
              <w:rPr>
                <w:noProof/>
                <w:webHidden/>
              </w:rPr>
              <w:fldChar w:fldCharType="end"/>
            </w:r>
          </w:hyperlink>
        </w:p>
        <w:p>
          <w:pPr>
            <w:pStyle w:val="TOC1"/>
            <w:tabs>
              <w:tab w:val="left" w:pos="993"/>
              <w:tab w:val="right" w:leader="dot" w:pos="9062"/>
            </w:tabs>
            <w:rPr>
              <w:noProof/>
              <w:lang w:val="en-GB" w:eastAsia="en-GB"/>
            </w:rPr>
          </w:pPr>
          <w:hyperlink w:anchor="_Toc457466070" w:history="1">
            <w:r>
              <w:rPr>
                <w:rStyle w:val="Hyperlink"/>
                <w:rFonts w:ascii="Times New Roman" w:hAnsi="Times New Roman"/>
                <w:b/>
                <w:noProof/>
              </w:rPr>
              <w:t>7.</w:t>
            </w:r>
            <w:r>
              <w:rPr>
                <w:noProof/>
                <w:lang w:val="en-GB" w:eastAsia="en-GB"/>
              </w:rPr>
              <w:tab/>
            </w:r>
            <w:r>
              <w:rPr>
                <w:rStyle w:val="Hyperlink"/>
                <w:rFonts w:ascii="Times New Roman" w:hAnsi="Times New Roman"/>
                <w:b/>
                <w:noProof/>
              </w:rPr>
              <w:t xml:space="preserve">Section </w:t>
            </w:r>
            <w:r>
              <w:rPr>
                <w:rStyle w:val="Hyperlink"/>
                <w:rFonts w:ascii="Times New Roman" w:eastAsia="Times New Roman" w:hAnsi="Times New Roman"/>
                <w:b/>
                <w:bCs/>
                <w:noProof/>
                <w:lang w:eastAsia="en-GB"/>
              </w:rPr>
              <w:t>7. Monitoring and evaluation of impacts</w:t>
            </w:r>
            <w:r>
              <w:rPr>
                <w:noProof/>
                <w:webHidden/>
              </w:rPr>
              <w:tab/>
            </w:r>
            <w:r>
              <w:rPr>
                <w:noProof/>
                <w:webHidden/>
              </w:rPr>
              <w:fldChar w:fldCharType="begin"/>
            </w:r>
            <w:r>
              <w:rPr>
                <w:noProof/>
                <w:webHidden/>
              </w:rPr>
              <w:instrText xml:space="preserve"> PAGEREF _Toc457466070 \h </w:instrText>
            </w:r>
            <w:r>
              <w:rPr>
                <w:noProof/>
                <w:webHidden/>
              </w:rPr>
            </w:r>
            <w:r>
              <w:rPr>
                <w:noProof/>
                <w:webHidden/>
              </w:rPr>
              <w:fldChar w:fldCharType="separate"/>
            </w:r>
            <w:r>
              <w:rPr>
                <w:noProof/>
                <w:webHidden/>
              </w:rPr>
              <w:t>59</w:t>
            </w:r>
            <w:r>
              <w:rPr>
                <w:noProof/>
                <w:webHidden/>
              </w:rPr>
              <w:fldChar w:fldCharType="end"/>
            </w:r>
          </w:hyperlink>
        </w:p>
        <w:p>
          <w:pPr>
            <w:pStyle w:val="TOC1"/>
            <w:tabs>
              <w:tab w:val="left" w:pos="993"/>
              <w:tab w:val="right" w:leader="dot" w:pos="9062"/>
            </w:tabs>
            <w:rPr>
              <w:noProof/>
              <w:lang w:val="en-GB" w:eastAsia="en-GB"/>
            </w:rPr>
          </w:pPr>
          <w:hyperlink w:anchor="_Toc457466071" w:history="1">
            <w:r>
              <w:rPr>
                <w:rStyle w:val="Hyperlink"/>
                <w:rFonts w:ascii="Times New Roman" w:hAnsi="Times New Roman"/>
                <w:noProof/>
              </w:rPr>
              <w:t>7.1.</w:t>
            </w:r>
            <w:r>
              <w:rPr>
                <w:noProof/>
                <w:lang w:val="en-GB" w:eastAsia="en-GB"/>
              </w:rPr>
              <w:tab/>
            </w:r>
            <w:r>
              <w:rPr>
                <w:rStyle w:val="Hyperlink"/>
                <w:rFonts w:ascii="Times New Roman" w:hAnsi="Times New Roman"/>
                <w:noProof/>
              </w:rPr>
              <w:t>Plan for future monitoring and evaluation</w:t>
            </w:r>
            <w:r>
              <w:rPr>
                <w:noProof/>
                <w:webHidden/>
              </w:rPr>
              <w:tab/>
            </w:r>
            <w:r>
              <w:rPr>
                <w:noProof/>
                <w:webHidden/>
              </w:rPr>
              <w:fldChar w:fldCharType="begin"/>
            </w:r>
            <w:r>
              <w:rPr>
                <w:noProof/>
                <w:webHidden/>
              </w:rPr>
              <w:instrText xml:space="preserve"> PAGEREF _Toc457466071 \h </w:instrText>
            </w:r>
            <w:r>
              <w:rPr>
                <w:noProof/>
                <w:webHidden/>
              </w:rPr>
            </w:r>
            <w:r>
              <w:rPr>
                <w:noProof/>
                <w:webHidden/>
              </w:rPr>
              <w:fldChar w:fldCharType="separate"/>
            </w:r>
            <w:r>
              <w:rPr>
                <w:noProof/>
                <w:webHidden/>
              </w:rPr>
              <w:t>59</w:t>
            </w:r>
            <w:r>
              <w:rPr>
                <w:noProof/>
                <w:webHidden/>
              </w:rPr>
              <w:fldChar w:fldCharType="end"/>
            </w:r>
          </w:hyperlink>
        </w:p>
        <w:p>
          <w:pPr>
            <w:pStyle w:val="TOC1"/>
            <w:tabs>
              <w:tab w:val="left" w:pos="993"/>
              <w:tab w:val="right" w:leader="dot" w:pos="9062"/>
            </w:tabs>
            <w:rPr>
              <w:noProof/>
              <w:lang w:val="en-GB" w:eastAsia="en-GB"/>
            </w:rPr>
          </w:pPr>
          <w:hyperlink w:anchor="_Toc457466072" w:history="1">
            <w:r>
              <w:rPr>
                <w:rStyle w:val="Hyperlink"/>
                <w:rFonts w:ascii="Times New Roman" w:hAnsi="Times New Roman"/>
                <w:noProof/>
              </w:rPr>
              <w:t>7.1.1.</w:t>
            </w:r>
            <w:r>
              <w:rPr>
                <w:noProof/>
                <w:lang w:val="en-GB" w:eastAsia="en-GB"/>
              </w:rPr>
              <w:tab/>
            </w:r>
            <w:r>
              <w:rPr>
                <w:rStyle w:val="Hyperlink"/>
                <w:rFonts w:ascii="Times New Roman" w:hAnsi="Times New Roman"/>
                <w:noProof/>
              </w:rPr>
              <w:t>Core monitoring indicators for the main policy objectives</w:t>
            </w:r>
            <w:r>
              <w:rPr>
                <w:noProof/>
                <w:webHidden/>
              </w:rPr>
              <w:tab/>
            </w:r>
            <w:r>
              <w:rPr>
                <w:noProof/>
                <w:webHidden/>
              </w:rPr>
              <w:fldChar w:fldCharType="begin"/>
            </w:r>
            <w:r>
              <w:rPr>
                <w:noProof/>
                <w:webHidden/>
              </w:rPr>
              <w:instrText xml:space="preserve"> PAGEREF _Toc457466072 \h </w:instrText>
            </w:r>
            <w:r>
              <w:rPr>
                <w:noProof/>
                <w:webHidden/>
              </w:rPr>
            </w:r>
            <w:r>
              <w:rPr>
                <w:noProof/>
                <w:webHidden/>
              </w:rPr>
              <w:fldChar w:fldCharType="separate"/>
            </w:r>
            <w:r>
              <w:rPr>
                <w:noProof/>
                <w:webHidden/>
              </w:rPr>
              <w:t>59</w:t>
            </w:r>
            <w:r>
              <w:rPr>
                <w:noProof/>
                <w:webHidden/>
              </w:rPr>
              <w:fldChar w:fldCharType="end"/>
            </w:r>
          </w:hyperlink>
        </w:p>
        <w:p>
          <w:pPr>
            <w:pStyle w:val="TOC1"/>
            <w:tabs>
              <w:tab w:val="left" w:pos="993"/>
              <w:tab w:val="right" w:leader="dot" w:pos="9062"/>
            </w:tabs>
            <w:rPr>
              <w:noProof/>
              <w:lang w:val="en-GB" w:eastAsia="en-GB"/>
            </w:rPr>
          </w:pPr>
          <w:hyperlink w:anchor="_Toc457466073" w:history="1">
            <w:r>
              <w:rPr>
                <w:rStyle w:val="Hyperlink"/>
                <w:rFonts w:ascii="Times New Roman" w:hAnsi="Times New Roman"/>
                <w:noProof/>
              </w:rPr>
              <w:t>7.1.2.</w:t>
            </w:r>
            <w:r>
              <w:rPr>
                <w:noProof/>
                <w:lang w:val="en-GB" w:eastAsia="en-GB"/>
              </w:rPr>
              <w:tab/>
            </w:r>
            <w:r>
              <w:rPr>
                <w:rStyle w:val="Hyperlink"/>
                <w:rFonts w:ascii="Times New Roman" w:hAnsi="Times New Roman"/>
                <w:noProof/>
              </w:rPr>
              <w:t>Verification of monitoring arrangements</w:t>
            </w:r>
            <w:r>
              <w:rPr>
                <w:noProof/>
                <w:webHidden/>
              </w:rPr>
              <w:tab/>
            </w:r>
            <w:r>
              <w:rPr>
                <w:noProof/>
                <w:webHidden/>
              </w:rPr>
              <w:fldChar w:fldCharType="begin"/>
            </w:r>
            <w:r>
              <w:rPr>
                <w:noProof/>
                <w:webHidden/>
              </w:rPr>
              <w:instrText xml:space="preserve"> PAGEREF _Toc457466073 \h </w:instrText>
            </w:r>
            <w:r>
              <w:rPr>
                <w:noProof/>
                <w:webHidden/>
              </w:rPr>
            </w:r>
            <w:r>
              <w:rPr>
                <w:noProof/>
                <w:webHidden/>
              </w:rPr>
              <w:fldChar w:fldCharType="separate"/>
            </w:r>
            <w:r>
              <w:rPr>
                <w:noProof/>
                <w:webHidden/>
              </w:rPr>
              <w:t>63</w:t>
            </w:r>
            <w:r>
              <w:rPr>
                <w:noProof/>
                <w:webHidden/>
              </w:rPr>
              <w:fldChar w:fldCharType="end"/>
            </w:r>
          </w:hyperlink>
        </w:p>
        <w:p>
          <w:pPr>
            <w:pStyle w:val="TOC1"/>
            <w:tabs>
              <w:tab w:val="left" w:pos="993"/>
              <w:tab w:val="right" w:leader="dot" w:pos="9062"/>
            </w:tabs>
            <w:rPr>
              <w:noProof/>
              <w:lang w:val="en-GB" w:eastAsia="en-GB"/>
            </w:rPr>
          </w:pPr>
          <w:hyperlink w:anchor="_Toc457466074" w:history="1">
            <w:r>
              <w:rPr>
                <w:rStyle w:val="Hyperlink"/>
                <w:rFonts w:ascii="Times New Roman" w:hAnsi="Times New Roman"/>
                <w:noProof/>
              </w:rPr>
              <w:t>7.2.</w:t>
            </w:r>
            <w:r>
              <w:rPr>
                <w:noProof/>
                <w:lang w:val="en-GB" w:eastAsia="en-GB"/>
              </w:rPr>
              <w:tab/>
            </w:r>
            <w:r>
              <w:rPr>
                <w:rStyle w:val="Hyperlink"/>
                <w:rFonts w:ascii="Times New Roman" w:hAnsi="Times New Roman"/>
                <w:noProof/>
              </w:rPr>
              <w:t>Monitoring and feedback process of Article 185</w:t>
            </w:r>
            <w:r>
              <w:rPr>
                <w:noProof/>
                <w:webHidden/>
              </w:rPr>
              <w:tab/>
            </w:r>
            <w:r>
              <w:rPr>
                <w:noProof/>
                <w:webHidden/>
              </w:rPr>
              <w:fldChar w:fldCharType="begin"/>
            </w:r>
            <w:r>
              <w:rPr>
                <w:noProof/>
                <w:webHidden/>
              </w:rPr>
              <w:instrText xml:space="preserve"> PAGEREF _Toc457466074 \h </w:instrText>
            </w:r>
            <w:r>
              <w:rPr>
                <w:noProof/>
                <w:webHidden/>
              </w:rPr>
            </w:r>
            <w:r>
              <w:rPr>
                <w:noProof/>
                <w:webHidden/>
              </w:rPr>
              <w:fldChar w:fldCharType="separate"/>
            </w:r>
            <w:r>
              <w:rPr>
                <w:noProof/>
                <w:webHidden/>
              </w:rPr>
              <w:t>63</w:t>
            </w:r>
            <w:r>
              <w:rPr>
                <w:noProof/>
                <w:webHidden/>
              </w:rPr>
              <w:fldChar w:fldCharType="end"/>
            </w:r>
          </w:hyperlink>
        </w:p>
        <w:p>
          <w:pPr>
            <w:pStyle w:val="TOC1"/>
            <w:tabs>
              <w:tab w:val="left" w:pos="993"/>
              <w:tab w:val="right" w:leader="dot" w:pos="9062"/>
            </w:tabs>
            <w:rPr>
              <w:noProof/>
              <w:lang w:val="en-GB" w:eastAsia="en-GB"/>
            </w:rPr>
          </w:pPr>
          <w:hyperlink w:anchor="_Toc457466075" w:history="1">
            <w:r>
              <w:rPr>
                <w:rStyle w:val="Hyperlink"/>
                <w:rFonts w:ascii="Times New Roman" w:hAnsi="Times New Roman"/>
                <w:noProof/>
              </w:rPr>
              <w:t>7.3.</w:t>
            </w:r>
            <w:r>
              <w:rPr>
                <w:noProof/>
                <w:lang w:val="en-GB" w:eastAsia="en-GB"/>
              </w:rPr>
              <w:tab/>
            </w:r>
            <w:r>
              <w:rPr>
                <w:rStyle w:val="Hyperlink"/>
                <w:rFonts w:ascii="Times New Roman" w:hAnsi="Times New Roman"/>
                <w:noProof/>
              </w:rPr>
              <w:t>Monitoring and audit mechanisms</w:t>
            </w:r>
            <w:r>
              <w:rPr>
                <w:noProof/>
                <w:webHidden/>
              </w:rPr>
              <w:tab/>
            </w:r>
            <w:r>
              <w:rPr>
                <w:noProof/>
                <w:webHidden/>
              </w:rPr>
              <w:fldChar w:fldCharType="begin"/>
            </w:r>
            <w:r>
              <w:rPr>
                <w:noProof/>
                <w:webHidden/>
              </w:rPr>
              <w:instrText xml:space="preserve"> PAGEREF _Toc457466075 \h </w:instrText>
            </w:r>
            <w:r>
              <w:rPr>
                <w:noProof/>
                <w:webHidden/>
              </w:rPr>
            </w:r>
            <w:r>
              <w:rPr>
                <w:noProof/>
                <w:webHidden/>
              </w:rPr>
              <w:fldChar w:fldCharType="separate"/>
            </w:r>
            <w:r>
              <w:rPr>
                <w:noProof/>
                <w:webHidden/>
              </w:rPr>
              <w:t>63</w:t>
            </w:r>
            <w:r>
              <w:rPr>
                <w:noProof/>
                <w:webHidden/>
              </w:rPr>
              <w:fldChar w:fldCharType="end"/>
            </w:r>
          </w:hyperlink>
        </w:p>
        <w:p>
          <w:pPr>
            <w:pStyle w:val="TOC1"/>
            <w:tabs>
              <w:tab w:val="right" w:leader="dot" w:pos="9062"/>
            </w:tabs>
            <w:rPr>
              <w:noProof/>
              <w:lang w:val="en-GB" w:eastAsia="en-GB"/>
            </w:rPr>
          </w:pPr>
          <w:hyperlink w:anchor="_Toc457466076" w:history="1">
            <w:r>
              <w:rPr>
                <w:rStyle w:val="Hyperlink"/>
                <w:rFonts w:ascii="Times New Roman" w:hAnsi="Times New Roman"/>
                <w:b/>
                <w:noProof/>
              </w:rPr>
              <w:t>Annexes</w:t>
            </w:r>
            <w:r>
              <w:rPr>
                <w:noProof/>
                <w:webHidden/>
              </w:rPr>
              <w:tab/>
            </w:r>
            <w:r>
              <w:rPr>
                <w:noProof/>
                <w:webHidden/>
              </w:rPr>
              <w:fldChar w:fldCharType="begin"/>
            </w:r>
            <w:r>
              <w:rPr>
                <w:noProof/>
                <w:webHidden/>
              </w:rPr>
              <w:instrText xml:space="preserve"> PAGEREF _Toc457466076 \h </w:instrText>
            </w:r>
            <w:r>
              <w:rPr>
                <w:noProof/>
                <w:webHidden/>
              </w:rPr>
            </w:r>
            <w:r>
              <w:rPr>
                <w:noProof/>
                <w:webHidden/>
              </w:rPr>
              <w:fldChar w:fldCharType="separate"/>
            </w:r>
            <w:r>
              <w:rPr>
                <w:noProof/>
                <w:webHidden/>
              </w:rPr>
              <w:t>65</w:t>
            </w:r>
            <w:r>
              <w:rPr>
                <w:noProof/>
                <w:webHidden/>
              </w:rPr>
              <w:fldChar w:fldCharType="end"/>
            </w:r>
          </w:hyperlink>
        </w:p>
        <w:p>
          <w:pPr>
            <w:pStyle w:val="TOC2"/>
            <w:rPr>
              <w:noProof/>
              <w:lang w:val="en-GB" w:eastAsia="en-GB"/>
            </w:rPr>
          </w:pPr>
          <w:hyperlink w:anchor="_Toc457466077" w:history="1">
            <w:r>
              <w:rPr>
                <w:rStyle w:val="Hyperlink"/>
                <w:rFonts w:ascii="Times New Roman" w:hAnsi="Times New Roman"/>
                <w:i/>
                <w:noProof/>
              </w:rPr>
              <w:t>Annex 1: Procedural information</w:t>
            </w:r>
            <w:r>
              <w:rPr>
                <w:noProof/>
                <w:webHidden/>
              </w:rPr>
              <w:tab/>
            </w:r>
            <w:r>
              <w:rPr>
                <w:noProof/>
                <w:webHidden/>
              </w:rPr>
              <w:fldChar w:fldCharType="begin"/>
            </w:r>
            <w:r>
              <w:rPr>
                <w:noProof/>
                <w:webHidden/>
              </w:rPr>
              <w:instrText xml:space="preserve"> PAGEREF _Toc457466077 \h </w:instrText>
            </w:r>
            <w:r>
              <w:rPr>
                <w:noProof/>
                <w:webHidden/>
              </w:rPr>
            </w:r>
            <w:r>
              <w:rPr>
                <w:noProof/>
                <w:webHidden/>
              </w:rPr>
              <w:fldChar w:fldCharType="separate"/>
            </w:r>
            <w:r>
              <w:rPr>
                <w:noProof/>
                <w:webHidden/>
              </w:rPr>
              <w:t>65</w:t>
            </w:r>
            <w:r>
              <w:rPr>
                <w:noProof/>
                <w:webHidden/>
              </w:rPr>
              <w:fldChar w:fldCharType="end"/>
            </w:r>
          </w:hyperlink>
        </w:p>
        <w:p>
          <w:pPr>
            <w:pStyle w:val="TOC3"/>
            <w:tabs>
              <w:tab w:val="left" w:pos="993"/>
              <w:tab w:val="right" w:leader="dot" w:pos="9062"/>
            </w:tabs>
            <w:rPr>
              <w:noProof/>
              <w:lang w:val="en-GB" w:eastAsia="en-GB"/>
            </w:rPr>
          </w:pPr>
          <w:hyperlink w:anchor="_Toc457466078" w:history="1">
            <w:r>
              <w:rPr>
                <w:rStyle w:val="Hyperlink"/>
                <w:rFonts w:ascii="Times New Roman" w:hAnsi="Times New Roman"/>
                <w:i/>
                <w:noProof/>
              </w:rPr>
              <w:t>1.1.</w:t>
            </w:r>
            <w:r>
              <w:rPr>
                <w:noProof/>
                <w:lang w:val="en-GB" w:eastAsia="en-GB"/>
              </w:rPr>
              <w:tab/>
            </w:r>
            <w:r>
              <w:rPr>
                <w:rStyle w:val="Hyperlink"/>
                <w:rFonts w:ascii="Times New Roman" w:hAnsi="Times New Roman"/>
                <w:i/>
                <w:noProof/>
              </w:rPr>
              <w:t>Identification</w:t>
            </w:r>
            <w:r>
              <w:rPr>
                <w:noProof/>
                <w:webHidden/>
              </w:rPr>
              <w:tab/>
            </w:r>
            <w:r>
              <w:rPr>
                <w:noProof/>
                <w:webHidden/>
              </w:rPr>
              <w:fldChar w:fldCharType="begin"/>
            </w:r>
            <w:r>
              <w:rPr>
                <w:noProof/>
                <w:webHidden/>
              </w:rPr>
              <w:instrText xml:space="preserve"> PAGEREF _Toc457466078 \h </w:instrText>
            </w:r>
            <w:r>
              <w:rPr>
                <w:noProof/>
                <w:webHidden/>
              </w:rPr>
            </w:r>
            <w:r>
              <w:rPr>
                <w:noProof/>
                <w:webHidden/>
              </w:rPr>
              <w:fldChar w:fldCharType="separate"/>
            </w:r>
            <w:r>
              <w:rPr>
                <w:noProof/>
                <w:webHidden/>
              </w:rPr>
              <w:t>65</w:t>
            </w:r>
            <w:r>
              <w:rPr>
                <w:noProof/>
                <w:webHidden/>
              </w:rPr>
              <w:fldChar w:fldCharType="end"/>
            </w:r>
          </w:hyperlink>
        </w:p>
        <w:p>
          <w:pPr>
            <w:pStyle w:val="TOC3"/>
            <w:tabs>
              <w:tab w:val="left" w:pos="993"/>
              <w:tab w:val="right" w:leader="dot" w:pos="9062"/>
            </w:tabs>
            <w:rPr>
              <w:noProof/>
              <w:lang w:val="en-GB" w:eastAsia="en-GB"/>
            </w:rPr>
          </w:pPr>
          <w:hyperlink w:anchor="_Toc457466079" w:history="1">
            <w:r>
              <w:rPr>
                <w:rStyle w:val="Hyperlink"/>
                <w:rFonts w:ascii="Times New Roman" w:hAnsi="Times New Roman"/>
                <w:i/>
                <w:noProof/>
              </w:rPr>
              <w:t>1.2.</w:t>
            </w:r>
            <w:r>
              <w:rPr>
                <w:noProof/>
                <w:lang w:val="en-GB" w:eastAsia="en-GB"/>
              </w:rPr>
              <w:tab/>
            </w:r>
            <w:r>
              <w:rPr>
                <w:rStyle w:val="Hyperlink"/>
                <w:rFonts w:ascii="Times New Roman" w:hAnsi="Times New Roman"/>
                <w:i/>
                <w:noProof/>
              </w:rPr>
              <w:t>Organisation and timing</w:t>
            </w:r>
            <w:r>
              <w:rPr>
                <w:noProof/>
                <w:webHidden/>
              </w:rPr>
              <w:tab/>
            </w:r>
            <w:r>
              <w:rPr>
                <w:noProof/>
                <w:webHidden/>
              </w:rPr>
              <w:fldChar w:fldCharType="begin"/>
            </w:r>
            <w:r>
              <w:rPr>
                <w:noProof/>
                <w:webHidden/>
              </w:rPr>
              <w:instrText xml:space="preserve"> PAGEREF _Toc457466079 \h </w:instrText>
            </w:r>
            <w:r>
              <w:rPr>
                <w:noProof/>
                <w:webHidden/>
              </w:rPr>
            </w:r>
            <w:r>
              <w:rPr>
                <w:noProof/>
                <w:webHidden/>
              </w:rPr>
              <w:fldChar w:fldCharType="separate"/>
            </w:r>
            <w:r>
              <w:rPr>
                <w:noProof/>
                <w:webHidden/>
              </w:rPr>
              <w:t>65</w:t>
            </w:r>
            <w:r>
              <w:rPr>
                <w:noProof/>
                <w:webHidden/>
              </w:rPr>
              <w:fldChar w:fldCharType="end"/>
            </w:r>
          </w:hyperlink>
        </w:p>
        <w:p>
          <w:pPr>
            <w:pStyle w:val="TOC3"/>
            <w:tabs>
              <w:tab w:val="left" w:pos="993"/>
              <w:tab w:val="right" w:leader="dot" w:pos="9062"/>
            </w:tabs>
            <w:rPr>
              <w:noProof/>
              <w:lang w:val="en-GB" w:eastAsia="en-GB"/>
            </w:rPr>
          </w:pPr>
          <w:hyperlink w:anchor="_Toc457466080" w:history="1">
            <w:r>
              <w:rPr>
                <w:rStyle w:val="Hyperlink"/>
                <w:rFonts w:ascii="Times New Roman" w:hAnsi="Times New Roman"/>
                <w:i/>
                <w:noProof/>
              </w:rPr>
              <w:t>1.3.</w:t>
            </w:r>
            <w:r>
              <w:rPr>
                <w:noProof/>
                <w:lang w:val="en-GB" w:eastAsia="en-GB"/>
              </w:rPr>
              <w:tab/>
            </w:r>
            <w:r>
              <w:rPr>
                <w:rStyle w:val="Hyperlink"/>
                <w:rFonts w:ascii="Times New Roman" w:hAnsi="Times New Roman"/>
                <w:i/>
                <w:noProof/>
              </w:rPr>
              <w:t>Evidence</w:t>
            </w:r>
            <w:r>
              <w:rPr>
                <w:noProof/>
                <w:webHidden/>
              </w:rPr>
              <w:tab/>
            </w:r>
            <w:r>
              <w:rPr>
                <w:noProof/>
                <w:webHidden/>
              </w:rPr>
              <w:fldChar w:fldCharType="begin"/>
            </w:r>
            <w:r>
              <w:rPr>
                <w:noProof/>
                <w:webHidden/>
              </w:rPr>
              <w:instrText xml:space="preserve"> PAGEREF _Toc457466080 \h </w:instrText>
            </w:r>
            <w:r>
              <w:rPr>
                <w:noProof/>
                <w:webHidden/>
              </w:rPr>
            </w:r>
            <w:r>
              <w:rPr>
                <w:noProof/>
                <w:webHidden/>
              </w:rPr>
              <w:fldChar w:fldCharType="separate"/>
            </w:r>
            <w:r>
              <w:rPr>
                <w:noProof/>
                <w:webHidden/>
              </w:rPr>
              <w:t>67</w:t>
            </w:r>
            <w:r>
              <w:rPr>
                <w:noProof/>
                <w:webHidden/>
              </w:rPr>
              <w:fldChar w:fldCharType="end"/>
            </w:r>
          </w:hyperlink>
        </w:p>
        <w:p>
          <w:pPr>
            <w:pStyle w:val="TOC3"/>
            <w:tabs>
              <w:tab w:val="left" w:pos="993"/>
              <w:tab w:val="right" w:leader="dot" w:pos="9062"/>
            </w:tabs>
            <w:rPr>
              <w:noProof/>
            </w:rPr>
          </w:pPr>
          <w:hyperlink w:anchor="_Toc457466081" w:history="1">
            <w:r>
              <w:rPr>
                <w:rStyle w:val="Hyperlink"/>
                <w:rFonts w:ascii="Times New Roman" w:hAnsi="Times New Roman"/>
                <w:i/>
                <w:noProof/>
              </w:rPr>
              <w:t>1.4.</w:t>
            </w:r>
            <w:r>
              <w:rPr>
                <w:noProof/>
                <w:lang w:val="en-GB" w:eastAsia="en-GB"/>
              </w:rPr>
              <w:tab/>
            </w:r>
            <w:r>
              <w:rPr>
                <w:rStyle w:val="Hyperlink"/>
                <w:rFonts w:ascii="Times New Roman" w:hAnsi="Times New Roman"/>
                <w:i/>
                <w:noProof/>
              </w:rPr>
              <w:t>External expertise</w:t>
            </w:r>
            <w:r>
              <w:rPr>
                <w:noProof/>
                <w:webHidden/>
              </w:rPr>
              <w:tab/>
            </w:r>
            <w:r>
              <w:rPr>
                <w:noProof/>
                <w:webHidden/>
              </w:rPr>
              <w:fldChar w:fldCharType="begin"/>
            </w:r>
            <w:r>
              <w:rPr>
                <w:noProof/>
                <w:webHidden/>
              </w:rPr>
              <w:instrText xml:space="preserve"> PAGEREF _Toc457466081 \h </w:instrText>
            </w:r>
            <w:r>
              <w:rPr>
                <w:noProof/>
                <w:webHidden/>
              </w:rPr>
            </w:r>
            <w:r>
              <w:rPr>
                <w:noProof/>
                <w:webHidden/>
              </w:rPr>
              <w:fldChar w:fldCharType="separate"/>
            </w:r>
            <w:r>
              <w:rPr>
                <w:noProof/>
                <w:webHidden/>
              </w:rPr>
              <w:t>67</w:t>
            </w:r>
            <w:r>
              <w:rPr>
                <w:noProof/>
                <w:webHidden/>
              </w:rPr>
              <w:fldChar w:fldCharType="end"/>
            </w:r>
          </w:hyperlink>
        </w:p>
        <w:p>
          <w:pPr>
            <w:rPr>
              <w:rFonts w:asciiTheme="minorHAnsi" w:eastAsiaTheme="minorEastAsia" w:hAnsiTheme="minorHAnsi" w:cstheme="minorBidi"/>
              <w:noProof/>
              <w:lang w:val="en-US" w:eastAsia="ja-JP"/>
            </w:rPr>
          </w:pPr>
          <w:r>
            <w:rPr>
              <w:noProof/>
            </w:rPr>
            <w:br w:type="page"/>
          </w:r>
        </w:p>
        <w:p>
          <w:pPr>
            <w:pStyle w:val="TOC2"/>
            <w:rPr>
              <w:noProof/>
              <w:lang w:val="en-GB" w:eastAsia="en-GB"/>
            </w:rPr>
          </w:pPr>
          <w:hyperlink w:anchor="_Toc457466082" w:history="1">
            <w:r>
              <w:rPr>
                <w:rStyle w:val="Hyperlink"/>
                <w:rFonts w:ascii="Times New Roman" w:hAnsi="Times New Roman"/>
                <w:i/>
                <w:noProof/>
              </w:rPr>
              <w:t>Annex 2: Stakeholder consultation – Synopsis Report</w:t>
            </w:r>
            <w:r>
              <w:rPr>
                <w:noProof/>
                <w:webHidden/>
              </w:rPr>
              <w:tab/>
            </w:r>
            <w:r>
              <w:rPr>
                <w:noProof/>
                <w:webHidden/>
              </w:rPr>
              <w:fldChar w:fldCharType="begin"/>
            </w:r>
            <w:r>
              <w:rPr>
                <w:noProof/>
                <w:webHidden/>
              </w:rPr>
              <w:instrText xml:space="preserve"> PAGEREF _Toc457466082 \h </w:instrText>
            </w:r>
            <w:r>
              <w:rPr>
                <w:noProof/>
                <w:webHidden/>
              </w:rPr>
            </w:r>
            <w:r>
              <w:rPr>
                <w:noProof/>
                <w:webHidden/>
              </w:rPr>
              <w:fldChar w:fldCharType="separate"/>
            </w:r>
            <w:r>
              <w:rPr>
                <w:noProof/>
                <w:webHidden/>
              </w:rPr>
              <w:t>69</w:t>
            </w:r>
            <w:r>
              <w:rPr>
                <w:noProof/>
                <w:webHidden/>
              </w:rPr>
              <w:fldChar w:fldCharType="end"/>
            </w:r>
          </w:hyperlink>
        </w:p>
        <w:p>
          <w:pPr>
            <w:pStyle w:val="TOC3"/>
            <w:tabs>
              <w:tab w:val="left" w:pos="993"/>
              <w:tab w:val="right" w:leader="dot" w:pos="9062"/>
            </w:tabs>
            <w:rPr>
              <w:noProof/>
              <w:lang w:val="en-GB" w:eastAsia="en-GB"/>
            </w:rPr>
          </w:pPr>
          <w:hyperlink w:anchor="_Toc457466083" w:history="1">
            <w:r>
              <w:rPr>
                <w:rStyle w:val="Hyperlink"/>
                <w:rFonts w:ascii="Times New Roman" w:eastAsia="Times New Roman" w:hAnsi="Times New Roman"/>
                <w:i/>
                <w:noProof/>
                <w:lang w:eastAsia="ar-SA"/>
              </w:rPr>
              <w:t>2.1.</w:t>
            </w:r>
            <w:r>
              <w:rPr>
                <w:noProof/>
                <w:lang w:val="en-GB" w:eastAsia="en-GB"/>
              </w:rPr>
              <w:tab/>
            </w:r>
            <w:r>
              <w:rPr>
                <w:rStyle w:val="Hyperlink"/>
                <w:rFonts w:ascii="Times New Roman" w:eastAsia="Times New Roman" w:hAnsi="Times New Roman"/>
                <w:i/>
                <w:noProof/>
                <w:lang w:eastAsia="ar-SA"/>
              </w:rPr>
              <w:t>Stakeholder consultation strategy</w:t>
            </w:r>
            <w:r>
              <w:rPr>
                <w:noProof/>
                <w:webHidden/>
              </w:rPr>
              <w:tab/>
            </w:r>
            <w:r>
              <w:rPr>
                <w:noProof/>
                <w:webHidden/>
              </w:rPr>
              <w:fldChar w:fldCharType="begin"/>
            </w:r>
            <w:r>
              <w:rPr>
                <w:noProof/>
                <w:webHidden/>
              </w:rPr>
              <w:instrText xml:space="preserve"> PAGEREF _Toc457466083 \h </w:instrText>
            </w:r>
            <w:r>
              <w:rPr>
                <w:noProof/>
                <w:webHidden/>
              </w:rPr>
            </w:r>
            <w:r>
              <w:rPr>
                <w:noProof/>
                <w:webHidden/>
              </w:rPr>
              <w:fldChar w:fldCharType="separate"/>
            </w:r>
            <w:r>
              <w:rPr>
                <w:noProof/>
                <w:webHidden/>
              </w:rPr>
              <w:t>69</w:t>
            </w:r>
            <w:r>
              <w:rPr>
                <w:noProof/>
                <w:webHidden/>
              </w:rPr>
              <w:fldChar w:fldCharType="end"/>
            </w:r>
          </w:hyperlink>
        </w:p>
        <w:p>
          <w:pPr>
            <w:pStyle w:val="TOC3"/>
            <w:tabs>
              <w:tab w:val="left" w:pos="993"/>
              <w:tab w:val="right" w:leader="dot" w:pos="9062"/>
            </w:tabs>
            <w:rPr>
              <w:noProof/>
              <w:lang w:val="en-GB" w:eastAsia="en-GB"/>
            </w:rPr>
          </w:pPr>
          <w:hyperlink w:anchor="_Toc457466084" w:history="1">
            <w:r>
              <w:rPr>
                <w:rStyle w:val="Hyperlink"/>
                <w:rFonts w:ascii="Times New Roman" w:eastAsia="Times New Roman" w:hAnsi="Times New Roman"/>
                <w:i/>
                <w:noProof/>
                <w:lang w:eastAsia="ar-SA"/>
              </w:rPr>
              <w:t>2.2.</w:t>
            </w:r>
            <w:r>
              <w:rPr>
                <w:noProof/>
                <w:lang w:val="en-GB" w:eastAsia="en-GB"/>
              </w:rPr>
              <w:tab/>
            </w:r>
            <w:r>
              <w:rPr>
                <w:rStyle w:val="Hyperlink"/>
                <w:rFonts w:ascii="Times New Roman" w:eastAsia="Times New Roman" w:hAnsi="Times New Roman"/>
                <w:i/>
                <w:noProof/>
                <w:lang w:eastAsia="ar-SA"/>
              </w:rPr>
              <w:t>The questionnaire</w:t>
            </w:r>
            <w:r>
              <w:rPr>
                <w:noProof/>
                <w:webHidden/>
              </w:rPr>
              <w:tab/>
            </w:r>
            <w:r>
              <w:rPr>
                <w:noProof/>
                <w:webHidden/>
              </w:rPr>
              <w:fldChar w:fldCharType="begin"/>
            </w:r>
            <w:r>
              <w:rPr>
                <w:noProof/>
                <w:webHidden/>
              </w:rPr>
              <w:instrText xml:space="preserve"> PAGEREF _Toc457466084 \h </w:instrText>
            </w:r>
            <w:r>
              <w:rPr>
                <w:noProof/>
                <w:webHidden/>
              </w:rPr>
            </w:r>
            <w:r>
              <w:rPr>
                <w:noProof/>
                <w:webHidden/>
              </w:rPr>
              <w:fldChar w:fldCharType="separate"/>
            </w:r>
            <w:r>
              <w:rPr>
                <w:noProof/>
                <w:webHidden/>
              </w:rPr>
              <w:t>70</w:t>
            </w:r>
            <w:r>
              <w:rPr>
                <w:noProof/>
                <w:webHidden/>
              </w:rPr>
              <w:fldChar w:fldCharType="end"/>
            </w:r>
          </w:hyperlink>
        </w:p>
        <w:p>
          <w:pPr>
            <w:pStyle w:val="TOC3"/>
            <w:tabs>
              <w:tab w:val="left" w:pos="993"/>
              <w:tab w:val="right" w:leader="dot" w:pos="9062"/>
            </w:tabs>
            <w:rPr>
              <w:noProof/>
              <w:lang w:val="en-GB" w:eastAsia="en-GB"/>
            </w:rPr>
          </w:pPr>
          <w:hyperlink w:anchor="_Toc457466085" w:history="1">
            <w:r>
              <w:rPr>
                <w:rStyle w:val="Hyperlink"/>
                <w:rFonts w:ascii="Times New Roman" w:eastAsia="Times New Roman" w:hAnsi="Times New Roman"/>
                <w:i/>
                <w:noProof/>
                <w:lang w:eastAsia="ar-SA"/>
              </w:rPr>
              <w:t>2.3.</w:t>
            </w:r>
            <w:r>
              <w:rPr>
                <w:noProof/>
                <w:lang w:val="en-GB" w:eastAsia="en-GB"/>
              </w:rPr>
              <w:tab/>
            </w:r>
            <w:r>
              <w:rPr>
                <w:rStyle w:val="Hyperlink"/>
                <w:rFonts w:ascii="Times New Roman" w:eastAsia="Times New Roman" w:hAnsi="Times New Roman"/>
                <w:i/>
                <w:noProof/>
                <w:lang w:eastAsia="ar-SA"/>
              </w:rPr>
              <w:t>Feedback and analysis</w:t>
            </w:r>
            <w:r>
              <w:rPr>
                <w:noProof/>
                <w:webHidden/>
              </w:rPr>
              <w:tab/>
            </w:r>
            <w:r>
              <w:rPr>
                <w:noProof/>
                <w:webHidden/>
              </w:rPr>
              <w:fldChar w:fldCharType="begin"/>
            </w:r>
            <w:r>
              <w:rPr>
                <w:noProof/>
                <w:webHidden/>
              </w:rPr>
              <w:instrText xml:space="preserve"> PAGEREF _Toc457466085 \h </w:instrText>
            </w:r>
            <w:r>
              <w:rPr>
                <w:noProof/>
                <w:webHidden/>
              </w:rPr>
            </w:r>
            <w:r>
              <w:rPr>
                <w:noProof/>
                <w:webHidden/>
              </w:rPr>
              <w:fldChar w:fldCharType="separate"/>
            </w:r>
            <w:r>
              <w:rPr>
                <w:noProof/>
                <w:webHidden/>
              </w:rPr>
              <w:t>70</w:t>
            </w:r>
            <w:r>
              <w:rPr>
                <w:noProof/>
                <w:webHidden/>
              </w:rPr>
              <w:fldChar w:fldCharType="end"/>
            </w:r>
          </w:hyperlink>
        </w:p>
        <w:p>
          <w:pPr>
            <w:pStyle w:val="TOC3"/>
            <w:tabs>
              <w:tab w:val="left" w:pos="993"/>
              <w:tab w:val="right" w:leader="dot" w:pos="9062"/>
            </w:tabs>
            <w:rPr>
              <w:noProof/>
              <w:lang w:val="en-GB" w:eastAsia="en-GB"/>
            </w:rPr>
          </w:pPr>
          <w:hyperlink w:anchor="_Toc457466086" w:history="1">
            <w:r>
              <w:rPr>
                <w:rStyle w:val="Hyperlink"/>
                <w:rFonts w:ascii="Times New Roman" w:eastAsia="Times New Roman" w:hAnsi="Times New Roman"/>
                <w:i/>
                <w:noProof/>
                <w:lang w:eastAsia="ar-SA"/>
              </w:rPr>
              <w:t>2.4.</w:t>
            </w:r>
            <w:r>
              <w:rPr>
                <w:noProof/>
                <w:lang w:val="en-GB" w:eastAsia="en-GB"/>
              </w:rPr>
              <w:tab/>
            </w:r>
            <w:r>
              <w:rPr>
                <w:rStyle w:val="Hyperlink"/>
                <w:rFonts w:ascii="Times New Roman" w:eastAsia="Times New Roman" w:hAnsi="Times New Roman"/>
                <w:i/>
                <w:noProof/>
                <w:lang w:eastAsia="ar-SA"/>
              </w:rPr>
              <w:t>Stakeholder profile</w:t>
            </w:r>
            <w:r>
              <w:rPr>
                <w:noProof/>
                <w:webHidden/>
              </w:rPr>
              <w:tab/>
            </w:r>
            <w:r>
              <w:rPr>
                <w:noProof/>
                <w:webHidden/>
              </w:rPr>
              <w:fldChar w:fldCharType="begin"/>
            </w:r>
            <w:r>
              <w:rPr>
                <w:noProof/>
                <w:webHidden/>
              </w:rPr>
              <w:instrText xml:space="preserve"> PAGEREF _Toc457466086 \h </w:instrText>
            </w:r>
            <w:r>
              <w:rPr>
                <w:noProof/>
                <w:webHidden/>
              </w:rPr>
            </w:r>
            <w:r>
              <w:rPr>
                <w:noProof/>
                <w:webHidden/>
              </w:rPr>
              <w:fldChar w:fldCharType="separate"/>
            </w:r>
            <w:r>
              <w:rPr>
                <w:noProof/>
                <w:webHidden/>
              </w:rPr>
              <w:t>71</w:t>
            </w:r>
            <w:r>
              <w:rPr>
                <w:noProof/>
                <w:webHidden/>
              </w:rPr>
              <w:fldChar w:fldCharType="end"/>
            </w:r>
          </w:hyperlink>
        </w:p>
        <w:p>
          <w:pPr>
            <w:pStyle w:val="TOC3"/>
            <w:tabs>
              <w:tab w:val="left" w:pos="993"/>
              <w:tab w:val="right" w:leader="dot" w:pos="9062"/>
            </w:tabs>
            <w:rPr>
              <w:noProof/>
              <w:lang w:val="en-GB" w:eastAsia="en-GB"/>
            </w:rPr>
          </w:pPr>
          <w:hyperlink w:anchor="_Toc457466087" w:history="1">
            <w:r>
              <w:rPr>
                <w:rStyle w:val="Hyperlink"/>
                <w:rFonts w:ascii="Times New Roman" w:eastAsia="Times New Roman" w:hAnsi="Times New Roman"/>
                <w:i/>
                <w:noProof/>
                <w:lang w:eastAsia="ar-SA"/>
              </w:rPr>
              <w:t>2.5.</w:t>
            </w:r>
            <w:r>
              <w:rPr>
                <w:noProof/>
                <w:lang w:val="en-GB" w:eastAsia="en-GB"/>
              </w:rPr>
              <w:tab/>
            </w:r>
            <w:r>
              <w:rPr>
                <w:rStyle w:val="Hyperlink"/>
                <w:rFonts w:ascii="Times New Roman" w:eastAsia="Times New Roman" w:hAnsi="Times New Roman"/>
                <w:i/>
                <w:noProof/>
                <w:lang w:eastAsia="ar-SA"/>
              </w:rPr>
              <w:t>Problem definition</w:t>
            </w:r>
            <w:r>
              <w:rPr>
                <w:noProof/>
                <w:webHidden/>
              </w:rPr>
              <w:tab/>
            </w:r>
            <w:r>
              <w:rPr>
                <w:noProof/>
                <w:webHidden/>
              </w:rPr>
              <w:fldChar w:fldCharType="begin"/>
            </w:r>
            <w:r>
              <w:rPr>
                <w:noProof/>
                <w:webHidden/>
              </w:rPr>
              <w:instrText xml:space="preserve"> PAGEREF _Toc457466087 \h </w:instrText>
            </w:r>
            <w:r>
              <w:rPr>
                <w:noProof/>
                <w:webHidden/>
              </w:rPr>
            </w:r>
            <w:r>
              <w:rPr>
                <w:noProof/>
                <w:webHidden/>
              </w:rPr>
              <w:fldChar w:fldCharType="separate"/>
            </w:r>
            <w:r>
              <w:rPr>
                <w:noProof/>
                <w:webHidden/>
              </w:rPr>
              <w:t>72</w:t>
            </w:r>
            <w:r>
              <w:rPr>
                <w:noProof/>
                <w:webHidden/>
              </w:rPr>
              <w:fldChar w:fldCharType="end"/>
            </w:r>
          </w:hyperlink>
        </w:p>
        <w:p>
          <w:pPr>
            <w:pStyle w:val="TOC3"/>
            <w:tabs>
              <w:tab w:val="left" w:pos="993"/>
              <w:tab w:val="right" w:leader="dot" w:pos="9062"/>
            </w:tabs>
            <w:rPr>
              <w:noProof/>
              <w:lang w:val="en-GB" w:eastAsia="en-GB"/>
            </w:rPr>
          </w:pPr>
          <w:hyperlink w:anchor="_Toc457466088" w:history="1">
            <w:r>
              <w:rPr>
                <w:rStyle w:val="Hyperlink"/>
                <w:rFonts w:ascii="Times New Roman" w:eastAsia="Times New Roman" w:hAnsi="Times New Roman"/>
                <w:i/>
                <w:noProof/>
                <w:lang w:eastAsia="ar-SA"/>
              </w:rPr>
              <w:t>2.6.</w:t>
            </w:r>
            <w:r>
              <w:rPr>
                <w:noProof/>
                <w:lang w:val="en-GB" w:eastAsia="en-GB"/>
              </w:rPr>
              <w:tab/>
            </w:r>
            <w:r>
              <w:rPr>
                <w:rStyle w:val="Hyperlink"/>
                <w:rFonts w:ascii="Times New Roman" w:eastAsia="Times New Roman" w:hAnsi="Times New Roman"/>
                <w:i/>
                <w:noProof/>
                <w:lang w:eastAsia="ar-SA"/>
              </w:rPr>
              <w:t>Core objectives</w:t>
            </w:r>
            <w:r>
              <w:rPr>
                <w:noProof/>
                <w:webHidden/>
              </w:rPr>
              <w:tab/>
            </w:r>
            <w:r>
              <w:rPr>
                <w:noProof/>
                <w:webHidden/>
              </w:rPr>
              <w:fldChar w:fldCharType="begin"/>
            </w:r>
            <w:r>
              <w:rPr>
                <w:noProof/>
                <w:webHidden/>
              </w:rPr>
              <w:instrText xml:space="preserve"> PAGEREF _Toc457466088 \h </w:instrText>
            </w:r>
            <w:r>
              <w:rPr>
                <w:noProof/>
                <w:webHidden/>
              </w:rPr>
            </w:r>
            <w:r>
              <w:rPr>
                <w:noProof/>
                <w:webHidden/>
              </w:rPr>
              <w:fldChar w:fldCharType="separate"/>
            </w:r>
            <w:r>
              <w:rPr>
                <w:noProof/>
                <w:webHidden/>
              </w:rPr>
              <w:t>72</w:t>
            </w:r>
            <w:r>
              <w:rPr>
                <w:noProof/>
                <w:webHidden/>
              </w:rPr>
              <w:fldChar w:fldCharType="end"/>
            </w:r>
          </w:hyperlink>
        </w:p>
        <w:p>
          <w:pPr>
            <w:pStyle w:val="TOC3"/>
            <w:tabs>
              <w:tab w:val="left" w:pos="993"/>
              <w:tab w:val="right" w:leader="dot" w:pos="9062"/>
            </w:tabs>
            <w:rPr>
              <w:noProof/>
              <w:lang w:val="en-GB" w:eastAsia="en-GB"/>
            </w:rPr>
          </w:pPr>
          <w:hyperlink w:anchor="_Toc457466089" w:history="1">
            <w:r>
              <w:rPr>
                <w:rStyle w:val="Hyperlink"/>
                <w:rFonts w:ascii="Times New Roman" w:eastAsia="Times New Roman" w:hAnsi="Times New Roman"/>
                <w:i/>
                <w:noProof/>
                <w:lang w:eastAsia="ar-SA"/>
              </w:rPr>
              <w:t>2.7.</w:t>
            </w:r>
            <w:r>
              <w:rPr>
                <w:noProof/>
                <w:lang w:val="en-GB" w:eastAsia="en-GB"/>
              </w:rPr>
              <w:tab/>
            </w:r>
            <w:r>
              <w:rPr>
                <w:rStyle w:val="Hyperlink"/>
                <w:rFonts w:ascii="Times New Roman" w:eastAsia="Times New Roman" w:hAnsi="Times New Roman"/>
                <w:i/>
                <w:noProof/>
                <w:lang w:eastAsia="ar-SA"/>
              </w:rPr>
              <w:t>R&amp;I priorities</w:t>
            </w:r>
            <w:r>
              <w:rPr>
                <w:noProof/>
                <w:webHidden/>
              </w:rPr>
              <w:tab/>
            </w:r>
            <w:r>
              <w:rPr>
                <w:noProof/>
                <w:webHidden/>
              </w:rPr>
              <w:fldChar w:fldCharType="begin"/>
            </w:r>
            <w:r>
              <w:rPr>
                <w:noProof/>
                <w:webHidden/>
              </w:rPr>
              <w:instrText xml:space="preserve"> PAGEREF _Toc457466089 \h </w:instrText>
            </w:r>
            <w:r>
              <w:rPr>
                <w:noProof/>
                <w:webHidden/>
              </w:rPr>
            </w:r>
            <w:r>
              <w:rPr>
                <w:noProof/>
                <w:webHidden/>
              </w:rPr>
              <w:fldChar w:fldCharType="separate"/>
            </w:r>
            <w:r>
              <w:rPr>
                <w:noProof/>
                <w:webHidden/>
              </w:rPr>
              <w:t>72</w:t>
            </w:r>
            <w:r>
              <w:rPr>
                <w:noProof/>
                <w:webHidden/>
              </w:rPr>
              <w:fldChar w:fldCharType="end"/>
            </w:r>
          </w:hyperlink>
        </w:p>
        <w:p>
          <w:pPr>
            <w:pStyle w:val="TOC3"/>
            <w:tabs>
              <w:tab w:val="left" w:pos="993"/>
              <w:tab w:val="right" w:leader="dot" w:pos="9062"/>
            </w:tabs>
            <w:rPr>
              <w:noProof/>
              <w:lang w:val="en-GB" w:eastAsia="en-GB"/>
            </w:rPr>
          </w:pPr>
          <w:hyperlink w:anchor="_Toc457466090" w:history="1">
            <w:r>
              <w:rPr>
                <w:rStyle w:val="Hyperlink"/>
                <w:rFonts w:ascii="Times New Roman" w:eastAsia="Times New Roman" w:hAnsi="Times New Roman"/>
                <w:i/>
                <w:noProof/>
                <w:lang w:eastAsia="ar-SA"/>
              </w:rPr>
              <w:t>2.8.</w:t>
            </w:r>
            <w:r>
              <w:rPr>
                <w:noProof/>
                <w:lang w:val="en-GB" w:eastAsia="en-GB"/>
              </w:rPr>
              <w:tab/>
            </w:r>
            <w:r>
              <w:rPr>
                <w:rStyle w:val="Hyperlink"/>
                <w:rFonts w:ascii="Times New Roman" w:eastAsia="Times New Roman" w:hAnsi="Times New Roman"/>
                <w:i/>
                <w:noProof/>
                <w:lang w:eastAsia="ar-SA"/>
              </w:rPr>
              <w:t>Actions</w:t>
            </w:r>
            <w:r>
              <w:rPr>
                <w:noProof/>
                <w:webHidden/>
              </w:rPr>
              <w:tab/>
            </w:r>
            <w:r>
              <w:rPr>
                <w:noProof/>
                <w:webHidden/>
              </w:rPr>
              <w:fldChar w:fldCharType="begin"/>
            </w:r>
            <w:r>
              <w:rPr>
                <w:noProof/>
                <w:webHidden/>
              </w:rPr>
              <w:instrText xml:space="preserve"> PAGEREF _Toc457466090 \h </w:instrText>
            </w:r>
            <w:r>
              <w:rPr>
                <w:noProof/>
                <w:webHidden/>
              </w:rPr>
            </w:r>
            <w:r>
              <w:rPr>
                <w:noProof/>
                <w:webHidden/>
              </w:rPr>
              <w:fldChar w:fldCharType="separate"/>
            </w:r>
            <w:r>
              <w:rPr>
                <w:noProof/>
                <w:webHidden/>
              </w:rPr>
              <w:t>73</w:t>
            </w:r>
            <w:r>
              <w:rPr>
                <w:noProof/>
                <w:webHidden/>
              </w:rPr>
              <w:fldChar w:fldCharType="end"/>
            </w:r>
          </w:hyperlink>
        </w:p>
        <w:p>
          <w:pPr>
            <w:pStyle w:val="TOC3"/>
            <w:tabs>
              <w:tab w:val="left" w:pos="993"/>
              <w:tab w:val="right" w:leader="dot" w:pos="9062"/>
            </w:tabs>
            <w:rPr>
              <w:noProof/>
              <w:lang w:val="en-GB" w:eastAsia="en-GB"/>
            </w:rPr>
          </w:pPr>
          <w:hyperlink w:anchor="_Toc457466091" w:history="1">
            <w:r>
              <w:rPr>
                <w:rStyle w:val="Hyperlink"/>
                <w:rFonts w:ascii="Times New Roman" w:eastAsia="Times New Roman" w:hAnsi="Times New Roman"/>
                <w:i/>
                <w:noProof/>
                <w:lang w:eastAsia="ar-SA"/>
              </w:rPr>
              <w:t>2.9.</w:t>
            </w:r>
            <w:r>
              <w:rPr>
                <w:noProof/>
                <w:lang w:val="en-GB" w:eastAsia="en-GB"/>
              </w:rPr>
              <w:tab/>
            </w:r>
            <w:r>
              <w:rPr>
                <w:rStyle w:val="Hyperlink"/>
                <w:rFonts w:ascii="Times New Roman" w:eastAsia="Times New Roman" w:hAnsi="Times New Roman"/>
                <w:i/>
                <w:noProof/>
                <w:lang w:eastAsia="ar-SA"/>
              </w:rPr>
              <w:t>Impacts</w:t>
            </w:r>
            <w:r>
              <w:rPr>
                <w:noProof/>
                <w:webHidden/>
              </w:rPr>
              <w:tab/>
            </w:r>
            <w:r>
              <w:rPr>
                <w:noProof/>
                <w:webHidden/>
              </w:rPr>
              <w:fldChar w:fldCharType="begin"/>
            </w:r>
            <w:r>
              <w:rPr>
                <w:noProof/>
                <w:webHidden/>
              </w:rPr>
              <w:instrText xml:space="preserve"> PAGEREF _Toc457466091 \h </w:instrText>
            </w:r>
            <w:r>
              <w:rPr>
                <w:noProof/>
                <w:webHidden/>
              </w:rPr>
            </w:r>
            <w:r>
              <w:rPr>
                <w:noProof/>
                <w:webHidden/>
              </w:rPr>
              <w:fldChar w:fldCharType="separate"/>
            </w:r>
            <w:r>
              <w:rPr>
                <w:noProof/>
                <w:webHidden/>
              </w:rPr>
              <w:t>73</w:t>
            </w:r>
            <w:r>
              <w:rPr>
                <w:noProof/>
                <w:webHidden/>
              </w:rPr>
              <w:fldChar w:fldCharType="end"/>
            </w:r>
          </w:hyperlink>
        </w:p>
        <w:p>
          <w:pPr>
            <w:pStyle w:val="TOC3"/>
            <w:tabs>
              <w:tab w:val="left" w:pos="1320"/>
              <w:tab w:val="right" w:leader="dot" w:pos="9062"/>
            </w:tabs>
            <w:rPr>
              <w:noProof/>
              <w:lang w:val="en-GB" w:eastAsia="en-GB"/>
            </w:rPr>
          </w:pPr>
          <w:hyperlink w:anchor="_Toc457466092" w:history="1">
            <w:r>
              <w:rPr>
                <w:rStyle w:val="Hyperlink"/>
                <w:rFonts w:ascii="Times New Roman" w:eastAsia="Times New Roman" w:hAnsi="Times New Roman"/>
                <w:i/>
                <w:noProof/>
                <w:lang w:eastAsia="ar-SA"/>
              </w:rPr>
              <w:t>2.10.</w:t>
            </w:r>
            <w:r>
              <w:rPr>
                <w:noProof/>
                <w:lang w:val="en-GB" w:eastAsia="en-GB"/>
              </w:rPr>
              <w:tab/>
            </w:r>
            <w:r>
              <w:rPr>
                <w:rStyle w:val="Hyperlink"/>
                <w:rFonts w:ascii="Times New Roman" w:eastAsia="Times New Roman" w:hAnsi="Times New Roman"/>
                <w:i/>
                <w:noProof/>
                <w:lang w:eastAsia="ar-SA"/>
              </w:rPr>
              <w:t>Policy options</w:t>
            </w:r>
            <w:r>
              <w:rPr>
                <w:noProof/>
                <w:webHidden/>
              </w:rPr>
              <w:tab/>
            </w:r>
            <w:r>
              <w:rPr>
                <w:noProof/>
                <w:webHidden/>
              </w:rPr>
              <w:fldChar w:fldCharType="begin"/>
            </w:r>
            <w:r>
              <w:rPr>
                <w:noProof/>
                <w:webHidden/>
              </w:rPr>
              <w:instrText xml:space="preserve"> PAGEREF _Toc457466092 \h </w:instrText>
            </w:r>
            <w:r>
              <w:rPr>
                <w:noProof/>
                <w:webHidden/>
              </w:rPr>
            </w:r>
            <w:r>
              <w:rPr>
                <w:noProof/>
                <w:webHidden/>
              </w:rPr>
              <w:fldChar w:fldCharType="separate"/>
            </w:r>
            <w:r>
              <w:rPr>
                <w:noProof/>
                <w:webHidden/>
              </w:rPr>
              <w:t>74</w:t>
            </w:r>
            <w:r>
              <w:rPr>
                <w:noProof/>
                <w:webHidden/>
              </w:rPr>
              <w:fldChar w:fldCharType="end"/>
            </w:r>
          </w:hyperlink>
        </w:p>
        <w:p>
          <w:pPr>
            <w:pStyle w:val="TOC2"/>
            <w:rPr>
              <w:noProof/>
              <w:lang w:val="en-GB" w:eastAsia="en-GB"/>
            </w:rPr>
          </w:pPr>
          <w:hyperlink w:anchor="_Toc457466093" w:history="1">
            <w:r>
              <w:rPr>
                <w:rStyle w:val="Hyperlink"/>
                <w:rFonts w:ascii="Times New Roman" w:hAnsi="Times New Roman"/>
                <w:i/>
                <w:noProof/>
              </w:rPr>
              <w:t>Annex 3: Socio-economic outlook of the Mediterranean region</w:t>
            </w:r>
            <w:r>
              <w:rPr>
                <w:noProof/>
                <w:webHidden/>
              </w:rPr>
              <w:tab/>
            </w:r>
            <w:r>
              <w:rPr>
                <w:noProof/>
                <w:webHidden/>
              </w:rPr>
              <w:fldChar w:fldCharType="begin"/>
            </w:r>
            <w:r>
              <w:rPr>
                <w:noProof/>
                <w:webHidden/>
              </w:rPr>
              <w:instrText xml:space="preserve"> PAGEREF _Toc457466093 \h </w:instrText>
            </w:r>
            <w:r>
              <w:rPr>
                <w:noProof/>
                <w:webHidden/>
              </w:rPr>
            </w:r>
            <w:r>
              <w:rPr>
                <w:noProof/>
                <w:webHidden/>
              </w:rPr>
              <w:fldChar w:fldCharType="separate"/>
            </w:r>
            <w:r>
              <w:rPr>
                <w:noProof/>
                <w:webHidden/>
              </w:rPr>
              <w:t>76</w:t>
            </w:r>
            <w:r>
              <w:rPr>
                <w:noProof/>
                <w:webHidden/>
              </w:rPr>
              <w:fldChar w:fldCharType="end"/>
            </w:r>
          </w:hyperlink>
        </w:p>
        <w:p>
          <w:pPr>
            <w:pStyle w:val="TOC3"/>
            <w:tabs>
              <w:tab w:val="left" w:pos="993"/>
              <w:tab w:val="right" w:leader="dot" w:pos="9062"/>
            </w:tabs>
            <w:rPr>
              <w:noProof/>
              <w:lang w:val="en-GB" w:eastAsia="en-GB"/>
            </w:rPr>
          </w:pPr>
          <w:hyperlink w:anchor="_Toc457466094" w:history="1">
            <w:r>
              <w:rPr>
                <w:rStyle w:val="Hyperlink"/>
                <w:rFonts w:ascii="Times New Roman" w:eastAsia="Times New Roman" w:hAnsi="Times New Roman"/>
                <w:i/>
                <w:noProof/>
                <w:lang w:eastAsia="ar-SA"/>
              </w:rPr>
              <w:t>3.1.</w:t>
            </w:r>
            <w:r>
              <w:rPr>
                <w:noProof/>
                <w:lang w:val="en-GB" w:eastAsia="en-GB"/>
              </w:rPr>
              <w:tab/>
            </w:r>
            <w:r>
              <w:rPr>
                <w:rStyle w:val="Hyperlink"/>
                <w:rFonts w:ascii="Times New Roman" w:eastAsia="Times New Roman" w:hAnsi="Times New Roman"/>
                <w:i/>
                <w:noProof/>
                <w:lang w:eastAsia="ar-SA"/>
              </w:rPr>
              <w:t>Introduction</w:t>
            </w:r>
            <w:r>
              <w:rPr>
                <w:noProof/>
                <w:webHidden/>
              </w:rPr>
              <w:tab/>
            </w:r>
            <w:r>
              <w:rPr>
                <w:noProof/>
                <w:webHidden/>
              </w:rPr>
              <w:fldChar w:fldCharType="begin"/>
            </w:r>
            <w:r>
              <w:rPr>
                <w:noProof/>
                <w:webHidden/>
              </w:rPr>
              <w:instrText xml:space="preserve"> PAGEREF _Toc457466094 \h </w:instrText>
            </w:r>
            <w:r>
              <w:rPr>
                <w:noProof/>
                <w:webHidden/>
              </w:rPr>
            </w:r>
            <w:r>
              <w:rPr>
                <w:noProof/>
                <w:webHidden/>
              </w:rPr>
              <w:fldChar w:fldCharType="separate"/>
            </w:r>
            <w:r>
              <w:rPr>
                <w:noProof/>
                <w:webHidden/>
              </w:rPr>
              <w:t>76</w:t>
            </w:r>
            <w:r>
              <w:rPr>
                <w:noProof/>
                <w:webHidden/>
              </w:rPr>
              <w:fldChar w:fldCharType="end"/>
            </w:r>
          </w:hyperlink>
        </w:p>
        <w:p>
          <w:pPr>
            <w:pStyle w:val="TOC3"/>
            <w:tabs>
              <w:tab w:val="left" w:pos="993"/>
              <w:tab w:val="right" w:leader="dot" w:pos="9062"/>
            </w:tabs>
            <w:rPr>
              <w:noProof/>
              <w:lang w:val="en-GB" w:eastAsia="en-GB"/>
            </w:rPr>
          </w:pPr>
          <w:hyperlink w:anchor="_Toc457466095" w:history="1">
            <w:r>
              <w:rPr>
                <w:rStyle w:val="Hyperlink"/>
                <w:rFonts w:ascii="Times New Roman" w:eastAsia="Times New Roman" w:hAnsi="Times New Roman"/>
                <w:i/>
                <w:noProof/>
                <w:lang w:val="fr-BE" w:eastAsia="ar-SA"/>
              </w:rPr>
              <w:t>3.2.</w:t>
            </w:r>
            <w:r>
              <w:rPr>
                <w:noProof/>
                <w:lang w:val="en-GB" w:eastAsia="en-GB"/>
              </w:rPr>
              <w:tab/>
            </w:r>
            <w:r>
              <w:rPr>
                <w:rStyle w:val="Hyperlink"/>
                <w:rFonts w:ascii="Times New Roman" w:eastAsia="Times New Roman" w:hAnsi="Times New Roman"/>
                <w:i/>
                <w:noProof/>
                <w:lang w:val="fr-BE" w:eastAsia="ar-SA"/>
              </w:rPr>
              <w:t>EU vs. non-EU countries</w:t>
            </w:r>
            <w:r>
              <w:rPr>
                <w:noProof/>
                <w:webHidden/>
              </w:rPr>
              <w:tab/>
            </w:r>
            <w:r>
              <w:rPr>
                <w:noProof/>
                <w:webHidden/>
              </w:rPr>
              <w:fldChar w:fldCharType="begin"/>
            </w:r>
            <w:r>
              <w:rPr>
                <w:noProof/>
                <w:webHidden/>
              </w:rPr>
              <w:instrText xml:space="preserve"> PAGEREF _Toc457466095 \h </w:instrText>
            </w:r>
            <w:r>
              <w:rPr>
                <w:noProof/>
                <w:webHidden/>
              </w:rPr>
            </w:r>
            <w:r>
              <w:rPr>
                <w:noProof/>
                <w:webHidden/>
              </w:rPr>
              <w:fldChar w:fldCharType="separate"/>
            </w:r>
            <w:r>
              <w:rPr>
                <w:noProof/>
                <w:webHidden/>
              </w:rPr>
              <w:t>76</w:t>
            </w:r>
            <w:r>
              <w:rPr>
                <w:noProof/>
                <w:webHidden/>
              </w:rPr>
              <w:fldChar w:fldCharType="end"/>
            </w:r>
          </w:hyperlink>
        </w:p>
        <w:p>
          <w:pPr>
            <w:pStyle w:val="TOC3"/>
            <w:tabs>
              <w:tab w:val="left" w:pos="993"/>
              <w:tab w:val="right" w:leader="dot" w:pos="9062"/>
            </w:tabs>
            <w:rPr>
              <w:noProof/>
              <w:lang w:val="en-GB" w:eastAsia="en-GB"/>
            </w:rPr>
          </w:pPr>
          <w:hyperlink w:anchor="_Toc457466096" w:history="1">
            <w:r>
              <w:rPr>
                <w:rStyle w:val="Hyperlink"/>
                <w:rFonts w:ascii="Times New Roman" w:eastAsia="Times New Roman" w:hAnsi="Times New Roman"/>
                <w:i/>
                <w:noProof/>
                <w:lang w:val="fr-BE" w:eastAsia="ar-SA"/>
              </w:rPr>
              <w:t>3.3.</w:t>
            </w:r>
            <w:r>
              <w:rPr>
                <w:noProof/>
                <w:lang w:val="en-GB" w:eastAsia="en-GB"/>
              </w:rPr>
              <w:tab/>
            </w:r>
            <w:r>
              <w:rPr>
                <w:rStyle w:val="Hyperlink"/>
                <w:rFonts w:ascii="Times New Roman" w:eastAsia="Times New Roman" w:hAnsi="Times New Roman"/>
                <w:i/>
                <w:noProof/>
                <w:lang w:val="fr-BE" w:eastAsia="ar-SA"/>
              </w:rPr>
              <w:t>Population: density and migration</w:t>
            </w:r>
            <w:r>
              <w:rPr>
                <w:noProof/>
                <w:webHidden/>
              </w:rPr>
              <w:tab/>
            </w:r>
            <w:r>
              <w:rPr>
                <w:noProof/>
                <w:webHidden/>
              </w:rPr>
              <w:fldChar w:fldCharType="begin"/>
            </w:r>
            <w:r>
              <w:rPr>
                <w:noProof/>
                <w:webHidden/>
              </w:rPr>
              <w:instrText xml:space="preserve"> PAGEREF _Toc457466096 \h </w:instrText>
            </w:r>
            <w:r>
              <w:rPr>
                <w:noProof/>
                <w:webHidden/>
              </w:rPr>
            </w:r>
            <w:r>
              <w:rPr>
                <w:noProof/>
                <w:webHidden/>
              </w:rPr>
              <w:fldChar w:fldCharType="separate"/>
            </w:r>
            <w:r>
              <w:rPr>
                <w:noProof/>
                <w:webHidden/>
              </w:rPr>
              <w:t>77</w:t>
            </w:r>
            <w:r>
              <w:rPr>
                <w:noProof/>
                <w:webHidden/>
              </w:rPr>
              <w:fldChar w:fldCharType="end"/>
            </w:r>
          </w:hyperlink>
        </w:p>
        <w:p>
          <w:pPr>
            <w:pStyle w:val="TOC3"/>
            <w:tabs>
              <w:tab w:val="left" w:pos="993"/>
              <w:tab w:val="right" w:leader="dot" w:pos="9062"/>
            </w:tabs>
            <w:rPr>
              <w:noProof/>
              <w:lang w:val="en-GB" w:eastAsia="en-GB"/>
            </w:rPr>
          </w:pPr>
          <w:hyperlink w:anchor="_Toc457466097" w:history="1">
            <w:r>
              <w:rPr>
                <w:rStyle w:val="Hyperlink"/>
                <w:rFonts w:ascii="Times New Roman" w:eastAsia="Times New Roman" w:hAnsi="Times New Roman"/>
                <w:i/>
                <w:noProof/>
                <w:lang w:val="fr-BE" w:eastAsia="ar-SA"/>
              </w:rPr>
              <w:t>3.4.</w:t>
            </w:r>
            <w:r>
              <w:rPr>
                <w:noProof/>
                <w:lang w:val="en-GB" w:eastAsia="en-GB"/>
              </w:rPr>
              <w:tab/>
            </w:r>
            <w:r>
              <w:rPr>
                <w:rStyle w:val="Hyperlink"/>
                <w:rFonts w:ascii="Times New Roman" w:eastAsia="Times New Roman" w:hAnsi="Times New Roman"/>
                <w:i/>
                <w:noProof/>
                <w:lang w:val="fr-BE" w:eastAsia="ar-SA"/>
              </w:rPr>
              <w:t>GDP</w:t>
            </w:r>
            <w:r>
              <w:rPr>
                <w:noProof/>
                <w:webHidden/>
              </w:rPr>
              <w:tab/>
            </w:r>
            <w:r>
              <w:rPr>
                <w:noProof/>
                <w:webHidden/>
              </w:rPr>
              <w:fldChar w:fldCharType="begin"/>
            </w:r>
            <w:r>
              <w:rPr>
                <w:noProof/>
                <w:webHidden/>
              </w:rPr>
              <w:instrText xml:space="preserve"> PAGEREF _Toc457466097 \h </w:instrText>
            </w:r>
            <w:r>
              <w:rPr>
                <w:noProof/>
                <w:webHidden/>
              </w:rPr>
            </w:r>
            <w:r>
              <w:rPr>
                <w:noProof/>
                <w:webHidden/>
              </w:rPr>
              <w:fldChar w:fldCharType="separate"/>
            </w:r>
            <w:r>
              <w:rPr>
                <w:noProof/>
                <w:webHidden/>
              </w:rPr>
              <w:t>79</w:t>
            </w:r>
            <w:r>
              <w:rPr>
                <w:noProof/>
                <w:webHidden/>
              </w:rPr>
              <w:fldChar w:fldCharType="end"/>
            </w:r>
          </w:hyperlink>
        </w:p>
        <w:p>
          <w:pPr>
            <w:pStyle w:val="TOC3"/>
            <w:tabs>
              <w:tab w:val="left" w:pos="993"/>
              <w:tab w:val="right" w:leader="dot" w:pos="9062"/>
            </w:tabs>
            <w:rPr>
              <w:noProof/>
              <w:lang w:val="en-GB" w:eastAsia="en-GB"/>
            </w:rPr>
          </w:pPr>
          <w:hyperlink w:anchor="_Toc457466098" w:history="1">
            <w:r>
              <w:rPr>
                <w:rStyle w:val="Hyperlink"/>
                <w:rFonts w:ascii="Times New Roman" w:eastAsia="Times New Roman" w:hAnsi="Times New Roman"/>
                <w:i/>
                <w:noProof/>
                <w:lang w:val="fr-BE" w:eastAsia="ar-SA"/>
              </w:rPr>
              <w:t>3.5.</w:t>
            </w:r>
            <w:r>
              <w:rPr>
                <w:noProof/>
                <w:lang w:val="en-GB" w:eastAsia="en-GB"/>
              </w:rPr>
              <w:tab/>
            </w:r>
            <w:r>
              <w:rPr>
                <w:rStyle w:val="Hyperlink"/>
                <w:rFonts w:ascii="Times New Roman" w:eastAsia="Times New Roman" w:hAnsi="Times New Roman"/>
                <w:i/>
                <w:noProof/>
                <w:lang w:val="fr-BE" w:eastAsia="ar-SA"/>
              </w:rPr>
              <w:t>Unemployment</w:t>
            </w:r>
            <w:r>
              <w:rPr>
                <w:noProof/>
                <w:webHidden/>
              </w:rPr>
              <w:tab/>
            </w:r>
            <w:r>
              <w:rPr>
                <w:noProof/>
                <w:webHidden/>
              </w:rPr>
              <w:fldChar w:fldCharType="begin"/>
            </w:r>
            <w:r>
              <w:rPr>
                <w:noProof/>
                <w:webHidden/>
              </w:rPr>
              <w:instrText xml:space="preserve"> PAGEREF _Toc457466098 \h </w:instrText>
            </w:r>
            <w:r>
              <w:rPr>
                <w:noProof/>
                <w:webHidden/>
              </w:rPr>
            </w:r>
            <w:r>
              <w:rPr>
                <w:noProof/>
                <w:webHidden/>
              </w:rPr>
              <w:fldChar w:fldCharType="separate"/>
            </w:r>
            <w:r>
              <w:rPr>
                <w:noProof/>
                <w:webHidden/>
              </w:rPr>
              <w:t>81</w:t>
            </w:r>
            <w:r>
              <w:rPr>
                <w:noProof/>
                <w:webHidden/>
              </w:rPr>
              <w:fldChar w:fldCharType="end"/>
            </w:r>
          </w:hyperlink>
        </w:p>
        <w:p>
          <w:pPr>
            <w:pStyle w:val="TOC3"/>
            <w:tabs>
              <w:tab w:val="left" w:pos="993"/>
              <w:tab w:val="right" w:leader="dot" w:pos="9062"/>
            </w:tabs>
            <w:rPr>
              <w:noProof/>
              <w:lang w:val="en-GB" w:eastAsia="en-GB"/>
            </w:rPr>
          </w:pPr>
          <w:hyperlink w:anchor="_Toc457466099" w:history="1">
            <w:r>
              <w:rPr>
                <w:rStyle w:val="Hyperlink"/>
                <w:rFonts w:ascii="Times New Roman" w:eastAsia="Times New Roman" w:hAnsi="Times New Roman"/>
                <w:i/>
                <w:noProof/>
                <w:lang w:val="fr-BE" w:eastAsia="ar-SA"/>
              </w:rPr>
              <w:t>3.6.</w:t>
            </w:r>
            <w:r>
              <w:rPr>
                <w:noProof/>
                <w:lang w:val="en-GB" w:eastAsia="en-GB"/>
              </w:rPr>
              <w:tab/>
            </w:r>
            <w:r>
              <w:rPr>
                <w:rStyle w:val="Hyperlink"/>
                <w:rFonts w:ascii="Times New Roman" w:eastAsia="Times New Roman" w:hAnsi="Times New Roman"/>
                <w:i/>
                <w:noProof/>
                <w:lang w:val="fr-BE" w:eastAsia="ar-SA"/>
              </w:rPr>
              <w:t>Governance</w:t>
            </w:r>
            <w:r>
              <w:rPr>
                <w:noProof/>
                <w:webHidden/>
              </w:rPr>
              <w:tab/>
            </w:r>
            <w:r>
              <w:rPr>
                <w:noProof/>
                <w:webHidden/>
              </w:rPr>
              <w:fldChar w:fldCharType="begin"/>
            </w:r>
            <w:r>
              <w:rPr>
                <w:noProof/>
                <w:webHidden/>
              </w:rPr>
              <w:instrText xml:space="preserve"> PAGEREF _Toc457466099 \h </w:instrText>
            </w:r>
            <w:r>
              <w:rPr>
                <w:noProof/>
                <w:webHidden/>
              </w:rPr>
            </w:r>
            <w:r>
              <w:rPr>
                <w:noProof/>
                <w:webHidden/>
              </w:rPr>
              <w:fldChar w:fldCharType="separate"/>
            </w:r>
            <w:r>
              <w:rPr>
                <w:noProof/>
                <w:webHidden/>
              </w:rPr>
              <w:t>82</w:t>
            </w:r>
            <w:r>
              <w:rPr>
                <w:noProof/>
                <w:webHidden/>
              </w:rPr>
              <w:fldChar w:fldCharType="end"/>
            </w:r>
          </w:hyperlink>
        </w:p>
        <w:p>
          <w:pPr>
            <w:pStyle w:val="TOC3"/>
            <w:tabs>
              <w:tab w:val="left" w:pos="993"/>
              <w:tab w:val="right" w:leader="dot" w:pos="9062"/>
            </w:tabs>
            <w:rPr>
              <w:noProof/>
              <w:lang w:val="en-GB" w:eastAsia="en-GB"/>
            </w:rPr>
          </w:pPr>
          <w:hyperlink w:anchor="_Toc457466100" w:history="1">
            <w:r>
              <w:rPr>
                <w:rStyle w:val="Hyperlink"/>
                <w:rFonts w:ascii="Times New Roman" w:eastAsia="Times New Roman" w:hAnsi="Times New Roman"/>
                <w:i/>
                <w:noProof/>
                <w:lang w:val="fr-BE" w:eastAsia="ar-SA"/>
              </w:rPr>
              <w:t>3.7.</w:t>
            </w:r>
            <w:r>
              <w:rPr>
                <w:noProof/>
                <w:lang w:val="en-GB" w:eastAsia="en-GB"/>
              </w:rPr>
              <w:tab/>
            </w:r>
            <w:r>
              <w:rPr>
                <w:rStyle w:val="Hyperlink"/>
                <w:rFonts w:ascii="Times New Roman" w:eastAsia="Times New Roman" w:hAnsi="Times New Roman"/>
                <w:i/>
                <w:noProof/>
                <w:lang w:val="fr-BE" w:eastAsia="ar-SA"/>
              </w:rPr>
              <w:t>Competitiveness</w:t>
            </w:r>
            <w:r>
              <w:rPr>
                <w:noProof/>
                <w:webHidden/>
              </w:rPr>
              <w:tab/>
            </w:r>
            <w:r>
              <w:rPr>
                <w:noProof/>
                <w:webHidden/>
              </w:rPr>
              <w:fldChar w:fldCharType="begin"/>
            </w:r>
            <w:r>
              <w:rPr>
                <w:noProof/>
                <w:webHidden/>
              </w:rPr>
              <w:instrText xml:space="preserve"> PAGEREF _Toc457466100 \h </w:instrText>
            </w:r>
            <w:r>
              <w:rPr>
                <w:noProof/>
                <w:webHidden/>
              </w:rPr>
            </w:r>
            <w:r>
              <w:rPr>
                <w:noProof/>
                <w:webHidden/>
              </w:rPr>
              <w:fldChar w:fldCharType="separate"/>
            </w:r>
            <w:r>
              <w:rPr>
                <w:noProof/>
                <w:webHidden/>
              </w:rPr>
              <w:t>82</w:t>
            </w:r>
            <w:r>
              <w:rPr>
                <w:noProof/>
                <w:webHidden/>
              </w:rPr>
              <w:fldChar w:fldCharType="end"/>
            </w:r>
          </w:hyperlink>
        </w:p>
        <w:p>
          <w:pPr>
            <w:pStyle w:val="TOC3"/>
            <w:tabs>
              <w:tab w:val="left" w:pos="993"/>
              <w:tab w:val="right" w:leader="dot" w:pos="9062"/>
            </w:tabs>
            <w:rPr>
              <w:noProof/>
              <w:lang w:val="en-GB" w:eastAsia="en-GB"/>
            </w:rPr>
          </w:pPr>
          <w:hyperlink w:anchor="_Toc457466101" w:history="1">
            <w:r>
              <w:rPr>
                <w:rStyle w:val="Hyperlink"/>
                <w:rFonts w:ascii="Times New Roman" w:eastAsia="Times New Roman" w:hAnsi="Times New Roman"/>
                <w:i/>
                <w:noProof/>
                <w:lang w:val="fr-BE" w:eastAsia="ar-SA"/>
              </w:rPr>
              <w:t>3.8.</w:t>
            </w:r>
            <w:r>
              <w:rPr>
                <w:noProof/>
                <w:lang w:val="en-GB" w:eastAsia="en-GB"/>
              </w:rPr>
              <w:tab/>
            </w:r>
            <w:r>
              <w:rPr>
                <w:rStyle w:val="Hyperlink"/>
                <w:rFonts w:ascii="Times New Roman" w:eastAsia="Times New Roman" w:hAnsi="Times New Roman"/>
                <w:i/>
                <w:noProof/>
                <w:lang w:val="fr-BE" w:eastAsia="ar-SA"/>
              </w:rPr>
              <w:t>Trade</w:t>
            </w:r>
            <w:r>
              <w:rPr>
                <w:noProof/>
                <w:webHidden/>
              </w:rPr>
              <w:tab/>
            </w:r>
            <w:r>
              <w:rPr>
                <w:noProof/>
                <w:webHidden/>
              </w:rPr>
              <w:fldChar w:fldCharType="begin"/>
            </w:r>
            <w:r>
              <w:rPr>
                <w:noProof/>
                <w:webHidden/>
              </w:rPr>
              <w:instrText xml:space="preserve"> PAGEREF _Toc457466101 \h </w:instrText>
            </w:r>
            <w:r>
              <w:rPr>
                <w:noProof/>
                <w:webHidden/>
              </w:rPr>
            </w:r>
            <w:r>
              <w:rPr>
                <w:noProof/>
                <w:webHidden/>
              </w:rPr>
              <w:fldChar w:fldCharType="separate"/>
            </w:r>
            <w:r>
              <w:rPr>
                <w:noProof/>
                <w:webHidden/>
              </w:rPr>
              <w:t>83</w:t>
            </w:r>
            <w:r>
              <w:rPr>
                <w:noProof/>
                <w:webHidden/>
              </w:rPr>
              <w:fldChar w:fldCharType="end"/>
            </w:r>
          </w:hyperlink>
        </w:p>
        <w:p>
          <w:pPr>
            <w:pStyle w:val="TOC3"/>
            <w:tabs>
              <w:tab w:val="left" w:pos="993"/>
              <w:tab w:val="right" w:leader="dot" w:pos="9062"/>
            </w:tabs>
            <w:rPr>
              <w:noProof/>
              <w:lang w:val="en-GB" w:eastAsia="en-GB"/>
            </w:rPr>
          </w:pPr>
          <w:hyperlink w:anchor="_Toc457466102" w:history="1">
            <w:r>
              <w:rPr>
                <w:rStyle w:val="Hyperlink"/>
                <w:rFonts w:ascii="Times New Roman" w:eastAsia="Times New Roman" w:hAnsi="Times New Roman"/>
                <w:i/>
                <w:noProof/>
                <w:lang w:val="fr-BE" w:eastAsia="ar-SA"/>
              </w:rPr>
              <w:t>3.9.</w:t>
            </w:r>
            <w:r>
              <w:rPr>
                <w:noProof/>
                <w:lang w:val="en-GB" w:eastAsia="en-GB"/>
              </w:rPr>
              <w:tab/>
            </w:r>
            <w:r>
              <w:rPr>
                <w:rStyle w:val="Hyperlink"/>
                <w:rFonts w:ascii="Times New Roman" w:eastAsia="Times New Roman" w:hAnsi="Times New Roman"/>
                <w:i/>
                <w:noProof/>
                <w:lang w:val="fr-BE" w:eastAsia="ar-SA"/>
              </w:rPr>
              <w:t>Inequality</w:t>
            </w:r>
            <w:r>
              <w:rPr>
                <w:noProof/>
                <w:webHidden/>
              </w:rPr>
              <w:tab/>
            </w:r>
            <w:r>
              <w:rPr>
                <w:noProof/>
                <w:webHidden/>
              </w:rPr>
              <w:fldChar w:fldCharType="begin"/>
            </w:r>
            <w:r>
              <w:rPr>
                <w:noProof/>
                <w:webHidden/>
              </w:rPr>
              <w:instrText xml:space="preserve"> PAGEREF _Toc457466102 \h </w:instrText>
            </w:r>
            <w:r>
              <w:rPr>
                <w:noProof/>
                <w:webHidden/>
              </w:rPr>
            </w:r>
            <w:r>
              <w:rPr>
                <w:noProof/>
                <w:webHidden/>
              </w:rPr>
              <w:fldChar w:fldCharType="separate"/>
            </w:r>
            <w:r>
              <w:rPr>
                <w:noProof/>
                <w:webHidden/>
              </w:rPr>
              <w:t>84</w:t>
            </w:r>
            <w:r>
              <w:rPr>
                <w:noProof/>
                <w:webHidden/>
              </w:rPr>
              <w:fldChar w:fldCharType="end"/>
            </w:r>
          </w:hyperlink>
        </w:p>
        <w:p>
          <w:pPr>
            <w:pStyle w:val="TOC2"/>
            <w:rPr>
              <w:noProof/>
              <w:lang w:val="en-GB" w:eastAsia="en-GB"/>
            </w:rPr>
          </w:pPr>
          <w:hyperlink w:anchor="_Toc457466103" w:history="1">
            <w:r>
              <w:rPr>
                <w:rStyle w:val="Hyperlink"/>
                <w:rFonts w:ascii="Times New Roman" w:hAnsi="Times New Roman"/>
                <w:i/>
                <w:noProof/>
              </w:rPr>
              <w:t>Annex 4: Mapping of on-going programmes in areas to be addressed by the PRIMA Joint Programme (other than Horizon 2020)</w:t>
            </w:r>
            <w:r>
              <w:rPr>
                <w:noProof/>
                <w:webHidden/>
              </w:rPr>
              <w:tab/>
            </w:r>
            <w:r>
              <w:rPr>
                <w:noProof/>
                <w:webHidden/>
              </w:rPr>
              <w:fldChar w:fldCharType="begin"/>
            </w:r>
            <w:r>
              <w:rPr>
                <w:noProof/>
                <w:webHidden/>
              </w:rPr>
              <w:instrText xml:space="preserve"> PAGEREF _Toc457466103 \h </w:instrText>
            </w:r>
            <w:r>
              <w:rPr>
                <w:noProof/>
                <w:webHidden/>
              </w:rPr>
            </w:r>
            <w:r>
              <w:rPr>
                <w:noProof/>
                <w:webHidden/>
              </w:rPr>
              <w:fldChar w:fldCharType="separate"/>
            </w:r>
            <w:r>
              <w:rPr>
                <w:noProof/>
                <w:webHidden/>
              </w:rPr>
              <w:t>85</w:t>
            </w:r>
            <w:r>
              <w:rPr>
                <w:noProof/>
                <w:webHidden/>
              </w:rPr>
              <w:fldChar w:fldCharType="end"/>
            </w:r>
          </w:hyperlink>
        </w:p>
        <w:p>
          <w:pPr>
            <w:pStyle w:val="TOC2"/>
            <w:rPr>
              <w:noProof/>
              <w:lang w:val="en-GB" w:eastAsia="en-GB"/>
            </w:rPr>
          </w:pPr>
          <w:hyperlink w:anchor="_Toc457466104" w:history="1">
            <w:r>
              <w:rPr>
                <w:rStyle w:val="Hyperlink"/>
                <w:rFonts w:ascii="Times New Roman" w:hAnsi="Times New Roman"/>
                <w:i/>
                <w:noProof/>
              </w:rPr>
              <w:t>Annex 5 : Analysis of FP7 Projects in the Themes of the PRIMA Operational Objectives</w:t>
            </w:r>
            <w:r>
              <w:rPr>
                <w:noProof/>
                <w:webHidden/>
              </w:rPr>
              <w:tab/>
            </w:r>
            <w:r>
              <w:rPr>
                <w:noProof/>
                <w:webHidden/>
              </w:rPr>
              <w:fldChar w:fldCharType="begin"/>
            </w:r>
            <w:r>
              <w:rPr>
                <w:noProof/>
                <w:webHidden/>
              </w:rPr>
              <w:instrText xml:space="preserve"> PAGEREF _Toc457466104 \h </w:instrText>
            </w:r>
            <w:r>
              <w:rPr>
                <w:noProof/>
                <w:webHidden/>
              </w:rPr>
            </w:r>
            <w:r>
              <w:rPr>
                <w:noProof/>
                <w:webHidden/>
              </w:rPr>
              <w:fldChar w:fldCharType="separate"/>
            </w:r>
            <w:r>
              <w:rPr>
                <w:noProof/>
                <w:webHidden/>
              </w:rPr>
              <w:t>89</w:t>
            </w:r>
            <w:r>
              <w:rPr>
                <w:noProof/>
                <w:webHidden/>
              </w:rPr>
              <w:fldChar w:fldCharType="end"/>
            </w:r>
          </w:hyperlink>
        </w:p>
        <w:p>
          <w:pPr>
            <w:pStyle w:val="TOC3"/>
            <w:tabs>
              <w:tab w:val="left" w:pos="993"/>
              <w:tab w:val="right" w:leader="dot" w:pos="9062"/>
            </w:tabs>
            <w:rPr>
              <w:noProof/>
              <w:lang w:val="en-GB" w:eastAsia="en-GB"/>
            </w:rPr>
          </w:pPr>
          <w:hyperlink w:anchor="_Toc457466105" w:history="1">
            <w:r>
              <w:rPr>
                <w:rStyle w:val="Hyperlink"/>
                <w:rFonts w:ascii="Times New Roman" w:eastAsia="Times New Roman" w:hAnsi="Times New Roman"/>
                <w:i/>
                <w:noProof/>
                <w:lang w:eastAsia="ar-SA"/>
              </w:rPr>
              <w:t>5.1.</w:t>
            </w:r>
            <w:r>
              <w:rPr>
                <w:noProof/>
                <w:lang w:val="en-GB" w:eastAsia="en-GB"/>
              </w:rPr>
              <w:tab/>
            </w:r>
            <w:r>
              <w:rPr>
                <w:rStyle w:val="Hyperlink"/>
                <w:rFonts w:ascii="Times New Roman" w:eastAsia="Times New Roman" w:hAnsi="Times New Roman"/>
                <w:i/>
                <w:noProof/>
                <w:lang w:eastAsia="ar-SA"/>
              </w:rPr>
              <w:t>Introduction</w:t>
            </w:r>
            <w:r>
              <w:rPr>
                <w:noProof/>
                <w:webHidden/>
              </w:rPr>
              <w:tab/>
            </w:r>
            <w:r>
              <w:rPr>
                <w:noProof/>
                <w:webHidden/>
              </w:rPr>
              <w:fldChar w:fldCharType="begin"/>
            </w:r>
            <w:r>
              <w:rPr>
                <w:noProof/>
                <w:webHidden/>
              </w:rPr>
              <w:instrText xml:space="preserve"> PAGEREF _Toc457466105 \h </w:instrText>
            </w:r>
            <w:r>
              <w:rPr>
                <w:noProof/>
                <w:webHidden/>
              </w:rPr>
            </w:r>
            <w:r>
              <w:rPr>
                <w:noProof/>
                <w:webHidden/>
              </w:rPr>
              <w:fldChar w:fldCharType="separate"/>
            </w:r>
            <w:r>
              <w:rPr>
                <w:noProof/>
                <w:webHidden/>
              </w:rPr>
              <w:t>89</w:t>
            </w:r>
            <w:r>
              <w:rPr>
                <w:noProof/>
                <w:webHidden/>
              </w:rPr>
              <w:fldChar w:fldCharType="end"/>
            </w:r>
          </w:hyperlink>
        </w:p>
        <w:p>
          <w:pPr>
            <w:pStyle w:val="TOC3"/>
            <w:tabs>
              <w:tab w:val="left" w:pos="993"/>
              <w:tab w:val="right" w:leader="dot" w:pos="9062"/>
            </w:tabs>
            <w:rPr>
              <w:noProof/>
              <w:lang w:val="en-GB" w:eastAsia="en-GB"/>
            </w:rPr>
          </w:pPr>
          <w:hyperlink w:anchor="_Toc457466106" w:history="1">
            <w:r>
              <w:rPr>
                <w:rStyle w:val="Hyperlink"/>
                <w:rFonts w:ascii="Times New Roman" w:eastAsia="Times New Roman" w:hAnsi="Times New Roman"/>
                <w:i/>
                <w:noProof/>
                <w:lang w:eastAsia="ar-SA"/>
              </w:rPr>
              <w:t>5.2.</w:t>
            </w:r>
            <w:r>
              <w:rPr>
                <w:noProof/>
                <w:lang w:val="en-GB" w:eastAsia="en-GB"/>
              </w:rPr>
              <w:tab/>
            </w:r>
            <w:r>
              <w:rPr>
                <w:rStyle w:val="Hyperlink"/>
                <w:rFonts w:ascii="Times New Roman" w:eastAsia="Times New Roman" w:hAnsi="Times New Roman"/>
                <w:i/>
                <w:noProof/>
                <w:lang w:eastAsia="ar-SA"/>
              </w:rPr>
              <w:t>Investment in FP7 PRIMA related projects</w:t>
            </w:r>
            <w:r>
              <w:rPr>
                <w:noProof/>
                <w:webHidden/>
              </w:rPr>
              <w:tab/>
            </w:r>
            <w:r>
              <w:rPr>
                <w:noProof/>
                <w:webHidden/>
              </w:rPr>
              <w:fldChar w:fldCharType="begin"/>
            </w:r>
            <w:r>
              <w:rPr>
                <w:noProof/>
                <w:webHidden/>
              </w:rPr>
              <w:instrText xml:space="preserve"> PAGEREF _Toc457466106 \h </w:instrText>
            </w:r>
            <w:r>
              <w:rPr>
                <w:noProof/>
                <w:webHidden/>
              </w:rPr>
            </w:r>
            <w:r>
              <w:rPr>
                <w:noProof/>
                <w:webHidden/>
              </w:rPr>
              <w:fldChar w:fldCharType="separate"/>
            </w:r>
            <w:r>
              <w:rPr>
                <w:noProof/>
                <w:webHidden/>
              </w:rPr>
              <w:t>90</w:t>
            </w:r>
            <w:r>
              <w:rPr>
                <w:noProof/>
                <w:webHidden/>
              </w:rPr>
              <w:fldChar w:fldCharType="end"/>
            </w:r>
          </w:hyperlink>
        </w:p>
        <w:p>
          <w:pPr>
            <w:pStyle w:val="TOC3"/>
            <w:tabs>
              <w:tab w:val="left" w:pos="993"/>
              <w:tab w:val="right" w:leader="dot" w:pos="9062"/>
            </w:tabs>
            <w:rPr>
              <w:noProof/>
              <w:lang w:val="en-GB" w:eastAsia="en-GB"/>
            </w:rPr>
          </w:pPr>
          <w:hyperlink w:anchor="_Toc457466107" w:history="1">
            <w:r>
              <w:rPr>
                <w:rStyle w:val="Hyperlink"/>
                <w:rFonts w:ascii="Times New Roman" w:eastAsia="Times New Roman" w:hAnsi="Times New Roman"/>
                <w:i/>
                <w:noProof/>
                <w:lang w:eastAsia="ar-SA"/>
              </w:rPr>
              <w:t>5.3.</w:t>
            </w:r>
            <w:r>
              <w:rPr>
                <w:noProof/>
                <w:lang w:val="en-GB" w:eastAsia="en-GB"/>
              </w:rPr>
              <w:tab/>
            </w:r>
            <w:r>
              <w:rPr>
                <w:rStyle w:val="Hyperlink"/>
                <w:rFonts w:ascii="Times New Roman" w:eastAsia="Times New Roman" w:hAnsi="Times New Roman"/>
                <w:i/>
                <w:noProof/>
                <w:lang w:eastAsia="ar-SA"/>
              </w:rPr>
              <w:t>Participation of non-EU Mediterranean Countries in PRIMA-related FP7 projects</w:t>
            </w:r>
            <w:r>
              <w:rPr>
                <w:noProof/>
                <w:webHidden/>
              </w:rPr>
              <w:tab/>
            </w:r>
            <w:r>
              <w:rPr>
                <w:noProof/>
                <w:webHidden/>
              </w:rPr>
              <w:fldChar w:fldCharType="begin"/>
            </w:r>
            <w:r>
              <w:rPr>
                <w:noProof/>
                <w:webHidden/>
              </w:rPr>
              <w:instrText xml:space="preserve"> PAGEREF _Toc457466107 \h </w:instrText>
            </w:r>
            <w:r>
              <w:rPr>
                <w:noProof/>
                <w:webHidden/>
              </w:rPr>
            </w:r>
            <w:r>
              <w:rPr>
                <w:noProof/>
                <w:webHidden/>
              </w:rPr>
              <w:fldChar w:fldCharType="separate"/>
            </w:r>
            <w:r>
              <w:rPr>
                <w:noProof/>
                <w:webHidden/>
              </w:rPr>
              <w:t>90</w:t>
            </w:r>
            <w:r>
              <w:rPr>
                <w:noProof/>
                <w:webHidden/>
              </w:rPr>
              <w:fldChar w:fldCharType="end"/>
            </w:r>
          </w:hyperlink>
        </w:p>
        <w:p>
          <w:pPr>
            <w:pStyle w:val="TOC3"/>
            <w:tabs>
              <w:tab w:val="left" w:pos="993"/>
              <w:tab w:val="right" w:leader="dot" w:pos="9062"/>
            </w:tabs>
            <w:rPr>
              <w:noProof/>
              <w:lang w:val="en-GB" w:eastAsia="en-GB"/>
            </w:rPr>
          </w:pPr>
          <w:hyperlink w:anchor="_Toc457466108" w:history="1">
            <w:r>
              <w:rPr>
                <w:rStyle w:val="Hyperlink"/>
                <w:rFonts w:ascii="Times New Roman" w:eastAsia="Times New Roman" w:hAnsi="Times New Roman"/>
                <w:i/>
                <w:noProof/>
                <w:lang w:eastAsia="ar-SA"/>
              </w:rPr>
              <w:t>5.4.</w:t>
            </w:r>
            <w:r>
              <w:rPr>
                <w:noProof/>
                <w:lang w:val="en-GB" w:eastAsia="en-GB"/>
              </w:rPr>
              <w:tab/>
            </w:r>
            <w:r>
              <w:rPr>
                <w:rStyle w:val="Hyperlink"/>
                <w:rFonts w:ascii="Times New Roman" w:eastAsia="Times New Roman" w:hAnsi="Times New Roman"/>
                <w:i/>
                <w:noProof/>
                <w:lang w:eastAsia="ar-SA"/>
              </w:rPr>
              <w:t>List of projects per Operational Objective</w:t>
            </w:r>
            <w:r>
              <w:rPr>
                <w:noProof/>
                <w:webHidden/>
              </w:rPr>
              <w:tab/>
            </w:r>
            <w:r>
              <w:rPr>
                <w:noProof/>
                <w:webHidden/>
              </w:rPr>
              <w:fldChar w:fldCharType="begin"/>
            </w:r>
            <w:r>
              <w:rPr>
                <w:noProof/>
                <w:webHidden/>
              </w:rPr>
              <w:instrText xml:space="preserve"> PAGEREF _Toc457466108 \h </w:instrText>
            </w:r>
            <w:r>
              <w:rPr>
                <w:noProof/>
                <w:webHidden/>
              </w:rPr>
            </w:r>
            <w:r>
              <w:rPr>
                <w:noProof/>
                <w:webHidden/>
              </w:rPr>
              <w:fldChar w:fldCharType="separate"/>
            </w:r>
            <w:r>
              <w:rPr>
                <w:noProof/>
                <w:webHidden/>
              </w:rPr>
              <w:t>91</w:t>
            </w:r>
            <w:r>
              <w:rPr>
                <w:noProof/>
                <w:webHidden/>
              </w:rPr>
              <w:fldChar w:fldCharType="end"/>
            </w:r>
          </w:hyperlink>
        </w:p>
        <w:p>
          <w:pPr>
            <w:pStyle w:val="TOC2"/>
            <w:rPr>
              <w:noProof/>
              <w:lang w:val="en-GB" w:eastAsia="en-GB"/>
            </w:rPr>
          </w:pPr>
          <w:hyperlink w:anchor="_Toc457466109" w:history="1">
            <w:r>
              <w:rPr>
                <w:rStyle w:val="Hyperlink"/>
                <w:rFonts w:ascii="Times New Roman" w:hAnsi="Times New Roman"/>
                <w:i/>
                <w:noProof/>
              </w:rPr>
              <w:t>Annex 6: Screening of the options</w:t>
            </w:r>
            <w:r>
              <w:rPr>
                <w:noProof/>
                <w:webHidden/>
              </w:rPr>
              <w:tab/>
            </w:r>
            <w:r>
              <w:rPr>
                <w:noProof/>
                <w:webHidden/>
              </w:rPr>
              <w:fldChar w:fldCharType="begin"/>
            </w:r>
            <w:r>
              <w:rPr>
                <w:noProof/>
                <w:webHidden/>
              </w:rPr>
              <w:instrText xml:space="preserve"> PAGEREF _Toc457466109 \h </w:instrText>
            </w:r>
            <w:r>
              <w:rPr>
                <w:noProof/>
                <w:webHidden/>
              </w:rPr>
            </w:r>
            <w:r>
              <w:rPr>
                <w:noProof/>
                <w:webHidden/>
              </w:rPr>
              <w:fldChar w:fldCharType="separate"/>
            </w:r>
            <w:r>
              <w:rPr>
                <w:noProof/>
                <w:webHidden/>
              </w:rPr>
              <w:t>96</w:t>
            </w:r>
            <w:r>
              <w:rPr>
                <w:noProof/>
                <w:webHidden/>
              </w:rPr>
              <w:fldChar w:fldCharType="end"/>
            </w:r>
          </w:hyperlink>
        </w:p>
        <w:p>
          <w:pPr>
            <w:pStyle w:val="TOC2"/>
            <w:rPr>
              <w:noProof/>
              <w:lang w:val="en-GB" w:eastAsia="en-GB"/>
            </w:rPr>
          </w:pPr>
          <w:hyperlink w:anchor="_Toc457466110" w:history="1">
            <w:r>
              <w:rPr>
                <w:rStyle w:val="Hyperlink"/>
                <w:rFonts w:ascii="Times New Roman" w:hAnsi="Times New Roman"/>
                <w:i/>
                <w:noProof/>
              </w:rPr>
              <w:t>Annex 7: Who is affected by the initative and how</w:t>
            </w:r>
            <w:r>
              <w:rPr>
                <w:noProof/>
                <w:webHidden/>
              </w:rPr>
              <w:tab/>
            </w:r>
            <w:r>
              <w:rPr>
                <w:noProof/>
                <w:webHidden/>
              </w:rPr>
              <w:fldChar w:fldCharType="begin"/>
            </w:r>
            <w:r>
              <w:rPr>
                <w:noProof/>
                <w:webHidden/>
              </w:rPr>
              <w:instrText xml:space="preserve"> PAGEREF _Toc457466110 \h </w:instrText>
            </w:r>
            <w:r>
              <w:rPr>
                <w:noProof/>
                <w:webHidden/>
              </w:rPr>
            </w:r>
            <w:r>
              <w:rPr>
                <w:noProof/>
                <w:webHidden/>
              </w:rPr>
              <w:fldChar w:fldCharType="separate"/>
            </w:r>
            <w:r>
              <w:rPr>
                <w:noProof/>
                <w:webHidden/>
              </w:rPr>
              <w:t>98</w:t>
            </w:r>
            <w:r>
              <w:rPr>
                <w:noProof/>
                <w:webHidden/>
              </w:rPr>
              <w:fldChar w:fldCharType="end"/>
            </w:r>
          </w:hyperlink>
        </w:p>
        <w:p>
          <w:pPr>
            <w:pStyle w:val="TOC2"/>
            <w:rPr>
              <w:noProof/>
              <w:lang w:val="en-GB" w:eastAsia="en-GB"/>
            </w:rPr>
          </w:pPr>
          <w:hyperlink w:anchor="_Toc457466111" w:history="1">
            <w:r>
              <w:rPr>
                <w:rStyle w:val="Hyperlink"/>
                <w:rFonts w:ascii="Times New Roman" w:hAnsi="Times New Roman"/>
                <w:i/>
                <w:noProof/>
              </w:rPr>
              <w:t>Annex 8: Synergies</w:t>
            </w:r>
            <w:r>
              <w:rPr>
                <w:noProof/>
                <w:webHidden/>
              </w:rPr>
              <w:tab/>
            </w:r>
            <w:r>
              <w:rPr>
                <w:noProof/>
                <w:webHidden/>
              </w:rPr>
              <w:fldChar w:fldCharType="begin"/>
            </w:r>
            <w:r>
              <w:rPr>
                <w:noProof/>
                <w:webHidden/>
              </w:rPr>
              <w:instrText xml:space="preserve"> PAGEREF _Toc457466111 \h </w:instrText>
            </w:r>
            <w:r>
              <w:rPr>
                <w:noProof/>
                <w:webHidden/>
              </w:rPr>
            </w:r>
            <w:r>
              <w:rPr>
                <w:noProof/>
                <w:webHidden/>
              </w:rPr>
              <w:fldChar w:fldCharType="separate"/>
            </w:r>
            <w:r>
              <w:rPr>
                <w:noProof/>
                <w:webHidden/>
              </w:rPr>
              <w:t>102</w:t>
            </w:r>
            <w:r>
              <w:rPr>
                <w:noProof/>
                <w:webHidden/>
              </w:rPr>
              <w:fldChar w:fldCharType="end"/>
            </w:r>
          </w:hyperlink>
        </w:p>
        <w:p>
          <w:pPr>
            <w:pStyle w:val="TOC2"/>
            <w:rPr>
              <w:noProof/>
              <w:lang w:val="en-GB" w:eastAsia="en-GB"/>
            </w:rPr>
          </w:pPr>
          <w:hyperlink w:anchor="_Toc457466112" w:history="1">
            <w:r>
              <w:rPr>
                <w:rStyle w:val="Hyperlink"/>
                <w:rFonts w:ascii="Times New Roman" w:hAnsi="Times New Roman"/>
                <w:i/>
                <w:noProof/>
              </w:rPr>
              <w:t>Annex 9: EU Relationships in R&amp;I with Non-EU PRIMA Participating States</w:t>
            </w:r>
            <w:r>
              <w:rPr>
                <w:noProof/>
                <w:webHidden/>
              </w:rPr>
              <w:tab/>
            </w:r>
            <w:r>
              <w:rPr>
                <w:noProof/>
                <w:webHidden/>
              </w:rPr>
              <w:fldChar w:fldCharType="begin"/>
            </w:r>
            <w:r>
              <w:rPr>
                <w:noProof/>
                <w:webHidden/>
              </w:rPr>
              <w:instrText xml:space="preserve"> PAGEREF _Toc457466112 \h </w:instrText>
            </w:r>
            <w:r>
              <w:rPr>
                <w:noProof/>
                <w:webHidden/>
              </w:rPr>
            </w:r>
            <w:r>
              <w:rPr>
                <w:noProof/>
                <w:webHidden/>
              </w:rPr>
              <w:fldChar w:fldCharType="separate"/>
            </w:r>
            <w:r>
              <w:rPr>
                <w:noProof/>
                <w:webHidden/>
              </w:rPr>
              <w:t>106</w:t>
            </w:r>
            <w:r>
              <w:rPr>
                <w:noProof/>
                <w:webHidden/>
              </w:rPr>
              <w:fldChar w:fldCharType="end"/>
            </w:r>
          </w:hyperlink>
        </w:p>
        <w:p>
          <w:pPr>
            <w:pStyle w:val="TOC2"/>
            <w:rPr>
              <w:noProof/>
              <w:lang w:val="en-GB" w:eastAsia="en-GB"/>
            </w:rPr>
          </w:pPr>
          <w:hyperlink w:anchor="_Toc457466113" w:history="1">
            <w:r>
              <w:rPr>
                <w:rStyle w:val="Hyperlink"/>
                <w:rFonts w:ascii="Times New Roman" w:hAnsi="Times New Roman"/>
                <w:i/>
                <w:noProof/>
              </w:rPr>
              <w:t>Annex 10: Analytical models used in preparing the impact assessment</w:t>
            </w:r>
            <w:r>
              <w:rPr>
                <w:noProof/>
                <w:webHidden/>
              </w:rPr>
              <w:tab/>
            </w:r>
            <w:r>
              <w:rPr>
                <w:noProof/>
                <w:webHidden/>
              </w:rPr>
              <w:fldChar w:fldCharType="begin"/>
            </w:r>
            <w:r>
              <w:rPr>
                <w:noProof/>
                <w:webHidden/>
              </w:rPr>
              <w:instrText xml:space="preserve"> PAGEREF _Toc457466113 \h </w:instrText>
            </w:r>
            <w:r>
              <w:rPr>
                <w:noProof/>
                <w:webHidden/>
              </w:rPr>
            </w:r>
            <w:r>
              <w:rPr>
                <w:noProof/>
                <w:webHidden/>
              </w:rPr>
              <w:fldChar w:fldCharType="separate"/>
            </w:r>
            <w:r>
              <w:rPr>
                <w:noProof/>
                <w:webHidden/>
              </w:rPr>
              <w:t>108</w:t>
            </w:r>
            <w:r>
              <w:rPr>
                <w:noProof/>
                <w:webHidden/>
              </w:rPr>
              <w:fldChar w:fldCharType="end"/>
            </w:r>
          </w:hyperlink>
        </w:p>
        <w:p>
          <w:pPr>
            <w:rPr>
              <w:rFonts w:ascii="Times New Roman" w:hAnsi="Times New Roman"/>
              <w:noProof/>
            </w:rPr>
          </w:pPr>
          <w:r>
            <w:rPr>
              <w:rFonts w:ascii="Times New Roman" w:hAnsi="Times New Roman"/>
              <w:b/>
              <w:bCs/>
              <w:noProof/>
            </w:rPr>
            <w:fldChar w:fldCharType="end"/>
          </w:r>
        </w:p>
      </w:sdtContent>
    </w:sdt>
    <w:p>
      <w:pPr>
        <w:rPr>
          <w:rFonts w:ascii="Times New Roman" w:hAnsi="Times New Roman"/>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1"/>
          <w:cols w:space="720"/>
          <w:docGrid w:linePitch="360"/>
        </w:sectPr>
      </w:pPr>
    </w:p>
    <w:p>
      <w:pPr>
        <w:rPr>
          <w:noProof/>
        </w:rPr>
      </w:pPr>
      <w:bookmarkStart w:id="2" w:name="_Ref451794656"/>
      <w:bookmarkStart w:id="3" w:name="_Toc457466027"/>
    </w:p>
    <w:p>
      <w:pPr>
        <w:pStyle w:val="ListParagraph"/>
        <w:keepNext/>
        <w:keepLines/>
        <w:numPr>
          <w:ilvl w:val="0"/>
          <w:numId w:val="7"/>
        </w:numPr>
        <w:shd w:val="clear" w:color="auto" w:fill="F2F2F2" w:themeFill="background1" w:themeFillShade="F2"/>
        <w:spacing w:before="120" w:after="120" w:line="240" w:lineRule="auto"/>
        <w:contextualSpacing w:val="0"/>
        <w:jc w:val="left"/>
        <w:outlineLvl w:val="0"/>
        <w:rPr>
          <w:rFonts w:ascii="Times New Roman" w:hAnsi="Times New Roman"/>
          <w:b/>
          <w:noProof/>
          <w:sz w:val="24"/>
          <w:szCs w:val="24"/>
        </w:rPr>
      </w:pPr>
      <w:r>
        <w:rPr>
          <w:rFonts w:ascii="Times New Roman" w:hAnsi="Times New Roman"/>
          <w:b/>
          <w:noProof/>
          <w:sz w:val="24"/>
        </w:rPr>
        <w:t>Introduction</w:t>
      </w:r>
      <w:bookmarkEnd w:id="2"/>
      <w:bookmarkEnd w:id="3"/>
    </w:p>
    <w:p>
      <w:pPr>
        <w:autoSpaceDE w:val="0"/>
        <w:autoSpaceDN w:val="0"/>
        <w:adjustRightInd w:val="0"/>
        <w:spacing w:before="120" w:after="120" w:line="240" w:lineRule="auto"/>
        <w:jc w:val="both"/>
        <w:rPr>
          <w:rFonts w:ascii="Times New Roman" w:hAnsi="Times New Roman"/>
          <w:b/>
          <w:i/>
          <w:noProof/>
          <w:sz w:val="24"/>
          <w:szCs w:val="24"/>
        </w:rPr>
      </w:pPr>
      <w:r>
        <w:rPr>
          <w:rFonts w:ascii="Times New Roman" w:hAnsi="Times New Roman"/>
          <w:b/>
          <w:i/>
          <w:noProof/>
          <w:sz w:val="24"/>
          <w:szCs w:val="24"/>
        </w:rPr>
        <w:t>Water provision and food systems in the Mediterranean area are unsustainably managed</w:t>
      </w:r>
    </w:p>
    <w:p>
      <w:pPr>
        <w:autoSpaceDE w:val="0"/>
        <w:autoSpaceDN w:val="0"/>
        <w:adjustRightInd w:val="0"/>
        <w:spacing w:before="120" w:after="120" w:line="240" w:lineRule="auto"/>
        <w:jc w:val="both"/>
        <w:rPr>
          <w:rFonts w:ascii="Times New Roman" w:hAnsi="Times New Roman"/>
          <w:noProof/>
          <w:sz w:val="24"/>
          <w:szCs w:val="24"/>
        </w:rPr>
      </w:pPr>
      <w:r>
        <w:rPr>
          <w:rFonts w:ascii="Times New Roman" w:hAnsi="Times New Roman"/>
          <w:b/>
          <w:noProof/>
          <w:sz w:val="24"/>
          <w:szCs w:val="24"/>
        </w:rPr>
        <w:t xml:space="preserve">The sustainable management of water provision and food systems </w:t>
      </w:r>
      <w:r>
        <w:rPr>
          <w:rFonts w:ascii="Times New Roman" w:hAnsi="Times New Roman"/>
          <w:noProof/>
          <w:sz w:val="24"/>
          <w:szCs w:val="24"/>
        </w:rPr>
        <w:t>constitutes a key challenge for the Mediterranean area, which is generally characterised by high levels of hydric stress as no less than 180 million people in the region are considered 'water poor'.</w:t>
      </w:r>
    </w:p>
    <w:p>
      <w:pPr>
        <w:autoSpaceDE w:val="0"/>
        <w:autoSpaceDN w:val="0"/>
        <w:adjustRightInd w:val="0"/>
        <w:spacing w:before="240" w:after="120" w:line="240" w:lineRule="auto"/>
        <w:jc w:val="both"/>
        <w:rPr>
          <w:rFonts w:ascii="Times New Roman" w:hAnsi="Times New Roman"/>
          <w:b/>
          <w:i/>
          <w:noProof/>
          <w:sz w:val="24"/>
          <w:szCs w:val="24"/>
        </w:rPr>
      </w:pPr>
      <w:r>
        <w:rPr>
          <w:rFonts w:ascii="Times New Roman" w:hAnsi="Times New Roman"/>
          <w:b/>
          <w:i/>
          <w:noProof/>
          <w:sz w:val="24"/>
          <w:szCs w:val="24"/>
        </w:rPr>
        <w:t>This challenge is being exacerbated by climate change</w:t>
      </w:r>
    </w:p>
    <w:p>
      <w:pPr>
        <w:autoSpaceDE w:val="0"/>
        <w:autoSpaceDN w:val="0"/>
        <w:adjustRightInd w:val="0"/>
        <w:spacing w:before="120" w:after="120" w:line="240" w:lineRule="auto"/>
        <w:jc w:val="both"/>
        <w:rPr>
          <w:rFonts w:ascii="Times New Roman" w:hAnsi="Times New Roman"/>
          <w:noProof/>
          <w:sz w:val="24"/>
          <w:szCs w:val="24"/>
        </w:rPr>
      </w:pPr>
      <w:r>
        <w:rPr>
          <w:rFonts w:ascii="Times New Roman" w:hAnsi="Times New Roman"/>
          <w:b/>
          <w:noProof/>
          <w:sz w:val="24"/>
          <w:szCs w:val="24"/>
        </w:rPr>
        <w:t>Climate change</w:t>
      </w:r>
      <w:r>
        <w:rPr>
          <w:rFonts w:ascii="Times New Roman" w:hAnsi="Times New Roman"/>
          <w:noProof/>
          <w:sz w:val="24"/>
          <w:szCs w:val="24"/>
        </w:rPr>
        <w:t xml:space="preserve"> is increasingly causing severe water shortages in the region, with major impacts on agriculture, since most of the water available in the region is used for irrigation, thus resulting in decreasing and irregular crop yields. This puts additional pressure on the </w:t>
      </w:r>
      <w:r>
        <w:rPr>
          <w:rFonts w:ascii="Times New Roman" w:hAnsi="Times New Roman"/>
          <w:b/>
          <w:noProof/>
          <w:sz w:val="24"/>
          <w:szCs w:val="24"/>
        </w:rPr>
        <w:t>natural resources</w:t>
      </w:r>
      <w:r>
        <w:rPr>
          <w:rFonts w:ascii="Times New Roman" w:hAnsi="Times New Roman"/>
          <w:noProof/>
          <w:sz w:val="24"/>
          <w:szCs w:val="24"/>
        </w:rPr>
        <w:t xml:space="preserve"> of this area, such as land, water and biodiversity, and on the capacity of countries to provide </w:t>
      </w:r>
      <w:r>
        <w:rPr>
          <w:rFonts w:ascii="Times New Roman" w:hAnsi="Times New Roman"/>
          <w:b/>
          <w:noProof/>
          <w:sz w:val="24"/>
          <w:szCs w:val="24"/>
        </w:rPr>
        <w:t>clean water and affordable food</w:t>
      </w:r>
      <w:r>
        <w:rPr>
          <w:rFonts w:ascii="Times New Roman" w:hAnsi="Times New Roman"/>
          <w:noProof/>
          <w:sz w:val="24"/>
          <w:szCs w:val="24"/>
        </w:rPr>
        <w:t xml:space="preserve"> to their inhabitants.</w:t>
      </w:r>
    </w:p>
    <w:p>
      <w:pPr>
        <w:autoSpaceDE w:val="0"/>
        <w:autoSpaceDN w:val="0"/>
        <w:adjustRightInd w:val="0"/>
        <w:spacing w:before="240" w:after="120" w:line="240" w:lineRule="auto"/>
        <w:jc w:val="both"/>
        <w:rPr>
          <w:rFonts w:ascii="Times New Roman" w:hAnsi="Times New Roman"/>
          <w:b/>
          <w:i/>
          <w:noProof/>
          <w:sz w:val="24"/>
          <w:szCs w:val="24"/>
        </w:rPr>
      </w:pPr>
      <w:r>
        <w:rPr>
          <w:rFonts w:ascii="Times New Roman" w:hAnsi="Times New Roman"/>
          <w:b/>
          <w:i/>
          <w:noProof/>
          <w:sz w:val="24"/>
          <w:szCs w:val="24"/>
        </w:rPr>
        <w:t>This challenge has important societal impacts including instability and external migration</w:t>
      </w:r>
    </w:p>
    <w:p>
      <w:pPr>
        <w:autoSpaceDE w:val="0"/>
        <w:autoSpaceDN w:val="0"/>
        <w:adjustRightInd w:val="0"/>
        <w:spacing w:before="120" w:after="120" w:line="240" w:lineRule="auto"/>
        <w:jc w:val="both"/>
        <w:rPr>
          <w:rFonts w:ascii="Times New Roman" w:hAnsi="Times New Roman"/>
          <w:noProof/>
          <w:sz w:val="24"/>
          <w:szCs w:val="24"/>
        </w:rPr>
      </w:pPr>
      <w:r>
        <w:rPr>
          <w:rFonts w:ascii="Times New Roman" w:hAnsi="Times New Roman"/>
          <w:noProof/>
          <w:sz w:val="24"/>
          <w:szCs w:val="24"/>
        </w:rPr>
        <w:t xml:space="preserve">As a result, important downstream effects occur in society, affecting negatively nutrition, health, livelihoods and standards of living, and levels of wellbeing. This </w:t>
      </w:r>
      <w:r>
        <w:rPr>
          <w:rFonts w:ascii="Times New Roman" w:hAnsi="Times New Roman"/>
          <w:b/>
          <w:noProof/>
          <w:sz w:val="24"/>
          <w:szCs w:val="24"/>
        </w:rPr>
        <w:t>social and economic stress</w:t>
      </w:r>
      <w:r>
        <w:rPr>
          <w:rFonts w:ascii="Times New Roman" w:hAnsi="Times New Roman"/>
          <w:noProof/>
          <w:sz w:val="24"/>
          <w:szCs w:val="24"/>
        </w:rPr>
        <w:t xml:space="preserve">, in turn, constitutes a key cause of instability and becomes a cause of </w:t>
      </w:r>
      <w:r>
        <w:rPr>
          <w:rFonts w:ascii="Times New Roman" w:hAnsi="Times New Roman"/>
          <w:b/>
          <w:noProof/>
          <w:sz w:val="24"/>
          <w:szCs w:val="24"/>
        </w:rPr>
        <w:t>migration</w:t>
      </w:r>
      <w:r>
        <w:rPr>
          <w:rFonts w:ascii="Times New Roman" w:hAnsi="Times New Roman"/>
          <w:noProof/>
          <w:sz w:val="24"/>
          <w:szCs w:val="24"/>
        </w:rPr>
        <w:t>, both internally, leading numerous farm families to move to cities and, externally, driving part of the population to migrate in particular towards Europe.</w:t>
      </w:r>
    </w:p>
    <w:p>
      <w:pPr>
        <w:autoSpaceDE w:val="0"/>
        <w:autoSpaceDN w:val="0"/>
        <w:adjustRightInd w:val="0"/>
        <w:spacing w:before="120" w:after="120" w:line="240" w:lineRule="auto"/>
        <w:jc w:val="both"/>
        <w:rPr>
          <w:rFonts w:ascii="Times New Roman" w:hAnsi="Times New Roman"/>
          <w:noProof/>
          <w:sz w:val="24"/>
          <w:szCs w:val="24"/>
        </w:rPr>
      </w:pPr>
    </w:p>
    <w:p>
      <w:pPr>
        <w:pStyle w:val="ListParagraph"/>
        <w:numPr>
          <w:ilvl w:val="0"/>
          <w:numId w:val="44"/>
        </w:numPr>
        <w:pBdr>
          <w:top w:val="single" w:sz="4" w:space="1" w:color="auto"/>
          <w:left w:val="single" w:sz="4" w:space="4" w:color="auto"/>
          <w:bottom w:val="single" w:sz="4" w:space="1" w:color="auto"/>
          <w:right w:val="single" w:sz="4" w:space="4" w:color="auto"/>
        </w:pBdr>
        <w:autoSpaceDE w:val="0"/>
        <w:autoSpaceDN w:val="0"/>
        <w:adjustRightInd w:val="0"/>
        <w:spacing w:before="120" w:after="120" w:line="240" w:lineRule="auto"/>
        <w:rPr>
          <w:rFonts w:ascii="Times New Roman" w:hAnsi="Times New Roman"/>
          <w:noProof/>
          <w:sz w:val="24"/>
          <w:szCs w:val="24"/>
        </w:rPr>
      </w:pPr>
      <w:r>
        <w:rPr>
          <w:rFonts w:ascii="Times New Roman" w:hAnsi="Times New Roman"/>
          <w:noProof/>
          <w:sz w:val="24"/>
          <w:szCs w:val="24"/>
        </w:rPr>
        <w:t>Mediterranean countries account for 7% of the world population and 10% of world GDP</w:t>
      </w:r>
      <w:r>
        <w:rPr>
          <w:rStyle w:val="FootnoteReference"/>
          <w:rFonts w:ascii="Times New Roman" w:hAnsi="Times New Roman"/>
          <w:noProof/>
          <w:color w:val="000000"/>
          <w:sz w:val="24"/>
          <w:szCs w:val="24"/>
        </w:rPr>
        <w:footnoteReference w:id="2"/>
      </w:r>
      <w:r>
        <w:rPr>
          <w:rStyle w:val="FootnoteReference"/>
          <w:rFonts w:ascii="Times New Roman" w:hAnsi="Times New Roman"/>
          <w:noProof/>
          <w:sz w:val="24"/>
          <w:szCs w:val="24"/>
        </w:rPr>
        <w:footnoteReference w:id="3"/>
      </w:r>
      <w:r>
        <w:rPr>
          <w:rFonts w:ascii="Times New Roman" w:hAnsi="Times New Roman"/>
          <w:noProof/>
          <w:sz w:val="24"/>
          <w:szCs w:val="24"/>
        </w:rPr>
        <w:t>.</w:t>
      </w:r>
    </w:p>
    <w:p>
      <w:pPr>
        <w:pStyle w:val="ListParagraph"/>
        <w:numPr>
          <w:ilvl w:val="0"/>
          <w:numId w:val="44"/>
        </w:numPr>
        <w:pBdr>
          <w:top w:val="single" w:sz="4" w:space="1" w:color="auto"/>
          <w:left w:val="single" w:sz="4" w:space="4" w:color="auto"/>
          <w:bottom w:val="single" w:sz="4" w:space="1" w:color="auto"/>
          <w:right w:val="single" w:sz="4" w:space="4" w:color="auto"/>
        </w:pBdr>
        <w:autoSpaceDE w:val="0"/>
        <w:autoSpaceDN w:val="0"/>
        <w:adjustRightInd w:val="0"/>
        <w:spacing w:before="120" w:after="120" w:line="240" w:lineRule="auto"/>
        <w:rPr>
          <w:rFonts w:ascii="Times New Roman" w:hAnsi="Times New Roman"/>
          <w:noProof/>
          <w:sz w:val="24"/>
          <w:szCs w:val="24"/>
        </w:rPr>
      </w:pPr>
      <w:r>
        <w:rPr>
          <w:rFonts w:ascii="Times New Roman" w:hAnsi="Times New Roman"/>
          <w:noProof/>
          <w:sz w:val="24"/>
          <w:szCs w:val="24"/>
        </w:rPr>
        <w:t>Water crises constitute the number one risk that could undermine economic growth, impacting upon several countries or industries within the next 10 years</w:t>
      </w:r>
      <w:r>
        <w:rPr>
          <w:rStyle w:val="FootnoteReference"/>
          <w:rFonts w:ascii="Times New Roman" w:hAnsi="Times New Roman"/>
          <w:noProof/>
          <w:sz w:val="24"/>
          <w:szCs w:val="24"/>
        </w:rPr>
        <w:footnoteReference w:id="4"/>
      </w:r>
      <w:r>
        <w:rPr>
          <w:rFonts w:ascii="Times New Roman" w:hAnsi="Times New Roman"/>
          <w:noProof/>
          <w:sz w:val="24"/>
          <w:szCs w:val="24"/>
        </w:rPr>
        <w:t>.</w:t>
      </w:r>
    </w:p>
    <w:p>
      <w:pPr>
        <w:pStyle w:val="ListParagraph"/>
        <w:numPr>
          <w:ilvl w:val="0"/>
          <w:numId w:val="44"/>
        </w:numPr>
        <w:pBdr>
          <w:top w:val="single" w:sz="4" w:space="1" w:color="auto"/>
          <w:left w:val="single" w:sz="4" w:space="4" w:color="auto"/>
          <w:bottom w:val="single" w:sz="4" w:space="1" w:color="auto"/>
          <w:right w:val="single" w:sz="4" w:space="4" w:color="auto"/>
        </w:pBdr>
        <w:autoSpaceDE w:val="0"/>
        <w:autoSpaceDN w:val="0"/>
        <w:adjustRightInd w:val="0"/>
        <w:spacing w:before="120" w:after="120" w:line="240" w:lineRule="auto"/>
        <w:rPr>
          <w:rFonts w:ascii="Times New Roman" w:hAnsi="Times New Roman"/>
          <w:noProof/>
          <w:sz w:val="24"/>
          <w:szCs w:val="24"/>
        </w:rPr>
      </w:pPr>
      <w:r>
        <w:rPr>
          <w:rFonts w:ascii="Times New Roman" w:hAnsi="Times New Roman"/>
          <w:noProof/>
          <w:sz w:val="24"/>
          <w:szCs w:val="24"/>
        </w:rPr>
        <w:t>A recent World Bank report highlights that the Middle-East and Northern Africa regions could see their growth rates decline by as much as 6% of GDP by 2050 as a result of water-related losses in agriculture, health, income, and property</w:t>
      </w:r>
      <w:r>
        <w:rPr>
          <w:rStyle w:val="FootnoteReference"/>
          <w:rFonts w:ascii="Times New Roman" w:hAnsi="Times New Roman"/>
          <w:noProof/>
          <w:sz w:val="24"/>
          <w:szCs w:val="24"/>
        </w:rPr>
        <w:footnoteReference w:id="5"/>
      </w:r>
      <w:r>
        <w:rPr>
          <w:rFonts w:ascii="Times New Roman" w:hAnsi="Times New Roman"/>
          <w:noProof/>
          <w:sz w:val="24"/>
          <w:szCs w:val="24"/>
        </w:rPr>
        <w:t>.</w:t>
      </w:r>
    </w:p>
    <w:p>
      <w:pPr>
        <w:pStyle w:val="ListParagraph"/>
        <w:numPr>
          <w:ilvl w:val="0"/>
          <w:numId w:val="44"/>
        </w:numPr>
        <w:pBdr>
          <w:top w:val="single" w:sz="4" w:space="1" w:color="auto"/>
          <w:left w:val="single" w:sz="4" w:space="4" w:color="auto"/>
          <w:bottom w:val="single" w:sz="4" w:space="1" w:color="auto"/>
          <w:right w:val="single" w:sz="4" w:space="4" w:color="auto"/>
        </w:pBdr>
        <w:autoSpaceDE w:val="0"/>
        <w:autoSpaceDN w:val="0"/>
        <w:adjustRightInd w:val="0"/>
        <w:spacing w:before="120" w:after="120" w:line="240" w:lineRule="auto"/>
        <w:rPr>
          <w:rFonts w:ascii="Times New Roman" w:hAnsi="Times New Roman"/>
          <w:noProof/>
          <w:sz w:val="24"/>
          <w:szCs w:val="24"/>
        </w:rPr>
      </w:pPr>
      <w:r>
        <w:rPr>
          <w:rFonts w:ascii="Times New Roman" w:hAnsi="Times New Roman"/>
          <w:noProof/>
          <w:sz w:val="24"/>
          <w:szCs w:val="24"/>
        </w:rPr>
        <w:t>The EU absorbs 50% of the agricultural and agro-food exports from the Southern and Eastern Mediterranean Countries while it accounts for 38% of their agro-food imports</w:t>
      </w:r>
      <w:r>
        <w:rPr>
          <w:rStyle w:val="FootnoteReference"/>
          <w:rFonts w:ascii="Times New Roman" w:hAnsi="Times New Roman"/>
          <w:noProof/>
          <w:sz w:val="24"/>
          <w:szCs w:val="24"/>
        </w:rPr>
        <w:footnoteReference w:id="6"/>
      </w:r>
      <w:r>
        <w:rPr>
          <w:rFonts w:ascii="Times New Roman" w:hAnsi="Times New Roman"/>
          <w:noProof/>
          <w:sz w:val="24"/>
          <w:szCs w:val="24"/>
        </w:rPr>
        <w:t>.</w:t>
      </w:r>
    </w:p>
    <w:p>
      <w:pPr>
        <w:autoSpaceDE w:val="0"/>
        <w:autoSpaceDN w:val="0"/>
        <w:adjustRightInd w:val="0"/>
        <w:spacing w:before="240" w:after="120" w:line="240" w:lineRule="auto"/>
        <w:jc w:val="both"/>
        <w:rPr>
          <w:rFonts w:ascii="Times New Roman" w:hAnsi="Times New Roman"/>
          <w:b/>
          <w:i/>
          <w:noProof/>
          <w:sz w:val="24"/>
          <w:szCs w:val="24"/>
        </w:rPr>
      </w:pPr>
      <w:r>
        <w:rPr>
          <w:rFonts w:ascii="Times New Roman" w:hAnsi="Times New Roman"/>
          <w:b/>
          <w:i/>
          <w:noProof/>
          <w:sz w:val="24"/>
          <w:szCs w:val="24"/>
        </w:rPr>
        <w:t>Migration is high on the agenda of the EU</w:t>
      </w:r>
    </w:p>
    <w:p>
      <w:pPr>
        <w:autoSpaceDE w:val="0"/>
        <w:autoSpaceDN w:val="0"/>
        <w:adjustRightInd w:val="0"/>
        <w:spacing w:after="120" w:line="240" w:lineRule="auto"/>
        <w:jc w:val="both"/>
        <w:rPr>
          <w:rFonts w:ascii="Times New Roman" w:hAnsi="Times New Roman"/>
          <w:noProof/>
          <w:sz w:val="24"/>
          <w:szCs w:val="24"/>
        </w:rPr>
      </w:pPr>
      <w:r>
        <w:rPr>
          <w:rFonts w:ascii="Times New Roman" w:hAnsi="Times New Roman"/>
          <w:noProof/>
          <w:sz w:val="24"/>
          <w:szCs w:val="24"/>
        </w:rPr>
        <w:t>There can be no doubt that Europe is confronted with its largest refugee crisis in recent history. In 2015, the number of irregular migrant sea arrivals in Europe was almost five times the number of 2014, increasing from 215,000 to around 990,000. It is estimated that around 3,500 people died in 2014 and 3,700 in 2015 attempting to cross into Europe</w:t>
      </w:r>
      <w:r>
        <w:rPr>
          <w:rStyle w:val="FootnoteReference"/>
          <w:rFonts w:ascii="Times New Roman" w:hAnsi="Times New Roman"/>
          <w:noProof/>
          <w:sz w:val="24"/>
          <w:szCs w:val="24"/>
        </w:rPr>
        <w:footnoteReference w:id="7"/>
      </w:r>
      <w:r>
        <w:rPr>
          <w:rFonts w:ascii="Times New Roman" w:hAnsi="Times New Roman"/>
          <w:noProof/>
          <w:sz w:val="24"/>
          <w:szCs w:val="24"/>
        </w:rPr>
        <w:t>.</w:t>
      </w:r>
    </w:p>
    <w:p>
      <w:pPr>
        <w:autoSpaceDE w:val="0"/>
        <w:autoSpaceDN w:val="0"/>
        <w:adjustRightInd w:val="0"/>
        <w:spacing w:after="120" w:line="240" w:lineRule="auto"/>
        <w:jc w:val="both"/>
        <w:rPr>
          <w:rFonts w:ascii="Times New Roman" w:hAnsi="Times New Roman"/>
          <w:noProof/>
          <w:sz w:val="24"/>
          <w:szCs w:val="24"/>
        </w:rPr>
      </w:pPr>
      <w:r>
        <w:rPr>
          <w:rFonts w:ascii="Times New Roman" w:hAnsi="Times New Roman"/>
          <w:noProof/>
          <w:sz w:val="24"/>
          <w:szCs w:val="24"/>
        </w:rPr>
        <w:t>On 7 June 2016, the Commission adopted a Communication on establishing a new Partnership Framework with third countries under the European Agenda on Migration (COM(2016)385 final), which describes the challenge as follows: "</w:t>
      </w:r>
      <w:r>
        <w:rPr>
          <w:rFonts w:ascii="Times New Roman" w:hAnsi="Times New Roman"/>
          <w:i/>
          <w:noProof/>
          <w:sz w:val="24"/>
          <w:szCs w:val="24"/>
        </w:rPr>
        <w:t>Despite increased efforts by the EU, deaths in the Mediterranean Sea occur on a daily basis. Europe is currently experiencing unprecedented migratory flows, driven by geopolitical and economic factors that will continue, and maybe intensify, over the coming years and indeed it is a global challenge with more than 60 million displaced persons worldwide. They are fuelled by unscrupulous smugglers who seek to benefit from the desperation of the vulnerable. Europe is duty bound to respond; to address the fate of migrants and refugees; to show its citizens that migration, including on the scale we see today, can be managed in a sustainable way. [… ] Since the adoption of the European Agenda on Migration a year ago, much has been done, not least beyond the EU's borders. […] However, much more needs to be done. The EU is still faced with a humanitarian crisis. Third countries and EU partners are housing millions of refugees, many of them unaccompanied minors, forced to leave their homes, and economic migrants who aspire to come to Europe. Reports suggest that there are tens of thousands of migrants in Libya today, looking for ways to enter the EU, with the number of arrivals increasing every day</w:t>
      </w:r>
      <w:r>
        <w:rPr>
          <w:rFonts w:ascii="Times New Roman" w:hAnsi="Times New Roman"/>
          <w:noProof/>
          <w:sz w:val="24"/>
          <w:szCs w:val="24"/>
        </w:rPr>
        <w:t>".</w:t>
      </w:r>
    </w:p>
    <w:p>
      <w:pPr>
        <w:autoSpaceDE w:val="0"/>
        <w:autoSpaceDN w:val="0"/>
        <w:adjustRightInd w:val="0"/>
        <w:spacing w:after="120" w:line="240" w:lineRule="auto"/>
        <w:jc w:val="both"/>
        <w:rPr>
          <w:rFonts w:ascii="Times New Roman" w:hAnsi="Times New Roman"/>
          <w:noProof/>
          <w:sz w:val="24"/>
          <w:szCs w:val="24"/>
        </w:rPr>
      </w:pPr>
      <w:r>
        <w:rPr>
          <w:rFonts w:ascii="Times New Roman" w:hAnsi="Times New Roman"/>
          <w:noProof/>
          <w:sz w:val="24"/>
          <w:szCs w:val="24"/>
        </w:rPr>
        <w:t>The Communication proposes a comprehensive response to the refugee crisis: "</w:t>
      </w:r>
      <w:r>
        <w:rPr>
          <w:rFonts w:ascii="Times New Roman" w:hAnsi="Times New Roman"/>
          <w:i/>
          <w:noProof/>
          <w:sz w:val="24"/>
          <w:szCs w:val="24"/>
        </w:rPr>
        <w:t>To respond in a meaningful way, the EU must use all means available and set itself clear priorities and measurable objectives</w:t>
      </w:r>
      <w:r>
        <w:rPr>
          <w:rFonts w:ascii="Times New Roman" w:hAnsi="Times New Roman"/>
          <w:noProof/>
          <w:sz w:val="24"/>
          <w:szCs w:val="24"/>
        </w:rPr>
        <w:t>". On the one hand, "</w:t>
      </w:r>
      <w:r>
        <w:rPr>
          <w:rFonts w:ascii="Times New Roman" w:hAnsi="Times New Roman"/>
          <w:i/>
          <w:noProof/>
          <w:sz w:val="24"/>
          <w:szCs w:val="24"/>
        </w:rPr>
        <w:t>development and neighbourhood policy tools should reinforce local capacity-building, including for border control, asylum, counter-smuggling and reintegration efforts</w:t>
      </w:r>
      <w:r>
        <w:rPr>
          <w:rFonts w:ascii="Times New Roman" w:hAnsi="Times New Roman"/>
          <w:noProof/>
          <w:sz w:val="24"/>
          <w:szCs w:val="24"/>
        </w:rPr>
        <w:t>". On the other hand, "</w:t>
      </w:r>
      <w:r>
        <w:rPr>
          <w:rFonts w:ascii="Times New Roman" w:hAnsi="Times New Roman"/>
          <w:b/>
          <w:i/>
          <w:noProof/>
          <w:sz w:val="24"/>
          <w:szCs w:val="24"/>
        </w:rPr>
        <w:t>in parallel, work is needed to tackle the root causes of irregular migration and forced displacement by applying sustained, medium and long term policies and to better use existing processes and programmes</w:t>
      </w:r>
      <w:r>
        <w:rPr>
          <w:rFonts w:ascii="Times New Roman" w:hAnsi="Times New Roman"/>
          <w:noProof/>
          <w:sz w:val="24"/>
          <w:szCs w:val="24"/>
        </w:rPr>
        <w:t>".</w:t>
      </w:r>
    </w:p>
    <w:p>
      <w:pPr>
        <w:autoSpaceDE w:val="0"/>
        <w:autoSpaceDN w:val="0"/>
        <w:adjustRightInd w:val="0"/>
        <w:spacing w:after="120" w:line="240" w:lineRule="auto"/>
        <w:jc w:val="both"/>
        <w:rPr>
          <w:rFonts w:ascii="Times New Roman" w:hAnsi="Times New Roman"/>
          <w:noProof/>
          <w:sz w:val="24"/>
          <w:szCs w:val="24"/>
        </w:rPr>
      </w:pPr>
      <w:r>
        <w:rPr>
          <w:rFonts w:ascii="Times New Roman" w:hAnsi="Times New Roman"/>
          <w:noProof/>
          <w:sz w:val="24"/>
          <w:szCs w:val="24"/>
        </w:rPr>
        <w:t>With respect to tackling the root causes of irregular migration and forced displacement, the Communication presents many very concrete ways forward. The Communication states, for instance, that "</w:t>
      </w:r>
      <w:r>
        <w:rPr>
          <w:rFonts w:ascii="Times New Roman" w:hAnsi="Times New Roman"/>
          <w:i/>
          <w:noProof/>
          <w:sz w:val="24"/>
        </w:rPr>
        <w:t xml:space="preserve">all EU policies including education, </w:t>
      </w:r>
      <w:r>
        <w:rPr>
          <w:rFonts w:ascii="Times New Roman" w:hAnsi="Times New Roman"/>
          <w:b/>
          <w:i/>
          <w:noProof/>
          <w:sz w:val="24"/>
          <w:szCs w:val="24"/>
        </w:rPr>
        <w:t>research</w:t>
      </w:r>
      <w:r>
        <w:rPr>
          <w:rFonts w:ascii="Times New Roman" w:hAnsi="Times New Roman"/>
          <w:i/>
          <w:noProof/>
          <w:sz w:val="24"/>
        </w:rPr>
        <w:t xml:space="preserve">, </w:t>
      </w:r>
      <w:r>
        <w:rPr>
          <w:rFonts w:ascii="Times New Roman" w:hAnsi="Times New Roman"/>
          <w:b/>
          <w:i/>
          <w:noProof/>
          <w:sz w:val="24"/>
          <w:szCs w:val="24"/>
        </w:rPr>
        <w:t>climate change</w:t>
      </w:r>
      <w:r>
        <w:rPr>
          <w:rFonts w:ascii="Times New Roman" w:hAnsi="Times New Roman"/>
          <w:i/>
          <w:noProof/>
          <w:sz w:val="24"/>
        </w:rPr>
        <w:t xml:space="preserve">, energy, </w:t>
      </w:r>
      <w:r>
        <w:rPr>
          <w:rFonts w:ascii="Times New Roman" w:hAnsi="Times New Roman"/>
          <w:b/>
          <w:i/>
          <w:noProof/>
          <w:sz w:val="24"/>
          <w:szCs w:val="24"/>
        </w:rPr>
        <w:t>environment</w:t>
      </w:r>
      <w:r>
        <w:rPr>
          <w:rFonts w:ascii="Times New Roman" w:hAnsi="Times New Roman"/>
          <w:i/>
          <w:noProof/>
          <w:sz w:val="24"/>
        </w:rPr>
        <w:t xml:space="preserve">, </w:t>
      </w:r>
      <w:r>
        <w:rPr>
          <w:rFonts w:ascii="Times New Roman" w:hAnsi="Times New Roman"/>
          <w:b/>
          <w:i/>
          <w:noProof/>
          <w:sz w:val="24"/>
          <w:szCs w:val="24"/>
        </w:rPr>
        <w:t>agriculture</w:t>
      </w:r>
      <w:r>
        <w:rPr>
          <w:rFonts w:ascii="Times New Roman" w:hAnsi="Times New Roman"/>
          <w:i/>
          <w:noProof/>
          <w:sz w:val="24"/>
        </w:rPr>
        <w:t>, should in principle be part of a package, bringing maximum leverage to the discussion</w:t>
      </w:r>
      <w:r>
        <w:rPr>
          <w:rFonts w:ascii="Times New Roman" w:hAnsi="Times New Roman"/>
          <w:noProof/>
          <w:sz w:val="24"/>
          <w:szCs w:val="24"/>
        </w:rPr>
        <w:t xml:space="preserve">". </w:t>
      </w:r>
    </w:p>
    <w:p>
      <w:pPr>
        <w:autoSpaceDE w:val="0"/>
        <w:autoSpaceDN w:val="0"/>
        <w:adjustRightInd w:val="0"/>
        <w:spacing w:before="240" w:after="120" w:line="240" w:lineRule="auto"/>
        <w:jc w:val="both"/>
        <w:rPr>
          <w:rFonts w:ascii="Times New Roman" w:hAnsi="Times New Roman"/>
          <w:b/>
          <w:i/>
          <w:noProof/>
          <w:sz w:val="24"/>
          <w:szCs w:val="24"/>
        </w:rPr>
      </w:pPr>
      <w:r>
        <w:rPr>
          <w:rFonts w:ascii="Times New Roman" w:hAnsi="Times New Roman"/>
          <w:b/>
          <w:i/>
          <w:noProof/>
          <w:sz w:val="24"/>
          <w:szCs w:val="24"/>
        </w:rPr>
        <w:t>The PRIMA Joint Programme is of key importance for addressing the migration challenge</w:t>
      </w:r>
    </w:p>
    <w:p>
      <w:pPr>
        <w:autoSpaceDE w:val="0"/>
        <w:autoSpaceDN w:val="0"/>
        <w:adjustRightInd w:val="0"/>
        <w:spacing w:after="120" w:line="240" w:lineRule="auto"/>
        <w:jc w:val="both"/>
        <w:rPr>
          <w:rFonts w:ascii="Times New Roman" w:hAnsi="Times New Roman"/>
          <w:noProof/>
          <w:sz w:val="24"/>
          <w:szCs w:val="24"/>
        </w:rPr>
      </w:pPr>
      <w:r>
        <w:rPr>
          <w:rFonts w:ascii="Times New Roman" w:hAnsi="Times New Roman"/>
          <w:noProof/>
          <w:sz w:val="24"/>
          <w:szCs w:val="24"/>
        </w:rPr>
        <w:t xml:space="preserve">By delivering common innovative solutions for the sustainable management of water provision and food systems that are adapted to the realities of the region and are easily transferable across it, notably by focusing on the development of close-to-market pilots and demonstrators, the </w:t>
      </w:r>
      <w:r>
        <w:rPr>
          <w:rFonts w:ascii="Times New Roman" w:hAnsi="Times New Roman"/>
          <w:b/>
          <w:noProof/>
          <w:sz w:val="24"/>
          <w:szCs w:val="24"/>
        </w:rPr>
        <w:t>PRIMA Joint Programme is ideally situated to address some of the root causes of migration</w:t>
      </w:r>
      <w:r>
        <w:rPr>
          <w:rFonts w:ascii="Times New Roman" w:hAnsi="Times New Roman"/>
          <w:noProof/>
          <w:sz w:val="24"/>
          <w:szCs w:val="24"/>
        </w:rPr>
        <w:t xml:space="preserve">, one of the work streams put on the agenda by the Communication. The PRIMA joint programme is also clearly situated at the interchange between research, climate change, environment and agriculture policies, again fully in line with the logic proposed by the Communication. Finally, the PRIMA Joint Programme constitutes a prime example of the new development cooperation model championed by the Commission insofar as it involves </w:t>
      </w:r>
      <w:r>
        <w:rPr>
          <w:rFonts w:ascii="Times New Roman" w:hAnsi="Times New Roman"/>
          <w:b/>
          <w:noProof/>
          <w:sz w:val="24"/>
          <w:szCs w:val="24"/>
        </w:rPr>
        <w:t>private investors, leverages limited budget resources, and focuses on SMEs and sustainable infrastructure</w:t>
      </w:r>
      <w:r>
        <w:rPr>
          <w:rFonts w:ascii="Times New Roman" w:hAnsi="Times New Roman"/>
          <w:noProof/>
          <w:sz w:val="24"/>
          <w:szCs w:val="24"/>
        </w:rPr>
        <w:t>.</w:t>
      </w:r>
    </w:p>
    <w:p>
      <w:pPr>
        <w:autoSpaceDE w:val="0"/>
        <w:autoSpaceDN w:val="0"/>
        <w:adjustRightInd w:val="0"/>
        <w:spacing w:before="240" w:after="120" w:line="240" w:lineRule="auto"/>
        <w:jc w:val="both"/>
        <w:rPr>
          <w:rFonts w:ascii="Times New Roman" w:hAnsi="Times New Roman"/>
          <w:b/>
          <w:i/>
          <w:noProof/>
          <w:sz w:val="24"/>
          <w:szCs w:val="24"/>
        </w:rPr>
      </w:pPr>
      <w:r>
        <w:rPr>
          <w:rFonts w:ascii="Times New Roman" w:hAnsi="Times New Roman"/>
          <w:b/>
          <w:i/>
          <w:noProof/>
          <w:sz w:val="24"/>
          <w:szCs w:val="24"/>
        </w:rPr>
        <w:t>Coherence between PRIMA's thematic focus and related institutional drivers</w:t>
      </w:r>
    </w:p>
    <w:p>
      <w:pPr>
        <w:autoSpaceDE w:val="0"/>
        <w:autoSpaceDN w:val="0"/>
        <w:adjustRightInd w:val="0"/>
        <w:spacing w:before="120" w:after="120" w:line="240" w:lineRule="auto"/>
        <w:jc w:val="both"/>
        <w:rPr>
          <w:rFonts w:ascii="Times New Roman" w:hAnsi="Times New Roman"/>
          <w:noProof/>
          <w:sz w:val="24"/>
          <w:szCs w:val="24"/>
        </w:rPr>
      </w:pPr>
      <w:r>
        <w:rPr>
          <w:rFonts w:ascii="Times New Roman" w:hAnsi="Times New Roman"/>
          <w:noProof/>
          <w:sz w:val="24"/>
          <w:szCs w:val="24"/>
        </w:rPr>
        <w:t>The PRIMA Joint Programme fits into an institutional context which, at the highest political level, highlighted the need to strengthen EU cooperation with Southern Mediterranean Countries in the key sectors of water resources and food systems and related areas.</w:t>
      </w:r>
    </w:p>
    <w:p>
      <w:pPr>
        <w:autoSpaceDE w:val="0"/>
        <w:autoSpaceDN w:val="0"/>
        <w:adjustRightInd w:val="0"/>
        <w:spacing w:before="120" w:after="120" w:line="240" w:lineRule="auto"/>
        <w:jc w:val="both"/>
        <w:rPr>
          <w:rFonts w:ascii="Times New Roman" w:hAnsi="Times New Roman"/>
          <w:noProof/>
          <w:sz w:val="24"/>
          <w:szCs w:val="24"/>
        </w:rPr>
      </w:pPr>
      <w:r>
        <w:rPr>
          <w:rFonts w:ascii="Times New Roman" w:hAnsi="Times New Roman"/>
          <w:noProof/>
          <w:sz w:val="24"/>
          <w:szCs w:val="24"/>
        </w:rPr>
        <w:t>PRIMA anchors key regional challenges in research and innovation (R&amp;I) with broader socio-economic and geopolitical objectives. Recent relevant institutional actions in policies of the EU other than R&amp;I are described below.</w:t>
      </w:r>
    </w:p>
    <w:p>
      <w:pPr>
        <w:autoSpaceDE w:val="0"/>
        <w:autoSpaceDN w:val="0"/>
        <w:adjustRightInd w:val="0"/>
        <w:spacing w:before="240" w:after="120" w:line="240" w:lineRule="auto"/>
        <w:jc w:val="both"/>
        <w:rPr>
          <w:rFonts w:ascii="Times New Roman" w:hAnsi="Times New Roman"/>
          <w:i/>
          <w:noProof/>
          <w:sz w:val="24"/>
          <w:szCs w:val="24"/>
          <w:u w:val="single"/>
        </w:rPr>
      </w:pPr>
      <w:r>
        <w:rPr>
          <w:rFonts w:ascii="Times New Roman" w:hAnsi="Times New Roman"/>
          <w:i/>
          <w:noProof/>
          <w:sz w:val="24"/>
          <w:szCs w:val="24"/>
          <w:u w:val="single"/>
        </w:rPr>
        <w:t>Water diplomacy (Foreign Affairs Council Conclusions dated 22 July 2013)</w:t>
      </w:r>
    </w:p>
    <w:p>
      <w:pPr>
        <w:autoSpaceDE w:val="0"/>
        <w:autoSpaceDN w:val="0"/>
        <w:adjustRightInd w:val="0"/>
        <w:spacing w:after="120" w:line="240" w:lineRule="auto"/>
        <w:jc w:val="both"/>
        <w:rPr>
          <w:rFonts w:ascii="Times New Roman" w:hAnsi="Times New Roman"/>
          <w:noProof/>
          <w:sz w:val="24"/>
          <w:szCs w:val="24"/>
        </w:rPr>
      </w:pPr>
      <w:r>
        <w:rPr>
          <w:rFonts w:ascii="Times New Roman" w:hAnsi="Times New Roman"/>
          <w:noProof/>
          <w:sz w:val="24"/>
          <w:szCs w:val="24"/>
        </w:rPr>
        <w:t>The effects of climate change and demographic and economic development coupled with stress on water quality, availability and management represent existing major security challenges that are likely to give rise to tension and conflict over access to water over the next decade.</w:t>
      </w:r>
    </w:p>
    <w:p>
      <w:pPr>
        <w:autoSpaceDE w:val="0"/>
        <w:autoSpaceDN w:val="0"/>
        <w:adjustRightInd w:val="0"/>
        <w:spacing w:before="120" w:after="120" w:line="240" w:lineRule="auto"/>
        <w:jc w:val="both"/>
        <w:rPr>
          <w:rFonts w:ascii="Times New Roman" w:hAnsi="Times New Roman"/>
          <w:b/>
          <w:i/>
          <w:noProof/>
          <w:sz w:val="24"/>
          <w:szCs w:val="24"/>
        </w:rPr>
      </w:pPr>
      <w:r>
        <w:rPr>
          <w:rFonts w:ascii="Times New Roman" w:hAnsi="Times New Roman"/>
          <w:noProof/>
          <w:sz w:val="24"/>
          <w:szCs w:val="24"/>
        </w:rPr>
        <w:t xml:space="preserve">In this context, the EU's role in </w:t>
      </w:r>
      <w:r>
        <w:rPr>
          <w:rFonts w:ascii="Times New Roman" w:hAnsi="Times New Roman"/>
          <w:b/>
          <w:noProof/>
          <w:sz w:val="24"/>
          <w:szCs w:val="24"/>
        </w:rPr>
        <w:t>promoting water diplomacy across the world</w:t>
      </w:r>
      <w:r>
        <w:rPr>
          <w:rFonts w:ascii="Times New Roman" w:hAnsi="Times New Roman"/>
          <w:noProof/>
          <w:sz w:val="24"/>
          <w:szCs w:val="24"/>
        </w:rPr>
        <w:t xml:space="preserve"> and more specifically in trans-boundary waters in Europe is recognised as highly important, including by promoting water initiatives with countries in the EU Neighbourhood and other countries identified in the EU water security mapping. </w:t>
      </w:r>
      <w:r>
        <w:rPr>
          <w:rFonts w:ascii="Times New Roman" w:hAnsi="Times New Roman"/>
          <w:b/>
          <w:i/>
          <w:noProof/>
          <w:sz w:val="24"/>
          <w:szCs w:val="24"/>
        </w:rPr>
        <w:t xml:space="preserve"> </w:t>
      </w:r>
    </w:p>
    <w:p>
      <w:pPr>
        <w:autoSpaceDE w:val="0"/>
        <w:autoSpaceDN w:val="0"/>
        <w:adjustRightInd w:val="0"/>
        <w:spacing w:after="120" w:line="240" w:lineRule="auto"/>
        <w:jc w:val="both"/>
        <w:rPr>
          <w:rFonts w:ascii="Times New Roman" w:hAnsi="Times New Roman"/>
          <w:i/>
          <w:noProof/>
          <w:sz w:val="24"/>
          <w:szCs w:val="24"/>
          <w:u w:val="single"/>
        </w:rPr>
      </w:pPr>
      <w:r>
        <w:rPr>
          <w:rFonts w:ascii="Times New Roman" w:hAnsi="Times New Roman"/>
          <w:i/>
          <w:noProof/>
          <w:sz w:val="24"/>
          <w:szCs w:val="24"/>
          <w:u w:val="single"/>
        </w:rPr>
        <w:t>Review of the European Neighbourhood Policy (Foreign Affairs Council Conclusions dated 14 December 2015)</w:t>
      </w:r>
    </w:p>
    <w:p>
      <w:pPr>
        <w:autoSpaceDE w:val="0"/>
        <w:autoSpaceDN w:val="0"/>
        <w:adjustRightInd w:val="0"/>
        <w:spacing w:after="120" w:line="240" w:lineRule="auto"/>
        <w:jc w:val="both"/>
        <w:rPr>
          <w:rFonts w:ascii="Times New Roman" w:hAnsi="Times New Roman"/>
          <w:noProof/>
          <w:sz w:val="24"/>
          <w:szCs w:val="24"/>
        </w:rPr>
      </w:pPr>
      <w:r>
        <w:rPr>
          <w:rFonts w:ascii="Times New Roman" w:hAnsi="Times New Roman"/>
          <w:noProof/>
          <w:sz w:val="24"/>
          <w:szCs w:val="24"/>
        </w:rPr>
        <w:t xml:space="preserve">The Council welcomed the Review of the European Neighbourhood Policy as a key political priority for the EU in coming years. This include </w:t>
      </w:r>
      <w:r>
        <w:rPr>
          <w:rFonts w:ascii="Times New Roman" w:hAnsi="Times New Roman"/>
          <w:b/>
          <w:noProof/>
          <w:sz w:val="24"/>
          <w:szCs w:val="24"/>
        </w:rPr>
        <w:t>the crucial role of R&amp;I for socio-economic development in the neighbourhood</w:t>
      </w:r>
      <w:r>
        <w:rPr>
          <w:rFonts w:ascii="Times New Roman" w:hAnsi="Times New Roman"/>
          <w:noProof/>
          <w:sz w:val="24"/>
          <w:szCs w:val="24"/>
        </w:rPr>
        <w:t xml:space="preserve">, while assisting in modernising and diversifying economies in Neighbourhood Countries by facilitating increased participation in EU Initiatives. The Council also embraces the approach towards differentiation and greater mutual ownership which recognises that not all neighbourhood partners aspire to the degree of closeness with the EU. This is reflected in the willingness of Neighbourhood Countries in aligning policies with and committing to the EU in joint actions such as PRIMA.  </w:t>
      </w:r>
    </w:p>
    <w:p>
      <w:pPr>
        <w:autoSpaceDE w:val="0"/>
        <w:autoSpaceDN w:val="0"/>
        <w:adjustRightInd w:val="0"/>
        <w:spacing w:after="120" w:line="240" w:lineRule="auto"/>
        <w:jc w:val="both"/>
        <w:rPr>
          <w:rFonts w:ascii="Times New Roman" w:hAnsi="Times New Roman"/>
          <w:i/>
          <w:noProof/>
          <w:sz w:val="24"/>
          <w:szCs w:val="24"/>
          <w:u w:val="single"/>
        </w:rPr>
      </w:pPr>
      <w:r>
        <w:rPr>
          <w:rFonts w:ascii="Times New Roman" w:hAnsi="Times New Roman"/>
          <w:i/>
          <w:noProof/>
          <w:sz w:val="24"/>
          <w:szCs w:val="24"/>
          <w:u w:val="single"/>
        </w:rPr>
        <w:t>Sustainable Development Goals (Foreign Affairs Council Conclusions dated 26 May 2015)</w:t>
      </w:r>
    </w:p>
    <w:p>
      <w:pPr>
        <w:autoSpaceDE w:val="0"/>
        <w:autoSpaceDN w:val="0"/>
        <w:adjustRightInd w:val="0"/>
        <w:spacing w:after="120" w:line="240" w:lineRule="auto"/>
        <w:jc w:val="both"/>
        <w:rPr>
          <w:rFonts w:ascii="Times New Roman" w:hAnsi="Times New Roman"/>
          <w:noProof/>
          <w:sz w:val="24"/>
          <w:szCs w:val="24"/>
        </w:rPr>
      </w:pPr>
      <w:r>
        <w:rPr>
          <w:rFonts w:ascii="Times New Roman" w:hAnsi="Times New Roman"/>
          <w:noProof/>
          <w:sz w:val="24"/>
          <w:szCs w:val="24"/>
        </w:rPr>
        <w:t xml:space="preserve">Reference is made to the commitment in Horizon 2020 to support </w:t>
      </w:r>
      <w:r>
        <w:rPr>
          <w:rFonts w:ascii="Times New Roman" w:hAnsi="Times New Roman"/>
          <w:b/>
          <w:noProof/>
          <w:sz w:val="24"/>
          <w:szCs w:val="24"/>
        </w:rPr>
        <w:t>sustainable development</w:t>
      </w:r>
      <w:r>
        <w:rPr>
          <w:rFonts w:ascii="Times New Roman" w:hAnsi="Times New Roman"/>
          <w:noProof/>
          <w:sz w:val="24"/>
          <w:szCs w:val="24"/>
        </w:rPr>
        <w:t xml:space="preserve"> both within the EU and in cooperation with international partners as well as the need to foster science, technology and innovation as part of the overall approach towards poverty eradication and sustainable development post-2015.</w:t>
      </w:r>
    </w:p>
    <w:p>
      <w:pPr>
        <w:autoSpaceDE w:val="0"/>
        <w:autoSpaceDN w:val="0"/>
        <w:adjustRightInd w:val="0"/>
        <w:spacing w:after="120" w:line="240" w:lineRule="auto"/>
        <w:jc w:val="both"/>
        <w:rPr>
          <w:rFonts w:ascii="Times New Roman" w:hAnsi="Times New Roman"/>
          <w:i/>
          <w:noProof/>
          <w:sz w:val="24"/>
          <w:szCs w:val="24"/>
          <w:u w:val="single"/>
        </w:rPr>
      </w:pPr>
      <w:r>
        <w:rPr>
          <w:rFonts w:ascii="Times New Roman" w:hAnsi="Times New Roman"/>
          <w:i/>
          <w:noProof/>
          <w:sz w:val="24"/>
          <w:szCs w:val="24"/>
          <w:u w:val="single"/>
        </w:rPr>
        <w:t>Migration (Foreign Affairs Council Conclusions dated 12 October 2015 and 17-18 March 2016)</w:t>
      </w:r>
    </w:p>
    <w:p>
      <w:pPr>
        <w:autoSpaceDE w:val="0"/>
        <w:autoSpaceDN w:val="0"/>
        <w:adjustRightInd w:val="0"/>
        <w:spacing w:after="120" w:line="240" w:lineRule="auto"/>
        <w:jc w:val="both"/>
        <w:rPr>
          <w:rFonts w:ascii="Times New Roman" w:hAnsi="Times New Roman"/>
          <w:noProof/>
          <w:sz w:val="24"/>
          <w:szCs w:val="24"/>
        </w:rPr>
      </w:pPr>
      <w:r>
        <w:rPr>
          <w:rFonts w:ascii="Times New Roman" w:hAnsi="Times New Roman"/>
          <w:noProof/>
          <w:sz w:val="24"/>
          <w:szCs w:val="24"/>
        </w:rPr>
        <w:t xml:space="preserve">The conclusions acknowledge that the migration crisis within and beyond the EU neighbourhood is exacerbated by poverty, poor socio-economic development in addition to violations of human rights and call for a strong EU external migration and asylum policy. In addition the Council renewed its commitment </w:t>
      </w:r>
      <w:r>
        <w:rPr>
          <w:rFonts w:ascii="Times New Roman" w:hAnsi="Times New Roman"/>
          <w:b/>
          <w:noProof/>
          <w:sz w:val="24"/>
          <w:szCs w:val="24"/>
        </w:rPr>
        <w:t>to mobilise all instruments and policies</w:t>
      </w:r>
      <w:r>
        <w:rPr>
          <w:rFonts w:ascii="Times New Roman" w:hAnsi="Times New Roman"/>
          <w:noProof/>
          <w:sz w:val="24"/>
          <w:szCs w:val="24"/>
        </w:rPr>
        <w:t xml:space="preserve"> to support efforts </w:t>
      </w:r>
      <w:r>
        <w:rPr>
          <w:rFonts w:ascii="Times New Roman" w:hAnsi="Times New Roman"/>
          <w:b/>
          <w:noProof/>
          <w:sz w:val="24"/>
          <w:szCs w:val="24"/>
        </w:rPr>
        <w:t>to address the root causes of migratory flows</w:t>
      </w:r>
      <w:r>
        <w:rPr>
          <w:rFonts w:ascii="Times New Roman" w:hAnsi="Times New Roman"/>
          <w:noProof/>
          <w:sz w:val="24"/>
          <w:szCs w:val="24"/>
        </w:rPr>
        <w:t xml:space="preserve">, poor socio-economic conditions and climate change. While the conclusions do not directly imply actions in R&amp;I, it refers to key pressures on Neighbourhood countries particularly, Jordan, Lebanon, Turkey and Iraq and countries hosting the majority of Syrian and Iraqi refugees.  </w:t>
      </w:r>
    </w:p>
    <w:p>
      <w:pPr>
        <w:autoSpaceDE w:val="0"/>
        <w:autoSpaceDN w:val="0"/>
        <w:adjustRightInd w:val="0"/>
        <w:spacing w:after="120" w:line="240" w:lineRule="auto"/>
        <w:jc w:val="both"/>
        <w:rPr>
          <w:rFonts w:ascii="Times New Roman" w:hAnsi="Times New Roman"/>
          <w:i/>
          <w:noProof/>
          <w:sz w:val="24"/>
          <w:szCs w:val="24"/>
          <w:u w:val="single"/>
        </w:rPr>
      </w:pPr>
      <w:r>
        <w:rPr>
          <w:rFonts w:ascii="Times New Roman" w:hAnsi="Times New Roman"/>
          <w:i/>
          <w:noProof/>
          <w:sz w:val="24"/>
          <w:szCs w:val="24"/>
          <w:u w:val="single"/>
        </w:rPr>
        <w:t>European climate diplomacy after COP21 (Foreign Affairs Council Conclusions dated 15 February 2016)</w:t>
      </w:r>
    </w:p>
    <w:p>
      <w:pPr>
        <w:autoSpaceDE w:val="0"/>
        <w:autoSpaceDN w:val="0"/>
        <w:adjustRightInd w:val="0"/>
        <w:spacing w:before="120" w:after="120" w:line="240" w:lineRule="auto"/>
        <w:jc w:val="both"/>
        <w:rPr>
          <w:rFonts w:ascii="Times New Roman" w:hAnsi="Times New Roman"/>
          <w:noProof/>
          <w:sz w:val="24"/>
          <w:szCs w:val="24"/>
        </w:rPr>
      </w:pPr>
      <w:r>
        <w:rPr>
          <w:rFonts w:ascii="Times New Roman" w:hAnsi="Times New Roman"/>
          <w:noProof/>
          <w:sz w:val="24"/>
          <w:szCs w:val="24"/>
        </w:rPr>
        <w:t>In the overall context of climate diplomacy the Council refers to the development of a climate diplomacy action plan, including efforts to address the nexus of climate change, natural resources, including water, prosperity, stability and migration.</w:t>
      </w:r>
    </w:p>
    <w:p>
      <w:pPr>
        <w:autoSpaceDE w:val="0"/>
        <w:autoSpaceDN w:val="0"/>
        <w:adjustRightInd w:val="0"/>
        <w:spacing w:before="240" w:after="120" w:line="240" w:lineRule="auto"/>
        <w:jc w:val="both"/>
        <w:rPr>
          <w:rFonts w:ascii="Times New Roman" w:hAnsi="Times New Roman"/>
          <w:b/>
          <w:i/>
          <w:noProof/>
          <w:sz w:val="24"/>
          <w:szCs w:val="24"/>
        </w:rPr>
      </w:pPr>
      <w:r>
        <w:rPr>
          <w:rFonts w:ascii="Times New Roman" w:hAnsi="Times New Roman"/>
          <w:b/>
          <w:i/>
          <w:noProof/>
          <w:sz w:val="24"/>
          <w:szCs w:val="24"/>
        </w:rPr>
        <w:t>Institutional background</w:t>
      </w:r>
    </w:p>
    <w:p>
      <w:pPr>
        <w:autoSpaceDE w:val="0"/>
        <w:autoSpaceDN w:val="0"/>
        <w:adjustRightInd w:val="0"/>
        <w:spacing w:after="120" w:line="240" w:lineRule="auto"/>
        <w:jc w:val="both"/>
        <w:rPr>
          <w:rFonts w:ascii="Times New Roman" w:hAnsi="Times New Roman"/>
          <w:noProof/>
          <w:sz w:val="24"/>
          <w:szCs w:val="24"/>
        </w:rPr>
      </w:pPr>
      <w:r>
        <w:rPr>
          <w:rFonts w:ascii="Times New Roman" w:hAnsi="Times New Roman"/>
          <w:noProof/>
          <w:sz w:val="24"/>
          <w:szCs w:val="24"/>
        </w:rPr>
        <w:t xml:space="preserve">The initial institutional thrust that led to the PRIMA Joint Programme is attributed to the </w:t>
      </w:r>
      <w:r>
        <w:rPr>
          <w:rFonts w:ascii="Times New Roman" w:hAnsi="Times New Roman"/>
          <w:b/>
          <w:noProof/>
          <w:sz w:val="24"/>
          <w:szCs w:val="24"/>
        </w:rPr>
        <w:t>Euro-Mediterranean Conference on Science, Technology and Innovation</w:t>
      </w:r>
      <w:r>
        <w:rPr>
          <w:rFonts w:ascii="Times New Roman" w:hAnsi="Times New Roman"/>
          <w:noProof/>
          <w:sz w:val="24"/>
          <w:szCs w:val="24"/>
        </w:rPr>
        <w:t xml:space="preserve"> held in Barcelona in 2012 with the aim of strengthen Euro-Mediterranean cooperation in R&amp;I as part of the broader objectives of the Union's external policy towards the Southern Neighbourhood, which was in the midst of events in the region, then referred to as the Arab Spring. The conference, which was attended by some 350 high-level scientists and policy makers from more than 30 countries, concluded that European and Mediterranean countries needed to establish a true partnership at a regional scale to address key common challenges, including water availability and management, innovation and institutional coordination across the Mediterranean on the basis of co-ownership, mutual interest and shared benefit. Euro-Mediterranean cooperation would be stepped up with a view to </w:t>
      </w:r>
      <w:r>
        <w:rPr>
          <w:rFonts w:ascii="Times New Roman" w:hAnsi="Times New Roman"/>
          <w:b/>
          <w:noProof/>
          <w:sz w:val="24"/>
          <w:szCs w:val="24"/>
        </w:rPr>
        <w:t>establishing long-lasting, sustainable and structuring coordination mechanisms</w:t>
      </w:r>
      <w:r>
        <w:rPr>
          <w:rFonts w:ascii="Times New Roman" w:hAnsi="Times New Roman"/>
          <w:noProof/>
          <w:sz w:val="24"/>
          <w:szCs w:val="24"/>
        </w:rPr>
        <w:t xml:space="preserve"> between the EU, its Member States and Mediterranean countries, such as through an initiative pursuant to Article 185 TFEU.</w:t>
      </w:r>
    </w:p>
    <w:p>
      <w:pPr>
        <w:autoSpaceDE w:val="0"/>
        <w:autoSpaceDN w:val="0"/>
        <w:adjustRightInd w:val="0"/>
        <w:spacing w:after="120" w:line="240" w:lineRule="auto"/>
        <w:jc w:val="both"/>
        <w:rPr>
          <w:rFonts w:ascii="Times New Roman" w:hAnsi="Times New Roman"/>
          <w:noProof/>
          <w:sz w:val="24"/>
          <w:szCs w:val="24"/>
        </w:rPr>
      </w:pPr>
      <w:r>
        <w:rPr>
          <w:rFonts w:ascii="Times New Roman" w:hAnsi="Times New Roman"/>
          <w:noProof/>
          <w:sz w:val="24"/>
          <w:szCs w:val="24"/>
        </w:rPr>
        <w:t xml:space="preserve">As a result this process was pursued during successive Council Presidencies, including during the Nicosia informal Competitiveness Council in July 2012, which launched the preparation of PRIMA and led to the selection by participating Member States and Southern Mediterranean Countries of a focus on </w:t>
      </w:r>
      <w:r>
        <w:rPr>
          <w:rFonts w:ascii="Times New Roman" w:hAnsi="Times New Roman"/>
          <w:b/>
          <w:noProof/>
          <w:sz w:val="24"/>
          <w:szCs w:val="24"/>
        </w:rPr>
        <w:t>water availability and management, and its implications on food systems</w:t>
      </w:r>
      <w:r>
        <w:rPr>
          <w:rFonts w:ascii="Times New Roman" w:hAnsi="Times New Roman"/>
          <w:noProof/>
          <w:sz w:val="24"/>
          <w:szCs w:val="24"/>
        </w:rPr>
        <w:t xml:space="preserve">. The informal Competitiveness Council held in Athens on 13 May 2014 and the Competitiveness Council held in Brussels on 26 May 2014 both confirmed a broad political support for strengthening Euro-Mediterranean cooperation with the proviso that appropriate instruments would be established for this purpose. The Italian Presidency of the Council made PRIMA a priority and secured long-term financial commitments by the countries participating to PRIMA. </w:t>
      </w:r>
    </w:p>
    <w:p>
      <w:pPr>
        <w:autoSpaceDE w:val="0"/>
        <w:autoSpaceDN w:val="0"/>
        <w:adjustRightInd w:val="0"/>
        <w:spacing w:after="120" w:line="240" w:lineRule="auto"/>
        <w:jc w:val="both"/>
        <w:rPr>
          <w:rFonts w:ascii="Times New Roman" w:hAnsi="Times New Roman"/>
          <w:noProof/>
          <w:color w:val="000000"/>
          <w:sz w:val="23"/>
          <w:szCs w:val="23"/>
        </w:rPr>
      </w:pPr>
      <w:r>
        <w:rPr>
          <w:rFonts w:ascii="Times New Roman" w:hAnsi="Times New Roman"/>
          <w:noProof/>
          <w:sz w:val="24"/>
          <w:szCs w:val="24"/>
        </w:rPr>
        <w:t xml:space="preserve">Finally, </w:t>
      </w:r>
      <w:r>
        <w:rPr>
          <w:rFonts w:ascii="Times New Roman" w:hAnsi="Times New Roman"/>
          <w:b/>
          <w:noProof/>
          <w:sz w:val="24"/>
          <w:szCs w:val="24"/>
        </w:rPr>
        <w:t>the Competitiveness Council of 5 December 2014</w:t>
      </w:r>
      <w:r>
        <w:rPr>
          <w:rStyle w:val="FootnoteReference"/>
          <w:rFonts w:ascii="Times New Roman" w:hAnsi="Times New Roman"/>
          <w:noProof/>
          <w:sz w:val="24"/>
          <w:szCs w:val="24"/>
        </w:rPr>
        <w:footnoteReference w:id="8"/>
      </w:r>
      <w:r>
        <w:rPr>
          <w:rFonts w:ascii="Times New Roman" w:hAnsi="Times New Roman"/>
          <w:noProof/>
          <w:sz w:val="24"/>
          <w:szCs w:val="24"/>
        </w:rPr>
        <w:t xml:space="preserve"> invited the Commission to assess whether the participation of the Union in the PRIMA Joint Programme on the basis of Article 185 TFEU would be justified by the scope of the objectives pursued and the scale of the resources required. In its Conclusions, the Council welcomed in particular the focus of the PRIMA Joint Programme </w:t>
      </w:r>
      <w:r>
        <w:rPr>
          <w:rFonts w:ascii="Times New Roman" w:hAnsi="Times New Roman"/>
          <w:b/>
          <w:noProof/>
          <w:sz w:val="24"/>
          <w:szCs w:val="24"/>
        </w:rPr>
        <w:t>on developing and implementing innovative and integrated solutions for the sustainable management of water provision and food systems in the Mediterranean area</w:t>
      </w:r>
      <w:r>
        <w:rPr>
          <w:rFonts w:ascii="Times New Roman" w:hAnsi="Times New Roman"/>
          <w:noProof/>
          <w:sz w:val="24"/>
          <w:szCs w:val="24"/>
        </w:rPr>
        <w:t>. The Council regarded this as a priority challenge to be tackled in order to improve the health, well-being and socio-cultural conditions of the populations of the Mediterranean Area and to boost economic growth.</w:t>
      </w:r>
    </w:p>
    <w:p>
      <w:pPr>
        <w:autoSpaceDE w:val="0"/>
        <w:autoSpaceDN w:val="0"/>
        <w:adjustRightInd w:val="0"/>
        <w:spacing w:before="120" w:after="120" w:line="240" w:lineRule="auto"/>
        <w:jc w:val="both"/>
        <w:rPr>
          <w:rFonts w:ascii="Times New Roman" w:hAnsi="Times New Roman"/>
          <w:noProof/>
          <w:sz w:val="24"/>
          <w:szCs w:val="24"/>
        </w:rPr>
      </w:pPr>
      <w:r>
        <w:rPr>
          <w:rFonts w:ascii="Times New Roman" w:hAnsi="Times New Roman"/>
          <w:noProof/>
          <w:sz w:val="24"/>
          <w:szCs w:val="24"/>
          <w:lang w:eastAsia="fr-BE"/>
        </w:rPr>
        <w:t xml:space="preserve">Therefore, on </w:t>
      </w:r>
      <w:r>
        <w:rPr>
          <w:rFonts w:ascii="Times New Roman" w:hAnsi="Times New Roman"/>
          <w:b/>
          <w:noProof/>
          <w:sz w:val="24"/>
          <w:szCs w:val="24"/>
          <w:lang w:eastAsia="fr-BE"/>
        </w:rPr>
        <w:t>23 December 2014</w:t>
      </w:r>
      <w:r>
        <w:rPr>
          <w:rFonts w:ascii="Times New Roman" w:hAnsi="Times New Roman"/>
          <w:noProof/>
          <w:sz w:val="24"/>
          <w:szCs w:val="24"/>
          <w:lang w:eastAsia="fr-BE"/>
        </w:rPr>
        <w:t xml:space="preserve">, </w:t>
      </w:r>
      <w:r>
        <w:rPr>
          <w:rFonts w:ascii="Times New Roman" w:hAnsi="Times New Roman"/>
          <w:noProof/>
          <w:sz w:val="24"/>
          <w:szCs w:val="24"/>
        </w:rPr>
        <w:t>Member States</w:t>
      </w:r>
      <w:r>
        <w:rPr>
          <w:rStyle w:val="FootnoteReference"/>
          <w:rFonts w:ascii="Times New Roman" w:hAnsi="Times New Roman"/>
          <w:noProof/>
          <w:sz w:val="24"/>
          <w:szCs w:val="24"/>
        </w:rPr>
        <w:footnoteReference w:id="9"/>
      </w:r>
      <w:r>
        <w:rPr>
          <w:rFonts w:ascii="Times New Roman" w:hAnsi="Times New Roman"/>
          <w:noProof/>
          <w:sz w:val="24"/>
          <w:szCs w:val="24"/>
        </w:rPr>
        <w:t xml:space="preserve"> and third countries </w:t>
      </w:r>
      <w:r>
        <w:rPr>
          <w:rFonts w:ascii="Times New Roman" w:hAnsi="Times New Roman"/>
          <w:noProof/>
          <w:sz w:val="24"/>
        </w:rPr>
        <w:t xml:space="preserve">of the Mediterranean Area invited the Commission to participate in a </w:t>
      </w:r>
      <w:r>
        <w:rPr>
          <w:rFonts w:ascii="Times New Roman" w:hAnsi="Times New Roman"/>
          <w:noProof/>
          <w:sz w:val="24"/>
          <w:szCs w:val="24"/>
        </w:rPr>
        <w:t>Joint Programme</w:t>
      </w:r>
      <w:r>
        <w:rPr>
          <w:rStyle w:val="FootnoteReference"/>
          <w:rFonts w:ascii="Times New Roman" w:hAnsi="Times New Roman"/>
          <w:noProof/>
          <w:sz w:val="24"/>
          <w:szCs w:val="24"/>
        </w:rPr>
        <w:footnoteReference w:id="10"/>
      </w:r>
      <w:r>
        <w:rPr>
          <w:rFonts w:ascii="Times New Roman" w:hAnsi="Times New Roman"/>
          <w:noProof/>
          <w:sz w:val="24"/>
          <w:szCs w:val="24"/>
        </w:rPr>
        <w:t xml:space="preserve"> initiative called "Partnership for Research and Innovation in the Mediterranean Area" (PRIMA), based on Article 185 of the </w:t>
      </w:r>
      <w:r>
        <w:rPr>
          <w:rFonts w:ascii="Times New Roman" w:hAnsi="Times New Roman"/>
          <w:noProof/>
          <w:sz w:val="24"/>
        </w:rPr>
        <w:t>Treaty on the Functioning of the European Union (TFEU)</w:t>
      </w:r>
      <w:r>
        <w:rPr>
          <w:rStyle w:val="FootnoteReference"/>
          <w:rFonts w:ascii="Times New Roman" w:hAnsi="Times New Roman"/>
          <w:noProof/>
          <w:sz w:val="24"/>
          <w:szCs w:val="24"/>
        </w:rPr>
        <w:footnoteReference w:id="11"/>
      </w:r>
      <w:r>
        <w:rPr>
          <w:rFonts w:ascii="Times New Roman" w:hAnsi="Times New Roman"/>
          <w:noProof/>
          <w:sz w:val="24"/>
        </w:rPr>
        <w:t>,</w:t>
      </w:r>
      <w:r>
        <w:rPr>
          <w:rFonts w:ascii="Times New Roman" w:hAnsi="Times New Roman"/>
          <w:iCs/>
          <w:noProof/>
          <w:sz w:val="24"/>
          <w:szCs w:val="24"/>
        </w:rPr>
        <w:t xml:space="preserve"> and focused on </w:t>
      </w:r>
      <w:r>
        <w:rPr>
          <w:rFonts w:ascii="Times New Roman" w:hAnsi="Times New Roman"/>
          <w:b/>
          <w:noProof/>
          <w:sz w:val="24"/>
          <w:szCs w:val="24"/>
        </w:rPr>
        <w:t>the development and adoption of innovative integrated solutions for improving the efficiency, safety, security and sustainability of water provision and food systems in the Mediterranean area</w:t>
      </w:r>
      <w:r>
        <w:rPr>
          <w:rFonts w:ascii="Times New Roman" w:hAnsi="Times New Roman"/>
          <w:noProof/>
          <w:sz w:val="24"/>
          <w:szCs w:val="24"/>
        </w:rPr>
        <w:t>.</w:t>
      </w:r>
    </w:p>
    <w:p>
      <w:pPr>
        <w:autoSpaceDE w:val="0"/>
        <w:autoSpaceDN w:val="0"/>
        <w:adjustRightInd w:val="0"/>
        <w:spacing w:after="120" w:line="240" w:lineRule="auto"/>
        <w:jc w:val="both"/>
        <w:rPr>
          <w:rFonts w:ascii="Times New Roman" w:hAnsi="Times New Roman"/>
          <w:noProof/>
          <w:sz w:val="24"/>
          <w:szCs w:val="24"/>
        </w:rPr>
      </w:pPr>
      <w:r>
        <w:rPr>
          <w:rFonts w:ascii="Times New Roman" w:hAnsi="Times New Roman"/>
          <w:noProof/>
          <w:sz w:val="24"/>
          <w:szCs w:val="24"/>
        </w:rPr>
        <w:t>Subsequent to these Competitiveness Council conclusions and the formal submission of the proposal for the PRIMA Joint Programme, Commissioner for Research, Science and Innovation Carlos Moedas asked the Commission services to commence the preparation of an impact assessment on available policy options to tackle the aforementioned challenge including an initiative based on Article 185 TFEU.</w:t>
      </w:r>
    </w:p>
    <w:p>
      <w:pPr>
        <w:autoSpaceDE w:val="0"/>
        <w:autoSpaceDN w:val="0"/>
        <w:adjustRightInd w:val="0"/>
        <w:spacing w:before="240" w:after="120" w:line="240" w:lineRule="auto"/>
        <w:jc w:val="both"/>
        <w:rPr>
          <w:rFonts w:ascii="Times New Roman" w:hAnsi="Times New Roman"/>
          <w:b/>
          <w:i/>
          <w:noProof/>
          <w:sz w:val="24"/>
          <w:szCs w:val="24"/>
        </w:rPr>
      </w:pPr>
      <w:r>
        <w:rPr>
          <w:rFonts w:ascii="Times New Roman" w:hAnsi="Times New Roman"/>
          <w:noProof/>
          <w:sz w:val="24"/>
          <w:szCs w:val="24"/>
        </w:rPr>
        <w:t>On 29 February 2016, an Addendum</w:t>
      </w:r>
      <w:r>
        <w:rPr>
          <w:rStyle w:val="FootnoteReference"/>
          <w:rFonts w:ascii="Times New Roman" w:hAnsi="Times New Roman"/>
          <w:noProof/>
          <w:sz w:val="24"/>
          <w:szCs w:val="24"/>
        </w:rPr>
        <w:footnoteReference w:id="12"/>
      </w:r>
      <w:r>
        <w:rPr>
          <w:rFonts w:ascii="Times New Roman" w:hAnsi="Times New Roman"/>
          <w:noProof/>
          <w:sz w:val="24"/>
          <w:szCs w:val="24"/>
        </w:rPr>
        <w:t xml:space="preserve"> to the PRIMA proposal providing further information and clarifications on the initiative was received by the Commission from the PRIMA Joint Programme. On 15 June 2016, details were received by the Commission from the PRIMA Joint Programme concerning the foreseen Dedicated Implementation Structure (DIS) as well as their choice of a central grant management system.</w:t>
      </w:r>
    </w:p>
    <w:p>
      <w:pPr>
        <w:autoSpaceDE w:val="0"/>
        <w:autoSpaceDN w:val="0"/>
        <w:adjustRightInd w:val="0"/>
        <w:spacing w:before="240" w:after="120" w:line="240" w:lineRule="auto"/>
        <w:jc w:val="both"/>
        <w:rPr>
          <w:rFonts w:ascii="Times New Roman" w:hAnsi="Times New Roman"/>
          <w:b/>
          <w:i/>
          <w:noProof/>
          <w:sz w:val="24"/>
          <w:szCs w:val="24"/>
        </w:rPr>
      </w:pPr>
      <w:r>
        <w:rPr>
          <w:rFonts w:ascii="Times New Roman" w:hAnsi="Times New Roman"/>
          <w:b/>
          <w:i/>
          <w:noProof/>
          <w:sz w:val="24"/>
          <w:szCs w:val="24"/>
        </w:rPr>
        <w:t>Geographical scope</w:t>
      </w:r>
    </w:p>
    <w:p>
      <w:pPr>
        <w:autoSpaceDE w:val="0"/>
        <w:autoSpaceDN w:val="0"/>
        <w:adjustRightInd w:val="0"/>
        <w:spacing w:before="240" w:after="120" w:line="240" w:lineRule="auto"/>
        <w:jc w:val="both"/>
        <w:rPr>
          <w:rFonts w:ascii="Times New Roman" w:hAnsi="Times New Roman"/>
          <w:noProof/>
          <w:sz w:val="24"/>
          <w:szCs w:val="24"/>
        </w:rPr>
      </w:pPr>
      <w:r>
        <w:rPr>
          <w:rFonts w:ascii="Times New Roman" w:hAnsi="Times New Roman"/>
          <w:b/>
          <w:i/>
          <w:noProof/>
          <w:sz w:val="24"/>
          <w:szCs w:val="24"/>
        </w:rPr>
        <w:t>According to the information</w:t>
      </w:r>
      <w:r>
        <w:rPr>
          <w:rFonts w:ascii="Times New Roman" w:hAnsi="Times New Roman"/>
          <w:noProof/>
          <w:sz w:val="24"/>
          <w:szCs w:val="24"/>
        </w:rPr>
        <w:t xml:space="preserve"> included in the PRIMA Proposal (2014) and its Addendum (2016), 19 countries are involved in the PRIMA Joint Programme: </w:t>
      </w:r>
    </w:p>
    <w:p>
      <w:pPr>
        <w:pStyle w:val="ListParagraph"/>
        <w:numPr>
          <w:ilvl w:val="0"/>
          <w:numId w:val="45"/>
        </w:numPr>
        <w:autoSpaceDE w:val="0"/>
        <w:autoSpaceDN w:val="0"/>
        <w:adjustRightInd w:val="0"/>
        <w:spacing w:before="120" w:after="120" w:line="240" w:lineRule="auto"/>
        <w:rPr>
          <w:rFonts w:ascii="Times New Roman" w:hAnsi="Times New Roman"/>
          <w:noProof/>
          <w:sz w:val="24"/>
          <w:szCs w:val="24"/>
        </w:rPr>
      </w:pPr>
      <w:r>
        <w:rPr>
          <w:rFonts w:ascii="Times New Roman" w:hAnsi="Times New Roman"/>
          <w:noProof/>
          <w:sz w:val="24"/>
          <w:szCs w:val="24"/>
        </w:rPr>
        <w:t>11 Member States: Croatia, Cyprus, Czech Republic, France, Greece, Italy, Luxembourg, Malta, Portugal, Slovenia and Spain;</w:t>
      </w:r>
    </w:p>
    <w:p>
      <w:pPr>
        <w:pStyle w:val="ListParagraph"/>
        <w:numPr>
          <w:ilvl w:val="0"/>
          <w:numId w:val="45"/>
        </w:numPr>
        <w:autoSpaceDE w:val="0"/>
        <w:autoSpaceDN w:val="0"/>
        <w:adjustRightInd w:val="0"/>
        <w:spacing w:before="120" w:after="120" w:line="240" w:lineRule="auto"/>
        <w:rPr>
          <w:rFonts w:ascii="Times New Roman" w:hAnsi="Times New Roman"/>
          <w:noProof/>
          <w:sz w:val="24"/>
          <w:szCs w:val="24"/>
        </w:rPr>
      </w:pPr>
      <w:r>
        <w:rPr>
          <w:rFonts w:ascii="Times New Roman" w:hAnsi="Times New Roman"/>
          <w:noProof/>
          <w:sz w:val="24"/>
          <w:szCs w:val="24"/>
        </w:rPr>
        <w:t>3 third countries associated to Horizon 2020: Israel, Tunisia and Turkey; and</w:t>
      </w:r>
    </w:p>
    <w:p>
      <w:pPr>
        <w:pStyle w:val="ListParagraph"/>
        <w:numPr>
          <w:ilvl w:val="0"/>
          <w:numId w:val="45"/>
        </w:numPr>
        <w:autoSpaceDE w:val="0"/>
        <w:autoSpaceDN w:val="0"/>
        <w:adjustRightInd w:val="0"/>
        <w:spacing w:before="120" w:after="120" w:line="240" w:lineRule="auto"/>
        <w:rPr>
          <w:rFonts w:ascii="Times New Roman" w:hAnsi="Times New Roman"/>
          <w:noProof/>
          <w:sz w:val="24"/>
          <w:szCs w:val="24"/>
        </w:rPr>
      </w:pPr>
      <w:r>
        <w:rPr>
          <w:rFonts w:ascii="Times New Roman" w:hAnsi="Times New Roman"/>
          <w:noProof/>
          <w:sz w:val="24"/>
          <w:szCs w:val="24"/>
        </w:rPr>
        <w:t xml:space="preserve">5 third countries not associated to Horizon 2020: Algeria, Egypt, Jordan, Lebanon and Morocco. </w:t>
      </w:r>
    </w:p>
    <w:p>
      <w:pPr>
        <w:autoSpaceDE w:val="0"/>
        <w:autoSpaceDN w:val="0"/>
        <w:adjustRightInd w:val="0"/>
        <w:spacing w:before="120" w:after="120" w:line="240" w:lineRule="auto"/>
        <w:jc w:val="both"/>
        <w:rPr>
          <w:rFonts w:ascii="Times New Roman" w:hAnsi="Times New Roman"/>
          <w:noProof/>
          <w:sz w:val="24"/>
          <w:szCs w:val="24"/>
        </w:rPr>
      </w:pPr>
      <w:r>
        <w:rPr>
          <w:rFonts w:ascii="Times New Roman" w:hAnsi="Times New Roman"/>
          <w:noProof/>
          <w:sz w:val="24"/>
          <w:szCs w:val="24"/>
        </w:rPr>
        <w:t>Among these countries, 14 countries (Cyprus, Czech Republic, Egypt, France, Greece, Israel, Italy, Lebanon, Luxembourg, Malta, Morocco, Portugal, Spain and Tunisia) have agreed to jointly undertake the PRIMA initiative by committing ex-ante 200 million EUR in cash</w:t>
      </w:r>
      <w:r>
        <w:rPr>
          <w:rStyle w:val="FootnoteReference"/>
          <w:rFonts w:ascii="Times New Roman" w:hAnsi="Times New Roman"/>
          <w:noProof/>
          <w:sz w:val="24"/>
          <w:szCs w:val="24"/>
        </w:rPr>
        <w:footnoteReference w:id="13"/>
      </w:r>
      <w:r>
        <w:rPr>
          <w:rFonts w:ascii="Times New Roman" w:hAnsi="Times New Roman"/>
          <w:noProof/>
          <w:sz w:val="24"/>
          <w:szCs w:val="24"/>
        </w:rPr>
        <w:t xml:space="preserve"> over a 10 year period</w:t>
      </w:r>
      <w:r>
        <w:rPr>
          <w:rStyle w:val="FootnoteReference"/>
          <w:rFonts w:ascii="Times New Roman" w:hAnsi="Times New Roman"/>
          <w:noProof/>
          <w:sz w:val="24"/>
          <w:szCs w:val="24"/>
        </w:rPr>
        <w:footnoteReference w:id="14"/>
      </w:r>
      <w:r>
        <w:rPr>
          <w:rFonts w:ascii="Times New Roman" w:hAnsi="Times New Roman"/>
          <w:noProof/>
          <w:sz w:val="24"/>
          <w:szCs w:val="24"/>
        </w:rPr>
        <w:t xml:space="preserve"> starting in 2018 (see Table 1).</w:t>
      </w:r>
    </w:p>
    <w:p>
      <w:pPr>
        <w:autoSpaceDE w:val="0"/>
        <w:autoSpaceDN w:val="0"/>
        <w:adjustRightInd w:val="0"/>
        <w:spacing w:after="240" w:line="240" w:lineRule="auto"/>
        <w:jc w:val="both"/>
        <w:rPr>
          <w:rFonts w:ascii="Times New Roman" w:hAnsi="Times New Roman"/>
          <w:noProof/>
          <w:sz w:val="24"/>
          <w:szCs w:val="24"/>
        </w:rPr>
      </w:pPr>
      <w:r>
        <w:rPr>
          <w:rFonts w:ascii="Times New Roman" w:hAnsi="Times New Roman"/>
          <w:noProof/>
          <w:sz w:val="24"/>
          <w:szCs w:val="24"/>
        </w:rPr>
        <w:t>The other 5 countries (Algeria, Croatia, Jordan, Slovenia, and Turkey) are expected to contribute to the PRIMA initiative as observers (see Figure 1).</w:t>
      </w:r>
    </w:p>
    <w:tbl>
      <w:tblPr>
        <w:tblW w:w="7765" w:type="dxa"/>
        <w:jc w:val="center"/>
        <w:tblInd w:w="-521" w:type="dxa"/>
        <w:tblLook w:val="04A0" w:firstRow="1" w:lastRow="0" w:firstColumn="1" w:lastColumn="0" w:noHBand="0" w:noVBand="1"/>
      </w:tblPr>
      <w:tblGrid>
        <w:gridCol w:w="2185"/>
        <w:gridCol w:w="1733"/>
        <w:gridCol w:w="1811"/>
        <w:gridCol w:w="2036"/>
      </w:tblGrid>
      <w:tr>
        <w:trPr>
          <w:trHeight w:val="322"/>
          <w:jc w:val="center"/>
        </w:trPr>
        <w:tc>
          <w:tcPr>
            <w:tcW w:w="2185" w:type="dxa"/>
            <w:tcBorders>
              <w:top w:val="single" w:sz="4" w:space="0" w:color="auto"/>
              <w:left w:val="single" w:sz="4" w:space="0" w:color="auto"/>
              <w:bottom w:val="single" w:sz="4" w:space="0" w:color="auto"/>
              <w:right w:val="single" w:sz="4" w:space="0" w:color="auto"/>
            </w:tcBorders>
            <w:shd w:val="clear" w:color="000000" w:fill="C0C0C0"/>
            <w:vAlign w:val="center"/>
            <w:hideMark/>
          </w:tcPr>
          <w:p>
            <w:pPr>
              <w:spacing w:before="40" w:after="40" w:line="240" w:lineRule="auto"/>
              <w:jc w:val="center"/>
              <w:rPr>
                <w:rFonts w:ascii="Times New Roman" w:eastAsia="Times New Roman" w:hAnsi="Times New Roman"/>
                <w:b/>
                <w:bCs/>
                <w:noProof/>
                <w:sz w:val="20"/>
                <w:szCs w:val="20"/>
                <w:lang w:eastAsia="en-GB"/>
              </w:rPr>
            </w:pPr>
            <w:r>
              <w:rPr>
                <w:rFonts w:ascii="Times New Roman" w:eastAsia="Times New Roman" w:hAnsi="Times New Roman"/>
                <w:b/>
                <w:bCs/>
                <w:noProof/>
                <w:sz w:val="20"/>
                <w:szCs w:val="20"/>
                <w:lang w:eastAsia="en-GB"/>
              </w:rPr>
              <w:t>Participating State</w:t>
            </w:r>
          </w:p>
        </w:tc>
        <w:tc>
          <w:tcPr>
            <w:tcW w:w="1733" w:type="dxa"/>
            <w:tcBorders>
              <w:top w:val="single" w:sz="4" w:space="0" w:color="auto"/>
              <w:left w:val="nil"/>
              <w:bottom w:val="single" w:sz="4" w:space="0" w:color="auto"/>
              <w:right w:val="single" w:sz="4" w:space="0" w:color="auto"/>
            </w:tcBorders>
            <w:shd w:val="clear" w:color="000000" w:fill="C0C0C0"/>
            <w:vAlign w:val="center"/>
            <w:hideMark/>
          </w:tcPr>
          <w:p>
            <w:pPr>
              <w:spacing w:before="40" w:after="40" w:line="240" w:lineRule="auto"/>
              <w:jc w:val="center"/>
              <w:rPr>
                <w:rFonts w:ascii="Times New Roman" w:eastAsia="Times New Roman" w:hAnsi="Times New Roman"/>
                <w:b/>
                <w:bCs/>
                <w:noProof/>
                <w:sz w:val="20"/>
                <w:szCs w:val="20"/>
                <w:lang w:eastAsia="en-GB"/>
              </w:rPr>
            </w:pPr>
            <w:r>
              <w:rPr>
                <w:rFonts w:ascii="Times New Roman" w:eastAsia="Times New Roman" w:hAnsi="Times New Roman"/>
                <w:b/>
                <w:bCs/>
                <w:noProof/>
                <w:sz w:val="20"/>
                <w:szCs w:val="20"/>
                <w:lang w:eastAsia="en-GB"/>
              </w:rPr>
              <w:t>Cash (M EUR)</w:t>
            </w:r>
          </w:p>
        </w:tc>
        <w:tc>
          <w:tcPr>
            <w:tcW w:w="1811" w:type="dxa"/>
            <w:tcBorders>
              <w:top w:val="single" w:sz="4" w:space="0" w:color="auto"/>
              <w:left w:val="nil"/>
              <w:bottom w:val="single" w:sz="4" w:space="0" w:color="auto"/>
              <w:right w:val="single" w:sz="4" w:space="0" w:color="auto"/>
            </w:tcBorders>
            <w:shd w:val="clear" w:color="000000" w:fill="C0C0C0"/>
            <w:vAlign w:val="center"/>
            <w:hideMark/>
          </w:tcPr>
          <w:p>
            <w:pPr>
              <w:spacing w:before="40" w:after="40" w:line="240" w:lineRule="auto"/>
              <w:jc w:val="center"/>
              <w:rPr>
                <w:rFonts w:ascii="Times New Roman" w:eastAsia="Times New Roman" w:hAnsi="Times New Roman"/>
                <w:b/>
                <w:bCs/>
                <w:noProof/>
                <w:sz w:val="20"/>
                <w:szCs w:val="20"/>
                <w:lang w:eastAsia="en-GB"/>
              </w:rPr>
            </w:pPr>
            <w:r>
              <w:rPr>
                <w:rFonts w:ascii="Times New Roman" w:eastAsia="Times New Roman" w:hAnsi="Times New Roman"/>
                <w:b/>
                <w:bCs/>
                <w:noProof/>
                <w:sz w:val="20"/>
                <w:szCs w:val="20"/>
                <w:lang w:eastAsia="en-GB"/>
              </w:rPr>
              <w:t>In-kind (M EUR)</w:t>
            </w:r>
          </w:p>
        </w:tc>
        <w:tc>
          <w:tcPr>
            <w:tcW w:w="2036" w:type="dxa"/>
            <w:tcBorders>
              <w:top w:val="single" w:sz="4" w:space="0" w:color="auto"/>
              <w:left w:val="nil"/>
              <w:bottom w:val="single" w:sz="4" w:space="0" w:color="auto"/>
              <w:right w:val="single" w:sz="4" w:space="0" w:color="auto"/>
            </w:tcBorders>
            <w:shd w:val="clear" w:color="000000" w:fill="C0C0C0"/>
            <w:vAlign w:val="center"/>
            <w:hideMark/>
          </w:tcPr>
          <w:p>
            <w:pPr>
              <w:spacing w:before="40" w:after="40" w:line="240" w:lineRule="auto"/>
              <w:jc w:val="center"/>
              <w:rPr>
                <w:rFonts w:ascii="Times New Roman" w:eastAsia="Times New Roman" w:hAnsi="Times New Roman"/>
                <w:b/>
                <w:bCs/>
                <w:noProof/>
                <w:sz w:val="20"/>
                <w:szCs w:val="20"/>
                <w:lang w:eastAsia="en-GB"/>
              </w:rPr>
            </w:pPr>
            <w:r>
              <w:rPr>
                <w:rFonts w:ascii="Times New Roman" w:eastAsia="Times New Roman" w:hAnsi="Times New Roman"/>
                <w:b/>
                <w:bCs/>
                <w:noProof/>
                <w:sz w:val="20"/>
                <w:szCs w:val="20"/>
                <w:lang w:eastAsia="en-GB"/>
              </w:rPr>
              <w:t>Duration (Year)</w:t>
            </w:r>
          </w:p>
        </w:tc>
      </w:tr>
      <w:tr>
        <w:trPr>
          <w:trHeight w:val="300"/>
          <w:jc w:val="center"/>
        </w:trPr>
        <w:tc>
          <w:tcPr>
            <w:tcW w:w="2185" w:type="dxa"/>
            <w:tcBorders>
              <w:top w:val="nil"/>
              <w:left w:val="single" w:sz="4" w:space="0" w:color="auto"/>
              <w:bottom w:val="single" w:sz="4" w:space="0" w:color="auto"/>
              <w:right w:val="single" w:sz="4" w:space="0" w:color="auto"/>
            </w:tcBorders>
            <w:shd w:val="clear" w:color="auto" w:fill="auto"/>
            <w:vAlign w:val="center"/>
            <w:hideMark/>
          </w:tcPr>
          <w:p>
            <w:pPr>
              <w:spacing w:before="40" w:after="40" w:line="240" w:lineRule="auto"/>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Italy</w:t>
            </w:r>
          </w:p>
        </w:tc>
        <w:tc>
          <w:tcPr>
            <w:tcW w:w="1733"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50</w:t>
            </w:r>
          </w:p>
        </w:tc>
        <w:tc>
          <w:tcPr>
            <w:tcW w:w="1811"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50</w:t>
            </w:r>
          </w:p>
        </w:tc>
        <w:tc>
          <w:tcPr>
            <w:tcW w:w="2036"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10</w:t>
            </w:r>
          </w:p>
        </w:tc>
      </w:tr>
      <w:tr>
        <w:trPr>
          <w:trHeight w:val="255"/>
          <w:jc w:val="center"/>
        </w:trPr>
        <w:tc>
          <w:tcPr>
            <w:tcW w:w="2185" w:type="dxa"/>
            <w:tcBorders>
              <w:top w:val="nil"/>
              <w:left w:val="single" w:sz="4" w:space="0" w:color="auto"/>
              <w:bottom w:val="single" w:sz="4" w:space="0" w:color="auto"/>
              <w:right w:val="single" w:sz="4" w:space="0" w:color="auto"/>
            </w:tcBorders>
            <w:shd w:val="clear" w:color="auto" w:fill="auto"/>
            <w:vAlign w:val="center"/>
            <w:hideMark/>
          </w:tcPr>
          <w:p>
            <w:pPr>
              <w:spacing w:before="40" w:after="40" w:line="240" w:lineRule="auto"/>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Czech Republic</w:t>
            </w:r>
          </w:p>
        </w:tc>
        <w:tc>
          <w:tcPr>
            <w:tcW w:w="1733"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10</w:t>
            </w:r>
          </w:p>
        </w:tc>
        <w:tc>
          <w:tcPr>
            <w:tcW w:w="1811"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10</w:t>
            </w:r>
          </w:p>
        </w:tc>
        <w:tc>
          <w:tcPr>
            <w:tcW w:w="2036"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10</w:t>
            </w:r>
          </w:p>
        </w:tc>
      </w:tr>
      <w:tr>
        <w:trPr>
          <w:trHeight w:val="300"/>
          <w:jc w:val="center"/>
        </w:trPr>
        <w:tc>
          <w:tcPr>
            <w:tcW w:w="2185" w:type="dxa"/>
            <w:tcBorders>
              <w:top w:val="nil"/>
              <w:left w:val="single" w:sz="4" w:space="0" w:color="auto"/>
              <w:bottom w:val="single" w:sz="4" w:space="0" w:color="auto"/>
              <w:right w:val="single" w:sz="4" w:space="0" w:color="auto"/>
            </w:tcBorders>
            <w:shd w:val="clear" w:color="auto" w:fill="auto"/>
            <w:vAlign w:val="center"/>
            <w:hideMark/>
          </w:tcPr>
          <w:p>
            <w:pPr>
              <w:spacing w:before="40" w:after="40" w:line="240" w:lineRule="auto"/>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France</w:t>
            </w:r>
          </w:p>
        </w:tc>
        <w:tc>
          <w:tcPr>
            <w:tcW w:w="1733"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40</w:t>
            </w:r>
          </w:p>
        </w:tc>
        <w:tc>
          <w:tcPr>
            <w:tcW w:w="1811"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40</w:t>
            </w:r>
          </w:p>
        </w:tc>
        <w:tc>
          <w:tcPr>
            <w:tcW w:w="2036"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10</w:t>
            </w:r>
          </w:p>
        </w:tc>
      </w:tr>
      <w:tr>
        <w:trPr>
          <w:trHeight w:val="255"/>
          <w:jc w:val="center"/>
        </w:trPr>
        <w:tc>
          <w:tcPr>
            <w:tcW w:w="2185" w:type="dxa"/>
            <w:tcBorders>
              <w:top w:val="nil"/>
              <w:left w:val="single" w:sz="4" w:space="0" w:color="auto"/>
              <w:bottom w:val="single" w:sz="4" w:space="0" w:color="auto"/>
              <w:right w:val="single" w:sz="4" w:space="0" w:color="auto"/>
            </w:tcBorders>
            <w:shd w:val="clear" w:color="auto" w:fill="auto"/>
            <w:vAlign w:val="center"/>
            <w:hideMark/>
          </w:tcPr>
          <w:p>
            <w:pPr>
              <w:spacing w:before="40" w:after="40" w:line="240" w:lineRule="auto"/>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Luxembourg</w:t>
            </w:r>
          </w:p>
        </w:tc>
        <w:tc>
          <w:tcPr>
            <w:tcW w:w="1733"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1.5</w:t>
            </w:r>
          </w:p>
        </w:tc>
        <w:tc>
          <w:tcPr>
            <w:tcW w:w="1811"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1.5</w:t>
            </w:r>
          </w:p>
        </w:tc>
        <w:tc>
          <w:tcPr>
            <w:tcW w:w="2036"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10</w:t>
            </w:r>
          </w:p>
        </w:tc>
      </w:tr>
      <w:tr>
        <w:trPr>
          <w:trHeight w:val="255"/>
          <w:jc w:val="center"/>
        </w:trPr>
        <w:tc>
          <w:tcPr>
            <w:tcW w:w="2185" w:type="dxa"/>
            <w:tcBorders>
              <w:top w:val="nil"/>
              <w:left w:val="single" w:sz="4" w:space="0" w:color="auto"/>
              <w:bottom w:val="single" w:sz="4" w:space="0" w:color="auto"/>
              <w:right w:val="single" w:sz="4" w:space="0" w:color="auto"/>
            </w:tcBorders>
            <w:shd w:val="clear" w:color="auto" w:fill="auto"/>
            <w:vAlign w:val="center"/>
            <w:hideMark/>
          </w:tcPr>
          <w:p>
            <w:pPr>
              <w:spacing w:before="40" w:after="40" w:line="240" w:lineRule="auto"/>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Malta</w:t>
            </w:r>
          </w:p>
        </w:tc>
        <w:tc>
          <w:tcPr>
            <w:tcW w:w="1733"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5</w:t>
            </w:r>
          </w:p>
        </w:tc>
        <w:tc>
          <w:tcPr>
            <w:tcW w:w="1811"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 </w:t>
            </w:r>
          </w:p>
        </w:tc>
        <w:tc>
          <w:tcPr>
            <w:tcW w:w="2036"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10</w:t>
            </w:r>
          </w:p>
        </w:tc>
      </w:tr>
      <w:tr>
        <w:trPr>
          <w:trHeight w:val="255"/>
          <w:jc w:val="center"/>
        </w:trPr>
        <w:tc>
          <w:tcPr>
            <w:tcW w:w="2185" w:type="dxa"/>
            <w:tcBorders>
              <w:top w:val="nil"/>
              <w:left w:val="single" w:sz="4" w:space="0" w:color="auto"/>
              <w:bottom w:val="single" w:sz="4" w:space="0" w:color="auto"/>
              <w:right w:val="single" w:sz="4" w:space="0" w:color="auto"/>
            </w:tcBorders>
            <w:shd w:val="clear" w:color="auto" w:fill="auto"/>
            <w:vAlign w:val="center"/>
            <w:hideMark/>
          </w:tcPr>
          <w:p>
            <w:pPr>
              <w:spacing w:before="40" w:after="40" w:line="240" w:lineRule="auto"/>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Morocco</w:t>
            </w:r>
          </w:p>
        </w:tc>
        <w:tc>
          <w:tcPr>
            <w:tcW w:w="1733"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20</w:t>
            </w:r>
          </w:p>
        </w:tc>
        <w:tc>
          <w:tcPr>
            <w:tcW w:w="1811"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20</w:t>
            </w:r>
          </w:p>
        </w:tc>
        <w:tc>
          <w:tcPr>
            <w:tcW w:w="2036"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10</w:t>
            </w:r>
          </w:p>
        </w:tc>
      </w:tr>
      <w:tr>
        <w:trPr>
          <w:trHeight w:val="300"/>
          <w:jc w:val="center"/>
        </w:trPr>
        <w:tc>
          <w:tcPr>
            <w:tcW w:w="2185" w:type="dxa"/>
            <w:tcBorders>
              <w:top w:val="nil"/>
              <w:left w:val="single" w:sz="4" w:space="0" w:color="auto"/>
              <w:bottom w:val="single" w:sz="4" w:space="0" w:color="auto"/>
              <w:right w:val="single" w:sz="4" w:space="0" w:color="auto"/>
            </w:tcBorders>
            <w:shd w:val="clear" w:color="auto" w:fill="auto"/>
            <w:vAlign w:val="center"/>
            <w:hideMark/>
          </w:tcPr>
          <w:p>
            <w:pPr>
              <w:spacing w:before="40" w:after="40" w:line="240" w:lineRule="auto"/>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Portugal</w:t>
            </w:r>
          </w:p>
        </w:tc>
        <w:tc>
          <w:tcPr>
            <w:tcW w:w="1733"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2.5</w:t>
            </w:r>
          </w:p>
        </w:tc>
        <w:tc>
          <w:tcPr>
            <w:tcW w:w="1811"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 </w:t>
            </w:r>
          </w:p>
        </w:tc>
        <w:tc>
          <w:tcPr>
            <w:tcW w:w="2036"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5</w:t>
            </w:r>
          </w:p>
        </w:tc>
      </w:tr>
      <w:tr>
        <w:trPr>
          <w:trHeight w:val="255"/>
          <w:jc w:val="center"/>
        </w:trPr>
        <w:tc>
          <w:tcPr>
            <w:tcW w:w="2185" w:type="dxa"/>
            <w:tcBorders>
              <w:top w:val="nil"/>
              <w:left w:val="single" w:sz="4" w:space="0" w:color="auto"/>
              <w:bottom w:val="single" w:sz="4" w:space="0" w:color="auto"/>
              <w:right w:val="single" w:sz="4" w:space="0" w:color="auto"/>
            </w:tcBorders>
            <w:shd w:val="clear" w:color="auto" w:fill="auto"/>
            <w:vAlign w:val="center"/>
            <w:hideMark/>
          </w:tcPr>
          <w:p>
            <w:pPr>
              <w:spacing w:before="40" w:after="40" w:line="240" w:lineRule="auto"/>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Spain</w:t>
            </w:r>
          </w:p>
        </w:tc>
        <w:tc>
          <w:tcPr>
            <w:tcW w:w="1733"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30</w:t>
            </w:r>
          </w:p>
        </w:tc>
        <w:tc>
          <w:tcPr>
            <w:tcW w:w="1811"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 </w:t>
            </w:r>
          </w:p>
        </w:tc>
        <w:tc>
          <w:tcPr>
            <w:tcW w:w="2036"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10</w:t>
            </w:r>
          </w:p>
        </w:tc>
      </w:tr>
      <w:tr>
        <w:trPr>
          <w:trHeight w:val="255"/>
          <w:jc w:val="center"/>
        </w:trPr>
        <w:tc>
          <w:tcPr>
            <w:tcW w:w="2185" w:type="dxa"/>
            <w:tcBorders>
              <w:top w:val="nil"/>
              <w:left w:val="single" w:sz="4" w:space="0" w:color="auto"/>
              <w:bottom w:val="single" w:sz="4" w:space="0" w:color="auto"/>
              <w:right w:val="single" w:sz="4" w:space="0" w:color="auto"/>
            </w:tcBorders>
            <w:shd w:val="clear" w:color="auto" w:fill="auto"/>
            <w:vAlign w:val="center"/>
            <w:hideMark/>
          </w:tcPr>
          <w:p>
            <w:pPr>
              <w:spacing w:before="40" w:after="40" w:line="240" w:lineRule="auto"/>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Cyprus</w:t>
            </w:r>
          </w:p>
        </w:tc>
        <w:tc>
          <w:tcPr>
            <w:tcW w:w="1733"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2</w:t>
            </w:r>
          </w:p>
        </w:tc>
        <w:tc>
          <w:tcPr>
            <w:tcW w:w="1811"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 </w:t>
            </w:r>
          </w:p>
        </w:tc>
        <w:tc>
          <w:tcPr>
            <w:tcW w:w="2036"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10</w:t>
            </w:r>
          </w:p>
        </w:tc>
      </w:tr>
      <w:tr>
        <w:trPr>
          <w:trHeight w:val="255"/>
          <w:jc w:val="center"/>
        </w:trPr>
        <w:tc>
          <w:tcPr>
            <w:tcW w:w="2185" w:type="dxa"/>
            <w:tcBorders>
              <w:top w:val="nil"/>
              <w:left w:val="single" w:sz="4" w:space="0" w:color="auto"/>
              <w:bottom w:val="single" w:sz="4" w:space="0" w:color="auto"/>
              <w:right w:val="single" w:sz="4" w:space="0" w:color="auto"/>
            </w:tcBorders>
            <w:shd w:val="clear" w:color="auto" w:fill="auto"/>
            <w:vAlign w:val="center"/>
            <w:hideMark/>
          </w:tcPr>
          <w:p>
            <w:pPr>
              <w:spacing w:before="40" w:after="40" w:line="240" w:lineRule="auto"/>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Egypt</w:t>
            </w:r>
          </w:p>
        </w:tc>
        <w:tc>
          <w:tcPr>
            <w:tcW w:w="1733"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15</w:t>
            </w:r>
          </w:p>
        </w:tc>
        <w:tc>
          <w:tcPr>
            <w:tcW w:w="1811"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3</w:t>
            </w:r>
          </w:p>
        </w:tc>
        <w:tc>
          <w:tcPr>
            <w:tcW w:w="2036"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10</w:t>
            </w:r>
          </w:p>
        </w:tc>
      </w:tr>
      <w:tr>
        <w:trPr>
          <w:trHeight w:val="255"/>
          <w:jc w:val="center"/>
        </w:trPr>
        <w:tc>
          <w:tcPr>
            <w:tcW w:w="2185" w:type="dxa"/>
            <w:tcBorders>
              <w:top w:val="nil"/>
              <w:left w:val="single" w:sz="4" w:space="0" w:color="auto"/>
              <w:bottom w:val="single" w:sz="4" w:space="0" w:color="auto"/>
              <w:right w:val="single" w:sz="4" w:space="0" w:color="auto"/>
            </w:tcBorders>
            <w:shd w:val="clear" w:color="auto" w:fill="auto"/>
            <w:vAlign w:val="center"/>
            <w:hideMark/>
          </w:tcPr>
          <w:p>
            <w:pPr>
              <w:spacing w:before="40" w:after="40" w:line="240" w:lineRule="auto"/>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Greece</w:t>
            </w:r>
          </w:p>
        </w:tc>
        <w:tc>
          <w:tcPr>
            <w:tcW w:w="1733"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5</w:t>
            </w:r>
          </w:p>
        </w:tc>
        <w:tc>
          <w:tcPr>
            <w:tcW w:w="1811"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5</w:t>
            </w:r>
          </w:p>
        </w:tc>
        <w:tc>
          <w:tcPr>
            <w:tcW w:w="2036"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10</w:t>
            </w:r>
          </w:p>
        </w:tc>
      </w:tr>
      <w:tr>
        <w:trPr>
          <w:trHeight w:val="255"/>
          <w:jc w:val="center"/>
        </w:trPr>
        <w:tc>
          <w:tcPr>
            <w:tcW w:w="2185" w:type="dxa"/>
            <w:tcBorders>
              <w:top w:val="nil"/>
              <w:left w:val="single" w:sz="4" w:space="0" w:color="auto"/>
              <w:bottom w:val="single" w:sz="4" w:space="0" w:color="auto"/>
              <w:right w:val="single" w:sz="4" w:space="0" w:color="auto"/>
            </w:tcBorders>
            <w:shd w:val="clear" w:color="auto" w:fill="auto"/>
            <w:vAlign w:val="center"/>
            <w:hideMark/>
          </w:tcPr>
          <w:p>
            <w:pPr>
              <w:spacing w:before="40" w:after="40" w:line="240" w:lineRule="auto"/>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Israel</w:t>
            </w:r>
          </w:p>
        </w:tc>
        <w:tc>
          <w:tcPr>
            <w:tcW w:w="1733"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5</w:t>
            </w:r>
          </w:p>
        </w:tc>
        <w:tc>
          <w:tcPr>
            <w:tcW w:w="1811"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 </w:t>
            </w:r>
          </w:p>
        </w:tc>
        <w:tc>
          <w:tcPr>
            <w:tcW w:w="2036"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5</w:t>
            </w:r>
          </w:p>
        </w:tc>
      </w:tr>
      <w:tr>
        <w:trPr>
          <w:trHeight w:val="300"/>
          <w:jc w:val="center"/>
        </w:trPr>
        <w:tc>
          <w:tcPr>
            <w:tcW w:w="2185" w:type="dxa"/>
            <w:tcBorders>
              <w:top w:val="nil"/>
              <w:left w:val="single" w:sz="4" w:space="0" w:color="auto"/>
              <w:bottom w:val="single" w:sz="4" w:space="0" w:color="auto"/>
              <w:right w:val="single" w:sz="4" w:space="0" w:color="auto"/>
            </w:tcBorders>
            <w:shd w:val="clear" w:color="auto" w:fill="auto"/>
            <w:vAlign w:val="center"/>
            <w:hideMark/>
          </w:tcPr>
          <w:p>
            <w:pPr>
              <w:spacing w:before="40" w:after="40" w:line="240" w:lineRule="auto"/>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Lebanon</w:t>
            </w:r>
          </w:p>
        </w:tc>
        <w:tc>
          <w:tcPr>
            <w:tcW w:w="1733"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4</w:t>
            </w:r>
          </w:p>
        </w:tc>
        <w:tc>
          <w:tcPr>
            <w:tcW w:w="1811"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2</w:t>
            </w:r>
          </w:p>
        </w:tc>
        <w:tc>
          <w:tcPr>
            <w:tcW w:w="2036"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10</w:t>
            </w:r>
          </w:p>
        </w:tc>
      </w:tr>
      <w:tr>
        <w:trPr>
          <w:trHeight w:val="255"/>
          <w:jc w:val="center"/>
        </w:trPr>
        <w:tc>
          <w:tcPr>
            <w:tcW w:w="2185" w:type="dxa"/>
            <w:tcBorders>
              <w:top w:val="nil"/>
              <w:left w:val="single" w:sz="4" w:space="0" w:color="auto"/>
              <w:bottom w:val="single" w:sz="4" w:space="0" w:color="auto"/>
              <w:right w:val="single" w:sz="4" w:space="0" w:color="auto"/>
            </w:tcBorders>
            <w:shd w:val="clear" w:color="auto" w:fill="auto"/>
            <w:vAlign w:val="center"/>
            <w:hideMark/>
          </w:tcPr>
          <w:p>
            <w:pPr>
              <w:spacing w:before="40" w:after="40" w:line="240" w:lineRule="auto"/>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Tunisia</w:t>
            </w:r>
          </w:p>
        </w:tc>
        <w:tc>
          <w:tcPr>
            <w:tcW w:w="1733"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10</w:t>
            </w:r>
          </w:p>
        </w:tc>
        <w:tc>
          <w:tcPr>
            <w:tcW w:w="1811"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 </w:t>
            </w:r>
          </w:p>
        </w:tc>
        <w:tc>
          <w:tcPr>
            <w:tcW w:w="2036" w:type="dxa"/>
            <w:tcBorders>
              <w:top w:val="nil"/>
              <w:left w:val="nil"/>
              <w:bottom w:val="single" w:sz="4" w:space="0" w:color="auto"/>
              <w:right w:val="single" w:sz="4" w:space="0" w:color="auto"/>
            </w:tcBorders>
            <w:shd w:val="clear" w:color="auto" w:fill="auto"/>
            <w:vAlign w:val="center"/>
            <w:hideMark/>
          </w:tcPr>
          <w:p>
            <w:pPr>
              <w:spacing w:before="40" w:after="40" w:line="240" w:lineRule="auto"/>
              <w:ind w:right="89"/>
              <w:jc w:val="right"/>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10</w:t>
            </w:r>
          </w:p>
        </w:tc>
      </w:tr>
      <w:tr>
        <w:trPr>
          <w:trHeight w:val="161"/>
          <w:jc w:val="center"/>
        </w:trPr>
        <w:tc>
          <w:tcPr>
            <w:tcW w:w="2185" w:type="dxa"/>
            <w:tcBorders>
              <w:top w:val="nil"/>
              <w:left w:val="nil"/>
              <w:bottom w:val="nil"/>
              <w:right w:val="nil"/>
            </w:tcBorders>
            <w:shd w:val="clear" w:color="000000" w:fill="D9D9D9"/>
            <w:vAlign w:val="bottom"/>
            <w:hideMark/>
          </w:tcPr>
          <w:p>
            <w:pPr>
              <w:spacing w:before="40" w:after="40" w:line="240" w:lineRule="auto"/>
              <w:jc w:val="right"/>
              <w:rPr>
                <w:rFonts w:ascii="Times New Roman" w:eastAsia="Times New Roman" w:hAnsi="Times New Roman"/>
                <w:b/>
                <w:bCs/>
                <w:noProof/>
                <w:sz w:val="20"/>
                <w:szCs w:val="20"/>
                <w:lang w:eastAsia="en-GB"/>
              </w:rPr>
            </w:pPr>
            <w:r>
              <w:rPr>
                <w:rFonts w:ascii="Times New Roman" w:eastAsia="Times New Roman" w:hAnsi="Times New Roman"/>
                <w:b/>
                <w:bCs/>
                <w:noProof/>
                <w:sz w:val="20"/>
                <w:szCs w:val="20"/>
                <w:lang w:eastAsia="en-GB"/>
              </w:rPr>
              <w:t>TOTAL</w:t>
            </w:r>
          </w:p>
        </w:tc>
        <w:tc>
          <w:tcPr>
            <w:tcW w:w="1733" w:type="dxa"/>
            <w:tcBorders>
              <w:top w:val="nil"/>
              <w:left w:val="nil"/>
              <w:bottom w:val="nil"/>
              <w:right w:val="nil"/>
            </w:tcBorders>
            <w:shd w:val="clear" w:color="000000" w:fill="D9D9D9"/>
            <w:noWrap/>
            <w:vAlign w:val="bottom"/>
            <w:hideMark/>
          </w:tcPr>
          <w:p>
            <w:pPr>
              <w:spacing w:before="40" w:after="40" w:line="240" w:lineRule="auto"/>
              <w:ind w:right="89"/>
              <w:jc w:val="right"/>
              <w:rPr>
                <w:rFonts w:ascii="Times New Roman" w:eastAsia="Times New Roman" w:hAnsi="Times New Roman"/>
                <w:b/>
                <w:bCs/>
                <w:noProof/>
                <w:sz w:val="20"/>
                <w:szCs w:val="20"/>
                <w:lang w:eastAsia="en-GB"/>
              </w:rPr>
            </w:pPr>
            <w:r>
              <w:rPr>
                <w:rFonts w:ascii="Times New Roman" w:eastAsia="Times New Roman" w:hAnsi="Times New Roman"/>
                <w:b/>
                <w:bCs/>
                <w:noProof/>
                <w:sz w:val="20"/>
                <w:szCs w:val="20"/>
                <w:lang w:eastAsia="en-GB"/>
              </w:rPr>
              <w:t>200</w:t>
            </w:r>
          </w:p>
        </w:tc>
        <w:tc>
          <w:tcPr>
            <w:tcW w:w="1811" w:type="dxa"/>
            <w:tcBorders>
              <w:top w:val="nil"/>
              <w:left w:val="nil"/>
              <w:bottom w:val="nil"/>
              <w:right w:val="nil"/>
            </w:tcBorders>
            <w:shd w:val="clear" w:color="000000" w:fill="D9D9D9"/>
            <w:noWrap/>
            <w:vAlign w:val="bottom"/>
            <w:hideMark/>
          </w:tcPr>
          <w:p>
            <w:pPr>
              <w:spacing w:before="40" w:after="40" w:line="240" w:lineRule="auto"/>
              <w:ind w:right="89"/>
              <w:jc w:val="right"/>
              <w:rPr>
                <w:rFonts w:ascii="Times New Roman" w:eastAsia="Times New Roman" w:hAnsi="Times New Roman"/>
                <w:b/>
                <w:bCs/>
                <w:noProof/>
                <w:sz w:val="20"/>
                <w:szCs w:val="20"/>
                <w:lang w:eastAsia="en-GB"/>
              </w:rPr>
            </w:pPr>
            <w:r>
              <w:rPr>
                <w:rFonts w:ascii="Times New Roman" w:eastAsia="Times New Roman" w:hAnsi="Times New Roman"/>
                <w:b/>
                <w:bCs/>
                <w:noProof/>
                <w:sz w:val="20"/>
                <w:szCs w:val="20"/>
                <w:lang w:eastAsia="en-GB"/>
              </w:rPr>
              <w:t>131.5</w:t>
            </w:r>
          </w:p>
        </w:tc>
        <w:tc>
          <w:tcPr>
            <w:tcW w:w="2036" w:type="dxa"/>
            <w:tcBorders>
              <w:top w:val="nil"/>
              <w:left w:val="nil"/>
              <w:bottom w:val="nil"/>
              <w:right w:val="nil"/>
            </w:tcBorders>
            <w:shd w:val="clear" w:color="auto" w:fill="auto"/>
            <w:noWrap/>
            <w:vAlign w:val="bottom"/>
            <w:hideMark/>
          </w:tcPr>
          <w:p>
            <w:pPr>
              <w:spacing w:before="40" w:after="40" w:line="240" w:lineRule="auto"/>
              <w:ind w:right="89"/>
              <w:rPr>
                <w:rFonts w:ascii="Times New Roman" w:eastAsia="Times New Roman" w:hAnsi="Times New Roman"/>
                <w:noProof/>
                <w:sz w:val="20"/>
                <w:szCs w:val="20"/>
                <w:lang w:eastAsia="en-GB"/>
              </w:rPr>
            </w:pPr>
          </w:p>
        </w:tc>
      </w:tr>
    </w:tbl>
    <w:p>
      <w:pPr>
        <w:autoSpaceDE w:val="0"/>
        <w:autoSpaceDN w:val="0"/>
        <w:adjustRightInd w:val="0"/>
        <w:spacing w:after="240" w:line="240" w:lineRule="auto"/>
        <w:rPr>
          <w:rFonts w:ascii="Times New Roman" w:hAnsi="Times New Roman"/>
          <w:b/>
          <w:noProof/>
          <w:sz w:val="20"/>
        </w:rPr>
      </w:pPr>
      <w:r>
        <w:rPr>
          <w:rFonts w:ascii="Times New Roman" w:hAnsi="Times New Roman"/>
          <w:b/>
          <w:noProof/>
          <w:sz w:val="20"/>
        </w:rPr>
        <w:t>Table 1: Institutional level: financial commitment by Participating States (Ministries).</w:t>
      </w:r>
    </w:p>
    <w:p>
      <w:pPr>
        <w:autoSpaceDE w:val="0"/>
        <w:autoSpaceDN w:val="0"/>
        <w:adjustRightInd w:val="0"/>
        <w:spacing w:before="120" w:after="120" w:line="240" w:lineRule="auto"/>
        <w:jc w:val="both"/>
        <w:rPr>
          <w:rFonts w:ascii="Times New Roman" w:hAnsi="Times New Roman"/>
          <w:noProof/>
          <w:sz w:val="24"/>
          <w:szCs w:val="24"/>
        </w:rPr>
      </w:pPr>
      <w:r>
        <w:rPr>
          <w:rFonts w:ascii="Times New Roman" w:hAnsi="Times New Roman"/>
          <w:noProof/>
          <w:sz w:val="24"/>
          <w:szCs w:val="24"/>
        </w:rPr>
        <w:t xml:space="preserve">It is important to distinguish considerations relating to the geographical scope of PRIMA Joint Programme, as an initiative promoting a partnership for R&amp;I in the Mediterranean Area in the domain of water provision and food systems, and the voluntary adhesion of Participating States (of which 9 are MS, 2 are countries associated to Horizon 2020 and 3 are third countries in the Southern Mediterranean - see Table 1) </w:t>
      </w:r>
      <w:r>
        <w:rPr>
          <w:rFonts w:ascii="Times New Roman" w:hAnsi="Times New Roman"/>
          <w:b/>
          <w:noProof/>
          <w:sz w:val="24"/>
          <w:szCs w:val="24"/>
        </w:rPr>
        <w:t>to pool national resources into a joint programming proposal</w:t>
      </w:r>
      <w:r>
        <w:rPr>
          <w:rFonts w:ascii="Times New Roman" w:hAnsi="Times New Roman"/>
          <w:noProof/>
          <w:sz w:val="24"/>
          <w:szCs w:val="24"/>
        </w:rPr>
        <w:t xml:space="preserve"> as submitted to the Commission in order to assess the Union's participation therein. </w:t>
      </w:r>
    </w:p>
    <w:p>
      <w:pPr>
        <w:autoSpaceDE w:val="0"/>
        <w:autoSpaceDN w:val="0"/>
        <w:adjustRightInd w:val="0"/>
        <w:spacing w:before="120" w:after="120" w:line="240" w:lineRule="auto"/>
        <w:jc w:val="both"/>
        <w:rPr>
          <w:rFonts w:ascii="Times New Roman" w:hAnsi="Times New Roman"/>
          <w:noProof/>
          <w:sz w:val="24"/>
          <w:szCs w:val="24"/>
        </w:rPr>
      </w:pPr>
      <w:r>
        <w:rPr>
          <w:rFonts w:ascii="Times New Roman" w:hAnsi="Times New Roman"/>
          <w:noProof/>
          <w:sz w:val="24"/>
          <w:szCs w:val="24"/>
        </w:rPr>
        <w:t>Indeed, the PRIMA Joint Programme was subscribed to by a number of Participating States, which includes countries outside the EU, and with whom the EU cooperates closely in many domains including R&amp;I. In this context, the Commission's role is to assess the Union's participation in the joint programme prepared by all of the Participating States.</w:t>
      </w:r>
    </w:p>
    <w:p>
      <w:pPr>
        <w:autoSpaceDE w:val="0"/>
        <w:autoSpaceDN w:val="0"/>
        <w:adjustRightInd w:val="0"/>
        <w:spacing w:after="120" w:line="240" w:lineRule="auto"/>
        <w:jc w:val="both"/>
        <w:rPr>
          <w:rFonts w:ascii="Times New Roman" w:hAnsi="Times New Roman"/>
          <w:noProof/>
          <w:spacing w:val="-2"/>
          <w:sz w:val="24"/>
          <w:szCs w:val="24"/>
        </w:rPr>
      </w:pPr>
      <w:r>
        <w:rPr>
          <w:rFonts w:ascii="Times New Roman" w:hAnsi="Times New Roman"/>
          <w:noProof/>
          <w:spacing w:val="-2"/>
          <w:sz w:val="24"/>
          <w:szCs w:val="24"/>
        </w:rPr>
        <w:t>This approach follows closely the EU strategy for research and innovation cooperation</w:t>
      </w:r>
      <w:r>
        <w:rPr>
          <w:rStyle w:val="FootnoteReference"/>
          <w:rFonts w:ascii="Times New Roman" w:hAnsi="Times New Roman"/>
          <w:noProof/>
          <w:spacing w:val="-2"/>
          <w:sz w:val="24"/>
          <w:szCs w:val="24"/>
        </w:rPr>
        <w:footnoteReference w:id="15"/>
      </w:r>
      <w:r>
        <w:rPr>
          <w:rFonts w:ascii="Times New Roman" w:hAnsi="Times New Roman"/>
          <w:noProof/>
          <w:spacing w:val="-2"/>
          <w:sz w:val="24"/>
          <w:szCs w:val="24"/>
        </w:rPr>
        <w:t xml:space="preserve"> which promotes bi-regional cooperation with Neighbourhood Countries to establish regional-specific strategic approaches that maximise R&amp;I impact by enhancing regional cooperation in key sectors of mutual interest. This is why it is important to target these countries. Also, as mentioned in the Communication, region-specific actions serve the broader objectives of the Union's external policies.</w:t>
      </w:r>
    </w:p>
    <w:p>
      <w:pPr>
        <w:autoSpaceDE w:val="0"/>
        <w:autoSpaceDN w:val="0"/>
        <w:adjustRightInd w:val="0"/>
        <w:spacing w:after="120" w:line="240" w:lineRule="auto"/>
        <w:jc w:val="both"/>
        <w:rPr>
          <w:rFonts w:ascii="Times New Roman" w:hAnsi="Times New Roman"/>
          <w:noProof/>
          <w:sz w:val="24"/>
          <w:szCs w:val="24"/>
          <w:lang w:val="en-US" w:eastAsia="fr-BE"/>
        </w:rPr>
      </w:pPr>
      <w:r>
        <w:rPr>
          <w:rFonts w:ascii="Times New Roman" w:hAnsi="Times New Roman"/>
          <w:b/>
          <w:noProof/>
          <w:sz w:val="24"/>
          <w:szCs w:val="24"/>
        </w:rPr>
        <w:t xml:space="preserve">The participation of EU Member States </w:t>
      </w:r>
      <w:r>
        <w:rPr>
          <w:rFonts w:ascii="Times New Roman" w:hAnsi="Times New Roman"/>
          <w:noProof/>
          <w:sz w:val="24"/>
          <w:szCs w:val="24"/>
        </w:rPr>
        <w:t xml:space="preserve">in the PRIMA Joint Programme is driven by the common challenge of climate change (with a migration as a consequence) that is affecting the Mediterranean area. </w:t>
      </w:r>
      <w:r>
        <w:rPr>
          <w:rFonts w:ascii="Times New Roman" w:hAnsi="Times New Roman"/>
          <w:b/>
          <w:bCs/>
          <w:noProof/>
          <w:color w:val="000000"/>
          <w:sz w:val="24"/>
          <w:szCs w:val="24"/>
        </w:rPr>
        <w:t>Water stress affects one third of the EU territory all year round</w:t>
      </w:r>
      <w:r>
        <w:rPr>
          <w:rStyle w:val="FootnoteReference"/>
          <w:rFonts w:ascii="Times New Roman" w:hAnsi="Times New Roman"/>
          <w:noProof/>
          <w:color w:val="000000"/>
          <w:sz w:val="24"/>
          <w:szCs w:val="24"/>
        </w:rPr>
        <w:footnoteReference w:id="16"/>
      </w:r>
      <w:r>
        <w:rPr>
          <w:rFonts w:ascii="Times New Roman" w:hAnsi="Times New Roman"/>
          <w:noProof/>
          <w:color w:val="000000"/>
          <w:sz w:val="24"/>
          <w:szCs w:val="24"/>
        </w:rPr>
        <w:t xml:space="preserve">. During summer months </w:t>
      </w:r>
      <w:r>
        <w:rPr>
          <w:rFonts w:ascii="Times New Roman" w:hAnsi="Times New Roman"/>
          <w:b/>
          <w:bCs/>
          <w:noProof/>
          <w:color w:val="000000"/>
          <w:sz w:val="24"/>
          <w:szCs w:val="24"/>
        </w:rPr>
        <w:t xml:space="preserve">water scarcity </w:t>
      </w:r>
      <w:r>
        <w:rPr>
          <w:rFonts w:ascii="Times New Roman" w:hAnsi="Times New Roman"/>
          <w:noProof/>
          <w:color w:val="000000"/>
          <w:sz w:val="24"/>
          <w:szCs w:val="24"/>
        </w:rPr>
        <w:t>is more pronounced in Southern European basins but is also becoming increasingly important in Northern basins, including UK and Germany</w:t>
      </w:r>
      <w:r>
        <w:rPr>
          <w:rFonts w:ascii="Times New Roman" w:eastAsia="Times New Roman" w:hAnsi="Times New Roman"/>
          <w:noProof/>
          <w:sz w:val="24"/>
          <w:szCs w:val="24"/>
          <w:lang w:val="en-US" w:eastAsia="fr-BE"/>
        </w:rPr>
        <w:t xml:space="preserve">. </w:t>
      </w:r>
      <w:r>
        <w:rPr>
          <w:rFonts w:ascii="Times New Roman" w:hAnsi="Times New Roman"/>
          <w:noProof/>
          <w:sz w:val="24"/>
          <w:szCs w:val="24"/>
          <w:lang w:val="en-US" w:eastAsia="fr-BE"/>
        </w:rPr>
        <w:t xml:space="preserve">Water is already becoming a tangible problem in Southern Spain, Italy, Southern France, Greece or EU islands like Malta or Cyprus. </w:t>
      </w:r>
    </w:p>
    <w:p>
      <w:pPr>
        <w:autoSpaceDE w:val="0"/>
        <w:autoSpaceDN w:val="0"/>
        <w:adjustRightInd w:val="0"/>
        <w:spacing w:after="120" w:line="240" w:lineRule="auto"/>
        <w:jc w:val="both"/>
        <w:rPr>
          <w:rFonts w:ascii="Times New Roman" w:hAnsi="Times New Roman"/>
          <w:noProof/>
          <w:sz w:val="24"/>
          <w:szCs w:val="24"/>
          <w:lang w:val="en-US" w:eastAsia="fr-BE"/>
        </w:rPr>
      </w:pPr>
      <w:r>
        <w:rPr>
          <w:rFonts w:ascii="Times New Roman" w:hAnsi="Times New Roman"/>
          <w:noProof/>
          <w:sz w:val="24"/>
          <w:szCs w:val="24"/>
          <w:lang w:val="en-US" w:eastAsia="fr-BE"/>
        </w:rPr>
        <w:t>EU Member States have been carrying out R&amp;I activities in the field of water provision and food systems, improving their overall innovation capacity. Sharing knowledge with Southern Mediterranean third countries would allow adapting the developed innovation to the anticipated impacts of climate change that third countries are experiencing with greater severity. In this sense, EU could act as a living lab for testing innovative solutions.</w:t>
      </w:r>
    </w:p>
    <w:p>
      <w:pPr>
        <w:autoSpaceDE w:val="0"/>
        <w:autoSpaceDN w:val="0"/>
        <w:adjustRightInd w:val="0"/>
        <w:spacing w:after="120" w:line="240" w:lineRule="auto"/>
        <w:jc w:val="both"/>
        <w:rPr>
          <w:rFonts w:ascii="Times New Roman" w:hAnsi="Times New Roman"/>
          <w:noProof/>
          <w:sz w:val="24"/>
          <w:szCs w:val="24"/>
          <w:lang w:val="en-US" w:eastAsia="fr-BE"/>
        </w:rPr>
      </w:pPr>
      <w:r>
        <w:rPr>
          <w:rFonts w:ascii="Times New Roman" w:hAnsi="Times New Roman"/>
          <w:noProof/>
          <w:sz w:val="24"/>
          <w:szCs w:val="24"/>
          <w:lang w:val="en-US" w:eastAsia="fr-BE"/>
        </w:rPr>
        <w:t xml:space="preserve">EU MSs participating in PRIMA are also involved in bilateral cooperation activities in the field of research and science with many of the Southern Mediterranean third countries. </w:t>
      </w:r>
    </w:p>
    <w:p>
      <w:pPr>
        <w:spacing w:after="120" w:line="240" w:lineRule="auto"/>
        <w:jc w:val="both"/>
        <w:rPr>
          <w:rFonts w:ascii="Times New Roman" w:hAnsi="Times New Roman"/>
          <w:noProof/>
          <w:sz w:val="24"/>
        </w:rPr>
      </w:pPr>
      <w:r>
        <w:rPr>
          <w:rFonts w:ascii="Times New Roman" w:hAnsi="Times New Roman"/>
          <w:noProof/>
          <w:sz w:val="24"/>
        </w:rPr>
        <w:t xml:space="preserve">On the other hand, </w:t>
      </w:r>
      <w:r>
        <w:rPr>
          <w:rFonts w:ascii="Times New Roman" w:hAnsi="Times New Roman"/>
          <w:b/>
          <w:noProof/>
          <w:sz w:val="24"/>
        </w:rPr>
        <w:t>the participation of Southern Mediterranean third countries</w:t>
      </w:r>
      <w:r>
        <w:rPr>
          <w:rFonts w:ascii="Times New Roman" w:hAnsi="Times New Roman"/>
          <w:noProof/>
          <w:sz w:val="24"/>
        </w:rPr>
        <w:t xml:space="preserve"> to the PRIMA Joint Programme is key towards addressing the region-wide challenges associated with the unsustainable management of water provision and the agri-food value chain. The inclusion of third countries in the PRIMA Joint Programme is particularly crucial for the following reasons:</w:t>
      </w:r>
    </w:p>
    <w:p>
      <w:pPr>
        <w:pStyle w:val="ListParagraph"/>
        <w:numPr>
          <w:ilvl w:val="0"/>
          <w:numId w:val="104"/>
        </w:numPr>
        <w:spacing w:after="120" w:line="240" w:lineRule="auto"/>
        <w:rPr>
          <w:rFonts w:ascii="Times New Roman" w:hAnsi="Times New Roman"/>
          <w:noProof/>
          <w:sz w:val="24"/>
          <w:szCs w:val="24"/>
        </w:rPr>
      </w:pPr>
      <w:r>
        <w:rPr>
          <w:rFonts w:ascii="Times New Roman" w:hAnsi="Times New Roman"/>
          <w:noProof/>
          <w:sz w:val="24"/>
          <w:szCs w:val="24"/>
        </w:rPr>
        <w:t>R&amp;I activities cannot be implemented without fully mobilising and involving local knowledge and expertise;</w:t>
      </w:r>
    </w:p>
    <w:p>
      <w:pPr>
        <w:pStyle w:val="ListParagraph"/>
        <w:numPr>
          <w:ilvl w:val="0"/>
          <w:numId w:val="104"/>
        </w:numPr>
        <w:spacing w:after="120" w:line="240" w:lineRule="auto"/>
        <w:rPr>
          <w:rFonts w:ascii="Times New Roman" w:hAnsi="Times New Roman"/>
          <w:noProof/>
          <w:sz w:val="24"/>
          <w:szCs w:val="24"/>
        </w:rPr>
      </w:pPr>
      <w:r>
        <w:rPr>
          <w:rFonts w:ascii="Times New Roman" w:hAnsi="Times New Roman"/>
          <w:noProof/>
          <w:sz w:val="24"/>
          <w:szCs w:val="24"/>
        </w:rPr>
        <w:t>the results achieved through these R&amp;I activities cannot be quickly disseminated and valorised into new products, processes and services if local stakeholders are not involved;</w:t>
      </w:r>
    </w:p>
    <w:p>
      <w:pPr>
        <w:pStyle w:val="ListParagraph"/>
        <w:numPr>
          <w:ilvl w:val="0"/>
          <w:numId w:val="104"/>
        </w:numPr>
        <w:spacing w:after="120" w:line="240" w:lineRule="auto"/>
        <w:rPr>
          <w:rFonts w:ascii="Times New Roman" w:hAnsi="Times New Roman"/>
          <w:noProof/>
          <w:sz w:val="24"/>
          <w:szCs w:val="24"/>
        </w:rPr>
      </w:pPr>
      <w:r>
        <w:rPr>
          <w:rFonts w:ascii="Times New Roman" w:hAnsi="Times New Roman"/>
          <w:noProof/>
          <w:sz w:val="24"/>
          <w:szCs w:val="24"/>
        </w:rPr>
        <w:t>third country governments should be involved so that they can adapt their domestic research and innovation programmes and take account of results in the design of new policies.</w:t>
      </w:r>
    </w:p>
    <w:p>
      <w:pPr>
        <w:spacing w:after="120" w:line="240" w:lineRule="auto"/>
        <w:jc w:val="both"/>
        <w:rPr>
          <w:rFonts w:ascii="Times New Roman" w:hAnsi="Times New Roman"/>
          <w:noProof/>
          <w:sz w:val="24"/>
          <w:szCs w:val="24"/>
        </w:rPr>
      </w:pPr>
      <w:r>
        <w:rPr>
          <w:rFonts w:ascii="Times New Roman" w:hAnsi="Times New Roman"/>
          <w:noProof/>
          <w:sz w:val="24"/>
        </w:rPr>
        <w:t xml:space="preserve">It is important to point out that the research expertise of third countries is of high level and relevant for </w:t>
      </w:r>
      <w:r>
        <w:rPr>
          <w:rFonts w:ascii="Times New Roman" w:hAnsi="Times New Roman"/>
          <w:b/>
          <w:noProof/>
          <w:sz w:val="24"/>
        </w:rPr>
        <w:t>achieving the critical mass</w:t>
      </w:r>
      <w:r>
        <w:rPr>
          <w:rFonts w:ascii="Times New Roman" w:hAnsi="Times New Roman"/>
          <w:noProof/>
          <w:sz w:val="24"/>
        </w:rPr>
        <w:t xml:space="preserve">. </w:t>
      </w:r>
      <w:r>
        <w:rPr>
          <w:rFonts w:ascii="Times New Roman" w:hAnsi="Times New Roman"/>
          <w:noProof/>
          <w:sz w:val="24"/>
          <w:szCs w:val="24"/>
        </w:rPr>
        <w:t xml:space="preserve">On this basis, the largest possible scale comprising all countries in the Mediterranean area is considered to benefit the PRIMA Joint Programme and its scope both in water and food policy coordination and in market-related technology transfer opportunities. This is also relevant to broader objectives of the PRIMA Joint Programme relating to addressing long-term impacts of migration into the EU. </w:t>
      </w:r>
    </w:p>
    <w:p>
      <w:pPr>
        <w:spacing w:after="120" w:line="240" w:lineRule="auto"/>
        <w:jc w:val="both"/>
        <w:rPr>
          <w:rFonts w:ascii="Times New Roman" w:hAnsi="Times New Roman"/>
          <w:noProof/>
          <w:sz w:val="24"/>
        </w:rPr>
      </w:pPr>
      <w:r>
        <w:rPr>
          <w:rFonts w:ascii="Times New Roman" w:hAnsi="Times New Roman"/>
          <w:noProof/>
          <w:sz w:val="24"/>
          <w:szCs w:val="24"/>
        </w:rPr>
        <w:t>It has to be noted that adhesion to the PRIMA Joint Programme by Participating States is on a voluntary basis and is not driven by the EU as such. Thus, while Algeria, Turkey and Jordan were closely associated with the preparation of the PRIMA Joint Programme, at the time of submitting the proposal, these countries chose to keep observer status without participation in the programme. Of the remaining countries in the region, only Libya and Syria have not engaged in PRIMA Joint Programme as a result of political and security crises.</w:t>
      </w:r>
    </w:p>
    <w:p>
      <w:pPr>
        <w:autoSpaceDE w:val="0"/>
        <w:autoSpaceDN w:val="0"/>
        <w:adjustRightInd w:val="0"/>
        <w:spacing w:before="120" w:after="120" w:line="240" w:lineRule="auto"/>
        <w:jc w:val="both"/>
        <w:rPr>
          <w:rFonts w:ascii="Times New Roman" w:hAnsi="Times New Roman"/>
          <w:noProof/>
          <w:sz w:val="24"/>
          <w:szCs w:val="24"/>
        </w:rPr>
      </w:pPr>
      <w:r>
        <w:rPr>
          <w:rFonts w:ascii="Times New Roman" w:hAnsi="Times New Roman"/>
          <w:b/>
          <w:noProof/>
          <w:sz w:val="24"/>
        </w:rPr>
        <w:t>The PRIMA model of partnership based on equal footing among participant states</w:t>
      </w:r>
      <w:r>
        <w:rPr>
          <w:rFonts w:ascii="Times New Roman" w:hAnsi="Times New Roman"/>
          <w:noProof/>
          <w:sz w:val="24"/>
        </w:rPr>
        <w:t xml:space="preserve"> has the potential to increase third counties buy-in of public and private stakeholders, foster scientific and diplomatic links among participants (science diplomacy), scale up the deployment of potential of innovative solutions, thus expanding and integrating national R&amp;I investments.</w:t>
      </w:r>
    </w:p>
    <w:p>
      <w:pPr>
        <w:autoSpaceDE w:val="0"/>
        <w:autoSpaceDN w:val="0"/>
        <w:adjustRightInd w:val="0"/>
        <w:spacing w:before="240" w:after="120" w:line="240" w:lineRule="auto"/>
        <w:jc w:val="both"/>
        <w:rPr>
          <w:rFonts w:ascii="Times New Roman" w:hAnsi="Times New Roman"/>
          <w:b/>
          <w:i/>
          <w:noProof/>
          <w:sz w:val="24"/>
          <w:szCs w:val="24"/>
        </w:rPr>
      </w:pPr>
      <w:r>
        <w:rPr>
          <w:rFonts w:ascii="Times New Roman" w:hAnsi="Times New Roman"/>
          <w:b/>
          <w:i/>
          <w:noProof/>
          <w:sz w:val="24"/>
          <w:szCs w:val="24"/>
        </w:rPr>
        <w:t>Region-specific challenges leading to geographical scope of PRIMA</w:t>
      </w:r>
    </w:p>
    <w:p>
      <w:pPr>
        <w:autoSpaceDE w:val="0"/>
        <w:autoSpaceDN w:val="0"/>
        <w:adjustRightInd w:val="0"/>
        <w:spacing w:before="120" w:after="120" w:line="240" w:lineRule="auto"/>
        <w:jc w:val="both"/>
        <w:rPr>
          <w:rFonts w:ascii="Times New Roman" w:hAnsi="Times New Roman"/>
          <w:noProof/>
          <w:sz w:val="24"/>
          <w:szCs w:val="24"/>
        </w:rPr>
      </w:pPr>
      <w:r>
        <w:rPr>
          <w:rFonts w:ascii="Times New Roman" w:hAnsi="Times New Roman"/>
          <w:noProof/>
          <w:sz w:val="24"/>
          <w:szCs w:val="24"/>
        </w:rPr>
        <w:t>A succession of joint EU-MED initiatives and EU funded projects</w:t>
      </w:r>
      <w:r>
        <w:rPr>
          <w:rStyle w:val="FootnoteReference"/>
          <w:rFonts w:ascii="Times New Roman" w:hAnsi="Times New Roman"/>
          <w:noProof/>
          <w:sz w:val="24"/>
          <w:szCs w:val="24"/>
        </w:rPr>
        <w:footnoteReference w:id="17"/>
      </w:r>
      <w:r>
        <w:rPr>
          <w:rFonts w:ascii="Times New Roman" w:hAnsi="Times New Roman"/>
          <w:noProof/>
          <w:sz w:val="24"/>
          <w:szCs w:val="24"/>
        </w:rPr>
        <w:t xml:space="preserve"> have shaped regional cooperation and led to identification of region-specific challenges in the areas addressed by PRIMA. These are summarised below:</w:t>
      </w:r>
    </w:p>
    <w:p>
      <w:pPr>
        <w:pStyle w:val="ListParagraph"/>
        <w:numPr>
          <w:ilvl w:val="0"/>
          <w:numId w:val="102"/>
        </w:numPr>
        <w:autoSpaceDE w:val="0"/>
        <w:autoSpaceDN w:val="0"/>
        <w:adjustRightInd w:val="0"/>
        <w:spacing w:before="120" w:after="120" w:line="240" w:lineRule="auto"/>
        <w:rPr>
          <w:rFonts w:ascii="Times New Roman" w:hAnsi="Times New Roman"/>
          <w:noProof/>
          <w:sz w:val="24"/>
          <w:szCs w:val="24"/>
        </w:rPr>
      </w:pPr>
      <w:r>
        <w:rPr>
          <w:rFonts w:ascii="Times New Roman" w:hAnsi="Times New Roman"/>
          <w:noProof/>
          <w:sz w:val="24"/>
          <w:szCs w:val="24"/>
        </w:rPr>
        <w:t>Poor governance of water for planning and adaptation to global changes, including lack of engagement of stakeholders;</w:t>
      </w:r>
    </w:p>
    <w:p>
      <w:pPr>
        <w:pStyle w:val="ListParagraph"/>
        <w:numPr>
          <w:ilvl w:val="0"/>
          <w:numId w:val="102"/>
        </w:numPr>
        <w:autoSpaceDE w:val="0"/>
        <w:autoSpaceDN w:val="0"/>
        <w:adjustRightInd w:val="0"/>
        <w:spacing w:before="120" w:after="120" w:line="240" w:lineRule="auto"/>
        <w:rPr>
          <w:rFonts w:ascii="Times New Roman" w:hAnsi="Times New Roman"/>
          <w:noProof/>
          <w:sz w:val="24"/>
          <w:szCs w:val="24"/>
        </w:rPr>
      </w:pPr>
      <w:r>
        <w:rPr>
          <w:rFonts w:ascii="Times New Roman" w:hAnsi="Times New Roman"/>
          <w:noProof/>
          <w:sz w:val="24"/>
          <w:szCs w:val="24"/>
        </w:rPr>
        <w:t>Non equitable water allocation and unsustainable water management;</w:t>
      </w:r>
    </w:p>
    <w:p>
      <w:pPr>
        <w:pStyle w:val="ListParagraph"/>
        <w:numPr>
          <w:ilvl w:val="0"/>
          <w:numId w:val="102"/>
        </w:numPr>
        <w:autoSpaceDE w:val="0"/>
        <w:autoSpaceDN w:val="0"/>
        <w:adjustRightInd w:val="0"/>
        <w:spacing w:before="120" w:after="120" w:line="240" w:lineRule="auto"/>
        <w:rPr>
          <w:rFonts w:ascii="Times New Roman" w:hAnsi="Times New Roman"/>
          <w:noProof/>
          <w:sz w:val="24"/>
          <w:szCs w:val="24"/>
        </w:rPr>
      </w:pPr>
      <w:r>
        <w:rPr>
          <w:rFonts w:ascii="Times New Roman" w:hAnsi="Times New Roman"/>
          <w:noProof/>
          <w:sz w:val="24"/>
          <w:szCs w:val="24"/>
        </w:rPr>
        <w:t>Poor holistic vision of water resources;</w:t>
      </w:r>
    </w:p>
    <w:p>
      <w:pPr>
        <w:pStyle w:val="ListParagraph"/>
        <w:numPr>
          <w:ilvl w:val="0"/>
          <w:numId w:val="102"/>
        </w:numPr>
        <w:autoSpaceDE w:val="0"/>
        <w:autoSpaceDN w:val="0"/>
        <w:adjustRightInd w:val="0"/>
        <w:spacing w:before="120" w:after="120" w:line="240" w:lineRule="auto"/>
        <w:rPr>
          <w:rFonts w:ascii="Times New Roman" w:hAnsi="Times New Roman"/>
          <w:noProof/>
          <w:sz w:val="24"/>
          <w:szCs w:val="24"/>
        </w:rPr>
      </w:pPr>
      <w:r>
        <w:rPr>
          <w:rFonts w:ascii="Times New Roman" w:hAnsi="Times New Roman"/>
          <w:noProof/>
          <w:sz w:val="24"/>
          <w:szCs w:val="24"/>
        </w:rPr>
        <w:t>Need to increase competitiveness of research in water quantity management, water use efficiency as well as management of non-conventional waters;</w:t>
      </w:r>
    </w:p>
    <w:p>
      <w:pPr>
        <w:pStyle w:val="ListParagraph"/>
        <w:numPr>
          <w:ilvl w:val="0"/>
          <w:numId w:val="102"/>
        </w:numPr>
        <w:autoSpaceDE w:val="0"/>
        <w:autoSpaceDN w:val="0"/>
        <w:adjustRightInd w:val="0"/>
        <w:spacing w:before="120" w:after="120" w:line="240" w:lineRule="auto"/>
        <w:rPr>
          <w:rFonts w:ascii="Times New Roman" w:hAnsi="Times New Roman"/>
          <w:noProof/>
          <w:sz w:val="24"/>
          <w:szCs w:val="24"/>
        </w:rPr>
      </w:pPr>
      <w:r>
        <w:rPr>
          <w:rFonts w:ascii="Times New Roman" w:hAnsi="Times New Roman"/>
          <w:noProof/>
          <w:sz w:val="24"/>
          <w:szCs w:val="24"/>
        </w:rPr>
        <w:t>Unsustainable food production – ecosystem and nutrition;</w:t>
      </w:r>
    </w:p>
    <w:p>
      <w:pPr>
        <w:pStyle w:val="ListParagraph"/>
        <w:numPr>
          <w:ilvl w:val="0"/>
          <w:numId w:val="102"/>
        </w:numPr>
        <w:autoSpaceDE w:val="0"/>
        <w:autoSpaceDN w:val="0"/>
        <w:adjustRightInd w:val="0"/>
        <w:spacing w:before="120" w:after="120" w:line="240" w:lineRule="auto"/>
        <w:rPr>
          <w:rFonts w:ascii="Times New Roman" w:hAnsi="Times New Roman"/>
          <w:noProof/>
          <w:sz w:val="24"/>
          <w:szCs w:val="24"/>
        </w:rPr>
      </w:pPr>
      <w:r>
        <w:rPr>
          <w:rFonts w:ascii="Times New Roman" w:hAnsi="Times New Roman"/>
          <w:noProof/>
          <w:sz w:val="24"/>
          <w:szCs w:val="24"/>
        </w:rPr>
        <w:t>Need to develop smart rural arid and semi-arid areas</w:t>
      </w:r>
      <w:r>
        <w:rPr>
          <w:rStyle w:val="FootnoteReference"/>
          <w:rFonts w:ascii="Times New Roman" w:hAnsi="Times New Roman"/>
          <w:noProof/>
          <w:sz w:val="24"/>
          <w:szCs w:val="24"/>
        </w:rPr>
        <w:footnoteReference w:id="18"/>
      </w:r>
      <w:r>
        <w:rPr>
          <w:rFonts w:ascii="Times New Roman" w:hAnsi="Times New Roman"/>
          <w:noProof/>
          <w:sz w:val="24"/>
          <w:szCs w:val="24"/>
        </w:rPr>
        <w:t xml:space="preserve"> (and to develop innovative adaptation solutions).</w:t>
      </w:r>
    </w:p>
    <w:p>
      <w:pPr>
        <w:autoSpaceDE w:val="0"/>
        <w:autoSpaceDN w:val="0"/>
        <w:adjustRightInd w:val="0"/>
        <w:spacing w:after="240" w:line="240" w:lineRule="auto"/>
        <w:jc w:val="center"/>
        <w:rPr>
          <w:rFonts w:ascii="Times New Roman" w:hAnsi="Times New Roman"/>
          <w:noProof/>
          <w:sz w:val="24"/>
          <w:szCs w:val="24"/>
        </w:rPr>
      </w:pPr>
      <w:r>
        <w:rPr>
          <w:noProof/>
          <w:lang w:val="en-US"/>
        </w:rPr>
        <w:drawing>
          <wp:inline distT="0" distB="0" distL="0" distR="0">
            <wp:extent cx="5241851" cy="282662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1849" cy="2826625"/>
                    </a:xfrm>
                    <a:prstGeom prst="rect">
                      <a:avLst/>
                    </a:prstGeom>
                    <a:noFill/>
                  </pic:spPr>
                </pic:pic>
              </a:graphicData>
            </a:graphic>
          </wp:inline>
        </w:drawing>
      </w:r>
    </w:p>
    <w:p>
      <w:pPr>
        <w:autoSpaceDE w:val="0"/>
        <w:autoSpaceDN w:val="0"/>
        <w:adjustRightInd w:val="0"/>
        <w:spacing w:after="240" w:line="240" w:lineRule="auto"/>
        <w:rPr>
          <w:rFonts w:ascii="Times New Roman" w:hAnsi="Times New Roman"/>
          <w:b/>
          <w:noProof/>
          <w:sz w:val="20"/>
        </w:rPr>
      </w:pPr>
      <w:r>
        <w:rPr>
          <w:rFonts w:ascii="Times New Roman" w:hAnsi="Times New Roman"/>
          <w:b/>
          <w:noProof/>
          <w:sz w:val="20"/>
        </w:rPr>
        <w:t>Figure 1: PRIMA Size and Scale</w:t>
      </w:r>
    </w:p>
    <w:p>
      <w:pPr>
        <w:autoSpaceDE w:val="0"/>
        <w:autoSpaceDN w:val="0"/>
        <w:adjustRightInd w:val="0"/>
        <w:spacing w:before="240" w:after="120" w:line="240" w:lineRule="auto"/>
        <w:jc w:val="both"/>
        <w:rPr>
          <w:rFonts w:ascii="Times New Roman" w:hAnsi="Times New Roman"/>
          <w:b/>
          <w:i/>
          <w:noProof/>
          <w:sz w:val="24"/>
          <w:szCs w:val="24"/>
        </w:rPr>
      </w:pPr>
      <w:r>
        <w:rPr>
          <w:rFonts w:ascii="Times New Roman" w:hAnsi="Times New Roman"/>
          <w:b/>
          <w:i/>
          <w:noProof/>
          <w:sz w:val="24"/>
          <w:szCs w:val="24"/>
        </w:rPr>
        <w:t xml:space="preserve">External expertise and consultation </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In the context of the preparation of the impact assessment, a </w:t>
      </w:r>
      <w:r>
        <w:rPr>
          <w:rFonts w:ascii="Times New Roman" w:hAnsi="Times New Roman"/>
          <w:b/>
          <w:noProof/>
          <w:sz w:val="24"/>
          <w:szCs w:val="24"/>
        </w:rPr>
        <w:t>Group of External Experts</w:t>
      </w:r>
      <w:r>
        <w:rPr>
          <w:rFonts w:ascii="Times New Roman" w:hAnsi="Times New Roman"/>
          <w:noProof/>
          <w:sz w:val="24"/>
          <w:szCs w:val="24"/>
        </w:rPr>
        <w:t xml:space="preserve"> (Expert Group) was set up in October 2016 composed of 9 experts</w:t>
      </w:r>
      <w:r>
        <w:rPr>
          <w:noProof/>
        </w:rPr>
        <w:t xml:space="preserve"> </w:t>
      </w:r>
      <w:r>
        <w:rPr>
          <w:rFonts w:ascii="Times New Roman" w:hAnsi="Times New Roman"/>
          <w:noProof/>
          <w:sz w:val="24"/>
          <w:szCs w:val="24"/>
        </w:rPr>
        <w:t>coming from Mediterranean and non-Mediterranean Member States and third countries (see Annex 1). The findings of the Expert Group report were cross-verified with findings from other sources (e.g. literature review carried out by Commission services, results of the online public consultation) and duly taken account of in the elaboration of the impact assessment.</w:t>
      </w:r>
    </w:p>
    <w:p>
      <w:pPr>
        <w:spacing w:after="120" w:line="240" w:lineRule="auto"/>
        <w:jc w:val="both"/>
        <w:rPr>
          <w:noProof/>
        </w:rPr>
      </w:pPr>
      <w:r>
        <w:rPr>
          <w:rFonts w:ascii="Times New Roman" w:hAnsi="Times New Roman"/>
          <w:noProof/>
          <w:sz w:val="24"/>
          <w:szCs w:val="24"/>
        </w:rPr>
        <w:t xml:space="preserve">For the consultation strategy, an </w:t>
      </w:r>
      <w:r>
        <w:rPr>
          <w:rFonts w:ascii="Times New Roman" w:hAnsi="Times New Roman"/>
          <w:b/>
          <w:noProof/>
          <w:sz w:val="24"/>
          <w:szCs w:val="24"/>
        </w:rPr>
        <w:t>online Public Consultation</w:t>
      </w:r>
      <w:r>
        <w:rPr>
          <w:rFonts w:ascii="Times New Roman" w:hAnsi="Times New Roman"/>
          <w:noProof/>
          <w:sz w:val="24"/>
          <w:szCs w:val="24"/>
        </w:rPr>
        <w:t xml:space="preserve"> was launched on 1 February 2016, closing on 24 April 2016, and was complemented by dedicated events, in particular a 'Public Consultation Stakeholder Event' in Malta on 17 March (see Annex 2).</w:t>
      </w:r>
      <w:r>
        <w:rPr>
          <w:noProof/>
        </w:rPr>
        <w:br w:type="page"/>
      </w:r>
    </w:p>
    <w:tbl>
      <w:tblPr>
        <w:tblW w:w="0" w:type="auto"/>
        <w:shd w:val="clear" w:color="auto" w:fill="F2F2F2" w:themeFill="background1" w:themeFillShade="F2"/>
        <w:tblLook w:val="04A0" w:firstRow="1" w:lastRow="0" w:firstColumn="1" w:lastColumn="0" w:noHBand="0" w:noVBand="1"/>
      </w:tblPr>
      <w:tblGrid>
        <w:gridCol w:w="9747"/>
      </w:tblGrid>
      <w:tr>
        <w:tc>
          <w:tcPr>
            <w:tcW w:w="9747" w:type="dxa"/>
            <w:shd w:val="clear" w:color="auto" w:fill="F2F2F2" w:themeFill="background1" w:themeFillShade="F2"/>
          </w:tcPr>
          <w:p>
            <w:pPr>
              <w:pStyle w:val="ListParagraph"/>
              <w:keepNext/>
              <w:keepLines/>
              <w:numPr>
                <w:ilvl w:val="0"/>
                <w:numId w:val="7"/>
              </w:numPr>
              <w:spacing w:before="120" w:after="120" w:line="240" w:lineRule="auto"/>
              <w:contextualSpacing w:val="0"/>
              <w:outlineLvl w:val="0"/>
              <w:rPr>
                <w:rFonts w:ascii="Times New Roman" w:hAnsi="Times New Roman"/>
                <w:b/>
                <w:noProof/>
                <w:sz w:val="24"/>
                <w:szCs w:val="24"/>
              </w:rPr>
            </w:pPr>
            <w:bookmarkStart w:id="4" w:name="_Toc457466028"/>
            <w:r>
              <w:rPr>
                <w:rFonts w:ascii="Times New Roman" w:hAnsi="Times New Roman"/>
                <w:b/>
                <w:noProof/>
                <w:sz w:val="24"/>
                <w:szCs w:val="24"/>
              </w:rPr>
              <w:t>Section 1. Problem definition and drivers</w:t>
            </w:r>
            <w:bookmarkEnd w:id="4"/>
            <w:r>
              <w:rPr>
                <w:rFonts w:ascii="Times New Roman" w:hAnsi="Times New Roman"/>
                <w:b/>
                <w:noProof/>
                <w:sz w:val="24"/>
                <w:szCs w:val="24"/>
              </w:rPr>
              <w:t xml:space="preserve"> </w:t>
            </w:r>
          </w:p>
        </w:tc>
      </w:tr>
    </w:tbl>
    <w:p>
      <w:pPr>
        <w:pStyle w:val="Heading1"/>
        <w:numPr>
          <w:ilvl w:val="1"/>
          <w:numId w:val="7"/>
        </w:numPr>
        <w:spacing w:before="0" w:after="120"/>
        <w:jc w:val="both"/>
        <w:rPr>
          <w:rFonts w:ascii="Times New Roman" w:hAnsi="Times New Roman"/>
          <w:noProof/>
          <w:color w:val="000000"/>
          <w:sz w:val="24"/>
          <w:szCs w:val="24"/>
        </w:rPr>
      </w:pPr>
      <w:bookmarkStart w:id="5" w:name="_Toc455651018"/>
      <w:bookmarkStart w:id="6" w:name="_Toc455651140"/>
      <w:bookmarkStart w:id="7" w:name="_Toc457466029"/>
      <w:bookmarkEnd w:id="5"/>
      <w:bookmarkEnd w:id="6"/>
      <w:r>
        <w:rPr>
          <w:rFonts w:ascii="Times New Roman" w:hAnsi="Times New Roman"/>
          <w:noProof/>
          <w:color w:val="000000"/>
          <w:sz w:val="24"/>
          <w:szCs w:val="24"/>
        </w:rPr>
        <w:t>The problem</w:t>
      </w:r>
      <w:bookmarkEnd w:id="7"/>
      <w:r>
        <w:rPr>
          <w:rFonts w:ascii="Times New Roman" w:hAnsi="Times New Roman"/>
          <w:noProof/>
          <w:color w:val="000000"/>
          <w:sz w:val="24"/>
          <w:szCs w:val="24"/>
        </w:rPr>
        <w:t xml:space="preserve"> </w:t>
      </w:r>
    </w:p>
    <w:p>
      <w:pPr>
        <w:autoSpaceDE w:val="0"/>
        <w:autoSpaceDN w:val="0"/>
        <w:adjustRightInd w:val="0"/>
        <w:spacing w:before="120" w:after="120" w:line="240" w:lineRule="auto"/>
        <w:jc w:val="both"/>
        <w:rPr>
          <w:rFonts w:ascii="Times New Roman" w:hAnsi="Times New Roman"/>
          <w:noProof/>
          <w:sz w:val="24"/>
          <w:szCs w:val="24"/>
        </w:rPr>
      </w:pPr>
      <w:r>
        <w:rPr>
          <w:rFonts w:ascii="Times New Roman" w:hAnsi="Times New Roman"/>
          <w:noProof/>
          <w:sz w:val="24"/>
          <w:szCs w:val="24"/>
        </w:rPr>
        <w:t>As already mentioned in the introduction above, water provision and food systems in the Mediterranean area are unsustainably managed. This challenge is exacerbated by climate change and has important downstream societal impacts including instability and external migration.</w:t>
      </w:r>
    </w:p>
    <w:p>
      <w:pPr>
        <w:autoSpaceDE w:val="0"/>
        <w:autoSpaceDN w:val="0"/>
        <w:adjustRightInd w:val="0"/>
        <w:spacing w:before="120" w:after="120" w:line="240" w:lineRule="auto"/>
        <w:jc w:val="both"/>
        <w:rPr>
          <w:rFonts w:ascii="Times New Roman" w:hAnsi="Times New Roman"/>
          <w:noProof/>
          <w:sz w:val="24"/>
          <w:szCs w:val="24"/>
        </w:rPr>
      </w:pPr>
      <w:r>
        <w:rPr>
          <w:rFonts w:ascii="Times New Roman" w:hAnsi="Times New Roman"/>
          <w:b/>
          <w:noProof/>
          <w:sz w:val="24"/>
          <w:szCs w:val="24"/>
        </w:rPr>
        <w:t>The unsustainable management of water provision and food systems in the Mediterranean area</w:t>
      </w:r>
      <w:r>
        <w:rPr>
          <w:rFonts w:ascii="Times New Roman" w:hAnsi="Times New Roman"/>
          <w:noProof/>
          <w:sz w:val="24"/>
          <w:szCs w:val="24"/>
        </w:rPr>
        <w:t xml:space="preserve"> is due to a number of factors including political instability, climate change, and the rapidly growing population.</w:t>
      </w:r>
    </w:p>
    <w:p>
      <w:pPr>
        <w:autoSpaceDE w:val="0"/>
        <w:autoSpaceDN w:val="0"/>
        <w:adjustRightInd w:val="0"/>
        <w:spacing w:before="120" w:after="120" w:line="240" w:lineRule="auto"/>
        <w:jc w:val="both"/>
        <w:rPr>
          <w:rFonts w:ascii="Times New Roman" w:hAnsi="Times New Roman"/>
          <w:b/>
          <w:noProof/>
          <w:sz w:val="24"/>
        </w:rPr>
      </w:pPr>
      <w:r>
        <w:rPr>
          <w:rFonts w:ascii="Times New Roman" w:hAnsi="Times New Roman"/>
          <w:b/>
          <w:noProof/>
          <w:sz w:val="24"/>
          <w:szCs w:val="24"/>
        </w:rPr>
        <w:t xml:space="preserve">A </w:t>
      </w:r>
      <w:r>
        <w:rPr>
          <w:rFonts w:ascii="Times New Roman" w:hAnsi="Times New Roman"/>
          <w:b/>
          <w:noProof/>
          <w:sz w:val="24"/>
        </w:rPr>
        <w:t>key reason</w:t>
      </w:r>
      <w:r>
        <w:rPr>
          <w:rFonts w:ascii="Times New Roman" w:hAnsi="Times New Roman"/>
          <w:b/>
          <w:noProof/>
          <w:sz w:val="24"/>
          <w:szCs w:val="24"/>
        </w:rPr>
        <w:t>, however,</w:t>
      </w:r>
      <w:r>
        <w:rPr>
          <w:rFonts w:ascii="Times New Roman" w:hAnsi="Times New Roman"/>
          <w:b/>
          <w:noProof/>
          <w:sz w:val="24"/>
        </w:rPr>
        <w:t xml:space="preserve"> is</w:t>
      </w:r>
      <w:r>
        <w:rPr>
          <w:rFonts w:ascii="Times New Roman" w:hAnsi="Times New Roman"/>
          <w:b/>
          <w:noProof/>
          <w:sz w:val="24"/>
          <w:szCs w:val="24"/>
        </w:rPr>
        <w:t xml:space="preserve"> </w:t>
      </w:r>
      <w:r>
        <w:rPr>
          <w:rFonts w:ascii="Times New Roman" w:hAnsi="Times New Roman"/>
          <w:b/>
          <w:noProof/>
          <w:sz w:val="24"/>
        </w:rPr>
        <w:t>the lack of a set of common innovative solutions that are adapted to the realities of the region and easily transferable across it, and have been fully piloted and demonstrated on the ground.</w:t>
      </w:r>
    </w:p>
    <w:p>
      <w:pPr>
        <w:autoSpaceDE w:val="0"/>
        <w:autoSpaceDN w:val="0"/>
        <w:adjustRightInd w:val="0"/>
        <w:spacing w:before="120" w:after="120" w:line="240" w:lineRule="auto"/>
        <w:jc w:val="both"/>
        <w:rPr>
          <w:rFonts w:ascii="Times New Roman" w:hAnsi="Times New Roman"/>
          <w:noProof/>
          <w:sz w:val="24"/>
          <w:szCs w:val="24"/>
        </w:rPr>
      </w:pPr>
      <w:r>
        <w:rPr>
          <w:rFonts w:ascii="Times New Roman" w:hAnsi="Times New Roman"/>
          <w:noProof/>
          <w:sz w:val="24"/>
          <w:szCs w:val="24"/>
        </w:rPr>
        <w:t>These solutions are not forthcoming because the overall level of R&amp;I investment in the Mediterranean is not commensurate with the size of the regional challenge; investment levels also differ greatly between countries. Funding is not well focused on addressing the water and food challenge, and the relevant stakeholders involved – for instance, private sector ones – do not always have sufficiently strong R&amp;I capabilities. Finally, the R&amp;I and collaboration efforts between EU Member States and Southern and Eastern Mediterranean countries are too fragmented (mostly governed by bilateral agreements) to have any significant impact.</w:t>
      </w:r>
    </w:p>
    <w:p>
      <w:pPr>
        <w:spacing w:after="240" w:line="240" w:lineRule="auto"/>
        <w:jc w:val="both"/>
        <w:rPr>
          <w:rFonts w:ascii="Times New Roman" w:hAnsi="Times New Roman"/>
          <w:noProof/>
          <w:sz w:val="24"/>
          <w:szCs w:val="24"/>
        </w:rPr>
      </w:pPr>
      <w:r>
        <w:rPr>
          <w:rFonts w:ascii="Times New Roman" w:hAnsi="Times New Roman"/>
          <w:noProof/>
          <w:color w:val="000000"/>
          <w:sz w:val="24"/>
          <w:szCs w:val="24"/>
        </w:rPr>
        <w:t>The challenge of unsustainably managed water provision and food systems is complex because of the interrelation between water and food and because of its cross-sectoral and transnational nature. Addressing the challenge requires trans-disciplinary research and integrated solutions that take into account not only innovation per se but also other factors such as the technology adoption behaviour of rural communities, economic constraints, or the legally and institutionally stable frameworks that may favour the adoption of the most appropriate measures</w:t>
      </w:r>
      <w:r>
        <w:rPr>
          <w:rStyle w:val="FootnoteReference"/>
          <w:rFonts w:ascii="Times New Roman" w:hAnsi="Times New Roman"/>
          <w:noProof/>
          <w:color w:val="000000"/>
          <w:sz w:val="24"/>
          <w:szCs w:val="24"/>
        </w:rPr>
        <w:footnoteReference w:id="19"/>
      </w:r>
      <w:r>
        <w:rPr>
          <w:rFonts w:ascii="Times New Roman" w:hAnsi="Times New Roman"/>
          <w:noProof/>
          <w:color w:val="000000"/>
          <w:sz w:val="24"/>
          <w:szCs w:val="24"/>
          <w:vertAlign w:val="superscript"/>
        </w:rPr>
        <w:t>,</w:t>
      </w:r>
      <w:r>
        <w:rPr>
          <w:rStyle w:val="FootnoteReference"/>
          <w:rFonts w:ascii="Times New Roman" w:hAnsi="Times New Roman"/>
          <w:noProof/>
          <w:color w:val="000000"/>
          <w:sz w:val="24"/>
          <w:szCs w:val="24"/>
        </w:rPr>
        <w:footnoteReference w:id="20"/>
      </w:r>
      <w:r>
        <w:rPr>
          <w:rFonts w:ascii="Times New Roman" w:hAnsi="Times New Roman"/>
          <w:noProof/>
          <w:color w:val="000000"/>
          <w:sz w:val="24"/>
          <w:szCs w:val="24"/>
        </w:rPr>
        <w:t>.</w:t>
      </w:r>
    </w:p>
    <w:tbl>
      <w:tblPr>
        <w:tblStyle w:val="TableGrid"/>
        <w:tblW w:w="0" w:type="auto"/>
        <w:tblLook w:val="04A0" w:firstRow="1" w:lastRow="0" w:firstColumn="1" w:lastColumn="0" w:noHBand="0" w:noVBand="1"/>
      </w:tblPr>
      <w:tblGrid>
        <w:gridCol w:w="9747"/>
      </w:tblGrid>
      <w:tr>
        <w:tc>
          <w:tcPr>
            <w:tcW w:w="9747" w:type="dxa"/>
          </w:tcPr>
          <w:p>
            <w:pPr>
              <w:autoSpaceDE w:val="0"/>
              <w:autoSpaceDN w:val="0"/>
              <w:adjustRightInd w:val="0"/>
              <w:spacing w:after="60" w:line="240" w:lineRule="auto"/>
              <w:jc w:val="both"/>
              <w:rPr>
                <w:rFonts w:ascii="Times New Roman" w:hAnsi="Times New Roman"/>
                <w:noProof/>
                <w:sz w:val="22"/>
                <w:szCs w:val="22"/>
              </w:rPr>
            </w:pPr>
            <w:r>
              <w:rPr>
                <w:rFonts w:ascii="Times New Roman" w:hAnsi="Times New Roman"/>
                <w:noProof/>
                <w:sz w:val="22"/>
                <w:szCs w:val="22"/>
              </w:rPr>
              <w:t>- The World Bank estimates that by 2025 climate change will be responsible for shortfalls in crop yields and water availability that will affect 1.4 billion people worldwide. Unless some significant technological break-through occurs, water shortages will have a major impact on agriculture, especially in those countries, like in the Mediterranean region, where most of the available water is used for irrigation, placing additional pressures on the natural resources of this region, such as land, water, and biodiversity, and on the capacity of countries to provide affordable food and good quality water to their inhabitants.</w:t>
            </w:r>
          </w:p>
          <w:p>
            <w:pPr>
              <w:autoSpaceDE w:val="0"/>
              <w:autoSpaceDN w:val="0"/>
              <w:adjustRightInd w:val="0"/>
              <w:spacing w:after="60" w:line="240" w:lineRule="auto"/>
              <w:jc w:val="both"/>
              <w:rPr>
                <w:rFonts w:ascii="Times New Roman" w:hAnsi="Times New Roman"/>
                <w:noProof/>
                <w:sz w:val="22"/>
                <w:szCs w:val="22"/>
              </w:rPr>
            </w:pPr>
            <w:r>
              <w:rPr>
                <w:rFonts w:ascii="Times New Roman" w:hAnsi="Times New Roman"/>
                <w:noProof/>
                <w:sz w:val="22"/>
                <w:szCs w:val="22"/>
              </w:rPr>
              <w:t>- The 2011/2012 EU Development Report (ERD) "Confronting scarcity: Managing water, energy and land for inclusive and sustainable growth"</w:t>
            </w:r>
            <w:r>
              <w:rPr>
                <w:rStyle w:val="FootnoteReference"/>
                <w:rFonts w:ascii="Times New Roman" w:hAnsi="Times New Roman"/>
                <w:i/>
                <w:noProof/>
                <w:sz w:val="22"/>
                <w:szCs w:val="22"/>
              </w:rPr>
              <w:footnoteReference w:id="21"/>
            </w:r>
            <w:r>
              <w:rPr>
                <w:rFonts w:ascii="Times New Roman" w:hAnsi="Times New Roman"/>
                <w:noProof/>
                <w:sz w:val="22"/>
                <w:szCs w:val="22"/>
              </w:rPr>
              <w:t xml:space="preserve"> calls for public support for research on innovative technological solutions to address the sustainable management of water, energy and land in developing countries</w:t>
            </w:r>
            <w:r>
              <w:rPr>
                <w:rStyle w:val="FootnoteReference"/>
                <w:rFonts w:ascii="Times New Roman" w:hAnsi="Times New Roman"/>
                <w:noProof/>
                <w:sz w:val="22"/>
                <w:szCs w:val="22"/>
              </w:rPr>
              <w:footnoteReference w:id="22"/>
            </w:r>
            <w:r>
              <w:rPr>
                <w:rFonts w:ascii="Times New Roman" w:hAnsi="Times New Roman"/>
                <w:noProof/>
                <w:sz w:val="22"/>
                <w:szCs w:val="22"/>
              </w:rPr>
              <w:t>, including Southern-eastern Mediterranean Countries.</w:t>
            </w:r>
          </w:p>
          <w:p>
            <w:pPr>
              <w:autoSpaceDE w:val="0"/>
              <w:autoSpaceDN w:val="0"/>
              <w:adjustRightInd w:val="0"/>
              <w:spacing w:after="60" w:line="240" w:lineRule="auto"/>
              <w:jc w:val="both"/>
              <w:rPr>
                <w:rFonts w:ascii="Times New Roman" w:hAnsi="Times New Roman"/>
                <w:noProof/>
                <w:color w:val="000000"/>
                <w:sz w:val="22"/>
                <w:szCs w:val="22"/>
              </w:rPr>
            </w:pPr>
            <w:r>
              <w:rPr>
                <w:rFonts w:ascii="Times New Roman" w:hAnsi="Times New Roman"/>
                <w:noProof/>
                <w:sz w:val="22"/>
                <w:szCs w:val="22"/>
              </w:rPr>
              <w:t xml:space="preserve">- </w:t>
            </w:r>
            <w:r>
              <w:rPr>
                <w:rFonts w:ascii="Times New Roman" w:hAnsi="Times New Roman"/>
                <w:noProof/>
                <w:color w:val="000000"/>
                <w:sz w:val="22"/>
                <w:szCs w:val="22"/>
              </w:rPr>
              <w:t>In the Mediterranean area, the competition for water use between agriculture, drinking water and other uses, such as tourism-related activities, becomes increasingly severe. Water used for irrigation represents 60% of the total water quantities used for human related activities in the Mediterranean area, and this percentage extends to more than 80% of total water use in Morocco, Greece, Egypt, Cyprus, Tunisia and Turkey</w:t>
            </w:r>
            <w:r>
              <w:rPr>
                <w:rStyle w:val="FootnoteReference"/>
                <w:rFonts w:ascii="Times New Roman" w:hAnsi="Times New Roman"/>
                <w:noProof/>
                <w:color w:val="000000"/>
                <w:sz w:val="22"/>
                <w:szCs w:val="22"/>
              </w:rPr>
              <w:footnoteReference w:id="23"/>
            </w:r>
            <w:r>
              <w:rPr>
                <w:rFonts w:ascii="Times New Roman" w:hAnsi="Times New Roman"/>
                <w:noProof/>
                <w:color w:val="000000"/>
                <w:sz w:val="22"/>
                <w:szCs w:val="22"/>
              </w:rPr>
              <w:t xml:space="preserve">. </w:t>
            </w:r>
          </w:p>
          <w:p>
            <w:pPr>
              <w:autoSpaceDE w:val="0"/>
              <w:autoSpaceDN w:val="0"/>
              <w:adjustRightInd w:val="0"/>
              <w:spacing w:after="60" w:line="240" w:lineRule="auto"/>
              <w:jc w:val="both"/>
              <w:rPr>
                <w:rFonts w:ascii="Times New Roman" w:hAnsi="Times New Roman"/>
                <w:noProof/>
                <w:sz w:val="24"/>
                <w:szCs w:val="24"/>
              </w:rPr>
            </w:pPr>
            <w:r>
              <w:rPr>
                <w:rFonts w:ascii="Times New Roman" w:hAnsi="Times New Roman"/>
                <w:noProof/>
                <w:sz w:val="22"/>
                <w:szCs w:val="22"/>
              </w:rPr>
              <w:t>- Mediterranean countries have a strong and growing interest in agro-food, a basic sector identified as one of the major contributors to the region's ecological footprint. The Mediterranean region uses two and a half times more natural resources than what its ecosystems can provide. Therefore, promoting innovation and knowledge creation across all of the agro-food related sectors, and along the whole food supply chain, can be considered as a crucial factor for Mediterranean economies in need of new and more sustainable production processes and business opportunities</w:t>
            </w:r>
            <w:r>
              <w:rPr>
                <w:rStyle w:val="FootnoteReference"/>
                <w:rFonts w:ascii="Times New Roman" w:hAnsi="Times New Roman"/>
                <w:noProof/>
                <w:sz w:val="22"/>
                <w:szCs w:val="22"/>
              </w:rPr>
              <w:footnoteReference w:id="24"/>
            </w:r>
            <w:r>
              <w:rPr>
                <w:rFonts w:ascii="Times New Roman" w:hAnsi="Times New Roman"/>
                <w:noProof/>
                <w:sz w:val="22"/>
                <w:szCs w:val="22"/>
              </w:rPr>
              <w:t>.</w:t>
            </w:r>
          </w:p>
        </w:tc>
      </w:tr>
    </w:tbl>
    <w:p>
      <w:pPr>
        <w:autoSpaceDE w:val="0"/>
        <w:autoSpaceDN w:val="0"/>
        <w:adjustRightInd w:val="0"/>
        <w:spacing w:before="240" w:after="120" w:line="240" w:lineRule="auto"/>
        <w:jc w:val="both"/>
        <w:rPr>
          <w:rFonts w:ascii="Times New Roman" w:hAnsi="Times New Roman"/>
          <w:noProof/>
          <w:sz w:val="24"/>
          <w:szCs w:val="24"/>
        </w:rPr>
      </w:pPr>
      <w:r>
        <w:rPr>
          <w:rFonts w:ascii="Times New Roman" w:hAnsi="Times New Roman"/>
          <w:noProof/>
          <w:sz w:val="24"/>
          <w:szCs w:val="24"/>
        </w:rPr>
        <w:t xml:space="preserve">Existing </w:t>
      </w:r>
      <w:r>
        <w:rPr>
          <w:rFonts w:ascii="Times New Roman" w:hAnsi="Times New Roman"/>
          <w:b/>
          <w:noProof/>
          <w:sz w:val="24"/>
          <w:szCs w:val="24"/>
        </w:rPr>
        <w:t>R&amp;I systems and investments in the Mediterranean area are fragmented, and not commensurate</w:t>
      </w:r>
      <w:r>
        <w:rPr>
          <w:rFonts w:ascii="Times New Roman" w:hAnsi="Times New Roman"/>
          <w:noProof/>
          <w:sz w:val="24"/>
          <w:szCs w:val="24"/>
        </w:rPr>
        <w:t xml:space="preserve"> </w:t>
      </w:r>
      <w:r>
        <w:rPr>
          <w:rFonts w:ascii="Times New Roman" w:hAnsi="Times New Roman"/>
          <w:b/>
          <w:noProof/>
          <w:sz w:val="24"/>
          <w:szCs w:val="24"/>
        </w:rPr>
        <w:t>and adequately</w:t>
      </w:r>
      <w:r>
        <w:rPr>
          <w:rFonts w:ascii="Times New Roman" w:hAnsi="Times New Roman"/>
          <w:noProof/>
          <w:sz w:val="24"/>
          <w:szCs w:val="24"/>
        </w:rPr>
        <w:t xml:space="preserve"> </w:t>
      </w:r>
      <w:r>
        <w:rPr>
          <w:rFonts w:ascii="Times New Roman" w:hAnsi="Times New Roman"/>
          <w:b/>
          <w:noProof/>
          <w:sz w:val="24"/>
          <w:szCs w:val="24"/>
        </w:rPr>
        <w:t xml:space="preserve">integrated </w:t>
      </w:r>
      <w:r>
        <w:rPr>
          <w:rFonts w:ascii="Times New Roman" w:hAnsi="Times New Roman"/>
          <w:noProof/>
          <w:sz w:val="24"/>
          <w:szCs w:val="24"/>
        </w:rPr>
        <w:t xml:space="preserve">to cope efficiently and effectively with the complexity and the size of the regional the challenge, and to deliver the urgently needed innovative and integrated solutions for the sustainable management of water provision and food systems. Concretely, there is a lack of </w:t>
      </w:r>
      <w:r>
        <w:rPr>
          <w:rFonts w:ascii="Times New Roman" w:hAnsi="Times New Roman"/>
          <w:b/>
          <w:noProof/>
          <w:sz w:val="24"/>
          <w:szCs w:val="24"/>
        </w:rPr>
        <w:t>common innovative solutions</w:t>
      </w:r>
      <w:r>
        <w:rPr>
          <w:rFonts w:ascii="Times New Roman" w:hAnsi="Times New Roman"/>
          <w:noProof/>
          <w:sz w:val="24"/>
          <w:szCs w:val="24"/>
        </w:rPr>
        <w:t xml:space="preserve"> fully piloted and demonstrated on the ground, adapted to the realities of the region, and easily transferable across it.</w:t>
      </w:r>
    </w:p>
    <w:p>
      <w:pPr>
        <w:spacing w:after="120" w:line="240" w:lineRule="auto"/>
        <w:jc w:val="both"/>
        <w:rPr>
          <w:rFonts w:ascii="Times New Roman" w:hAnsi="Times New Roman"/>
          <w:noProof/>
          <w:sz w:val="24"/>
          <w:szCs w:val="24"/>
        </w:rPr>
      </w:pPr>
      <w:r>
        <w:rPr>
          <w:rFonts w:ascii="Times New Roman" w:hAnsi="Times New Roman"/>
          <w:noProof/>
          <w:sz w:val="24"/>
          <w:szCs w:val="24"/>
        </w:rPr>
        <w:t>Stakeholders responding to the online public consultation organised by the Commission agreed that the difficulty involved in implementing innovative solutions related to insufficient cooperation between countries and actors is the most urgent issue for R&amp;I in the Mediterranean area. More funding for R&amp;I is also called for, though slightly less critical. Respondents called for more synergies among actors and countries and put particular emphasis on the importance of raising awareness about issues related to climate change.</w:t>
      </w:r>
    </w:p>
    <w:p>
      <w:pPr>
        <w:spacing w:after="120" w:line="240" w:lineRule="auto"/>
        <w:jc w:val="both"/>
        <w:rPr>
          <w:rFonts w:ascii="Times New Roman" w:hAnsi="Times New Roman"/>
          <w:noProof/>
          <w:sz w:val="24"/>
          <w:szCs w:val="24"/>
        </w:rPr>
      </w:pPr>
    </w:p>
    <w:p>
      <w:pPr>
        <w:pStyle w:val="Heading1"/>
        <w:numPr>
          <w:ilvl w:val="1"/>
          <w:numId w:val="7"/>
        </w:numPr>
        <w:spacing w:before="0" w:after="120"/>
        <w:jc w:val="both"/>
        <w:rPr>
          <w:rFonts w:ascii="Times New Roman" w:hAnsi="Times New Roman"/>
          <w:noProof/>
          <w:color w:val="000000"/>
          <w:sz w:val="24"/>
          <w:szCs w:val="24"/>
        </w:rPr>
      </w:pPr>
      <w:bookmarkStart w:id="8" w:name="_Toc457466030"/>
      <w:r>
        <w:rPr>
          <w:rFonts w:ascii="Times New Roman" w:hAnsi="Times New Roman"/>
          <w:noProof/>
          <w:color w:val="000000"/>
          <w:sz w:val="24"/>
          <w:szCs w:val="24"/>
        </w:rPr>
        <w:t>The drivers</w:t>
      </w:r>
      <w:bookmarkEnd w:id="8"/>
    </w:p>
    <w:p>
      <w:pPr>
        <w:autoSpaceDE w:val="0"/>
        <w:autoSpaceDN w:val="0"/>
        <w:adjustRightInd w:val="0"/>
        <w:spacing w:after="120" w:line="240" w:lineRule="auto"/>
        <w:jc w:val="both"/>
        <w:rPr>
          <w:rFonts w:ascii="Times New Roman" w:hAnsi="Times New Roman"/>
          <w:noProof/>
          <w:sz w:val="24"/>
          <w:szCs w:val="24"/>
        </w:rPr>
      </w:pPr>
      <w:r>
        <w:rPr>
          <w:rFonts w:ascii="Times New Roman" w:hAnsi="Times New Roman"/>
          <w:noProof/>
          <w:sz w:val="24"/>
          <w:szCs w:val="24"/>
        </w:rPr>
        <w:t>The drivers</w:t>
      </w:r>
      <w:r>
        <w:rPr>
          <w:rFonts w:ascii="Times New Roman" w:hAnsi="Times New Roman"/>
          <w:noProof/>
          <w:sz w:val="24"/>
        </w:rPr>
        <w:t xml:space="preserve"> </w:t>
      </w:r>
      <w:r>
        <w:rPr>
          <w:rFonts w:ascii="Times New Roman" w:hAnsi="Times New Roman"/>
          <w:noProof/>
          <w:sz w:val="24"/>
          <w:szCs w:val="24"/>
        </w:rPr>
        <w:t>behind</w:t>
      </w:r>
      <w:r>
        <w:rPr>
          <w:rFonts w:ascii="Times New Roman" w:hAnsi="Times New Roman"/>
          <w:noProof/>
          <w:sz w:val="24"/>
        </w:rPr>
        <w:t xml:space="preserve"> the </w:t>
      </w:r>
      <w:r>
        <w:rPr>
          <w:rFonts w:ascii="Times New Roman" w:hAnsi="Times New Roman"/>
          <w:noProof/>
          <w:color w:val="000000"/>
          <w:sz w:val="24"/>
          <w:szCs w:val="24"/>
        </w:rPr>
        <w:t>inadequacy of R&amp;I systems in the Mediterranean area to deliver the needed innovative and integrated solutions for the sustainable management of water provision and food systems are as follows</w:t>
      </w:r>
      <w:r>
        <w:rPr>
          <w:rFonts w:ascii="Times New Roman" w:hAnsi="Times New Roman"/>
          <w:noProof/>
          <w:sz w:val="24"/>
          <w:szCs w:val="24"/>
        </w:rPr>
        <w:t>:</w:t>
      </w:r>
    </w:p>
    <w:p>
      <w:pPr>
        <w:spacing w:before="120" w:after="0" w:line="240" w:lineRule="auto"/>
        <w:rPr>
          <w:rFonts w:ascii="Times New Roman" w:hAnsi="Times New Roman"/>
          <w:b/>
          <w:i/>
          <w:noProof/>
          <w:sz w:val="24"/>
        </w:rPr>
      </w:pPr>
      <w:r>
        <w:rPr>
          <w:rFonts w:ascii="Times New Roman" w:hAnsi="Times New Roman"/>
          <w:b/>
          <w:i/>
          <w:noProof/>
          <w:sz w:val="24"/>
        </w:rPr>
        <w:t>Uneven R&amp;I resources in the Mediterranean countries</w:t>
      </w:r>
    </w:p>
    <w:p>
      <w:pPr>
        <w:spacing w:after="120" w:line="240" w:lineRule="auto"/>
        <w:ind w:left="66"/>
        <w:jc w:val="both"/>
        <w:rPr>
          <w:rFonts w:ascii="Times New Roman" w:hAnsi="Times New Roman"/>
          <w:noProof/>
          <w:sz w:val="24"/>
          <w:szCs w:val="24"/>
        </w:rPr>
      </w:pPr>
      <w:r>
        <w:rPr>
          <w:rFonts w:ascii="Times New Roman" w:hAnsi="Times New Roman"/>
          <w:noProof/>
          <w:sz w:val="24"/>
          <w:szCs w:val="24"/>
        </w:rPr>
        <w:t>For instance, average R&amp;D intensities in the region are extremely low: 1.29% for the EU Member States participating in the PRIMA Joint Programme (compared to 2% for the Member States overall) and 0.54% for the Southern and Eastern Mediterranean countries (excluding Israel, for which the R&amp;D intensity is 4.21%)</w:t>
      </w:r>
      <w:r>
        <w:rPr>
          <w:rStyle w:val="FootnoteReference"/>
          <w:rFonts w:ascii="Times New Roman" w:hAnsi="Times New Roman"/>
          <w:noProof/>
          <w:sz w:val="24"/>
          <w:szCs w:val="24"/>
        </w:rPr>
        <w:footnoteReference w:id="25"/>
      </w:r>
      <w:r>
        <w:rPr>
          <w:rFonts w:ascii="Times New Roman" w:hAnsi="Times New Roman"/>
          <w:noProof/>
          <w:sz w:val="24"/>
          <w:szCs w:val="24"/>
        </w:rPr>
        <w:t>.</w:t>
      </w:r>
    </w:p>
    <w:p>
      <w:pPr>
        <w:spacing w:before="120" w:after="0" w:line="240" w:lineRule="auto"/>
        <w:rPr>
          <w:rFonts w:ascii="Times New Roman" w:hAnsi="Times New Roman"/>
          <w:b/>
          <w:i/>
          <w:noProof/>
          <w:sz w:val="24"/>
          <w:szCs w:val="24"/>
        </w:rPr>
      </w:pPr>
      <w:r>
        <w:rPr>
          <w:rFonts w:ascii="Times New Roman" w:hAnsi="Times New Roman"/>
          <w:b/>
          <w:i/>
          <w:noProof/>
          <w:sz w:val="24"/>
          <w:szCs w:val="24"/>
        </w:rPr>
        <w:t>Limited coordination of R&amp;I policy programming between Mediterranean countries</w:t>
      </w:r>
    </w:p>
    <w:p>
      <w:pPr>
        <w:autoSpaceDE w:val="0"/>
        <w:autoSpaceDN w:val="0"/>
        <w:adjustRightInd w:val="0"/>
        <w:spacing w:after="120" w:line="240" w:lineRule="auto"/>
        <w:jc w:val="both"/>
        <w:rPr>
          <w:rFonts w:ascii="Times New Roman" w:hAnsi="Times New Roman"/>
          <w:noProof/>
          <w:sz w:val="24"/>
          <w:szCs w:val="24"/>
        </w:rPr>
      </w:pPr>
      <w:r>
        <w:rPr>
          <w:rFonts w:ascii="Times New Roman" w:hAnsi="Times New Roman"/>
          <w:noProof/>
          <w:sz w:val="24"/>
          <w:szCs w:val="24"/>
        </w:rPr>
        <w:t>For instance, in the field of water and food, more than 17 different bilateral and 11 transnational R&amp;I collaboration programmes have been identified as being in operation in the region in a not well-coordinated manner.</w:t>
      </w:r>
    </w:p>
    <w:p>
      <w:pPr>
        <w:spacing w:before="120" w:after="0" w:line="240" w:lineRule="auto"/>
        <w:rPr>
          <w:rFonts w:ascii="Times New Roman" w:hAnsi="Times New Roman"/>
          <w:b/>
          <w:i/>
          <w:noProof/>
          <w:sz w:val="24"/>
          <w:szCs w:val="24"/>
        </w:rPr>
      </w:pPr>
      <w:r>
        <w:rPr>
          <w:rFonts w:ascii="Times New Roman" w:hAnsi="Times New Roman"/>
          <w:b/>
          <w:i/>
          <w:noProof/>
          <w:sz w:val="24"/>
        </w:rPr>
        <w:t>Lack of long-term strategic R&amp;I agenda and multi-stakeholder governance</w:t>
      </w:r>
    </w:p>
    <w:p>
      <w:pPr>
        <w:autoSpaceDE w:val="0"/>
        <w:autoSpaceDN w:val="0"/>
        <w:adjustRightInd w:val="0"/>
        <w:spacing w:after="120" w:line="240" w:lineRule="auto"/>
        <w:jc w:val="both"/>
        <w:rPr>
          <w:rFonts w:ascii="Times New Roman" w:hAnsi="Times New Roman"/>
          <w:noProof/>
          <w:sz w:val="24"/>
          <w:szCs w:val="24"/>
        </w:rPr>
      </w:pPr>
      <w:r>
        <w:rPr>
          <w:rFonts w:ascii="Times New Roman" w:hAnsi="Times New Roman"/>
          <w:noProof/>
          <w:sz w:val="24"/>
          <w:szCs w:val="24"/>
        </w:rPr>
        <w:t>For instance, though of key importance for the rapid dissemination and valorisation of research results, less than 10% of research activities in the Mediterranean region are carried out by private actors</w:t>
      </w:r>
      <w:r>
        <w:rPr>
          <w:rStyle w:val="FootnoteReference"/>
          <w:rFonts w:ascii="Times New Roman" w:hAnsi="Times New Roman"/>
          <w:noProof/>
          <w:color w:val="000000"/>
          <w:sz w:val="24"/>
          <w:szCs w:val="24"/>
        </w:rPr>
        <w:footnoteReference w:id="26"/>
      </w:r>
      <w:r>
        <w:rPr>
          <w:rFonts w:ascii="Times New Roman" w:hAnsi="Times New Roman"/>
          <w:noProof/>
          <w:sz w:val="24"/>
          <w:szCs w:val="24"/>
        </w:rPr>
        <w:t>.</w:t>
      </w:r>
    </w:p>
    <w:p>
      <w:pPr>
        <w:spacing w:after="120" w:line="240" w:lineRule="auto"/>
        <w:jc w:val="both"/>
        <w:rPr>
          <w:rFonts w:ascii="Times New Roman" w:hAnsi="Times New Roman"/>
          <w:noProof/>
          <w:sz w:val="24"/>
          <w:szCs w:val="24"/>
        </w:rPr>
      </w:pPr>
      <w:r>
        <w:rPr>
          <w:rFonts w:ascii="Times New Roman" w:hAnsi="Times New Roman"/>
          <w:noProof/>
          <w:sz w:val="24"/>
          <w:szCs w:val="24"/>
        </w:rPr>
        <w:t>Stakeholders responding to the online public consultation organised by the Commission recognised the importance of addressing as main drivers of the problem: (i) the lack of coordination and cooperation between Mediterranean countries and research organisations and the duplication of research efforts (64.1% of replies); (ii) the lack of cooperation between academic and non-academic actors (62.8%); and (iii) the insufficient investment in R&amp;I (61.2%).</w:t>
      </w:r>
    </w:p>
    <w:p>
      <w:pPr>
        <w:spacing w:after="120" w:line="240" w:lineRule="auto"/>
        <w:jc w:val="both"/>
        <w:rPr>
          <w:rFonts w:ascii="Times New Roman" w:hAnsi="Times New Roman"/>
          <w:noProof/>
          <w:sz w:val="24"/>
          <w:szCs w:val="24"/>
        </w:rPr>
      </w:pPr>
    </w:p>
    <w:p>
      <w:pPr>
        <w:autoSpaceDE w:val="0"/>
        <w:autoSpaceDN w:val="0"/>
        <w:adjustRightInd w:val="0"/>
        <w:spacing w:after="120" w:line="240" w:lineRule="auto"/>
        <w:jc w:val="both"/>
        <w:rPr>
          <w:rFonts w:ascii="Times New Roman" w:hAnsi="Times New Roman"/>
          <w:b/>
          <w:noProof/>
          <w:color w:val="000000"/>
          <w:sz w:val="24"/>
          <w:szCs w:val="24"/>
          <w:u w:val="single"/>
        </w:rPr>
      </w:pPr>
      <w:r>
        <w:rPr>
          <w:rFonts w:ascii="Times New Roman" w:hAnsi="Times New Roman"/>
          <w:b/>
          <w:noProof/>
          <w:color w:val="000000"/>
          <w:sz w:val="24"/>
          <w:szCs w:val="24"/>
          <w:u w:val="single"/>
        </w:rPr>
        <w:t>Problem driver 1</w:t>
      </w:r>
      <w:r>
        <w:rPr>
          <w:rFonts w:ascii="Times New Roman" w:hAnsi="Times New Roman"/>
          <w:b/>
          <w:noProof/>
          <w:color w:val="000000"/>
          <w:sz w:val="24"/>
          <w:szCs w:val="24"/>
        </w:rPr>
        <w:t xml:space="preserve">: </w:t>
      </w:r>
      <w:r>
        <w:rPr>
          <w:rFonts w:ascii="Times New Roman" w:hAnsi="Times New Roman"/>
          <w:b/>
          <w:noProof/>
          <w:sz w:val="24"/>
        </w:rPr>
        <w:t>Uneven R&amp;I resources in the Mediterranean countries</w:t>
      </w:r>
    </w:p>
    <w:p>
      <w:pPr>
        <w:autoSpaceDE w:val="0"/>
        <w:autoSpaceDN w:val="0"/>
        <w:adjustRightInd w:val="0"/>
        <w:spacing w:after="120" w:line="240" w:lineRule="auto"/>
        <w:jc w:val="both"/>
        <w:rPr>
          <w:rFonts w:ascii="Times New Roman" w:hAnsi="Times New Roman"/>
          <w:noProof/>
          <w:sz w:val="24"/>
          <w:szCs w:val="24"/>
        </w:rPr>
      </w:pPr>
      <w:r>
        <w:rPr>
          <w:rFonts w:ascii="Times New Roman" w:hAnsi="Times New Roman"/>
          <w:noProof/>
          <w:sz w:val="24"/>
          <w:szCs w:val="24"/>
        </w:rPr>
        <w:t>Table 1.1 shows the R&amp;D intensity as well as the number of researchers per million inhabitants in the EU and South and Eastern Mediterranean third countries involved in the PRIMA Joint Programme. It shows that the performance in terms of R&amp;D inputs (investment and researchers) is uneven:</w:t>
      </w:r>
    </w:p>
    <w:p>
      <w:pPr>
        <w:numPr>
          <w:ilvl w:val="0"/>
          <w:numId w:val="5"/>
        </w:numPr>
        <w:spacing w:after="120" w:line="240" w:lineRule="auto"/>
        <w:ind w:left="425" w:hanging="357"/>
        <w:contextualSpacing/>
        <w:jc w:val="both"/>
        <w:rPr>
          <w:rFonts w:ascii="Times New Roman" w:eastAsia="MS Mincho" w:hAnsi="Times New Roman"/>
          <w:noProof/>
          <w:sz w:val="24"/>
          <w:szCs w:val="24"/>
          <w:lang w:eastAsia="ja-JP"/>
        </w:rPr>
      </w:pPr>
      <w:r>
        <w:rPr>
          <w:rFonts w:ascii="Times New Roman" w:eastAsia="MS Mincho" w:hAnsi="Times New Roman"/>
          <w:b/>
          <w:noProof/>
          <w:sz w:val="24"/>
          <w:szCs w:val="24"/>
          <w:lang w:eastAsia="ja-JP"/>
        </w:rPr>
        <w:t>R&amp;D Intensity</w:t>
      </w:r>
      <w:r>
        <w:rPr>
          <w:rFonts w:ascii="Times New Roman" w:eastAsia="MS Mincho" w:hAnsi="Times New Roman"/>
          <w:noProof/>
          <w:sz w:val="24"/>
          <w:szCs w:val="24"/>
          <w:lang w:eastAsia="ja-JP"/>
        </w:rPr>
        <w:t>: A wide variation exists across the 17 Mediterranean countries involved. Only three countries had R&amp;D intensities above 2.00% in 2013 (the EU average was 2.02%) and eleven countries had R&amp;D intensities below 1.00%.</w:t>
      </w:r>
      <w:r>
        <w:rPr>
          <w:rFonts w:ascii="Times New Roman" w:hAnsi="Times New Roman"/>
          <w:noProof/>
          <w:sz w:val="24"/>
          <w:szCs w:val="24"/>
          <w:vertAlign w:val="superscript"/>
        </w:rPr>
        <w:footnoteReference w:id="27"/>
      </w:r>
      <w:r>
        <w:rPr>
          <w:rFonts w:ascii="Times New Roman" w:eastAsia="MS Mincho" w:hAnsi="Times New Roman"/>
          <w:noProof/>
          <w:sz w:val="24"/>
          <w:szCs w:val="24"/>
          <w:lang w:eastAsia="ja-JP"/>
        </w:rPr>
        <w:t xml:space="preserve"> Amongst the Third Countries, only Israel had a very high R&amp;D intensity (4.21%). The other seven countries had intensities below 1.00%. The average for all Middle East and North African Countries was 0.36% in 2013.</w:t>
      </w:r>
    </w:p>
    <w:p>
      <w:pPr>
        <w:numPr>
          <w:ilvl w:val="0"/>
          <w:numId w:val="5"/>
        </w:numPr>
        <w:spacing w:after="120" w:line="240" w:lineRule="auto"/>
        <w:ind w:left="425" w:hanging="357"/>
        <w:contextualSpacing/>
        <w:jc w:val="both"/>
        <w:rPr>
          <w:rFonts w:ascii="Times New Roman" w:eastAsia="MS Mincho" w:hAnsi="Times New Roman"/>
          <w:noProof/>
          <w:sz w:val="24"/>
          <w:szCs w:val="24"/>
          <w:lang w:eastAsia="ja-JP"/>
        </w:rPr>
      </w:pPr>
      <w:r>
        <w:rPr>
          <w:rFonts w:ascii="Times New Roman" w:eastAsia="MS Mincho" w:hAnsi="Times New Roman"/>
          <w:b/>
          <w:noProof/>
          <w:sz w:val="24"/>
          <w:szCs w:val="24"/>
          <w:lang w:eastAsia="ja-JP"/>
        </w:rPr>
        <w:t>Researchers per million people</w:t>
      </w:r>
      <w:r>
        <w:rPr>
          <w:rFonts w:ascii="Times New Roman" w:eastAsia="MS Mincho" w:hAnsi="Times New Roman"/>
          <w:noProof/>
          <w:sz w:val="24"/>
          <w:szCs w:val="24"/>
          <w:lang w:eastAsia="ja-JP"/>
        </w:rPr>
        <w:t>: This indicator as well shows a wide variation across countries, ranging from high figures for countries like France to low figures for all third countries with the exception of Israel in the period 2011-13.</w:t>
      </w:r>
    </w:p>
    <w:p>
      <w:pPr>
        <w:rPr>
          <w:noProof/>
        </w:rPr>
      </w:pPr>
    </w:p>
    <w:tbl>
      <w:tblPr>
        <w:tblW w:w="9510" w:type="dxa"/>
        <w:jc w:val="center"/>
        <w:tblInd w:w="-195" w:type="dxa"/>
        <w:tblLook w:val="04A0" w:firstRow="1" w:lastRow="0" w:firstColumn="1" w:lastColumn="0" w:noHBand="0" w:noVBand="1"/>
      </w:tblPr>
      <w:tblGrid>
        <w:gridCol w:w="1782"/>
        <w:gridCol w:w="1701"/>
        <w:gridCol w:w="1559"/>
        <w:gridCol w:w="1352"/>
        <w:gridCol w:w="1698"/>
        <w:gridCol w:w="1418"/>
      </w:tblGrid>
      <w:tr>
        <w:trPr>
          <w:trHeight w:val="162"/>
          <w:jc w:val="center"/>
        </w:trPr>
        <w:tc>
          <w:tcPr>
            <w:tcW w:w="1782" w:type="dxa"/>
            <w:tcBorders>
              <w:top w:val="single" w:sz="4" w:space="0" w:color="0070C0"/>
              <w:left w:val="single" w:sz="4" w:space="0" w:color="0070C0"/>
              <w:bottom w:val="single" w:sz="4" w:space="0" w:color="0070C0"/>
              <w:right w:val="single" w:sz="4" w:space="0" w:color="FFFFFF"/>
            </w:tcBorders>
            <w:shd w:val="clear" w:color="000000" w:fill="0070C0"/>
            <w:noWrap/>
            <w:vAlign w:val="center"/>
            <w:hideMark/>
          </w:tcPr>
          <w:p>
            <w:pPr>
              <w:spacing w:after="0" w:line="240" w:lineRule="auto"/>
              <w:jc w:val="both"/>
              <w:rPr>
                <w:rFonts w:ascii="Times New Roman" w:eastAsia="Times New Roman" w:hAnsi="Times New Roman"/>
                <w:b/>
                <w:bCs/>
                <w:noProof/>
                <w:color w:val="FFFFFF"/>
                <w:lang w:eastAsia="en-GB"/>
              </w:rPr>
            </w:pPr>
            <w:r>
              <w:rPr>
                <w:rFonts w:ascii="Times New Roman" w:eastAsia="Times New Roman" w:hAnsi="Times New Roman"/>
                <w:b/>
                <w:bCs/>
                <w:noProof/>
                <w:color w:val="FFFFFF"/>
                <w:lang w:eastAsia="en-GB"/>
              </w:rPr>
              <w:t>Member States</w:t>
            </w:r>
          </w:p>
        </w:tc>
        <w:tc>
          <w:tcPr>
            <w:tcW w:w="1701" w:type="dxa"/>
            <w:tcBorders>
              <w:top w:val="single" w:sz="4" w:space="0" w:color="0070C0"/>
              <w:left w:val="nil"/>
              <w:bottom w:val="single" w:sz="4" w:space="0" w:color="0070C0"/>
              <w:right w:val="single" w:sz="4" w:space="0" w:color="FFFFFF"/>
            </w:tcBorders>
            <w:shd w:val="clear" w:color="000000" w:fill="0070C0"/>
            <w:vAlign w:val="center"/>
            <w:hideMark/>
          </w:tcPr>
          <w:p>
            <w:pPr>
              <w:spacing w:after="0" w:line="240" w:lineRule="auto"/>
              <w:jc w:val="center"/>
              <w:rPr>
                <w:rFonts w:ascii="Times New Roman" w:eastAsia="Times New Roman" w:hAnsi="Times New Roman"/>
                <w:b/>
                <w:bCs/>
                <w:noProof/>
                <w:color w:val="FFFFFF"/>
                <w:lang w:eastAsia="en-GB"/>
              </w:rPr>
            </w:pPr>
            <w:r>
              <w:rPr>
                <w:rFonts w:ascii="Times New Roman" w:eastAsia="Times New Roman" w:hAnsi="Times New Roman"/>
                <w:b/>
                <w:bCs/>
                <w:noProof/>
                <w:color w:val="FFFFFF"/>
                <w:lang w:eastAsia="en-GB"/>
              </w:rPr>
              <w:t>R&amp;D Intensity (R&amp;D as % of GDP), 2013</w:t>
            </w:r>
            <w:r>
              <w:rPr>
                <w:rFonts w:ascii="Times New Roman" w:eastAsia="Times New Roman" w:hAnsi="Times New Roman"/>
                <w:b/>
                <w:bCs/>
                <w:noProof/>
                <w:color w:val="FFFFFF"/>
                <w:vertAlign w:val="superscript"/>
                <w:lang w:eastAsia="en-GB"/>
              </w:rPr>
              <w:t>a</w:t>
            </w:r>
          </w:p>
        </w:tc>
        <w:tc>
          <w:tcPr>
            <w:tcW w:w="1559" w:type="dxa"/>
            <w:tcBorders>
              <w:top w:val="single" w:sz="4" w:space="0" w:color="0070C0"/>
              <w:left w:val="nil"/>
              <w:bottom w:val="single" w:sz="4" w:space="0" w:color="0070C0"/>
              <w:right w:val="single" w:sz="4" w:space="0" w:color="FFFFFF"/>
            </w:tcBorders>
            <w:shd w:val="clear" w:color="000000" w:fill="0070C0"/>
            <w:vAlign w:val="center"/>
            <w:hideMark/>
          </w:tcPr>
          <w:p>
            <w:pPr>
              <w:spacing w:after="0" w:line="240" w:lineRule="auto"/>
              <w:jc w:val="center"/>
              <w:rPr>
                <w:rFonts w:ascii="Times New Roman" w:eastAsia="Times New Roman" w:hAnsi="Times New Roman"/>
                <w:b/>
                <w:bCs/>
                <w:noProof/>
                <w:color w:val="FFFFFF"/>
                <w:lang w:eastAsia="en-GB"/>
              </w:rPr>
            </w:pPr>
            <w:r>
              <w:rPr>
                <w:rFonts w:ascii="Times New Roman" w:eastAsia="Times New Roman" w:hAnsi="Times New Roman"/>
                <w:b/>
                <w:bCs/>
                <w:noProof/>
                <w:color w:val="FFFFFF"/>
                <w:lang w:eastAsia="en-GB"/>
              </w:rPr>
              <w:t>Researcher Intensity, 2013</w:t>
            </w:r>
            <w:r>
              <w:rPr>
                <w:rFonts w:ascii="Times New Roman" w:eastAsia="Times New Roman" w:hAnsi="Times New Roman"/>
                <w:b/>
                <w:bCs/>
                <w:noProof/>
                <w:color w:val="FFFFFF"/>
                <w:vertAlign w:val="superscript"/>
                <w:lang w:eastAsia="en-GB"/>
              </w:rPr>
              <w:t>b</w:t>
            </w:r>
          </w:p>
        </w:tc>
        <w:tc>
          <w:tcPr>
            <w:tcW w:w="1352" w:type="dxa"/>
            <w:tcBorders>
              <w:top w:val="single" w:sz="4" w:space="0" w:color="0070C0"/>
              <w:left w:val="nil"/>
              <w:bottom w:val="single" w:sz="4" w:space="0" w:color="0070C0"/>
              <w:right w:val="single" w:sz="4" w:space="0" w:color="FFFFFF"/>
            </w:tcBorders>
            <w:shd w:val="clear" w:color="000000" w:fill="0070C0"/>
            <w:vAlign w:val="center"/>
            <w:hideMark/>
          </w:tcPr>
          <w:p>
            <w:pPr>
              <w:spacing w:after="0" w:line="240" w:lineRule="auto"/>
              <w:jc w:val="both"/>
              <w:rPr>
                <w:rFonts w:ascii="Times New Roman" w:eastAsia="Times New Roman" w:hAnsi="Times New Roman"/>
                <w:b/>
                <w:bCs/>
                <w:noProof/>
                <w:color w:val="FFFFFF"/>
                <w:lang w:eastAsia="en-GB"/>
              </w:rPr>
            </w:pPr>
            <w:r>
              <w:rPr>
                <w:rFonts w:ascii="Times New Roman" w:eastAsia="Times New Roman" w:hAnsi="Times New Roman"/>
                <w:b/>
                <w:bCs/>
                <w:noProof/>
                <w:color w:val="FFFFFF"/>
                <w:lang w:eastAsia="en-GB"/>
              </w:rPr>
              <w:t>Third Countries</w:t>
            </w:r>
          </w:p>
        </w:tc>
        <w:tc>
          <w:tcPr>
            <w:tcW w:w="1698" w:type="dxa"/>
            <w:tcBorders>
              <w:top w:val="single" w:sz="4" w:space="0" w:color="0070C0"/>
              <w:left w:val="nil"/>
              <w:bottom w:val="single" w:sz="4" w:space="0" w:color="0070C0"/>
              <w:right w:val="single" w:sz="4" w:space="0" w:color="FFFFFF"/>
            </w:tcBorders>
            <w:shd w:val="clear" w:color="000000" w:fill="0070C0"/>
            <w:vAlign w:val="center"/>
            <w:hideMark/>
          </w:tcPr>
          <w:p>
            <w:pPr>
              <w:spacing w:after="0" w:line="240" w:lineRule="auto"/>
              <w:jc w:val="center"/>
              <w:rPr>
                <w:rFonts w:ascii="Times New Roman" w:eastAsia="Times New Roman" w:hAnsi="Times New Roman"/>
                <w:b/>
                <w:bCs/>
                <w:noProof/>
                <w:color w:val="FFFFFF"/>
                <w:lang w:eastAsia="en-GB"/>
              </w:rPr>
            </w:pPr>
            <w:r>
              <w:rPr>
                <w:rFonts w:ascii="Times New Roman" w:eastAsia="Times New Roman" w:hAnsi="Times New Roman"/>
                <w:b/>
                <w:bCs/>
                <w:noProof/>
                <w:color w:val="FFFFFF"/>
                <w:lang w:eastAsia="en-GB"/>
              </w:rPr>
              <w:t>R&amp;D Intensity (R&amp;D as % of GDP), 2013</w:t>
            </w:r>
            <w:r>
              <w:rPr>
                <w:rFonts w:ascii="Times New Roman" w:eastAsia="Times New Roman" w:hAnsi="Times New Roman"/>
                <w:b/>
                <w:bCs/>
                <w:noProof/>
                <w:color w:val="FFFFFF"/>
                <w:vertAlign w:val="superscript"/>
                <w:lang w:eastAsia="en-GB"/>
              </w:rPr>
              <w:t>a</w:t>
            </w:r>
          </w:p>
        </w:tc>
        <w:tc>
          <w:tcPr>
            <w:tcW w:w="1418" w:type="dxa"/>
            <w:tcBorders>
              <w:top w:val="single" w:sz="4" w:space="0" w:color="0070C0"/>
              <w:left w:val="nil"/>
              <w:bottom w:val="single" w:sz="4" w:space="0" w:color="0070C0"/>
              <w:right w:val="single" w:sz="4" w:space="0" w:color="0070C0"/>
            </w:tcBorders>
            <w:shd w:val="clear" w:color="000000" w:fill="0070C0"/>
            <w:vAlign w:val="center"/>
            <w:hideMark/>
          </w:tcPr>
          <w:p>
            <w:pPr>
              <w:spacing w:after="0" w:line="240" w:lineRule="auto"/>
              <w:jc w:val="center"/>
              <w:rPr>
                <w:rFonts w:ascii="Times New Roman" w:eastAsia="Times New Roman" w:hAnsi="Times New Roman"/>
                <w:b/>
                <w:bCs/>
                <w:noProof/>
                <w:color w:val="FFFFFF"/>
                <w:lang w:eastAsia="en-GB"/>
              </w:rPr>
            </w:pPr>
            <w:r>
              <w:rPr>
                <w:rFonts w:ascii="Times New Roman" w:eastAsia="Times New Roman" w:hAnsi="Times New Roman"/>
                <w:b/>
                <w:bCs/>
                <w:noProof/>
                <w:color w:val="FFFFFF"/>
                <w:lang w:eastAsia="en-GB"/>
              </w:rPr>
              <w:t>Researcher Intensity, 2013</w:t>
            </w:r>
            <w:r>
              <w:rPr>
                <w:rFonts w:ascii="Times New Roman" w:eastAsia="Times New Roman" w:hAnsi="Times New Roman"/>
                <w:b/>
                <w:bCs/>
                <w:noProof/>
                <w:color w:val="FFFFFF"/>
                <w:vertAlign w:val="superscript"/>
                <w:lang w:eastAsia="en-GB"/>
              </w:rPr>
              <w:t>b</w:t>
            </w:r>
          </w:p>
        </w:tc>
      </w:tr>
      <w:tr>
        <w:trPr>
          <w:trHeight w:val="300"/>
          <w:jc w:val="center"/>
        </w:trPr>
        <w:tc>
          <w:tcPr>
            <w:tcW w:w="1782" w:type="dxa"/>
            <w:tcBorders>
              <w:top w:val="nil"/>
              <w:left w:val="single" w:sz="4" w:space="0" w:color="0070C0"/>
              <w:bottom w:val="single" w:sz="4" w:space="0" w:color="0070C0"/>
              <w:right w:val="single" w:sz="4" w:space="0" w:color="0070C0"/>
            </w:tcBorders>
            <w:shd w:val="clear" w:color="auto" w:fill="auto"/>
            <w:noWrap/>
            <w:vAlign w:val="center"/>
            <w:hideMark/>
          </w:tcPr>
          <w:p>
            <w:pPr>
              <w:spacing w:after="0" w:line="240" w:lineRule="auto"/>
              <w:jc w:val="both"/>
              <w:rPr>
                <w:rFonts w:ascii="Times New Roman" w:eastAsia="Times New Roman" w:hAnsi="Times New Roman"/>
                <w:noProof/>
                <w:color w:val="000000"/>
                <w:lang w:eastAsia="en-GB"/>
              </w:rPr>
            </w:pPr>
            <w:r>
              <w:rPr>
                <w:rFonts w:ascii="Times New Roman" w:eastAsia="Times New Roman" w:hAnsi="Times New Roman"/>
                <w:noProof/>
                <w:color w:val="000000"/>
                <w:lang w:eastAsia="en-GB"/>
              </w:rPr>
              <w:t>Croatia</w:t>
            </w:r>
          </w:p>
        </w:tc>
        <w:tc>
          <w:tcPr>
            <w:tcW w:w="1701" w:type="dxa"/>
            <w:tcBorders>
              <w:top w:val="nil"/>
              <w:left w:val="nil"/>
              <w:bottom w:val="single" w:sz="4" w:space="0" w:color="0070C0"/>
              <w:right w:val="single" w:sz="4" w:space="0" w:color="0070C0"/>
            </w:tcBorders>
            <w:shd w:val="clear" w:color="auto" w:fill="auto"/>
            <w:noWrap/>
            <w:vAlign w:val="center"/>
            <w:hideMark/>
          </w:tcPr>
          <w:p>
            <w:pPr>
              <w:spacing w:after="0" w:line="240" w:lineRule="auto"/>
              <w:jc w:val="center"/>
              <w:rPr>
                <w:rFonts w:ascii="Times New Roman" w:eastAsia="Times New Roman" w:hAnsi="Times New Roman"/>
                <w:noProof/>
                <w:color w:val="000000"/>
                <w:lang w:eastAsia="en-GB"/>
              </w:rPr>
            </w:pPr>
            <w:r>
              <w:rPr>
                <w:rFonts w:ascii="Times New Roman" w:eastAsia="Times New Roman" w:hAnsi="Times New Roman"/>
                <w:noProof/>
                <w:color w:val="000000"/>
                <w:lang w:eastAsia="en-GB"/>
              </w:rPr>
              <w:t>0.81</w:t>
            </w:r>
          </w:p>
        </w:tc>
        <w:tc>
          <w:tcPr>
            <w:tcW w:w="1559" w:type="dxa"/>
            <w:tcBorders>
              <w:top w:val="nil"/>
              <w:left w:val="nil"/>
              <w:bottom w:val="single" w:sz="4" w:space="0" w:color="0070C0"/>
              <w:right w:val="single" w:sz="4" w:space="0" w:color="0070C0"/>
            </w:tcBorders>
            <w:shd w:val="clear" w:color="auto" w:fill="auto"/>
            <w:noWrap/>
            <w:vAlign w:val="center"/>
            <w:hideMark/>
          </w:tcPr>
          <w:p>
            <w:pPr>
              <w:spacing w:after="0" w:line="240" w:lineRule="auto"/>
              <w:jc w:val="right"/>
              <w:rPr>
                <w:rFonts w:ascii="Times New Roman" w:eastAsia="Times New Roman" w:hAnsi="Times New Roman"/>
                <w:noProof/>
                <w:color w:val="000000"/>
                <w:lang w:eastAsia="en-GB"/>
              </w:rPr>
            </w:pPr>
            <w:r>
              <w:rPr>
                <w:rFonts w:ascii="Times New Roman" w:eastAsia="Times New Roman" w:hAnsi="Times New Roman"/>
                <w:noProof/>
                <w:color w:val="000000"/>
                <w:lang w:eastAsia="en-GB"/>
              </w:rPr>
              <w:t>1,529</w:t>
            </w:r>
          </w:p>
        </w:tc>
        <w:tc>
          <w:tcPr>
            <w:tcW w:w="1352" w:type="dxa"/>
            <w:tcBorders>
              <w:top w:val="nil"/>
              <w:left w:val="nil"/>
              <w:bottom w:val="single" w:sz="4" w:space="0" w:color="0070C0"/>
              <w:right w:val="single" w:sz="4" w:space="0" w:color="0070C0"/>
            </w:tcBorders>
            <w:shd w:val="clear" w:color="auto" w:fill="auto"/>
            <w:vAlign w:val="center"/>
          </w:tcPr>
          <w:p>
            <w:pPr>
              <w:spacing w:after="0" w:line="240" w:lineRule="auto"/>
              <w:jc w:val="both"/>
              <w:rPr>
                <w:rFonts w:ascii="Times New Roman" w:eastAsia="Times New Roman" w:hAnsi="Times New Roman"/>
                <w:noProof/>
                <w:color w:val="000000"/>
                <w:lang w:eastAsia="en-GB"/>
              </w:rPr>
            </w:pPr>
            <w:r>
              <w:rPr>
                <w:rFonts w:ascii="Times New Roman" w:eastAsia="Times New Roman" w:hAnsi="Times New Roman"/>
                <w:noProof/>
                <w:color w:val="000000"/>
                <w:lang w:eastAsia="en-GB"/>
              </w:rPr>
              <w:t>Algeria</w:t>
            </w:r>
          </w:p>
        </w:tc>
        <w:tc>
          <w:tcPr>
            <w:tcW w:w="1698" w:type="dxa"/>
            <w:tcBorders>
              <w:top w:val="nil"/>
              <w:left w:val="nil"/>
              <w:bottom w:val="single" w:sz="4" w:space="0" w:color="0070C0"/>
              <w:right w:val="single" w:sz="4" w:space="0" w:color="0070C0"/>
            </w:tcBorders>
            <w:shd w:val="clear" w:color="auto" w:fill="auto"/>
            <w:vAlign w:val="center"/>
          </w:tcPr>
          <w:p>
            <w:pPr>
              <w:spacing w:after="0" w:line="240" w:lineRule="auto"/>
              <w:jc w:val="center"/>
              <w:rPr>
                <w:rFonts w:ascii="Times New Roman" w:eastAsia="Times New Roman" w:hAnsi="Times New Roman"/>
                <w:noProof/>
                <w:color w:val="000000"/>
                <w:lang w:eastAsia="en-GB"/>
              </w:rPr>
            </w:pPr>
            <w:r>
              <w:rPr>
                <w:rFonts w:ascii="Times New Roman" w:eastAsia="Times New Roman" w:hAnsi="Times New Roman"/>
                <w:noProof/>
                <w:color w:val="000000"/>
                <w:lang w:eastAsia="en-GB"/>
              </w:rPr>
              <w:t>0.10</w:t>
            </w:r>
          </w:p>
        </w:tc>
        <w:tc>
          <w:tcPr>
            <w:tcW w:w="1418" w:type="dxa"/>
            <w:tcBorders>
              <w:top w:val="nil"/>
              <w:left w:val="nil"/>
              <w:bottom w:val="single" w:sz="4" w:space="0" w:color="0070C0"/>
              <w:right w:val="single" w:sz="4" w:space="0" w:color="0070C0"/>
            </w:tcBorders>
            <w:shd w:val="clear" w:color="auto" w:fill="auto"/>
            <w:vAlign w:val="center"/>
          </w:tcPr>
          <w:p>
            <w:pPr>
              <w:spacing w:after="0" w:line="240" w:lineRule="auto"/>
              <w:jc w:val="right"/>
              <w:rPr>
                <w:rFonts w:ascii="Times New Roman" w:eastAsia="Times New Roman" w:hAnsi="Times New Roman"/>
                <w:noProof/>
                <w:color w:val="000000"/>
                <w:lang w:eastAsia="en-GB"/>
              </w:rPr>
            </w:pPr>
            <w:r>
              <w:rPr>
                <w:rFonts w:ascii="Times New Roman" w:eastAsia="Times New Roman" w:hAnsi="Times New Roman"/>
                <w:noProof/>
                <w:color w:val="000000"/>
                <w:lang w:eastAsia="en-GB"/>
              </w:rPr>
              <w:t>-</w:t>
            </w:r>
          </w:p>
        </w:tc>
      </w:tr>
      <w:tr>
        <w:trPr>
          <w:trHeight w:val="300"/>
          <w:jc w:val="center"/>
        </w:trPr>
        <w:tc>
          <w:tcPr>
            <w:tcW w:w="1782" w:type="dxa"/>
            <w:tcBorders>
              <w:top w:val="nil"/>
              <w:left w:val="single" w:sz="4" w:space="0" w:color="0070C0"/>
              <w:bottom w:val="single" w:sz="4" w:space="0" w:color="0070C0"/>
              <w:right w:val="single" w:sz="4" w:space="0" w:color="0070C0"/>
            </w:tcBorders>
            <w:shd w:val="clear" w:color="auto" w:fill="auto"/>
            <w:noWrap/>
            <w:vAlign w:val="center"/>
            <w:hideMark/>
          </w:tcPr>
          <w:p>
            <w:pPr>
              <w:spacing w:after="0" w:line="240" w:lineRule="auto"/>
              <w:jc w:val="both"/>
              <w:rPr>
                <w:rFonts w:ascii="Times New Roman" w:eastAsia="Times New Roman" w:hAnsi="Times New Roman"/>
                <w:noProof/>
                <w:color w:val="000000"/>
                <w:lang w:eastAsia="en-GB"/>
              </w:rPr>
            </w:pPr>
            <w:r>
              <w:rPr>
                <w:rFonts w:ascii="Times New Roman" w:eastAsia="Times New Roman" w:hAnsi="Times New Roman"/>
                <w:noProof/>
                <w:color w:val="000000"/>
                <w:lang w:eastAsia="en-GB"/>
              </w:rPr>
              <w:t>Cyprus</w:t>
            </w:r>
          </w:p>
        </w:tc>
        <w:tc>
          <w:tcPr>
            <w:tcW w:w="1701" w:type="dxa"/>
            <w:tcBorders>
              <w:top w:val="nil"/>
              <w:left w:val="nil"/>
              <w:bottom w:val="single" w:sz="4" w:space="0" w:color="0070C0"/>
              <w:right w:val="single" w:sz="4" w:space="0" w:color="0070C0"/>
            </w:tcBorders>
            <w:shd w:val="clear" w:color="auto" w:fill="auto"/>
            <w:noWrap/>
            <w:vAlign w:val="center"/>
            <w:hideMark/>
          </w:tcPr>
          <w:p>
            <w:pPr>
              <w:spacing w:after="0" w:line="240" w:lineRule="auto"/>
              <w:jc w:val="center"/>
              <w:rPr>
                <w:rFonts w:ascii="Times New Roman" w:eastAsia="Times New Roman" w:hAnsi="Times New Roman"/>
                <w:noProof/>
                <w:color w:val="000000"/>
                <w:lang w:eastAsia="en-GB"/>
              </w:rPr>
            </w:pPr>
            <w:r>
              <w:rPr>
                <w:rFonts w:ascii="Times New Roman" w:eastAsia="Times New Roman" w:hAnsi="Times New Roman"/>
                <w:noProof/>
                <w:color w:val="000000"/>
                <w:lang w:eastAsia="en-GB"/>
              </w:rPr>
              <w:t>0.48</w:t>
            </w:r>
          </w:p>
        </w:tc>
        <w:tc>
          <w:tcPr>
            <w:tcW w:w="1559" w:type="dxa"/>
            <w:tcBorders>
              <w:top w:val="nil"/>
              <w:left w:val="nil"/>
              <w:bottom w:val="single" w:sz="4" w:space="0" w:color="0070C0"/>
              <w:right w:val="single" w:sz="4" w:space="0" w:color="0070C0"/>
            </w:tcBorders>
            <w:shd w:val="clear" w:color="auto" w:fill="auto"/>
            <w:noWrap/>
            <w:vAlign w:val="center"/>
            <w:hideMark/>
          </w:tcPr>
          <w:p>
            <w:pPr>
              <w:spacing w:after="0" w:line="240" w:lineRule="auto"/>
              <w:jc w:val="right"/>
              <w:rPr>
                <w:rFonts w:ascii="Times New Roman" w:eastAsia="Times New Roman" w:hAnsi="Times New Roman"/>
                <w:noProof/>
                <w:color w:val="000000"/>
                <w:lang w:eastAsia="en-GB"/>
              </w:rPr>
            </w:pPr>
            <w:r>
              <w:rPr>
                <w:rFonts w:ascii="Times New Roman" w:eastAsia="Times New Roman" w:hAnsi="Times New Roman"/>
                <w:noProof/>
                <w:color w:val="000000"/>
                <w:lang w:eastAsia="en-GB"/>
              </w:rPr>
              <w:t>775</w:t>
            </w:r>
          </w:p>
        </w:tc>
        <w:tc>
          <w:tcPr>
            <w:tcW w:w="1352" w:type="dxa"/>
            <w:tcBorders>
              <w:top w:val="nil"/>
              <w:left w:val="nil"/>
              <w:bottom w:val="single" w:sz="4" w:space="0" w:color="0070C0"/>
              <w:right w:val="single" w:sz="4" w:space="0" w:color="0070C0"/>
            </w:tcBorders>
            <w:shd w:val="clear" w:color="auto" w:fill="auto"/>
            <w:vAlign w:val="center"/>
          </w:tcPr>
          <w:p>
            <w:pPr>
              <w:spacing w:after="0" w:line="240" w:lineRule="auto"/>
              <w:jc w:val="both"/>
              <w:rPr>
                <w:rFonts w:ascii="Times New Roman" w:eastAsia="Times New Roman" w:hAnsi="Times New Roman"/>
                <w:noProof/>
                <w:color w:val="000000"/>
                <w:lang w:eastAsia="en-GB"/>
              </w:rPr>
            </w:pPr>
            <w:r>
              <w:rPr>
                <w:rFonts w:ascii="Times New Roman" w:eastAsia="Times New Roman" w:hAnsi="Times New Roman"/>
                <w:noProof/>
                <w:color w:val="000000"/>
                <w:lang w:eastAsia="en-GB"/>
              </w:rPr>
              <w:t>Egypt</w:t>
            </w:r>
          </w:p>
        </w:tc>
        <w:tc>
          <w:tcPr>
            <w:tcW w:w="1698" w:type="dxa"/>
            <w:tcBorders>
              <w:top w:val="nil"/>
              <w:left w:val="nil"/>
              <w:bottom w:val="single" w:sz="4" w:space="0" w:color="0070C0"/>
              <w:right w:val="single" w:sz="4" w:space="0" w:color="0070C0"/>
            </w:tcBorders>
            <w:shd w:val="clear" w:color="auto" w:fill="auto"/>
            <w:vAlign w:val="center"/>
          </w:tcPr>
          <w:p>
            <w:pPr>
              <w:spacing w:after="0" w:line="240" w:lineRule="auto"/>
              <w:jc w:val="center"/>
              <w:rPr>
                <w:rFonts w:ascii="Times New Roman" w:eastAsia="Times New Roman" w:hAnsi="Times New Roman"/>
                <w:noProof/>
                <w:color w:val="000000"/>
                <w:lang w:eastAsia="en-GB"/>
              </w:rPr>
            </w:pPr>
            <w:r>
              <w:rPr>
                <w:rFonts w:ascii="Times New Roman" w:eastAsia="Times New Roman" w:hAnsi="Times New Roman"/>
                <w:noProof/>
                <w:color w:val="000000"/>
                <w:lang w:eastAsia="en-GB"/>
              </w:rPr>
              <w:t>0.68</w:t>
            </w:r>
          </w:p>
        </w:tc>
        <w:tc>
          <w:tcPr>
            <w:tcW w:w="1418" w:type="dxa"/>
            <w:tcBorders>
              <w:top w:val="nil"/>
              <w:left w:val="nil"/>
              <w:bottom w:val="single" w:sz="4" w:space="0" w:color="0070C0"/>
              <w:right w:val="single" w:sz="4" w:space="0" w:color="0070C0"/>
            </w:tcBorders>
            <w:shd w:val="clear" w:color="auto" w:fill="auto"/>
            <w:vAlign w:val="center"/>
          </w:tcPr>
          <w:p>
            <w:pPr>
              <w:spacing w:after="0" w:line="240" w:lineRule="auto"/>
              <w:jc w:val="right"/>
              <w:rPr>
                <w:rFonts w:ascii="Times New Roman" w:eastAsia="Times New Roman" w:hAnsi="Times New Roman"/>
                <w:noProof/>
                <w:color w:val="000000"/>
                <w:lang w:eastAsia="en-GB"/>
              </w:rPr>
            </w:pPr>
            <w:r>
              <w:rPr>
                <w:rFonts w:ascii="Times New Roman" w:eastAsia="Times New Roman" w:hAnsi="Times New Roman"/>
                <w:noProof/>
                <w:color w:val="000000"/>
                <w:lang w:eastAsia="en-GB"/>
              </w:rPr>
              <w:t>544</w:t>
            </w:r>
          </w:p>
        </w:tc>
      </w:tr>
      <w:tr>
        <w:trPr>
          <w:trHeight w:val="300"/>
          <w:jc w:val="center"/>
        </w:trPr>
        <w:tc>
          <w:tcPr>
            <w:tcW w:w="1782" w:type="dxa"/>
            <w:tcBorders>
              <w:top w:val="nil"/>
              <w:left w:val="single" w:sz="4" w:space="0" w:color="0070C0"/>
              <w:bottom w:val="single" w:sz="4" w:space="0" w:color="0070C0"/>
              <w:right w:val="single" w:sz="4" w:space="0" w:color="0070C0"/>
            </w:tcBorders>
            <w:shd w:val="clear" w:color="auto" w:fill="auto"/>
            <w:noWrap/>
            <w:vAlign w:val="center"/>
          </w:tcPr>
          <w:p>
            <w:pPr>
              <w:spacing w:after="0" w:line="240" w:lineRule="auto"/>
              <w:jc w:val="both"/>
              <w:rPr>
                <w:rFonts w:ascii="Times New Roman" w:eastAsia="Times New Roman" w:hAnsi="Times New Roman"/>
                <w:noProof/>
                <w:color w:val="000000"/>
                <w:lang w:eastAsia="en-GB"/>
              </w:rPr>
            </w:pPr>
            <w:r>
              <w:rPr>
                <w:rFonts w:ascii="Times New Roman" w:eastAsia="Times New Roman" w:hAnsi="Times New Roman"/>
                <w:noProof/>
                <w:color w:val="000000"/>
                <w:lang w:eastAsia="en-GB"/>
              </w:rPr>
              <w:t xml:space="preserve">France </w:t>
            </w:r>
          </w:p>
        </w:tc>
        <w:tc>
          <w:tcPr>
            <w:tcW w:w="1701" w:type="dxa"/>
            <w:tcBorders>
              <w:top w:val="nil"/>
              <w:left w:val="nil"/>
              <w:bottom w:val="single" w:sz="4" w:space="0" w:color="0070C0"/>
              <w:right w:val="single" w:sz="4" w:space="0" w:color="0070C0"/>
            </w:tcBorders>
            <w:shd w:val="clear" w:color="auto" w:fill="auto"/>
            <w:noWrap/>
            <w:vAlign w:val="center"/>
          </w:tcPr>
          <w:p>
            <w:pPr>
              <w:spacing w:after="0" w:line="240" w:lineRule="auto"/>
              <w:jc w:val="center"/>
              <w:rPr>
                <w:rFonts w:ascii="Times New Roman" w:eastAsia="Times New Roman" w:hAnsi="Times New Roman"/>
                <w:noProof/>
                <w:color w:val="000000"/>
                <w:lang w:eastAsia="en-GB"/>
              </w:rPr>
            </w:pPr>
            <w:r>
              <w:rPr>
                <w:rFonts w:ascii="Times New Roman" w:eastAsia="Times New Roman" w:hAnsi="Times New Roman"/>
                <w:noProof/>
                <w:color w:val="000000"/>
                <w:lang w:eastAsia="en-GB"/>
              </w:rPr>
              <w:t>2.23</w:t>
            </w:r>
          </w:p>
        </w:tc>
        <w:tc>
          <w:tcPr>
            <w:tcW w:w="1559" w:type="dxa"/>
            <w:tcBorders>
              <w:top w:val="nil"/>
              <w:left w:val="nil"/>
              <w:bottom w:val="single" w:sz="4" w:space="0" w:color="0070C0"/>
              <w:right w:val="single" w:sz="4" w:space="0" w:color="0070C0"/>
            </w:tcBorders>
            <w:shd w:val="clear" w:color="auto" w:fill="auto"/>
            <w:noWrap/>
            <w:vAlign w:val="center"/>
          </w:tcPr>
          <w:p>
            <w:pPr>
              <w:spacing w:after="0" w:line="240" w:lineRule="auto"/>
              <w:jc w:val="right"/>
              <w:rPr>
                <w:rFonts w:ascii="Times New Roman" w:eastAsia="Times New Roman" w:hAnsi="Times New Roman"/>
                <w:noProof/>
                <w:color w:val="000000"/>
                <w:lang w:eastAsia="en-GB"/>
              </w:rPr>
            </w:pPr>
            <w:r>
              <w:rPr>
                <w:rFonts w:ascii="Times New Roman" w:eastAsia="Times New Roman" w:hAnsi="Times New Roman"/>
                <w:noProof/>
                <w:color w:val="000000"/>
                <w:lang w:eastAsia="en-GB"/>
              </w:rPr>
              <w:t>4,153</w:t>
            </w:r>
          </w:p>
        </w:tc>
        <w:tc>
          <w:tcPr>
            <w:tcW w:w="1352" w:type="dxa"/>
            <w:tcBorders>
              <w:top w:val="nil"/>
              <w:left w:val="nil"/>
              <w:bottom w:val="single" w:sz="4" w:space="0" w:color="0070C0"/>
              <w:right w:val="single" w:sz="4" w:space="0" w:color="0070C0"/>
            </w:tcBorders>
            <w:shd w:val="clear" w:color="auto" w:fill="auto"/>
            <w:vAlign w:val="center"/>
          </w:tcPr>
          <w:p>
            <w:pPr>
              <w:spacing w:after="0" w:line="240" w:lineRule="auto"/>
              <w:jc w:val="both"/>
              <w:rPr>
                <w:rFonts w:ascii="Times New Roman" w:eastAsia="Times New Roman" w:hAnsi="Times New Roman"/>
                <w:noProof/>
                <w:color w:val="000000"/>
                <w:lang w:eastAsia="en-GB"/>
              </w:rPr>
            </w:pPr>
            <w:r>
              <w:rPr>
                <w:rFonts w:ascii="Times New Roman" w:eastAsia="Times New Roman" w:hAnsi="Times New Roman"/>
                <w:noProof/>
                <w:color w:val="000000"/>
                <w:lang w:eastAsia="en-GB"/>
              </w:rPr>
              <w:t>Israel</w:t>
            </w:r>
          </w:p>
        </w:tc>
        <w:tc>
          <w:tcPr>
            <w:tcW w:w="1698" w:type="dxa"/>
            <w:tcBorders>
              <w:top w:val="nil"/>
              <w:left w:val="nil"/>
              <w:bottom w:val="single" w:sz="4" w:space="0" w:color="0070C0"/>
              <w:right w:val="single" w:sz="4" w:space="0" w:color="0070C0"/>
            </w:tcBorders>
            <w:shd w:val="clear" w:color="auto" w:fill="auto"/>
            <w:vAlign w:val="center"/>
          </w:tcPr>
          <w:p>
            <w:pPr>
              <w:spacing w:after="0" w:line="240" w:lineRule="auto"/>
              <w:jc w:val="center"/>
              <w:rPr>
                <w:rFonts w:ascii="Times New Roman" w:eastAsia="Times New Roman" w:hAnsi="Times New Roman"/>
                <w:noProof/>
                <w:color w:val="000000"/>
                <w:lang w:eastAsia="en-GB"/>
              </w:rPr>
            </w:pPr>
            <w:r>
              <w:rPr>
                <w:rFonts w:ascii="Times New Roman" w:eastAsia="Times New Roman" w:hAnsi="Times New Roman"/>
                <w:noProof/>
                <w:color w:val="000000"/>
                <w:lang w:eastAsia="en-GB"/>
              </w:rPr>
              <w:t>4.21</w:t>
            </w:r>
          </w:p>
        </w:tc>
        <w:tc>
          <w:tcPr>
            <w:tcW w:w="1418" w:type="dxa"/>
            <w:tcBorders>
              <w:top w:val="nil"/>
              <w:left w:val="nil"/>
              <w:bottom w:val="single" w:sz="4" w:space="0" w:color="0070C0"/>
              <w:right w:val="single" w:sz="4" w:space="0" w:color="0070C0"/>
            </w:tcBorders>
            <w:shd w:val="clear" w:color="auto" w:fill="auto"/>
            <w:vAlign w:val="center"/>
          </w:tcPr>
          <w:p>
            <w:pPr>
              <w:spacing w:after="0" w:line="240" w:lineRule="auto"/>
              <w:jc w:val="right"/>
              <w:rPr>
                <w:rFonts w:ascii="Times New Roman" w:eastAsia="Times New Roman" w:hAnsi="Times New Roman"/>
                <w:noProof/>
                <w:color w:val="000000"/>
                <w:lang w:eastAsia="en-GB"/>
              </w:rPr>
            </w:pPr>
            <w:r>
              <w:rPr>
                <w:rFonts w:ascii="Times New Roman" w:eastAsia="Times New Roman" w:hAnsi="Times New Roman"/>
                <w:noProof/>
                <w:color w:val="000000"/>
                <w:lang w:eastAsia="en-GB"/>
              </w:rPr>
              <w:t>8,282</w:t>
            </w:r>
          </w:p>
        </w:tc>
      </w:tr>
      <w:tr>
        <w:trPr>
          <w:trHeight w:val="300"/>
          <w:jc w:val="center"/>
        </w:trPr>
        <w:tc>
          <w:tcPr>
            <w:tcW w:w="1782" w:type="dxa"/>
            <w:tcBorders>
              <w:top w:val="nil"/>
              <w:left w:val="single" w:sz="4" w:space="0" w:color="0070C0"/>
              <w:bottom w:val="single" w:sz="4" w:space="0" w:color="0070C0"/>
              <w:right w:val="single" w:sz="4" w:space="0" w:color="0070C0"/>
            </w:tcBorders>
            <w:shd w:val="clear" w:color="auto" w:fill="auto"/>
            <w:noWrap/>
            <w:vAlign w:val="center"/>
            <w:hideMark/>
          </w:tcPr>
          <w:p>
            <w:pPr>
              <w:spacing w:after="0" w:line="240" w:lineRule="auto"/>
              <w:jc w:val="both"/>
              <w:rPr>
                <w:rFonts w:ascii="Times New Roman" w:eastAsia="Times New Roman" w:hAnsi="Times New Roman"/>
                <w:noProof/>
                <w:color w:val="000000"/>
                <w:lang w:eastAsia="en-GB"/>
              </w:rPr>
            </w:pPr>
            <w:r>
              <w:rPr>
                <w:rFonts w:ascii="Times New Roman" w:eastAsia="Times New Roman" w:hAnsi="Times New Roman"/>
                <w:noProof/>
                <w:color w:val="000000"/>
                <w:lang w:eastAsia="en-GB"/>
              </w:rPr>
              <w:t>Greece</w:t>
            </w:r>
          </w:p>
        </w:tc>
        <w:tc>
          <w:tcPr>
            <w:tcW w:w="1701" w:type="dxa"/>
            <w:tcBorders>
              <w:top w:val="nil"/>
              <w:left w:val="nil"/>
              <w:bottom w:val="single" w:sz="4" w:space="0" w:color="0070C0"/>
              <w:right w:val="single" w:sz="4" w:space="0" w:color="0070C0"/>
            </w:tcBorders>
            <w:shd w:val="clear" w:color="auto" w:fill="auto"/>
            <w:noWrap/>
            <w:vAlign w:val="center"/>
            <w:hideMark/>
          </w:tcPr>
          <w:p>
            <w:pPr>
              <w:spacing w:after="0" w:line="240" w:lineRule="auto"/>
              <w:jc w:val="center"/>
              <w:rPr>
                <w:rFonts w:ascii="Times New Roman" w:eastAsia="Times New Roman" w:hAnsi="Times New Roman"/>
                <w:noProof/>
                <w:color w:val="000000"/>
                <w:lang w:eastAsia="en-GB"/>
              </w:rPr>
            </w:pPr>
            <w:r>
              <w:rPr>
                <w:rFonts w:ascii="Times New Roman" w:eastAsia="Times New Roman" w:hAnsi="Times New Roman"/>
                <w:noProof/>
                <w:color w:val="000000"/>
                <w:lang w:eastAsia="en-GB"/>
              </w:rPr>
              <w:t>0.8</w:t>
            </w:r>
          </w:p>
        </w:tc>
        <w:tc>
          <w:tcPr>
            <w:tcW w:w="1559" w:type="dxa"/>
            <w:tcBorders>
              <w:top w:val="nil"/>
              <w:left w:val="nil"/>
              <w:bottom w:val="single" w:sz="4" w:space="0" w:color="0070C0"/>
              <w:right w:val="single" w:sz="4" w:space="0" w:color="0070C0"/>
            </w:tcBorders>
            <w:shd w:val="clear" w:color="auto" w:fill="auto"/>
            <w:noWrap/>
            <w:vAlign w:val="center"/>
            <w:hideMark/>
          </w:tcPr>
          <w:p>
            <w:pPr>
              <w:spacing w:after="0" w:line="240" w:lineRule="auto"/>
              <w:jc w:val="right"/>
              <w:rPr>
                <w:rFonts w:ascii="Times New Roman" w:eastAsia="Times New Roman" w:hAnsi="Times New Roman"/>
                <w:noProof/>
                <w:color w:val="000000"/>
                <w:lang w:eastAsia="en-GB"/>
              </w:rPr>
            </w:pPr>
            <w:r>
              <w:rPr>
                <w:rFonts w:ascii="Times New Roman" w:eastAsia="Times New Roman" w:hAnsi="Times New Roman"/>
                <w:noProof/>
                <w:color w:val="000000"/>
                <w:lang w:eastAsia="en-GB"/>
              </w:rPr>
              <w:t>2,628</w:t>
            </w:r>
          </w:p>
        </w:tc>
        <w:tc>
          <w:tcPr>
            <w:tcW w:w="1352" w:type="dxa"/>
            <w:tcBorders>
              <w:top w:val="nil"/>
              <w:left w:val="nil"/>
              <w:bottom w:val="single" w:sz="4" w:space="0" w:color="0070C0"/>
              <w:right w:val="single" w:sz="4" w:space="0" w:color="0070C0"/>
            </w:tcBorders>
            <w:shd w:val="clear" w:color="auto" w:fill="auto"/>
            <w:vAlign w:val="center"/>
          </w:tcPr>
          <w:p>
            <w:pPr>
              <w:spacing w:after="0" w:line="240" w:lineRule="auto"/>
              <w:jc w:val="both"/>
              <w:rPr>
                <w:rFonts w:ascii="Times New Roman" w:eastAsia="Times New Roman" w:hAnsi="Times New Roman"/>
                <w:noProof/>
                <w:color w:val="000000"/>
                <w:lang w:eastAsia="en-GB"/>
              </w:rPr>
            </w:pPr>
            <w:r>
              <w:rPr>
                <w:rFonts w:ascii="Times New Roman" w:eastAsia="Times New Roman" w:hAnsi="Times New Roman"/>
                <w:noProof/>
                <w:color w:val="000000"/>
                <w:lang w:eastAsia="en-GB"/>
              </w:rPr>
              <w:t>Jordan</w:t>
            </w:r>
          </w:p>
        </w:tc>
        <w:tc>
          <w:tcPr>
            <w:tcW w:w="1698" w:type="dxa"/>
            <w:tcBorders>
              <w:top w:val="nil"/>
              <w:left w:val="nil"/>
              <w:bottom w:val="single" w:sz="4" w:space="0" w:color="0070C0"/>
              <w:right w:val="single" w:sz="4" w:space="0" w:color="0070C0"/>
            </w:tcBorders>
            <w:shd w:val="clear" w:color="auto" w:fill="auto"/>
            <w:vAlign w:val="center"/>
          </w:tcPr>
          <w:p>
            <w:pPr>
              <w:spacing w:after="0" w:line="240" w:lineRule="auto"/>
              <w:jc w:val="center"/>
              <w:rPr>
                <w:rFonts w:ascii="Times New Roman" w:eastAsia="Times New Roman" w:hAnsi="Times New Roman"/>
                <w:noProof/>
                <w:color w:val="000000"/>
                <w:lang w:eastAsia="en-GB"/>
              </w:rPr>
            </w:pPr>
            <w:r>
              <w:rPr>
                <w:rFonts w:ascii="Times New Roman" w:eastAsia="Times New Roman" w:hAnsi="Times New Roman"/>
                <w:noProof/>
                <w:color w:val="000000"/>
                <w:lang w:eastAsia="en-GB"/>
              </w:rPr>
              <w:t>0.43</w:t>
            </w:r>
          </w:p>
        </w:tc>
        <w:tc>
          <w:tcPr>
            <w:tcW w:w="1418" w:type="dxa"/>
            <w:tcBorders>
              <w:top w:val="nil"/>
              <w:left w:val="nil"/>
              <w:bottom w:val="single" w:sz="4" w:space="0" w:color="0070C0"/>
              <w:right w:val="single" w:sz="4" w:space="0" w:color="0070C0"/>
            </w:tcBorders>
            <w:shd w:val="clear" w:color="auto" w:fill="auto"/>
            <w:vAlign w:val="center"/>
          </w:tcPr>
          <w:p>
            <w:pPr>
              <w:spacing w:after="0" w:line="240" w:lineRule="auto"/>
              <w:jc w:val="right"/>
              <w:rPr>
                <w:rFonts w:ascii="Times New Roman" w:eastAsia="Times New Roman" w:hAnsi="Times New Roman"/>
                <w:noProof/>
                <w:color w:val="000000"/>
                <w:lang w:eastAsia="en-GB"/>
              </w:rPr>
            </w:pPr>
            <w:r>
              <w:rPr>
                <w:rFonts w:ascii="Times New Roman" w:eastAsia="Times New Roman" w:hAnsi="Times New Roman"/>
                <w:noProof/>
                <w:color w:val="000000"/>
                <w:lang w:eastAsia="en-GB"/>
              </w:rPr>
              <w:t>-</w:t>
            </w:r>
          </w:p>
        </w:tc>
      </w:tr>
      <w:tr>
        <w:trPr>
          <w:trHeight w:val="300"/>
          <w:jc w:val="center"/>
        </w:trPr>
        <w:tc>
          <w:tcPr>
            <w:tcW w:w="1782" w:type="dxa"/>
            <w:tcBorders>
              <w:top w:val="nil"/>
              <w:left w:val="single" w:sz="4" w:space="0" w:color="0070C0"/>
              <w:bottom w:val="single" w:sz="4" w:space="0" w:color="0070C0"/>
              <w:right w:val="single" w:sz="4" w:space="0" w:color="0070C0"/>
            </w:tcBorders>
            <w:shd w:val="clear" w:color="auto" w:fill="auto"/>
            <w:noWrap/>
            <w:vAlign w:val="center"/>
          </w:tcPr>
          <w:p>
            <w:pPr>
              <w:spacing w:after="0" w:line="240" w:lineRule="auto"/>
              <w:jc w:val="both"/>
              <w:rPr>
                <w:rFonts w:ascii="Times New Roman" w:eastAsia="Times New Roman" w:hAnsi="Times New Roman"/>
                <w:noProof/>
                <w:color w:val="000000"/>
                <w:lang w:eastAsia="en-GB"/>
              </w:rPr>
            </w:pPr>
            <w:r>
              <w:rPr>
                <w:rFonts w:ascii="Times New Roman" w:eastAsia="Times New Roman" w:hAnsi="Times New Roman"/>
                <w:noProof/>
                <w:color w:val="000000"/>
                <w:lang w:eastAsia="en-GB"/>
              </w:rPr>
              <w:t>Italy</w:t>
            </w:r>
          </w:p>
        </w:tc>
        <w:tc>
          <w:tcPr>
            <w:tcW w:w="1701" w:type="dxa"/>
            <w:tcBorders>
              <w:top w:val="nil"/>
              <w:left w:val="nil"/>
              <w:bottom w:val="single" w:sz="4" w:space="0" w:color="0070C0"/>
              <w:right w:val="single" w:sz="4" w:space="0" w:color="0070C0"/>
            </w:tcBorders>
            <w:shd w:val="clear" w:color="auto" w:fill="auto"/>
            <w:noWrap/>
            <w:vAlign w:val="center"/>
          </w:tcPr>
          <w:p>
            <w:pPr>
              <w:spacing w:after="0" w:line="240" w:lineRule="auto"/>
              <w:jc w:val="center"/>
              <w:rPr>
                <w:rFonts w:ascii="Times New Roman" w:eastAsia="Times New Roman" w:hAnsi="Times New Roman"/>
                <w:noProof/>
                <w:color w:val="000000"/>
                <w:lang w:eastAsia="en-GB"/>
              </w:rPr>
            </w:pPr>
            <w:r>
              <w:rPr>
                <w:rFonts w:ascii="Times New Roman" w:eastAsia="Times New Roman" w:hAnsi="Times New Roman"/>
                <w:noProof/>
                <w:color w:val="000000"/>
                <w:lang w:eastAsia="en-GB"/>
              </w:rPr>
              <w:t>1.26</w:t>
            </w:r>
          </w:p>
        </w:tc>
        <w:tc>
          <w:tcPr>
            <w:tcW w:w="1559" w:type="dxa"/>
            <w:tcBorders>
              <w:top w:val="nil"/>
              <w:left w:val="nil"/>
              <w:bottom w:val="single" w:sz="4" w:space="0" w:color="0070C0"/>
              <w:right w:val="single" w:sz="4" w:space="0" w:color="0070C0"/>
            </w:tcBorders>
            <w:shd w:val="clear" w:color="auto" w:fill="auto"/>
            <w:noWrap/>
            <w:vAlign w:val="center"/>
          </w:tcPr>
          <w:p>
            <w:pPr>
              <w:spacing w:after="0" w:line="240" w:lineRule="auto"/>
              <w:jc w:val="right"/>
              <w:rPr>
                <w:rFonts w:ascii="Times New Roman" w:eastAsia="Times New Roman" w:hAnsi="Times New Roman"/>
                <w:noProof/>
                <w:color w:val="000000"/>
                <w:lang w:eastAsia="en-GB"/>
              </w:rPr>
            </w:pPr>
            <w:r>
              <w:rPr>
                <w:rFonts w:ascii="Times New Roman" w:eastAsia="Times New Roman" w:hAnsi="Times New Roman"/>
                <w:noProof/>
                <w:color w:val="000000"/>
                <w:lang w:eastAsia="en-GB"/>
              </w:rPr>
              <w:t>1,974</w:t>
            </w:r>
          </w:p>
        </w:tc>
        <w:tc>
          <w:tcPr>
            <w:tcW w:w="1352" w:type="dxa"/>
            <w:tcBorders>
              <w:top w:val="nil"/>
              <w:left w:val="nil"/>
              <w:bottom w:val="single" w:sz="4" w:space="0" w:color="0070C0"/>
              <w:right w:val="single" w:sz="4" w:space="0" w:color="0070C0"/>
            </w:tcBorders>
            <w:shd w:val="clear" w:color="auto" w:fill="auto"/>
            <w:vAlign w:val="center"/>
          </w:tcPr>
          <w:p>
            <w:pPr>
              <w:spacing w:after="0" w:line="240" w:lineRule="auto"/>
              <w:jc w:val="both"/>
              <w:rPr>
                <w:rFonts w:ascii="Times New Roman" w:eastAsia="Times New Roman" w:hAnsi="Times New Roman"/>
                <w:noProof/>
                <w:color w:val="000000"/>
                <w:lang w:eastAsia="en-GB"/>
              </w:rPr>
            </w:pPr>
            <w:r>
              <w:rPr>
                <w:rFonts w:ascii="Times New Roman" w:eastAsia="Times New Roman" w:hAnsi="Times New Roman"/>
                <w:noProof/>
                <w:color w:val="000000"/>
                <w:lang w:eastAsia="en-GB"/>
              </w:rPr>
              <w:t>Lebanon</w:t>
            </w:r>
          </w:p>
        </w:tc>
        <w:tc>
          <w:tcPr>
            <w:tcW w:w="1698" w:type="dxa"/>
            <w:tcBorders>
              <w:top w:val="nil"/>
              <w:left w:val="nil"/>
              <w:bottom w:val="single" w:sz="4" w:space="0" w:color="0070C0"/>
              <w:right w:val="single" w:sz="4" w:space="0" w:color="0070C0"/>
            </w:tcBorders>
            <w:shd w:val="clear" w:color="auto" w:fill="auto"/>
            <w:vAlign w:val="center"/>
          </w:tcPr>
          <w:p>
            <w:pPr>
              <w:spacing w:after="0" w:line="240" w:lineRule="auto"/>
              <w:jc w:val="center"/>
              <w:rPr>
                <w:rFonts w:ascii="Times New Roman" w:eastAsia="Times New Roman" w:hAnsi="Times New Roman"/>
                <w:noProof/>
                <w:color w:val="000000"/>
                <w:lang w:eastAsia="en-GB"/>
              </w:rPr>
            </w:pPr>
            <w:r>
              <w:rPr>
                <w:rFonts w:ascii="Times New Roman" w:eastAsia="Times New Roman" w:hAnsi="Times New Roman"/>
                <w:noProof/>
                <w:color w:val="000000"/>
                <w:lang w:eastAsia="en-GB"/>
              </w:rPr>
              <w:t>0.22</w:t>
            </w:r>
          </w:p>
        </w:tc>
        <w:tc>
          <w:tcPr>
            <w:tcW w:w="1418" w:type="dxa"/>
            <w:tcBorders>
              <w:top w:val="nil"/>
              <w:left w:val="nil"/>
              <w:bottom w:val="single" w:sz="4" w:space="0" w:color="0070C0"/>
              <w:right w:val="single" w:sz="4" w:space="0" w:color="0070C0"/>
            </w:tcBorders>
            <w:shd w:val="clear" w:color="auto" w:fill="auto"/>
            <w:vAlign w:val="center"/>
          </w:tcPr>
          <w:p>
            <w:pPr>
              <w:spacing w:after="0" w:line="240" w:lineRule="auto"/>
              <w:jc w:val="right"/>
              <w:rPr>
                <w:rFonts w:ascii="Times New Roman" w:eastAsia="Times New Roman" w:hAnsi="Times New Roman"/>
                <w:noProof/>
                <w:color w:val="000000"/>
                <w:lang w:eastAsia="en-GB"/>
              </w:rPr>
            </w:pPr>
            <w:r>
              <w:rPr>
                <w:rFonts w:ascii="Times New Roman" w:eastAsia="Times New Roman" w:hAnsi="Times New Roman"/>
                <w:noProof/>
                <w:color w:val="000000"/>
                <w:lang w:eastAsia="en-GB"/>
              </w:rPr>
              <w:t>-</w:t>
            </w:r>
          </w:p>
        </w:tc>
      </w:tr>
      <w:tr>
        <w:trPr>
          <w:trHeight w:val="300"/>
          <w:jc w:val="center"/>
        </w:trPr>
        <w:tc>
          <w:tcPr>
            <w:tcW w:w="1782" w:type="dxa"/>
            <w:tcBorders>
              <w:top w:val="nil"/>
              <w:left w:val="single" w:sz="4" w:space="0" w:color="0070C0"/>
              <w:bottom w:val="single" w:sz="4" w:space="0" w:color="0070C0"/>
              <w:right w:val="single" w:sz="4" w:space="0" w:color="0070C0"/>
            </w:tcBorders>
            <w:shd w:val="clear" w:color="auto" w:fill="auto"/>
            <w:noWrap/>
            <w:vAlign w:val="center"/>
          </w:tcPr>
          <w:p>
            <w:pPr>
              <w:spacing w:after="0" w:line="240" w:lineRule="auto"/>
              <w:jc w:val="both"/>
              <w:rPr>
                <w:rFonts w:ascii="Times New Roman" w:eastAsia="Times New Roman" w:hAnsi="Times New Roman"/>
                <w:noProof/>
                <w:color w:val="000000"/>
                <w:lang w:eastAsia="en-GB"/>
              </w:rPr>
            </w:pPr>
            <w:r>
              <w:rPr>
                <w:rFonts w:ascii="Times New Roman" w:eastAsia="Times New Roman" w:hAnsi="Times New Roman"/>
                <w:noProof/>
                <w:color w:val="000000"/>
                <w:lang w:eastAsia="en-GB"/>
              </w:rPr>
              <w:t>Malta</w:t>
            </w:r>
          </w:p>
        </w:tc>
        <w:tc>
          <w:tcPr>
            <w:tcW w:w="1701" w:type="dxa"/>
            <w:tcBorders>
              <w:top w:val="nil"/>
              <w:left w:val="nil"/>
              <w:bottom w:val="single" w:sz="4" w:space="0" w:color="0070C0"/>
              <w:right w:val="single" w:sz="4" w:space="0" w:color="0070C0"/>
            </w:tcBorders>
            <w:shd w:val="clear" w:color="auto" w:fill="auto"/>
            <w:noWrap/>
            <w:vAlign w:val="center"/>
          </w:tcPr>
          <w:p>
            <w:pPr>
              <w:spacing w:after="0" w:line="240" w:lineRule="auto"/>
              <w:jc w:val="center"/>
              <w:rPr>
                <w:rFonts w:ascii="Times New Roman" w:eastAsia="Times New Roman" w:hAnsi="Times New Roman"/>
                <w:noProof/>
                <w:color w:val="000000"/>
                <w:lang w:eastAsia="en-GB"/>
              </w:rPr>
            </w:pPr>
            <w:r>
              <w:rPr>
                <w:rFonts w:ascii="Times New Roman" w:eastAsia="Times New Roman" w:hAnsi="Times New Roman"/>
                <w:noProof/>
                <w:color w:val="000000"/>
                <w:lang w:eastAsia="en-GB"/>
              </w:rPr>
              <w:t>0.89</w:t>
            </w:r>
          </w:p>
        </w:tc>
        <w:tc>
          <w:tcPr>
            <w:tcW w:w="1559" w:type="dxa"/>
            <w:tcBorders>
              <w:top w:val="nil"/>
              <w:left w:val="nil"/>
              <w:bottom w:val="single" w:sz="4" w:space="0" w:color="0070C0"/>
              <w:right w:val="single" w:sz="4" w:space="0" w:color="0070C0"/>
            </w:tcBorders>
            <w:shd w:val="clear" w:color="auto" w:fill="auto"/>
            <w:noWrap/>
            <w:vAlign w:val="center"/>
          </w:tcPr>
          <w:p>
            <w:pPr>
              <w:spacing w:after="0" w:line="240" w:lineRule="auto"/>
              <w:jc w:val="right"/>
              <w:rPr>
                <w:rFonts w:ascii="Times New Roman" w:eastAsia="Times New Roman" w:hAnsi="Times New Roman"/>
                <w:noProof/>
                <w:color w:val="000000"/>
                <w:lang w:eastAsia="en-GB"/>
              </w:rPr>
            </w:pPr>
            <w:r>
              <w:rPr>
                <w:rFonts w:ascii="Times New Roman" w:eastAsia="Times New Roman" w:hAnsi="Times New Roman"/>
                <w:noProof/>
                <w:color w:val="000000"/>
                <w:lang w:eastAsia="en-GB"/>
              </w:rPr>
              <w:t>2,107</w:t>
            </w:r>
          </w:p>
        </w:tc>
        <w:tc>
          <w:tcPr>
            <w:tcW w:w="1352" w:type="dxa"/>
            <w:tcBorders>
              <w:top w:val="nil"/>
              <w:left w:val="nil"/>
              <w:bottom w:val="single" w:sz="4" w:space="0" w:color="0070C0"/>
              <w:right w:val="single" w:sz="4" w:space="0" w:color="0070C0"/>
            </w:tcBorders>
            <w:shd w:val="clear" w:color="auto" w:fill="auto"/>
            <w:vAlign w:val="center"/>
          </w:tcPr>
          <w:p>
            <w:pPr>
              <w:spacing w:after="0" w:line="240" w:lineRule="auto"/>
              <w:jc w:val="both"/>
              <w:rPr>
                <w:rFonts w:ascii="Times New Roman" w:eastAsia="Times New Roman" w:hAnsi="Times New Roman"/>
                <w:noProof/>
                <w:color w:val="000000"/>
                <w:lang w:eastAsia="en-GB"/>
              </w:rPr>
            </w:pPr>
            <w:r>
              <w:rPr>
                <w:rFonts w:ascii="Times New Roman" w:eastAsia="Times New Roman" w:hAnsi="Times New Roman"/>
                <w:noProof/>
                <w:color w:val="000000"/>
                <w:lang w:eastAsia="en-GB"/>
              </w:rPr>
              <w:t>Morocco</w:t>
            </w:r>
          </w:p>
        </w:tc>
        <w:tc>
          <w:tcPr>
            <w:tcW w:w="1698" w:type="dxa"/>
            <w:tcBorders>
              <w:top w:val="nil"/>
              <w:left w:val="nil"/>
              <w:bottom w:val="single" w:sz="4" w:space="0" w:color="0070C0"/>
              <w:right w:val="single" w:sz="4" w:space="0" w:color="0070C0"/>
            </w:tcBorders>
            <w:shd w:val="clear" w:color="auto" w:fill="auto"/>
            <w:vAlign w:val="center"/>
          </w:tcPr>
          <w:p>
            <w:pPr>
              <w:spacing w:after="0" w:line="240" w:lineRule="auto"/>
              <w:jc w:val="center"/>
              <w:rPr>
                <w:rFonts w:ascii="Times New Roman" w:eastAsia="Times New Roman" w:hAnsi="Times New Roman"/>
                <w:noProof/>
                <w:color w:val="000000"/>
                <w:lang w:eastAsia="en-GB"/>
              </w:rPr>
            </w:pPr>
            <w:r>
              <w:rPr>
                <w:rFonts w:ascii="Times New Roman" w:eastAsia="Times New Roman" w:hAnsi="Times New Roman"/>
                <w:noProof/>
                <w:color w:val="000000"/>
                <w:lang w:eastAsia="en-GB"/>
              </w:rPr>
              <w:t>0.73</w:t>
            </w:r>
          </w:p>
        </w:tc>
        <w:tc>
          <w:tcPr>
            <w:tcW w:w="1418" w:type="dxa"/>
            <w:tcBorders>
              <w:top w:val="nil"/>
              <w:left w:val="nil"/>
              <w:bottom w:val="single" w:sz="4" w:space="0" w:color="0070C0"/>
              <w:right w:val="single" w:sz="4" w:space="0" w:color="0070C0"/>
            </w:tcBorders>
            <w:shd w:val="clear" w:color="auto" w:fill="auto"/>
            <w:vAlign w:val="center"/>
          </w:tcPr>
          <w:p>
            <w:pPr>
              <w:spacing w:after="0" w:line="240" w:lineRule="auto"/>
              <w:jc w:val="right"/>
              <w:rPr>
                <w:rFonts w:ascii="Times New Roman" w:eastAsia="Times New Roman" w:hAnsi="Times New Roman"/>
                <w:noProof/>
                <w:color w:val="000000"/>
                <w:lang w:eastAsia="en-GB"/>
              </w:rPr>
            </w:pPr>
            <w:r>
              <w:rPr>
                <w:rFonts w:ascii="Times New Roman" w:eastAsia="Times New Roman" w:hAnsi="Times New Roman"/>
                <w:noProof/>
                <w:color w:val="000000"/>
                <w:lang w:eastAsia="en-GB"/>
              </w:rPr>
              <w:t>852</w:t>
            </w:r>
          </w:p>
        </w:tc>
      </w:tr>
      <w:tr>
        <w:trPr>
          <w:trHeight w:val="300"/>
          <w:jc w:val="center"/>
        </w:trPr>
        <w:tc>
          <w:tcPr>
            <w:tcW w:w="1782" w:type="dxa"/>
            <w:tcBorders>
              <w:top w:val="nil"/>
              <w:left w:val="single" w:sz="4" w:space="0" w:color="0070C0"/>
              <w:bottom w:val="single" w:sz="4" w:space="0" w:color="0070C0"/>
              <w:right w:val="single" w:sz="4" w:space="0" w:color="0070C0"/>
            </w:tcBorders>
            <w:shd w:val="clear" w:color="auto" w:fill="auto"/>
            <w:noWrap/>
            <w:vAlign w:val="center"/>
          </w:tcPr>
          <w:p>
            <w:pPr>
              <w:spacing w:after="0" w:line="240" w:lineRule="auto"/>
              <w:jc w:val="both"/>
              <w:rPr>
                <w:rFonts w:ascii="Times New Roman" w:eastAsia="Times New Roman" w:hAnsi="Times New Roman"/>
                <w:noProof/>
                <w:color w:val="000000"/>
                <w:lang w:eastAsia="en-GB"/>
              </w:rPr>
            </w:pPr>
            <w:r>
              <w:rPr>
                <w:rFonts w:ascii="Times New Roman" w:eastAsia="Times New Roman" w:hAnsi="Times New Roman"/>
                <w:noProof/>
                <w:color w:val="000000"/>
                <w:lang w:eastAsia="en-GB"/>
              </w:rPr>
              <w:t>Portugal</w:t>
            </w:r>
          </w:p>
        </w:tc>
        <w:tc>
          <w:tcPr>
            <w:tcW w:w="1701" w:type="dxa"/>
            <w:tcBorders>
              <w:top w:val="nil"/>
              <w:left w:val="nil"/>
              <w:bottom w:val="single" w:sz="4" w:space="0" w:color="0070C0"/>
              <w:right w:val="single" w:sz="4" w:space="0" w:color="0070C0"/>
            </w:tcBorders>
            <w:shd w:val="clear" w:color="auto" w:fill="auto"/>
            <w:noWrap/>
            <w:vAlign w:val="center"/>
          </w:tcPr>
          <w:p>
            <w:pPr>
              <w:spacing w:after="0" w:line="240" w:lineRule="auto"/>
              <w:jc w:val="center"/>
              <w:rPr>
                <w:rFonts w:ascii="Times New Roman" w:eastAsia="Times New Roman" w:hAnsi="Times New Roman"/>
                <w:noProof/>
                <w:color w:val="000000"/>
                <w:lang w:eastAsia="en-GB"/>
              </w:rPr>
            </w:pPr>
            <w:r>
              <w:rPr>
                <w:rFonts w:ascii="Times New Roman" w:eastAsia="Times New Roman" w:hAnsi="Times New Roman"/>
                <w:noProof/>
                <w:color w:val="000000"/>
                <w:lang w:eastAsia="en-GB"/>
              </w:rPr>
              <w:t>1.37</w:t>
            </w:r>
          </w:p>
        </w:tc>
        <w:tc>
          <w:tcPr>
            <w:tcW w:w="1559" w:type="dxa"/>
            <w:tcBorders>
              <w:top w:val="nil"/>
              <w:left w:val="nil"/>
              <w:bottom w:val="single" w:sz="4" w:space="0" w:color="0070C0"/>
              <w:right w:val="single" w:sz="4" w:space="0" w:color="0070C0"/>
            </w:tcBorders>
            <w:shd w:val="clear" w:color="auto" w:fill="auto"/>
            <w:noWrap/>
            <w:vAlign w:val="center"/>
          </w:tcPr>
          <w:p>
            <w:pPr>
              <w:spacing w:after="0" w:line="240" w:lineRule="auto"/>
              <w:jc w:val="right"/>
              <w:rPr>
                <w:rFonts w:ascii="Times New Roman" w:eastAsia="Times New Roman" w:hAnsi="Times New Roman"/>
                <w:noProof/>
                <w:color w:val="000000"/>
                <w:lang w:eastAsia="en-GB"/>
              </w:rPr>
            </w:pPr>
            <w:r>
              <w:rPr>
                <w:rFonts w:ascii="Times New Roman" w:eastAsia="Times New Roman" w:hAnsi="Times New Roman"/>
                <w:noProof/>
                <w:color w:val="000000"/>
                <w:lang w:eastAsia="en-GB"/>
              </w:rPr>
              <w:t>4,152</w:t>
            </w:r>
          </w:p>
        </w:tc>
        <w:tc>
          <w:tcPr>
            <w:tcW w:w="1352" w:type="dxa"/>
            <w:tcBorders>
              <w:top w:val="nil"/>
              <w:left w:val="nil"/>
              <w:bottom w:val="single" w:sz="4" w:space="0" w:color="0070C0"/>
              <w:right w:val="single" w:sz="4" w:space="0" w:color="0070C0"/>
            </w:tcBorders>
            <w:shd w:val="clear" w:color="auto" w:fill="auto"/>
            <w:vAlign w:val="center"/>
          </w:tcPr>
          <w:p>
            <w:pPr>
              <w:spacing w:after="0" w:line="240" w:lineRule="auto"/>
              <w:jc w:val="both"/>
              <w:rPr>
                <w:rFonts w:ascii="Times New Roman" w:eastAsia="Times New Roman" w:hAnsi="Times New Roman"/>
                <w:noProof/>
                <w:color w:val="000000"/>
                <w:lang w:eastAsia="en-GB"/>
              </w:rPr>
            </w:pPr>
            <w:r>
              <w:rPr>
                <w:rFonts w:ascii="Times New Roman" w:eastAsia="Times New Roman" w:hAnsi="Times New Roman"/>
                <w:noProof/>
                <w:color w:val="000000"/>
                <w:lang w:eastAsia="en-GB"/>
              </w:rPr>
              <w:t>Tunisia</w:t>
            </w:r>
          </w:p>
        </w:tc>
        <w:tc>
          <w:tcPr>
            <w:tcW w:w="1698" w:type="dxa"/>
            <w:tcBorders>
              <w:top w:val="nil"/>
              <w:left w:val="nil"/>
              <w:bottom w:val="single" w:sz="4" w:space="0" w:color="0070C0"/>
              <w:right w:val="single" w:sz="4" w:space="0" w:color="0070C0"/>
            </w:tcBorders>
            <w:shd w:val="clear" w:color="auto" w:fill="auto"/>
            <w:vAlign w:val="center"/>
          </w:tcPr>
          <w:p>
            <w:pPr>
              <w:spacing w:after="0" w:line="240" w:lineRule="auto"/>
              <w:jc w:val="center"/>
              <w:rPr>
                <w:rFonts w:ascii="Times New Roman" w:eastAsia="Times New Roman" w:hAnsi="Times New Roman"/>
                <w:noProof/>
                <w:color w:val="000000"/>
                <w:lang w:eastAsia="en-GB"/>
              </w:rPr>
            </w:pPr>
            <w:r>
              <w:rPr>
                <w:rFonts w:ascii="Times New Roman" w:eastAsia="Times New Roman" w:hAnsi="Times New Roman"/>
                <w:noProof/>
                <w:color w:val="000000"/>
                <w:lang w:eastAsia="en-GB"/>
              </w:rPr>
              <w:t>0.68</w:t>
            </w:r>
          </w:p>
        </w:tc>
        <w:tc>
          <w:tcPr>
            <w:tcW w:w="1418" w:type="dxa"/>
            <w:tcBorders>
              <w:top w:val="nil"/>
              <w:left w:val="nil"/>
              <w:bottom w:val="single" w:sz="4" w:space="0" w:color="0070C0"/>
              <w:right w:val="single" w:sz="4" w:space="0" w:color="0070C0"/>
            </w:tcBorders>
            <w:shd w:val="clear" w:color="auto" w:fill="auto"/>
            <w:vAlign w:val="center"/>
          </w:tcPr>
          <w:p>
            <w:pPr>
              <w:spacing w:after="0" w:line="240" w:lineRule="auto"/>
              <w:jc w:val="right"/>
              <w:rPr>
                <w:rFonts w:ascii="Times New Roman" w:eastAsia="Times New Roman" w:hAnsi="Times New Roman"/>
                <w:noProof/>
                <w:color w:val="000000"/>
                <w:lang w:eastAsia="en-GB"/>
              </w:rPr>
            </w:pPr>
            <w:r>
              <w:rPr>
                <w:rFonts w:ascii="Times New Roman" w:eastAsia="Times New Roman" w:hAnsi="Times New Roman"/>
                <w:noProof/>
                <w:color w:val="000000"/>
                <w:lang w:eastAsia="en-GB"/>
              </w:rPr>
              <w:t>1,393</w:t>
            </w:r>
          </w:p>
        </w:tc>
      </w:tr>
      <w:tr>
        <w:trPr>
          <w:trHeight w:val="300"/>
          <w:jc w:val="center"/>
        </w:trPr>
        <w:tc>
          <w:tcPr>
            <w:tcW w:w="1782" w:type="dxa"/>
            <w:tcBorders>
              <w:top w:val="nil"/>
              <w:left w:val="single" w:sz="4" w:space="0" w:color="0070C0"/>
              <w:bottom w:val="single" w:sz="4" w:space="0" w:color="0070C0"/>
              <w:right w:val="single" w:sz="4" w:space="0" w:color="0070C0"/>
            </w:tcBorders>
            <w:shd w:val="clear" w:color="auto" w:fill="auto"/>
            <w:noWrap/>
            <w:vAlign w:val="center"/>
          </w:tcPr>
          <w:p>
            <w:pPr>
              <w:spacing w:after="0" w:line="240" w:lineRule="auto"/>
              <w:jc w:val="both"/>
              <w:rPr>
                <w:rFonts w:ascii="Times New Roman" w:eastAsia="Times New Roman" w:hAnsi="Times New Roman"/>
                <w:noProof/>
                <w:color w:val="000000"/>
                <w:lang w:eastAsia="en-GB"/>
              </w:rPr>
            </w:pPr>
            <w:r>
              <w:rPr>
                <w:rFonts w:ascii="Times New Roman" w:eastAsia="Times New Roman" w:hAnsi="Times New Roman"/>
                <w:noProof/>
                <w:color w:val="000000"/>
                <w:lang w:eastAsia="en-GB"/>
              </w:rPr>
              <w:t>Slovenia</w:t>
            </w:r>
          </w:p>
        </w:tc>
        <w:tc>
          <w:tcPr>
            <w:tcW w:w="1701" w:type="dxa"/>
            <w:tcBorders>
              <w:top w:val="nil"/>
              <w:left w:val="nil"/>
              <w:bottom w:val="single" w:sz="4" w:space="0" w:color="0070C0"/>
              <w:right w:val="single" w:sz="4" w:space="0" w:color="0070C0"/>
            </w:tcBorders>
            <w:shd w:val="clear" w:color="auto" w:fill="auto"/>
            <w:noWrap/>
            <w:vAlign w:val="center"/>
          </w:tcPr>
          <w:p>
            <w:pPr>
              <w:spacing w:after="0" w:line="240" w:lineRule="auto"/>
              <w:jc w:val="center"/>
              <w:rPr>
                <w:rFonts w:ascii="Times New Roman" w:eastAsia="Times New Roman" w:hAnsi="Times New Roman"/>
                <w:noProof/>
                <w:color w:val="000000"/>
                <w:lang w:eastAsia="en-GB"/>
              </w:rPr>
            </w:pPr>
            <w:r>
              <w:rPr>
                <w:rFonts w:ascii="Times New Roman" w:eastAsia="Times New Roman" w:hAnsi="Times New Roman"/>
                <w:noProof/>
                <w:color w:val="000000"/>
                <w:lang w:eastAsia="en-GB"/>
              </w:rPr>
              <w:t>2.59</w:t>
            </w:r>
          </w:p>
        </w:tc>
        <w:tc>
          <w:tcPr>
            <w:tcW w:w="1559" w:type="dxa"/>
            <w:tcBorders>
              <w:top w:val="nil"/>
              <w:left w:val="nil"/>
              <w:bottom w:val="single" w:sz="4" w:space="0" w:color="0070C0"/>
              <w:right w:val="single" w:sz="4" w:space="0" w:color="0070C0"/>
            </w:tcBorders>
            <w:shd w:val="clear" w:color="auto" w:fill="auto"/>
            <w:noWrap/>
            <w:vAlign w:val="center"/>
          </w:tcPr>
          <w:p>
            <w:pPr>
              <w:spacing w:after="0" w:line="240" w:lineRule="auto"/>
              <w:jc w:val="right"/>
              <w:rPr>
                <w:rFonts w:ascii="Times New Roman" w:eastAsia="Times New Roman" w:hAnsi="Times New Roman"/>
                <w:noProof/>
                <w:color w:val="000000"/>
                <w:lang w:eastAsia="en-GB"/>
              </w:rPr>
            </w:pPr>
            <w:r>
              <w:rPr>
                <w:rFonts w:ascii="Times New Roman" w:eastAsia="Times New Roman" w:hAnsi="Times New Roman"/>
                <w:noProof/>
                <w:color w:val="000000"/>
                <w:lang w:eastAsia="en-GB"/>
              </w:rPr>
              <w:t>4,217</w:t>
            </w:r>
          </w:p>
        </w:tc>
        <w:tc>
          <w:tcPr>
            <w:tcW w:w="1352" w:type="dxa"/>
            <w:tcBorders>
              <w:top w:val="nil"/>
              <w:left w:val="nil"/>
              <w:bottom w:val="single" w:sz="4" w:space="0" w:color="0070C0"/>
              <w:right w:val="single" w:sz="4" w:space="0" w:color="0070C0"/>
            </w:tcBorders>
            <w:shd w:val="clear" w:color="auto" w:fill="auto"/>
            <w:vAlign w:val="center"/>
          </w:tcPr>
          <w:p>
            <w:pPr>
              <w:spacing w:after="0" w:line="240" w:lineRule="auto"/>
              <w:jc w:val="both"/>
              <w:rPr>
                <w:rFonts w:ascii="Times New Roman" w:eastAsia="Times New Roman" w:hAnsi="Times New Roman"/>
                <w:noProof/>
                <w:color w:val="000000"/>
                <w:lang w:eastAsia="en-GB"/>
              </w:rPr>
            </w:pPr>
            <w:r>
              <w:rPr>
                <w:rFonts w:ascii="Times New Roman" w:eastAsia="Times New Roman" w:hAnsi="Times New Roman"/>
                <w:noProof/>
                <w:color w:val="000000"/>
                <w:lang w:eastAsia="en-GB"/>
              </w:rPr>
              <w:t>Turkey</w:t>
            </w:r>
          </w:p>
        </w:tc>
        <w:tc>
          <w:tcPr>
            <w:tcW w:w="1698" w:type="dxa"/>
            <w:tcBorders>
              <w:top w:val="nil"/>
              <w:left w:val="nil"/>
              <w:bottom w:val="single" w:sz="4" w:space="0" w:color="0070C0"/>
              <w:right w:val="single" w:sz="4" w:space="0" w:color="0070C0"/>
            </w:tcBorders>
            <w:shd w:val="clear" w:color="auto" w:fill="auto"/>
            <w:vAlign w:val="center"/>
          </w:tcPr>
          <w:p>
            <w:pPr>
              <w:spacing w:after="0" w:line="240" w:lineRule="auto"/>
              <w:jc w:val="center"/>
              <w:rPr>
                <w:rFonts w:ascii="Times New Roman" w:eastAsia="Times New Roman" w:hAnsi="Times New Roman"/>
                <w:noProof/>
                <w:color w:val="000000"/>
                <w:lang w:eastAsia="en-GB"/>
              </w:rPr>
            </w:pPr>
            <w:r>
              <w:rPr>
                <w:rFonts w:ascii="Times New Roman" w:eastAsia="Times New Roman" w:hAnsi="Times New Roman"/>
                <w:noProof/>
                <w:color w:val="000000"/>
                <w:lang w:eastAsia="en-GB"/>
              </w:rPr>
              <w:t>0.94</w:t>
            </w:r>
          </w:p>
        </w:tc>
        <w:tc>
          <w:tcPr>
            <w:tcW w:w="1418" w:type="dxa"/>
            <w:tcBorders>
              <w:top w:val="nil"/>
              <w:left w:val="nil"/>
              <w:bottom w:val="single" w:sz="4" w:space="0" w:color="0070C0"/>
              <w:right w:val="single" w:sz="4" w:space="0" w:color="0070C0"/>
            </w:tcBorders>
            <w:shd w:val="clear" w:color="auto" w:fill="auto"/>
            <w:vAlign w:val="center"/>
          </w:tcPr>
          <w:p>
            <w:pPr>
              <w:spacing w:after="0" w:line="240" w:lineRule="auto"/>
              <w:jc w:val="right"/>
              <w:rPr>
                <w:rFonts w:ascii="Times New Roman" w:eastAsia="Times New Roman" w:hAnsi="Times New Roman"/>
                <w:noProof/>
                <w:color w:val="000000"/>
                <w:lang w:eastAsia="en-GB"/>
              </w:rPr>
            </w:pPr>
            <w:r>
              <w:rPr>
                <w:rFonts w:ascii="Times New Roman" w:eastAsia="Times New Roman" w:hAnsi="Times New Roman"/>
                <w:noProof/>
                <w:color w:val="000000"/>
                <w:lang w:eastAsia="en-GB"/>
              </w:rPr>
              <w:t>1,169</w:t>
            </w:r>
          </w:p>
        </w:tc>
      </w:tr>
      <w:tr>
        <w:trPr>
          <w:trHeight w:val="300"/>
          <w:jc w:val="center"/>
        </w:trPr>
        <w:tc>
          <w:tcPr>
            <w:tcW w:w="1782" w:type="dxa"/>
            <w:tcBorders>
              <w:top w:val="nil"/>
              <w:left w:val="single" w:sz="4" w:space="0" w:color="0070C0"/>
              <w:bottom w:val="single" w:sz="4" w:space="0" w:color="0070C0"/>
              <w:right w:val="single" w:sz="4" w:space="0" w:color="0070C0"/>
            </w:tcBorders>
            <w:shd w:val="clear" w:color="auto" w:fill="auto"/>
            <w:noWrap/>
            <w:vAlign w:val="center"/>
          </w:tcPr>
          <w:p>
            <w:pPr>
              <w:spacing w:after="0" w:line="240" w:lineRule="auto"/>
              <w:jc w:val="both"/>
              <w:rPr>
                <w:rFonts w:ascii="Times New Roman" w:eastAsia="Times New Roman" w:hAnsi="Times New Roman"/>
                <w:noProof/>
                <w:color w:val="000000"/>
                <w:lang w:eastAsia="en-GB"/>
              </w:rPr>
            </w:pPr>
            <w:r>
              <w:rPr>
                <w:rFonts w:ascii="Times New Roman" w:eastAsia="Times New Roman" w:hAnsi="Times New Roman"/>
                <w:noProof/>
                <w:color w:val="000000"/>
                <w:lang w:eastAsia="en-GB"/>
              </w:rPr>
              <w:t>Spain</w:t>
            </w:r>
          </w:p>
        </w:tc>
        <w:tc>
          <w:tcPr>
            <w:tcW w:w="1701" w:type="dxa"/>
            <w:tcBorders>
              <w:top w:val="nil"/>
              <w:left w:val="nil"/>
              <w:bottom w:val="single" w:sz="4" w:space="0" w:color="0070C0"/>
              <w:right w:val="single" w:sz="4" w:space="0" w:color="0070C0"/>
            </w:tcBorders>
            <w:shd w:val="clear" w:color="auto" w:fill="auto"/>
            <w:noWrap/>
            <w:vAlign w:val="center"/>
          </w:tcPr>
          <w:p>
            <w:pPr>
              <w:spacing w:after="0" w:line="240" w:lineRule="auto"/>
              <w:jc w:val="center"/>
              <w:rPr>
                <w:rFonts w:ascii="Times New Roman" w:eastAsia="Times New Roman" w:hAnsi="Times New Roman"/>
                <w:noProof/>
                <w:color w:val="000000"/>
                <w:lang w:eastAsia="en-GB"/>
              </w:rPr>
            </w:pPr>
            <w:r>
              <w:rPr>
                <w:rFonts w:ascii="Times New Roman" w:eastAsia="Times New Roman" w:hAnsi="Times New Roman"/>
                <w:noProof/>
                <w:color w:val="000000"/>
                <w:lang w:eastAsia="en-GB"/>
              </w:rPr>
              <w:t>1.24</w:t>
            </w:r>
          </w:p>
        </w:tc>
        <w:tc>
          <w:tcPr>
            <w:tcW w:w="1559" w:type="dxa"/>
            <w:tcBorders>
              <w:top w:val="nil"/>
              <w:left w:val="nil"/>
              <w:bottom w:val="single" w:sz="4" w:space="0" w:color="0070C0"/>
              <w:right w:val="single" w:sz="4" w:space="0" w:color="0070C0"/>
            </w:tcBorders>
            <w:shd w:val="clear" w:color="auto" w:fill="auto"/>
            <w:noWrap/>
            <w:vAlign w:val="center"/>
          </w:tcPr>
          <w:p>
            <w:pPr>
              <w:spacing w:after="0" w:line="240" w:lineRule="auto"/>
              <w:jc w:val="right"/>
              <w:rPr>
                <w:rFonts w:ascii="Times New Roman" w:eastAsia="Times New Roman" w:hAnsi="Times New Roman"/>
                <w:noProof/>
                <w:color w:val="000000"/>
                <w:lang w:eastAsia="en-GB"/>
              </w:rPr>
            </w:pPr>
            <w:r>
              <w:rPr>
                <w:rFonts w:ascii="Times New Roman" w:eastAsia="Times New Roman" w:hAnsi="Times New Roman"/>
                <w:noProof/>
                <w:color w:val="000000"/>
                <w:lang w:eastAsia="en-GB"/>
              </w:rPr>
              <w:t>2,653</w:t>
            </w:r>
          </w:p>
        </w:tc>
        <w:tc>
          <w:tcPr>
            <w:tcW w:w="1352" w:type="dxa"/>
            <w:tcBorders>
              <w:top w:val="nil"/>
              <w:left w:val="nil"/>
              <w:bottom w:val="single" w:sz="4" w:space="0" w:color="0070C0"/>
              <w:right w:val="single" w:sz="4" w:space="0" w:color="0070C0"/>
            </w:tcBorders>
            <w:shd w:val="clear" w:color="auto" w:fill="auto"/>
            <w:vAlign w:val="center"/>
          </w:tcPr>
          <w:p>
            <w:pPr>
              <w:spacing w:after="0" w:line="240" w:lineRule="auto"/>
              <w:jc w:val="both"/>
              <w:rPr>
                <w:rFonts w:ascii="Times New Roman" w:eastAsia="Times New Roman" w:hAnsi="Times New Roman"/>
                <w:noProof/>
                <w:color w:val="000000"/>
                <w:lang w:eastAsia="en-GB"/>
              </w:rPr>
            </w:pPr>
          </w:p>
        </w:tc>
        <w:tc>
          <w:tcPr>
            <w:tcW w:w="1698" w:type="dxa"/>
            <w:tcBorders>
              <w:top w:val="nil"/>
              <w:left w:val="nil"/>
              <w:bottom w:val="single" w:sz="4" w:space="0" w:color="0070C0"/>
              <w:right w:val="single" w:sz="4" w:space="0" w:color="0070C0"/>
            </w:tcBorders>
            <w:shd w:val="clear" w:color="auto" w:fill="auto"/>
            <w:vAlign w:val="center"/>
          </w:tcPr>
          <w:p>
            <w:pPr>
              <w:spacing w:after="0" w:line="240" w:lineRule="auto"/>
              <w:jc w:val="center"/>
              <w:rPr>
                <w:rFonts w:ascii="Times New Roman" w:eastAsia="Times New Roman" w:hAnsi="Times New Roman"/>
                <w:noProof/>
                <w:color w:val="000000"/>
                <w:lang w:eastAsia="en-GB"/>
              </w:rPr>
            </w:pPr>
          </w:p>
        </w:tc>
        <w:tc>
          <w:tcPr>
            <w:tcW w:w="1418" w:type="dxa"/>
            <w:tcBorders>
              <w:top w:val="nil"/>
              <w:left w:val="nil"/>
              <w:bottom w:val="single" w:sz="4" w:space="0" w:color="0070C0"/>
              <w:right w:val="single" w:sz="4" w:space="0" w:color="0070C0"/>
            </w:tcBorders>
            <w:shd w:val="clear" w:color="auto" w:fill="auto"/>
            <w:vAlign w:val="center"/>
          </w:tcPr>
          <w:p>
            <w:pPr>
              <w:spacing w:after="0" w:line="240" w:lineRule="auto"/>
              <w:jc w:val="right"/>
              <w:rPr>
                <w:rFonts w:ascii="Times New Roman" w:eastAsia="Times New Roman" w:hAnsi="Times New Roman"/>
                <w:noProof/>
                <w:color w:val="000000"/>
                <w:lang w:eastAsia="en-GB"/>
              </w:rPr>
            </w:pPr>
          </w:p>
        </w:tc>
      </w:tr>
    </w:tbl>
    <w:p>
      <w:pPr>
        <w:spacing w:after="0" w:line="240" w:lineRule="auto"/>
        <w:jc w:val="both"/>
        <w:rPr>
          <w:rFonts w:ascii="Times New Roman" w:hAnsi="Times New Roman"/>
          <w:i/>
          <w:noProof/>
          <w:sz w:val="18"/>
          <w:szCs w:val="20"/>
        </w:rPr>
      </w:pPr>
      <w:r>
        <w:rPr>
          <w:rFonts w:ascii="Times New Roman" w:hAnsi="Times New Roman"/>
          <w:i/>
          <w:noProof/>
          <w:sz w:val="18"/>
          <w:szCs w:val="20"/>
          <w:vertAlign w:val="superscript"/>
        </w:rPr>
        <w:t>a</w:t>
      </w:r>
      <w:r>
        <w:rPr>
          <w:rFonts w:ascii="Times New Roman" w:hAnsi="Times New Roman"/>
          <w:i/>
          <w:noProof/>
          <w:sz w:val="18"/>
          <w:szCs w:val="20"/>
        </w:rPr>
        <w:t xml:space="preserve">R&amp;D Intensity (R&amp;D as % of GDP) was obtained from the World Bank, the UNESCO Science Report: towards 2030, Institute for Statistics (2015), Knoema and investinlebanon.gov.lb. All figures are for 2013 apart from these for Tunisia (2012), Morocco (2010), and Lebanon (2006). </w:t>
      </w:r>
    </w:p>
    <w:p>
      <w:pPr>
        <w:spacing w:after="0" w:line="240" w:lineRule="auto"/>
        <w:jc w:val="both"/>
        <w:rPr>
          <w:rFonts w:ascii="Times New Roman" w:hAnsi="Times New Roman"/>
          <w:b/>
          <w:i/>
          <w:noProof/>
          <w:sz w:val="20"/>
        </w:rPr>
      </w:pPr>
      <w:r>
        <w:rPr>
          <w:rFonts w:ascii="Times New Roman" w:hAnsi="Times New Roman"/>
          <w:i/>
          <w:noProof/>
          <w:sz w:val="18"/>
          <w:szCs w:val="20"/>
          <w:vertAlign w:val="superscript"/>
        </w:rPr>
        <w:t>b</w:t>
      </w:r>
      <w:r>
        <w:rPr>
          <w:rFonts w:ascii="Times New Roman" w:hAnsi="Times New Roman"/>
          <w:i/>
          <w:noProof/>
          <w:sz w:val="18"/>
          <w:szCs w:val="20"/>
        </w:rPr>
        <w:t xml:space="preserve">Researcher Intensity (Researchers per million people) was obtained from the World Bank. All figures are for 2013 apart from those for Israel (2012), Tunisia (2012) and Morocco (2011). </w:t>
      </w:r>
    </w:p>
    <w:p>
      <w:pPr>
        <w:autoSpaceDE w:val="0"/>
        <w:autoSpaceDN w:val="0"/>
        <w:adjustRightInd w:val="0"/>
        <w:spacing w:after="240" w:line="240" w:lineRule="auto"/>
        <w:rPr>
          <w:rFonts w:ascii="Times New Roman" w:hAnsi="Times New Roman"/>
          <w:b/>
          <w:noProof/>
          <w:sz w:val="20"/>
        </w:rPr>
      </w:pPr>
      <w:r>
        <w:rPr>
          <w:rFonts w:ascii="Times New Roman" w:hAnsi="Times New Roman"/>
          <w:b/>
          <w:noProof/>
          <w:sz w:val="20"/>
        </w:rPr>
        <w:t>Table 1.1: Country indicators of R&amp;I capacity</w:t>
      </w:r>
    </w:p>
    <w:p>
      <w:pPr>
        <w:spacing w:after="0" w:line="240" w:lineRule="auto"/>
        <w:rPr>
          <w:rFonts w:ascii="Times New Roman" w:hAnsi="Times New Roman"/>
          <w:b/>
          <w:noProof/>
          <w:color w:val="000000"/>
          <w:sz w:val="24"/>
          <w:szCs w:val="24"/>
          <w:u w:val="single"/>
        </w:rPr>
      </w:pPr>
      <w:r>
        <w:rPr>
          <w:rFonts w:ascii="Times New Roman" w:hAnsi="Times New Roman"/>
          <w:b/>
          <w:noProof/>
          <w:color w:val="000000"/>
          <w:sz w:val="24"/>
          <w:szCs w:val="24"/>
          <w:u w:val="single"/>
        </w:rPr>
        <w:br w:type="page"/>
      </w:r>
    </w:p>
    <w:p>
      <w:pPr>
        <w:autoSpaceDE w:val="0"/>
        <w:autoSpaceDN w:val="0"/>
        <w:adjustRightInd w:val="0"/>
        <w:spacing w:after="120" w:line="240" w:lineRule="auto"/>
        <w:jc w:val="both"/>
        <w:rPr>
          <w:rFonts w:ascii="Times New Roman" w:hAnsi="Times New Roman"/>
          <w:b/>
          <w:noProof/>
          <w:color w:val="000000"/>
          <w:sz w:val="24"/>
          <w:szCs w:val="24"/>
          <w:u w:val="single"/>
        </w:rPr>
      </w:pPr>
      <w:r>
        <w:rPr>
          <w:rFonts w:ascii="Times New Roman" w:hAnsi="Times New Roman"/>
          <w:b/>
          <w:noProof/>
          <w:color w:val="000000"/>
          <w:sz w:val="24"/>
          <w:szCs w:val="24"/>
          <w:u w:val="single"/>
        </w:rPr>
        <w:t>Problem driver 2</w:t>
      </w:r>
      <w:r>
        <w:rPr>
          <w:rFonts w:ascii="Times New Roman" w:hAnsi="Times New Roman"/>
          <w:b/>
          <w:noProof/>
          <w:color w:val="000000"/>
          <w:sz w:val="24"/>
          <w:szCs w:val="24"/>
        </w:rPr>
        <w:t>: Limited coordination of R&amp;I policy programming between Mediterranean countries</w:t>
      </w:r>
    </w:p>
    <w:p>
      <w:pPr>
        <w:spacing w:after="120" w:line="240" w:lineRule="auto"/>
        <w:jc w:val="both"/>
        <w:rPr>
          <w:rFonts w:ascii="Times New Roman" w:hAnsi="Times New Roman"/>
          <w:noProof/>
          <w:sz w:val="24"/>
          <w:szCs w:val="24"/>
        </w:rPr>
      </w:pPr>
      <w:r>
        <w:rPr>
          <w:rFonts w:ascii="Times New Roman" w:hAnsi="Times New Roman"/>
          <w:noProof/>
          <w:sz w:val="24"/>
          <w:szCs w:val="24"/>
        </w:rPr>
        <w:t>The EU has supported R&amp;I on water provision and food systems in the Mediterranean area through past Framework Programmes for Research, and Technological Development. In FP6 and FP7, for instance, this has been done through several funding instruments involving different levels of coordination and cooperation.</w:t>
      </w:r>
    </w:p>
    <w:p>
      <w:pPr>
        <w:spacing w:after="120" w:line="240" w:lineRule="auto"/>
        <w:jc w:val="both"/>
        <w:rPr>
          <w:rFonts w:ascii="Times New Roman" w:hAnsi="Times New Roman"/>
          <w:noProof/>
          <w:sz w:val="24"/>
          <w:szCs w:val="24"/>
        </w:rPr>
      </w:pPr>
      <w:r>
        <w:rPr>
          <w:rFonts w:ascii="Times New Roman" w:hAnsi="Times New Roman"/>
          <w:noProof/>
          <w:sz w:val="24"/>
          <w:szCs w:val="24"/>
        </w:rPr>
        <w:t>There are, for instance, past and also still on-going Joint Programming Initiatives</w:t>
      </w:r>
      <w:r>
        <w:rPr>
          <w:rStyle w:val="FootnoteReference"/>
          <w:rFonts w:ascii="Times New Roman" w:hAnsi="Times New Roman"/>
          <w:noProof/>
          <w:sz w:val="24"/>
          <w:szCs w:val="24"/>
        </w:rPr>
        <w:footnoteReference w:id="28"/>
      </w:r>
      <w:r>
        <w:rPr>
          <w:rFonts w:ascii="Times New Roman" w:hAnsi="Times New Roman"/>
          <w:noProof/>
          <w:sz w:val="24"/>
          <w:szCs w:val="24"/>
        </w:rPr>
        <w:t xml:space="preserve"> (JPIs – Table 1.2), whose aim is to pool national research efforts to address major societal challenges that cover scientific areas related to water and agro-food (e.g. JPI FACCE</w:t>
      </w:r>
      <w:r>
        <w:rPr>
          <w:rStyle w:val="FootnoteReference"/>
          <w:rFonts w:ascii="Times New Roman" w:hAnsi="Times New Roman"/>
          <w:noProof/>
          <w:sz w:val="24"/>
          <w:szCs w:val="24"/>
        </w:rPr>
        <w:footnoteReference w:id="29"/>
      </w:r>
      <w:r>
        <w:rPr>
          <w:rFonts w:ascii="Times New Roman" w:hAnsi="Times New Roman"/>
          <w:noProof/>
          <w:sz w:val="24"/>
          <w:szCs w:val="24"/>
        </w:rPr>
        <w:t>, JPI Water</w:t>
      </w:r>
      <w:r>
        <w:rPr>
          <w:rStyle w:val="FootnoteReference"/>
          <w:rFonts w:ascii="Times New Roman" w:hAnsi="Times New Roman"/>
          <w:bCs/>
          <w:noProof/>
          <w:sz w:val="24"/>
          <w:szCs w:val="24"/>
        </w:rPr>
        <w:footnoteReference w:id="30"/>
      </w:r>
      <w:r>
        <w:rPr>
          <w:rFonts w:ascii="Times New Roman" w:hAnsi="Times New Roman"/>
          <w:noProof/>
          <w:sz w:val="24"/>
          <w:szCs w:val="24"/>
        </w:rPr>
        <w:t xml:space="preserve"> and, to a lesser extent, JPI Healthy Diet for a Healthy Life</w:t>
      </w:r>
      <w:r>
        <w:rPr>
          <w:rStyle w:val="FootnoteReference"/>
          <w:rFonts w:ascii="Times New Roman" w:hAnsi="Times New Roman"/>
          <w:noProof/>
          <w:sz w:val="24"/>
          <w:szCs w:val="24"/>
        </w:rPr>
        <w:footnoteReference w:id="31"/>
      </w:r>
      <w:r>
        <w:rPr>
          <w:rFonts w:ascii="Times New Roman" w:hAnsi="Times New Roman"/>
          <w:noProof/>
          <w:sz w:val="24"/>
          <w:szCs w:val="24"/>
        </w:rPr>
        <w:t xml:space="preserve"> and JPI Oceans</w:t>
      </w:r>
      <w:r>
        <w:rPr>
          <w:rStyle w:val="FootnoteReference"/>
          <w:rFonts w:ascii="Times New Roman" w:hAnsi="Times New Roman"/>
          <w:noProof/>
          <w:sz w:val="24"/>
          <w:szCs w:val="24"/>
        </w:rPr>
        <w:footnoteReference w:id="32"/>
      </w:r>
      <w:r>
        <w:rPr>
          <w:rFonts w:ascii="Times New Roman" w:hAnsi="Times New Roman"/>
          <w:noProof/>
          <w:sz w:val="24"/>
          <w:szCs w:val="24"/>
        </w:rPr>
        <w:t>). A number of Coordination and Support Actions (CSAs) have also been established with the aim of better coordinating research efforts in the Mediterranean area. The most relevant initiatives are the six Mediterranean ERA-NETs</w:t>
      </w:r>
      <w:r>
        <w:rPr>
          <w:rStyle w:val="FootnoteReference"/>
          <w:rFonts w:ascii="Times New Roman" w:hAnsi="Times New Roman"/>
          <w:noProof/>
          <w:sz w:val="24"/>
          <w:szCs w:val="24"/>
        </w:rPr>
        <w:footnoteReference w:id="33"/>
      </w:r>
      <w:r>
        <w:rPr>
          <w:rFonts w:ascii="Times New Roman" w:hAnsi="Times New Roman"/>
          <w:noProof/>
          <w:sz w:val="24"/>
          <w:szCs w:val="24"/>
        </w:rPr>
        <w:t xml:space="preserve"> funded under FP7 (Table 1.3): three of them (MIRA, MED Spring, ERA METMED) were funded in the International Cooperation (INCO) programme while the other three (FORESTERRA, ARIMNet, and ARIMNet2) were funded under the 'Food, Agriculture and Fisheries, and Biotechnologies' (KBBE) programme. In addition to JPIs and CSAs, 151 FP7 research projects involved the participation of Mediterranean countries (including Mediterranean third countries).</w:t>
      </w:r>
    </w:p>
    <w:p>
      <w:pPr>
        <w:spacing w:after="120" w:line="240" w:lineRule="auto"/>
        <w:jc w:val="both"/>
        <w:rPr>
          <w:rFonts w:ascii="Times New Roman" w:hAnsi="Times New Roman"/>
          <w:noProof/>
          <w:sz w:val="24"/>
          <w:szCs w:val="24"/>
        </w:rPr>
      </w:pPr>
      <w:r>
        <w:rPr>
          <w:rFonts w:ascii="Times New Roman" w:hAnsi="Times New Roman"/>
          <w:noProof/>
          <w:sz w:val="24"/>
          <w:szCs w:val="24"/>
        </w:rPr>
        <w:t>JPIs comprise mainly EU Member States. The participation of Mediterranean third countries is very limited. JPI FACCE, JPI Water and JPI Healthy Diet for a Healthy Life all have Turkey and Israel as members, while JPI Oceans has only Turkey as a member. The situation is somewhat different for ERA-NETs, which have a wider geographical coverage.</w:t>
      </w:r>
    </w:p>
    <w:p>
      <w:pPr>
        <w:spacing w:after="240" w:line="240" w:lineRule="auto"/>
        <w:jc w:val="both"/>
        <w:rPr>
          <w:rFonts w:ascii="Times New Roman" w:hAnsi="Times New Roman"/>
          <w:noProof/>
          <w:sz w:val="24"/>
          <w:szCs w:val="24"/>
        </w:rPr>
      </w:pPr>
      <w:r>
        <w:rPr>
          <w:rFonts w:ascii="Times New Roman" w:hAnsi="Times New Roman"/>
          <w:b/>
          <w:noProof/>
          <w:sz w:val="24"/>
          <w:szCs w:val="24"/>
        </w:rPr>
        <w:t>All of these initiatives tend to remain fragmented</w:t>
      </w:r>
      <w:r>
        <w:rPr>
          <w:rFonts w:ascii="Times New Roman" w:hAnsi="Times New Roman"/>
          <w:noProof/>
          <w:sz w:val="24"/>
          <w:szCs w:val="24"/>
        </w:rPr>
        <w:t xml:space="preserve">, however, and have not produced an integrated strategic research agenda, which is illustrated by the wide range of topics covers in an unintegrated manner. Table 1.3 shows that several EU initiatives are addressing to some extent the water and/or food sectors, and/or the cooperation between the Mediterranean countries. However, </w:t>
      </w:r>
      <w:r>
        <w:rPr>
          <w:rFonts w:ascii="Times New Roman" w:hAnsi="Times New Roman"/>
          <w:b/>
          <w:noProof/>
          <w:sz w:val="24"/>
          <w:szCs w:val="24"/>
        </w:rPr>
        <w:t>the level of integration of R&amp;I policy resulting from these EU activities remains limited</w:t>
      </w:r>
      <w:r>
        <w:rPr>
          <w:rFonts w:ascii="Times New Roman" w:hAnsi="Times New Roman"/>
          <w:noProof/>
          <w:sz w:val="24"/>
          <w:szCs w:val="24"/>
        </w:rPr>
        <w:t xml:space="preserve"> to the support and organisation of national programmes and activities. Most of the initiatives do not address the interdependency between food and water issues that is specific for the Mediterranean area. Furthermore, the limited representation of stakeholders of Mediterranean countries in the abovementioned JPIs limits the potential level of effectiveness in terms of tackling regional issues. These factors can result in an overlap or even duplication of efforts and put significant strain on critical bottlenecks (expertise, facilities, funding). Uneven public programmes with incompatible national funding rules and procedures result in limited diversity and quality of cooperation partnerships.</w:t>
      </w:r>
    </w:p>
    <w:p>
      <w:pPr>
        <w:rPr>
          <w:noProof/>
        </w:rPr>
      </w:pPr>
      <w:r>
        <w:rPr>
          <w:b/>
          <w:bCs/>
          <w:noProof/>
        </w:rPr>
        <w:br w:type="page"/>
      </w:r>
    </w:p>
    <w:tbl>
      <w:tblPr>
        <w:tblStyle w:val="MediumShading1-Accent1"/>
        <w:tblW w:w="8941" w:type="dxa"/>
        <w:jc w:val="center"/>
        <w:tblInd w:w="10" w:type="dxa"/>
        <w:tblBorders>
          <w:insideV w:val="single" w:sz="8" w:space="0" w:color="7BA0CD" w:themeColor="accent1" w:themeTint="BF"/>
        </w:tblBorders>
        <w:tblLayout w:type="fixed"/>
        <w:tblCellMar>
          <w:left w:w="0" w:type="dxa"/>
          <w:right w:w="0" w:type="dxa"/>
        </w:tblCellMar>
        <w:tblLook w:val="04A0" w:firstRow="1" w:lastRow="0" w:firstColumn="1" w:lastColumn="0" w:noHBand="0" w:noVBand="1"/>
      </w:tblPr>
      <w:tblGrid>
        <w:gridCol w:w="908"/>
        <w:gridCol w:w="1138"/>
        <w:gridCol w:w="10"/>
        <w:gridCol w:w="638"/>
        <w:gridCol w:w="10"/>
        <w:gridCol w:w="1124"/>
        <w:gridCol w:w="10"/>
        <w:gridCol w:w="1407"/>
        <w:gridCol w:w="10"/>
        <w:gridCol w:w="1408"/>
        <w:gridCol w:w="10"/>
        <w:gridCol w:w="982"/>
        <w:gridCol w:w="10"/>
        <w:gridCol w:w="1266"/>
        <w:gridCol w:w="10"/>
      </w:tblGrid>
      <w:tr>
        <w:trPr>
          <w:gridAfter w:val="1"/>
          <w:cnfStyle w:val="100000000000" w:firstRow="1" w:lastRow="0" w:firstColumn="0" w:lastColumn="0" w:oddVBand="0" w:evenVBand="0" w:oddHBand="0"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2046" w:type="dxa"/>
            <w:gridSpan w:val="2"/>
            <w:vMerge w:val="restart"/>
            <w:tcBorders>
              <w:top w:val="none" w:sz="0" w:space="0" w:color="auto"/>
              <w:left w:val="none" w:sz="0" w:space="0" w:color="auto"/>
              <w:bottom w:val="none" w:sz="0" w:space="0" w:color="auto"/>
              <w:right w:val="none" w:sz="0" w:space="0" w:color="auto"/>
            </w:tcBorders>
          </w:tcPr>
          <w:p>
            <w:pPr>
              <w:autoSpaceDE w:val="0"/>
              <w:autoSpaceDN w:val="0"/>
              <w:adjustRightInd w:val="0"/>
              <w:spacing w:after="0" w:line="240" w:lineRule="auto"/>
              <w:jc w:val="center"/>
              <w:rPr>
                <w:rFonts w:ascii="Times New Roman" w:hAnsi="Times New Roman"/>
                <w:bCs w:val="0"/>
                <w:noProof/>
                <w:sz w:val="20"/>
                <w:szCs w:val="20"/>
              </w:rPr>
            </w:pPr>
            <w:r>
              <w:rPr>
                <w:rFonts w:ascii="Times New Roman" w:hAnsi="Times New Roman"/>
                <w:noProof/>
                <w:sz w:val="24"/>
                <w:szCs w:val="24"/>
              </w:rPr>
              <w:br w:type="page"/>
            </w:r>
            <w:r>
              <w:rPr>
                <w:rFonts w:ascii="Times New Roman" w:hAnsi="Times New Roman"/>
                <w:bCs w:val="0"/>
                <w:noProof/>
                <w:sz w:val="20"/>
                <w:szCs w:val="20"/>
              </w:rPr>
              <w:t>Mediterranean Countries</w:t>
            </w:r>
          </w:p>
        </w:tc>
        <w:tc>
          <w:tcPr>
            <w:tcW w:w="3199" w:type="dxa"/>
            <w:gridSpan w:val="6"/>
            <w:tcBorders>
              <w:top w:val="none" w:sz="0" w:space="0" w:color="auto"/>
              <w:left w:val="none" w:sz="0" w:space="0" w:color="auto"/>
              <w:bottom w:val="none" w:sz="0" w:space="0" w:color="auto"/>
              <w:right w:val="none" w:sz="0" w:space="0" w:color="auto"/>
            </w:tcBorders>
          </w:tcPr>
          <w:p>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noProof/>
                <w:sz w:val="20"/>
                <w:szCs w:val="20"/>
              </w:rPr>
            </w:pPr>
            <w:r>
              <w:rPr>
                <w:rFonts w:ascii="Times New Roman" w:hAnsi="Times New Roman"/>
                <w:bCs w:val="0"/>
                <w:noProof/>
                <w:sz w:val="20"/>
                <w:szCs w:val="20"/>
              </w:rPr>
              <w:t>INCO-NETs</w:t>
            </w:r>
          </w:p>
        </w:tc>
        <w:tc>
          <w:tcPr>
            <w:tcW w:w="3686" w:type="dxa"/>
            <w:gridSpan w:val="6"/>
            <w:tcBorders>
              <w:top w:val="none" w:sz="0" w:space="0" w:color="auto"/>
              <w:left w:val="none" w:sz="0" w:space="0" w:color="auto"/>
              <w:bottom w:val="none" w:sz="0" w:space="0" w:color="auto"/>
              <w:right w:val="none" w:sz="0" w:space="0" w:color="auto"/>
            </w:tcBorders>
          </w:tcPr>
          <w:p>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noProof/>
                <w:sz w:val="20"/>
                <w:szCs w:val="20"/>
              </w:rPr>
            </w:pPr>
            <w:r>
              <w:rPr>
                <w:rFonts w:ascii="Times New Roman" w:hAnsi="Times New Roman"/>
                <w:bCs w:val="0"/>
                <w:noProof/>
                <w:sz w:val="20"/>
                <w:szCs w:val="20"/>
              </w:rPr>
              <w:t>KBBE ERA-NETs</w:t>
            </w:r>
          </w:p>
        </w:tc>
      </w:tr>
      <w:tr>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2046" w:type="dxa"/>
            <w:gridSpan w:val="2"/>
            <w:vMerge/>
            <w:tcBorders>
              <w:right w:val="none" w:sz="0" w:space="0" w:color="auto"/>
            </w:tcBorders>
            <w:vAlign w:val="center"/>
          </w:tcPr>
          <w:p>
            <w:pPr>
              <w:autoSpaceDE w:val="0"/>
              <w:autoSpaceDN w:val="0"/>
              <w:adjustRightInd w:val="0"/>
              <w:spacing w:after="0" w:line="240" w:lineRule="auto"/>
              <w:jc w:val="center"/>
              <w:rPr>
                <w:rFonts w:ascii="Times New Roman" w:hAnsi="Times New Roman"/>
                <w:b w:val="0"/>
                <w:bCs w:val="0"/>
                <w:noProof/>
                <w:sz w:val="20"/>
                <w:szCs w:val="20"/>
              </w:rPr>
            </w:pPr>
          </w:p>
        </w:tc>
        <w:tc>
          <w:tcPr>
            <w:tcW w:w="648" w:type="dxa"/>
            <w:gridSpan w:val="2"/>
            <w:tcBorders>
              <w:left w:val="none" w:sz="0" w:space="0" w:color="auto"/>
              <w:right w:val="none" w:sz="0" w:space="0" w:color="auto"/>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noProof/>
                <w:sz w:val="20"/>
                <w:szCs w:val="20"/>
              </w:rPr>
            </w:pPr>
            <w:r>
              <w:rPr>
                <w:rFonts w:ascii="Times New Roman" w:hAnsi="Times New Roman"/>
                <w:b/>
                <w:bCs/>
                <w:noProof/>
                <w:sz w:val="20"/>
                <w:szCs w:val="20"/>
              </w:rPr>
              <w:t>MIRA</w:t>
            </w:r>
          </w:p>
        </w:tc>
        <w:tc>
          <w:tcPr>
            <w:tcW w:w="1134" w:type="dxa"/>
            <w:gridSpan w:val="2"/>
            <w:tcBorders>
              <w:left w:val="none" w:sz="0" w:space="0" w:color="auto"/>
              <w:right w:val="none" w:sz="0" w:space="0" w:color="auto"/>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noProof/>
                <w:sz w:val="20"/>
                <w:szCs w:val="20"/>
              </w:rPr>
            </w:pPr>
            <w:r>
              <w:rPr>
                <w:rFonts w:ascii="Times New Roman" w:hAnsi="Times New Roman"/>
                <w:b/>
                <w:bCs/>
                <w:noProof/>
                <w:sz w:val="20"/>
                <w:szCs w:val="20"/>
              </w:rPr>
              <w:t>MEDSpring</w:t>
            </w:r>
          </w:p>
        </w:tc>
        <w:tc>
          <w:tcPr>
            <w:tcW w:w="1417" w:type="dxa"/>
            <w:gridSpan w:val="2"/>
            <w:tcBorders>
              <w:left w:val="none" w:sz="0" w:space="0" w:color="auto"/>
              <w:right w:val="none" w:sz="0" w:space="0" w:color="auto"/>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noProof/>
                <w:sz w:val="20"/>
                <w:szCs w:val="20"/>
              </w:rPr>
            </w:pPr>
            <w:r>
              <w:rPr>
                <w:rFonts w:ascii="Times New Roman" w:hAnsi="Times New Roman"/>
                <w:b/>
                <w:bCs/>
                <w:noProof/>
                <w:sz w:val="20"/>
                <w:szCs w:val="20"/>
              </w:rPr>
              <w:t>ERANETMED</w:t>
            </w:r>
          </w:p>
        </w:tc>
        <w:tc>
          <w:tcPr>
            <w:tcW w:w="1418" w:type="dxa"/>
            <w:gridSpan w:val="2"/>
            <w:tcBorders>
              <w:left w:val="none" w:sz="0" w:space="0" w:color="auto"/>
              <w:right w:val="none" w:sz="0" w:space="0" w:color="auto"/>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noProof/>
                <w:sz w:val="20"/>
                <w:szCs w:val="20"/>
              </w:rPr>
            </w:pPr>
            <w:r>
              <w:rPr>
                <w:rFonts w:ascii="Times New Roman" w:hAnsi="Times New Roman"/>
                <w:b/>
                <w:bCs/>
                <w:noProof/>
                <w:sz w:val="20"/>
                <w:szCs w:val="20"/>
              </w:rPr>
              <w:t>FORESTERRA</w:t>
            </w:r>
          </w:p>
        </w:tc>
        <w:tc>
          <w:tcPr>
            <w:tcW w:w="992" w:type="dxa"/>
            <w:gridSpan w:val="2"/>
            <w:tcBorders>
              <w:left w:val="none" w:sz="0" w:space="0" w:color="auto"/>
              <w:right w:val="none" w:sz="0" w:space="0" w:color="auto"/>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noProof/>
                <w:sz w:val="20"/>
                <w:szCs w:val="20"/>
              </w:rPr>
            </w:pPr>
            <w:r>
              <w:rPr>
                <w:rFonts w:ascii="Times New Roman" w:hAnsi="Times New Roman"/>
                <w:b/>
                <w:bCs/>
                <w:noProof/>
                <w:sz w:val="20"/>
                <w:szCs w:val="20"/>
              </w:rPr>
              <w:t>ARIMNet</w:t>
            </w:r>
          </w:p>
        </w:tc>
        <w:tc>
          <w:tcPr>
            <w:tcW w:w="1276" w:type="dxa"/>
            <w:gridSpan w:val="2"/>
            <w:tcBorders>
              <w:left w:val="none" w:sz="0" w:space="0" w:color="auto"/>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noProof/>
                <w:sz w:val="20"/>
                <w:szCs w:val="20"/>
              </w:rPr>
            </w:pPr>
            <w:r>
              <w:rPr>
                <w:rFonts w:ascii="Times New Roman" w:hAnsi="Times New Roman"/>
                <w:b/>
                <w:bCs/>
                <w:noProof/>
                <w:sz w:val="20"/>
                <w:szCs w:val="20"/>
              </w:rPr>
              <w:t>ARIMNet2</w:t>
            </w:r>
          </w:p>
        </w:tc>
      </w:tr>
      <w:tr>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dxa"/>
            <w:vMerge w:val="restart"/>
            <w:tcBorders>
              <w:right w:val="none" w:sz="0" w:space="0" w:color="auto"/>
            </w:tcBorders>
            <w:shd w:val="clear" w:color="auto" w:fill="D3DFEE" w:themeFill="accent1" w:themeFillTint="3F"/>
            <w:vAlign w:val="center"/>
          </w:tcPr>
          <w:p>
            <w:pPr>
              <w:autoSpaceDE w:val="0"/>
              <w:autoSpaceDN w:val="0"/>
              <w:adjustRightInd w:val="0"/>
              <w:spacing w:after="0" w:line="240" w:lineRule="auto"/>
              <w:rPr>
                <w:rFonts w:ascii="Times New Roman" w:hAnsi="Times New Roman"/>
                <w:b w:val="0"/>
                <w:bCs w:val="0"/>
                <w:noProof/>
                <w:sz w:val="20"/>
                <w:szCs w:val="20"/>
              </w:rPr>
            </w:pPr>
            <w:r>
              <w:rPr>
                <w:rFonts w:ascii="Times New Roman" w:hAnsi="Times New Roman"/>
                <w:bCs w:val="0"/>
                <w:noProof/>
                <w:sz w:val="20"/>
                <w:szCs w:val="20"/>
              </w:rPr>
              <w:t>Member States</w:t>
            </w:r>
          </w:p>
        </w:tc>
        <w:tc>
          <w:tcPr>
            <w:tcW w:w="1148" w:type="dxa"/>
            <w:gridSpan w:val="2"/>
            <w:tcBorders>
              <w:left w:val="none" w:sz="0" w:space="0" w:color="auto"/>
              <w:right w:val="none" w:sz="0" w:space="0" w:color="auto"/>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noProof/>
                <w:sz w:val="20"/>
                <w:szCs w:val="20"/>
              </w:rPr>
            </w:pPr>
            <w:r>
              <w:rPr>
                <w:rFonts w:ascii="Times New Roman" w:hAnsi="Times New Roman"/>
                <w:bCs/>
                <w:noProof/>
                <w:sz w:val="20"/>
                <w:szCs w:val="20"/>
              </w:rPr>
              <w:t>Croatia</w:t>
            </w:r>
          </w:p>
        </w:tc>
        <w:tc>
          <w:tcPr>
            <w:tcW w:w="648" w:type="dxa"/>
            <w:gridSpan w:val="2"/>
            <w:tcBorders>
              <w:left w:val="none" w:sz="0" w:space="0" w:color="auto"/>
              <w:right w:val="none" w:sz="0" w:space="0" w:color="auto"/>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noProof/>
                <w:sz w:val="20"/>
                <w:szCs w:val="20"/>
              </w:rPr>
            </w:pPr>
          </w:p>
        </w:tc>
        <w:tc>
          <w:tcPr>
            <w:tcW w:w="1134" w:type="dxa"/>
            <w:gridSpan w:val="2"/>
            <w:tcBorders>
              <w:left w:val="none" w:sz="0" w:space="0" w:color="auto"/>
              <w:right w:val="none" w:sz="0" w:space="0" w:color="auto"/>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noProof/>
                <w:sz w:val="20"/>
                <w:szCs w:val="20"/>
              </w:rPr>
            </w:pPr>
          </w:p>
        </w:tc>
        <w:tc>
          <w:tcPr>
            <w:tcW w:w="1417" w:type="dxa"/>
            <w:gridSpan w:val="2"/>
            <w:tcBorders>
              <w:left w:val="none" w:sz="0" w:space="0" w:color="auto"/>
              <w:right w:val="none" w:sz="0" w:space="0" w:color="auto"/>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noProof/>
                <w:sz w:val="20"/>
                <w:szCs w:val="20"/>
              </w:rPr>
            </w:pPr>
          </w:p>
        </w:tc>
        <w:tc>
          <w:tcPr>
            <w:tcW w:w="1418" w:type="dxa"/>
            <w:gridSpan w:val="2"/>
            <w:tcBorders>
              <w:left w:val="none" w:sz="0" w:space="0" w:color="auto"/>
              <w:right w:val="none" w:sz="0" w:space="0" w:color="auto"/>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rPr>
            </w:pPr>
            <w:r>
              <w:rPr>
                <w:rFonts w:ascii="Times New Roman" w:hAnsi="Times New Roman"/>
                <w:noProof/>
                <w:sz w:val="20"/>
              </w:rPr>
              <w:t>X</w:t>
            </w:r>
          </w:p>
        </w:tc>
        <w:tc>
          <w:tcPr>
            <w:tcW w:w="992" w:type="dxa"/>
            <w:gridSpan w:val="2"/>
            <w:tcBorders>
              <w:left w:val="none" w:sz="0" w:space="0" w:color="auto"/>
              <w:right w:val="none" w:sz="0" w:space="0" w:color="auto"/>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rPr>
            </w:pPr>
          </w:p>
        </w:tc>
        <w:tc>
          <w:tcPr>
            <w:tcW w:w="1276" w:type="dxa"/>
            <w:gridSpan w:val="2"/>
            <w:tcBorders>
              <w:left w:val="none" w:sz="0" w:space="0" w:color="auto"/>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rPr>
            </w:pPr>
            <w:r>
              <w:rPr>
                <w:rFonts w:ascii="Times New Roman" w:hAnsi="Times New Roman"/>
                <w:noProof/>
                <w:sz w:val="20"/>
              </w:rPr>
              <w:t>X</w:t>
            </w:r>
          </w:p>
        </w:tc>
      </w:tr>
      <w:tr>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908" w:type="dxa"/>
            <w:vMerge/>
          </w:tcPr>
          <w:p>
            <w:pPr>
              <w:autoSpaceDE w:val="0"/>
              <w:autoSpaceDN w:val="0"/>
              <w:adjustRightInd w:val="0"/>
              <w:spacing w:after="0" w:line="240" w:lineRule="auto"/>
              <w:rPr>
                <w:rFonts w:ascii="Times New Roman" w:hAnsi="Times New Roman"/>
                <w:b w:val="0"/>
                <w:bCs w:val="0"/>
                <w:noProof/>
                <w:sz w:val="20"/>
                <w:szCs w:val="20"/>
              </w:rPr>
            </w:pPr>
          </w:p>
        </w:tc>
        <w:tc>
          <w:tcPr>
            <w:tcW w:w="1148" w:type="dxa"/>
            <w:gridSpan w:val="2"/>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sz w:val="20"/>
                <w:szCs w:val="20"/>
              </w:rPr>
            </w:pPr>
            <w:r>
              <w:rPr>
                <w:rFonts w:ascii="Times New Roman" w:hAnsi="Times New Roman"/>
                <w:bCs/>
                <w:noProof/>
                <w:sz w:val="20"/>
                <w:szCs w:val="20"/>
              </w:rPr>
              <w:t>Cyprus</w:t>
            </w:r>
          </w:p>
        </w:tc>
        <w:tc>
          <w:tcPr>
            <w:tcW w:w="648" w:type="dxa"/>
            <w:gridSpan w:val="2"/>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c>
          <w:tcPr>
            <w:tcW w:w="1134" w:type="dxa"/>
            <w:gridSpan w:val="2"/>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c>
          <w:tcPr>
            <w:tcW w:w="1417" w:type="dxa"/>
            <w:gridSpan w:val="2"/>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c>
          <w:tcPr>
            <w:tcW w:w="1418" w:type="dxa"/>
            <w:gridSpan w:val="2"/>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p>
        </w:tc>
        <w:tc>
          <w:tcPr>
            <w:tcW w:w="992" w:type="dxa"/>
            <w:gridSpan w:val="2"/>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c>
          <w:tcPr>
            <w:tcW w:w="1276" w:type="dxa"/>
            <w:gridSpan w:val="2"/>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r>
      <w:tr>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dxa"/>
            <w:vMerge/>
            <w:tcBorders>
              <w:right w:val="none" w:sz="0" w:space="0" w:color="auto"/>
            </w:tcBorders>
          </w:tcPr>
          <w:p>
            <w:pPr>
              <w:autoSpaceDE w:val="0"/>
              <w:autoSpaceDN w:val="0"/>
              <w:adjustRightInd w:val="0"/>
              <w:spacing w:after="0" w:line="240" w:lineRule="auto"/>
              <w:rPr>
                <w:rFonts w:ascii="Times New Roman" w:hAnsi="Times New Roman"/>
                <w:b w:val="0"/>
                <w:bCs w:val="0"/>
                <w:noProof/>
                <w:sz w:val="20"/>
                <w:szCs w:val="20"/>
              </w:rPr>
            </w:pPr>
          </w:p>
        </w:tc>
        <w:tc>
          <w:tcPr>
            <w:tcW w:w="1148" w:type="dxa"/>
            <w:gridSpan w:val="2"/>
            <w:tcBorders>
              <w:left w:val="none" w:sz="0" w:space="0" w:color="auto"/>
              <w:right w:val="none" w:sz="0" w:space="0" w:color="auto"/>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u w:val="single"/>
              </w:rPr>
              <w:t>France</w:t>
            </w:r>
          </w:p>
        </w:tc>
        <w:tc>
          <w:tcPr>
            <w:tcW w:w="648" w:type="dxa"/>
            <w:gridSpan w:val="2"/>
            <w:tcBorders>
              <w:left w:val="none" w:sz="0" w:space="0" w:color="auto"/>
              <w:right w:val="none" w:sz="0" w:space="0" w:color="auto"/>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rPr>
              <w:t>X</w:t>
            </w:r>
          </w:p>
        </w:tc>
        <w:tc>
          <w:tcPr>
            <w:tcW w:w="1134" w:type="dxa"/>
            <w:gridSpan w:val="2"/>
            <w:tcBorders>
              <w:left w:val="none" w:sz="0" w:space="0" w:color="auto"/>
              <w:right w:val="none" w:sz="0" w:space="0" w:color="auto"/>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rPr>
              <w:t>X</w:t>
            </w:r>
          </w:p>
        </w:tc>
        <w:tc>
          <w:tcPr>
            <w:tcW w:w="1417" w:type="dxa"/>
            <w:gridSpan w:val="2"/>
            <w:tcBorders>
              <w:left w:val="none" w:sz="0" w:space="0" w:color="auto"/>
              <w:right w:val="none" w:sz="0" w:space="0" w:color="auto"/>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rPr>
              <w:t>X</w:t>
            </w:r>
          </w:p>
        </w:tc>
        <w:tc>
          <w:tcPr>
            <w:tcW w:w="1418" w:type="dxa"/>
            <w:gridSpan w:val="2"/>
            <w:tcBorders>
              <w:left w:val="none" w:sz="0" w:space="0" w:color="auto"/>
              <w:right w:val="none" w:sz="0" w:space="0" w:color="auto"/>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rPr>
              <w:t>X</w:t>
            </w:r>
          </w:p>
        </w:tc>
        <w:tc>
          <w:tcPr>
            <w:tcW w:w="992" w:type="dxa"/>
            <w:gridSpan w:val="2"/>
            <w:tcBorders>
              <w:left w:val="none" w:sz="0" w:space="0" w:color="auto"/>
              <w:right w:val="none" w:sz="0" w:space="0" w:color="auto"/>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rPr>
              <w:t>X</w:t>
            </w:r>
          </w:p>
        </w:tc>
        <w:tc>
          <w:tcPr>
            <w:tcW w:w="1276" w:type="dxa"/>
            <w:gridSpan w:val="2"/>
            <w:tcBorders>
              <w:left w:val="none" w:sz="0" w:space="0" w:color="auto"/>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rPr>
              <w:t>X</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dxa"/>
            <w:vMerge/>
            <w:tcBorders>
              <w:right w:val="none" w:sz="0" w:space="0" w:color="auto"/>
            </w:tcBorders>
          </w:tcPr>
          <w:p>
            <w:pPr>
              <w:autoSpaceDE w:val="0"/>
              <w:autoSpaceDN w:val="0"/>
              <w:adjustRightInd w:val="0"/>
              <w:spacing w:after="0" w:line="240" w:lineRule="auto"/>
              <w:rPr>
                <w:rFonts w:ascii="Times New Roman" w:hAnsi="Times New Roman"/>
                <w:b w:val="0"/>
                <w:bCs w:val="0"/>
                <w:noProof/>
                <w:sz w:val="20"/>
                <w:szCs w:val="20"/>
              </w:rPr>
            </w:pPr>
          </w:p>
        </w:tc>
        <w:tc>
          <w:tcPr>
            <w:tcW w:w="1148" w:type="dxa"/>
            <w:gridSpan w:val="2"/>
            <w:tcBorders>
              <w:left w:val="none" w:sz="0" w:space="0" w:color="auto"/>
              <w:right w:val="none" w:sz="0" w:space="0" w:color="auto"/>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sz w:val="20"/>
                <w:szCs w:val="20"/>
              </w:rPr>
            </w:pPr>
            <w:r>
              <w:rPr>
                <w:rFonts w:ascii="Times New Roman" w:hAnsi="Times New Roman"/>
                <w:bCs/>
                <w:noProof/>
                <w:sz w:val="20"/>
                <w:szCs w:val="20"/>
                <w:u w:val="single"/>
              </w:rPr>
              <w:t>Greece</w:t>
            </w:r>
          </w:p>
        </w:tc>
        <w:tc>
          <w:tcPr>
            <w:tcW w:w="648" w:type="dxa"/>
            <w:gridSpan w:val="2"/>
            <w:tcBorders>
              <w:left w:val="none" w:sz="0" w:space="0" w:color="auto"/>
              <w:right w:val="none" w:sz="0" w:space="0" w:color="auto"/>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c>
          <w:tcPr>
            <w:tcW w:w="1134" w:type="dxa"/>
            <w:gridSpan w:val="2"/>
            <w:tcBorders>
              <w:left w:val="none" w:sz="0" w:space="0" w:color="auto"/>
              <w:right w:val="none" w:sz="0" w:space="0" w:color="auto"/>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c>
          <w:tcPr>
            <w:tcW w:w="1417" w:type="dxa"/>
            <w:gridSpan w:val="2"/>
            <w:tcBorders>
              <w:left w:val="none" w:sz="0" w:space="0" w:color="auto"/>
              <w:right w:val="none" w:sz="0" w:space="0" w:color="auto"/>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c>
          <w:tcPr>
            <w:tcW w:w="1418" w:type="dxa"/>
            <w:gridSpan w:val="2"/>
            <w:tcBorders>
              <w:left w:val="none" w:sz="0" w:space="0" w:color="auto"/>
              <w:right w:val="none" w:sz="0" w:space="0" w:color="auto"/>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c>
          <w:tcPr>
            <w:tcW w:w="992" w:type="dxa"/>
            <w:gridSpan w:val="2"/>
            <w:tcBorders>
              <w:left w:val="none" w:sz="0" w:space="0" w:color="auto"/>
              <w:right w:val="none" w:sz="0" w:space="0" w:color="auto"/>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c>
          <w:tcPr>
            <w:tcW w:w="1276" w:type="dxa"/>
            <w:gridSpan w:val="2"/>
            <w:tcBorders>
              <w:left w:val="none" w:sz="0" w:space="0" w:color="auto"/>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r>
      <w:tr>
        <w:trPr>
          <w:cnfStyle w:val="000000010000" w:firstRow="0" w:lastRow="0" w:firstColumn="0" w:lastColumn="0" w:oddVBand="0" w:evenVBand="0" w:oddHBand="0" w:evenHBand="1"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908" w:type="dxa"/>
            <w:vMerge/>
          </w:tcPr>
          <w:p>
            <w:pPr>
              <w:autoSpaceDE w:val="0"/>
              <w:autoSpaceDN w:val="0"/>
              <w:adjustRightInd w:val="0"/>
              <w:spacing w:after="0" w:line="240" w:lineRule="auto"/>
              <w:rPr>
                <w:rFonts w:ascii="Times New Roman" w:hAnsi="Times New Roman"/>
                <w:b w:val="0"/>
                <w:bCs w:val="0"/>
                <w:noProof/>
                <w:sz w:val="20"/>
                <w:szCs w:val="20"/>
              </w:rPr>
            </w:pPr>
          </w:p>
        </w:tc>
        <w:tc>
          <w:tcPr>
            <w:tcW w:w="1148" w:type="dxa"/>
            <w:gridSpan w:val="2"/>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noProof/>
                <w:sz w:val="20"/>
                <w:szCs w:val="20"/>
              </w:rPr>
            </w:pPr>
            <w:r>
              <w:rPr>
                <w:rFonts w:ascii="Times New Roman" w:hAnsi="Times New Roman"/>
                <w:bCs/>
                <w:noProof/>
                <w:sz w:val="20"/>
                <w:szCs w:val="20"/>
                <w:u w:val="single"/>
              </w:rPr>
              <w:t>Italy</w:t>
            </w:r>
          </w:p>
        </w:tc>
        <w:tc>
          <w:tcPr>
            <w:tcW w:w="648" w:type="dxa"/>
            <w:gridSpan w:val="2"/>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c>
          <w:tcPr>
            <w:tcW w:w="1134" w:type="dxa"/>
            <w:gridSpan w:val="2"/>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c>
          <w:tcPr>
            <w:tcW w:w="1417" w:type="dxa"/>
            <w:gridSpan w:val="2"/>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c>
          <w:tcPr>
            <w:tcW w:w="1418" w:type="dxa"/>
            <w:gridSpan w:val="2"/>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c>
          <w:tcPr>
            <w:tcW w:w="992" w:type="dxa"/>
            <w:gridSpan w:val="2"/>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c>
          <w:tcPr>
            <w:tcW w:w="1276" w:type="dxa"/>
            <w:gridSpan w:val="2"/>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dxa"/>
            <w:vMerge/>
            <w:tcBorders>
              <w:right w:val="none" w:sz="0" w:space="0" w:color="auto"/>
            </w:tcBorders>
          </w:tcPr>
          <w:p>
            <w:pPr>
              <w:autoSpaceDE w:val="0"/>
              <w:autoSpaceDN w:val="0"/>
              <w:adjustRightInd w:val="0"/>
              <w:spacing w:after="0" w:line="240" w:lineRule="auto"/>
              <w:rPr>
                <w:rFonts w:ascii="Times New Roman" w:hAnsi="Times New Roman"/>
                <w:b w:val="0"/>
                <w:bCs w:val="0"/>
                <w:noProof/>
                <w:sz w:val="20"/>
                <w:szCs w:val="20"/>
              </w:rPr>
            </w:pPr>
          </w:p>
        </w:tc>
        <w:tc>
          <w:tcPr>
            <w:tcW w:w="1148" w:type="dxa"/>
            <w:gridSpan w:val="2"/>
            <w:tcBorders>
              <w:left w:val="none" w:sz="0" w:space="0" w:color="auto"/>
              <w:right w:val="none" w:sz="0" w:space="0" w:color="auto"/>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sz w:val="20"/>
                <w:szCs w:val="20"/>
              </w:rPr>
            </w:pPr>
            <w:r>
              <w:rPr>
                <w:rFonts w:ascii="Times New Roman" w:hAnsi="Times New Roman"/>
                <w:bCs/>
                <w:noProof/>
                <w:sz w:val="20"/>
                <w:szCs w:val="20"/>
              </w:rPr>
              <w:t>Malta</w:t>
            </w:r>
          </w:p>
        </w:tc>
        <w:tc>
          <w:tcPr>
            <w:tcW w:w="648" w:type="dxa"/>
            <w:gridSpan w:val="2"/>
            <w:tcBorders>
              <w:left w:val="none" w:sz="0" w:space="0" w:color="auto"/>
              <w:right w:val="none" w:sz="0" w:space="0" w:color="auto"/>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c>
          <w:tcPr>
            <w:tcW w:w="1134" w:type="dxa"/>
            <w:gridSpan w:val="2"/>
            <w:tcBorders>
              <w:left w:val="none" w:sz="0" w:space="0" w:color="auto"/>
              <w:right w:val="none" w:sz="0" w:space="0" w:color="auto"/>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c>
          <w:tcPr>
            <w:tcW w:w="1417" w:type="dxa"/>
            <w:gridSpan w:val="2"/>
            <w:tcBorders>
              <w:left w:val="none" w:sz="0" w:space="0" w:color="auto"/>
              <w:right w:val="none" w:sz="0" w:space="0" w:color="auto"/>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c>
          <w:tcPr>
            <w:tcW w:w="1418" w:type="dxa"/>
            <w:gridSpan w:val="2"/>
            <w:tcBorders>
              <w:left w:val="none" w:sz="0" w:space="0" w:color="auto"/>
              <w:right w:val="none" w:sz="0" w:space="0" w:color="auto"/>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p>
        </w:tc>
        <w:tc>
          <w:tcPr>
            <w:tcW w:w="992" w:type="dxa"/>
            <w:gridSpan w:val="2"/>
            <w:tcBorders>
              <w:left w:val="none" w:sz="0" w:space="0" w:color="auto"/>
              <w:right w:val="none" w:sz="0" w:space="0" w:color="auto"/>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p>
        </w:tc>
        <w:tc>
          <w:tcPr>
            <w:tcW w:w="1276" w:type="dxa"/>
            <w:gridSpan w:val="2"/>
            <w:tcBorders>
              <w:left w:val="none" w:sz="0" w:space="0" w:color="auto"/>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r>
      <w:tr>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dxa"/>
            <w:vMerge/>
            <w:tcBorders>
              <w:right w:val="none" w:sz="0" w:space="0" w:color="auto"/>
            </w:tcBorders>
            <w:shd w:val="clear" w:color="auto" w:fill="D3DFEE" w:themeFill="accent1" w:themeFillTint="3F"/>
          </w:tcPr>
          <w:p>
            <w:pPr>
              <w:autoSpaceDE w:val="0"/>
              <w:autoSpaceDN w:val="0"/>
              <w:adjustRightInd w:val="0"/>
              <w:spacing w:after="0" w:line="240" w:lineRule="auto"/>
              <w:rPr>
                <w:rFonts w:ascii="Times New Roman" w:hAnsi="Times New Roman"/>
                <w:b w:val="0"/>
                <w:bCs w:val="0"/>
                <w:noProof/>
                <w:sz w:val="20"/>
                <w:szCs w:val="20"/>
              </w:rPr>
            </w:pPr>
          </w:p>
        </w:tc>
        <w:tc>
          <w:tcPr>
            <w:tcW w:w="1148" w:type="dxa"/>
            <w:gridSpan w:val="2"/>
            <w:tcBorders>
              <w:left w:val="none" w:sz="0" w:space="0" w:color="auto"/>
              <w:right w:val="none" w:sz="0" w:space="0" w:color="auto"/>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noProof/>
                <w:sz w:val="20"/>
                <w:szCs w:val="20"/>
              </w:rPr>
            </w:pPr>
            <w:r>
              <w:rPr>
                <w:rFonts w:ascii="Times New Roman" w:hAnsi="Times New Roman"/>
                <w:bCs/>
                <w:noProof/>
                <w:sz w:val="20"/>
                <w:szCs w:val="20"/>
                <w:u w:val="single"/>
              </w:rPr>
              <w:t>Portugal</w:t>
            </w:r>
          </w:p>
        </w:tc>
        <w:tc>
          <w:tcPr>
            <w:tcW w:w="648" w:type="dxa"/>
            <w:gridSpan w:val="2"/>
            <w:tcBorders>
              <w:left w:val="none" w:sz="0" w:space="0" w:color="auto"/>
              <w:right w:val="none" w:sz="0" w:space="0" w:color="auto"/>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c>
          <w:tcPr>
            <w:tcW w:w="1134" w:type="dxa"/>
            <w:gridSpan w:val="2"/>
            <w:tcBorders>
              <w:left w:val="none" w:sz="0" w:space="0" w:color="auto"/>
              <w:right w:val="none" w:sz="0" w:space="0" w:color="auto"/>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c>
          <w:tcPr>
            <w:tcW w:w="1417" w:type="dxa"/>
            <w:gridSpan w:val="2"/>
            <w:tcBorders>
              <w:left w:val="none" w:sz="0" w:space="0" w:color="auto"/>
              <w:right w:val="none" w:sz="0" w:space="0" w:color="auto"/>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c>
          <w:tcPr>
            <w:tcW w:w="1418" w:type="dxa"/>
            <w:gridSpan w:val="2"/>
            <w:tcBorders>
              <w:left w:val="none" w:sz="0" w:space="0" w:color="auto"/>
              <w:right w:val="none" w:sz="0" w:space="0" w:color="auto"/>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c>
          <w:tcPr>
            <w:tcW w:w="992" w:type="dxa"/>
            <w:gridSpan w:val="2"/>
            <w:tcBorders>
              <w:left w:val="none" w:sz="0" w:space="0" w:color="auto"/>
              <w:right w:val="none" w:sz="0" w:space="0" w:color="auto"/>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c>
          <w:tcPr>
            <w:tcW w:w="1276" w:type="dxa"/>
            <w:gridSpan w:val="2"/>
            <w:tcBorders>
              <w:left w:val="none" w:sz="0" w:space="0" w:color="auto"/>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dxa"/>
            <w:vMerge/>
            <w:tcBorders>
              <w:right w:val="none" w:sz="0" w:space="0" w:color="auto"/>
            </w:tcBorders>
          </w:tcPr>
          <w:p>
            <w:pPr>
              <w:autoSpaceDE w:val="0"/>
              <w:autoSpaceDN w:val="0"/>
              <w:adjustRightInd w:val="0"/>
              <w:spacing w:after="0" w:line="240" w:lineRule="auto"/>
              <w:rPr>
                <w:rFonts w:ascii="Times New Roman" w:hAnsi="Times New Roman"/>
                <w:b w:val="0"/>
                <w:bCs w:val="0"/>
                <w:noProof/>
                <w:sz w:val="20"/>
                <w:szCs w:val="20"/>
              </w:rPr>
            </w:pPr>
          </w:p>
        </w:tc>
        <w:tc>
          <w:tcPr>
            <w:tcW w:w="1148" w:type="dxa"/>
            <w:gridSpan w:val="2"/>
            <w:tcBorders>
              <w:left w:val="none" w:sz="0" w:space="0" w:color="auto"/>
              <w:right w:val="none" w:sz="0" w:space="0" w:color="auto"/>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sz w:val="20"/>
                <w:szCs w:val="20"/>
              </w:rPr>
            </w:pPr>
            <w:r>
              <w:rPr>
                <w:rFonts w:ascii="Times New Roman" w:hAnsi="Times New Roman"/>
                <w:bCs/>
                <w:noProof/>
                <w:sz w:val="20"/>
                <w:szCs w:val="20"/>
              </w:rPr>
              <w:t>Slovenia</w:t>
            </w:r>
          </w:p>
        </w:tc>
        <w:tc>
          <w:tcPr>
            <w:tcW w:w="648" w:type="dxa"/>
            <w:gridSpan w:val="2"/>
            <w:tcBorders>
              <w:left w:val="none" w:sz="0" w:space="0" w:color="auto"/>
              <w:right w:val="none" w:sz="0" w:space="0" w:color="auto"/>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noProof/>
                <w:sz w:val="20"/>
                <w:szCs w:val="20"/>
              </w:rPr>
            </w:pPr>
          </w:p>
        </w:tc>
        <w:tc>
          <w:tcPr>
            <w:tcW w:w="1134" w:type="dxa"/>
            <w:gridSpan w:val="2"/>
            <w:tcBorders>
              <w:left w:val="none" w:sz="0" w:space="0" w:color="auto"/>
              <w:right w:val="none" w:sz="0" w:space="0" w:color="auto"/>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noProof/>
                <w:sz w:val="20"/>
                <w:szCs w:val="20"/>
              </w:rPr>
            </w:pPr>
          </w:p>
        </w:tc>
        <w:tc>
          <w:tcPr>
            <w:tcW w:w="1417" w:type="dxa"/>
            <w:gridSpan w:val="2"/>
            <w:tcBorders>
              <w:left w:val="none" w:sz="0" w:space="0" w:color="auto"/>
              <w:right w:val="none" w:sz="0" w:space="0" w:color="auto"/>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noProof/>
                <w:sz w:val="20"/>
                <w:szCs w:val="20"/>
              </w:rPr>
            </w:pPr>
          </w:p>
        </w:tc>
        <w:tc>
          <w:tcPr>
            <w:tcW w:w="1418" w:type="dxa"/>
            <w:gridSpan w:val="2"/>
            <w:tcBorders>
              <w:left w:val="none" w:sz="0" w:space="0" w:color="auto"/>
              <w:right w:val="none" w:sz="0" w:space="0" w:color="auto"/>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c>
          <w:tcPr>
            <w:tcW w:w="992" w:type="dxa"/>
            <w:gridSpan w:val="2"/>
            <w:tcBorders>
              <w:left w:val="none" w:sz="0" w:space="0" w:color="auto"/>
              <w:right w:val="none" w:sz="0" w:space="0" w:color="auto"/>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p>
        </w:tc>
        <w:tc>
          <w:tcPr>
            <w:tcW w:w="1276" w:type="dxa"/>
            <w:gridSpan w:val="2"/>
            <w:tcBorders>
              <w:left w:val="none" w:sz="0" w:space="0" w:color="auto"/>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r>
      <w:tr>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dxa"/>
            <w:vMerge/>
            <w:tcBorders>
              <w:right w:val="none" w:sz="0" w:space="0" w:color="auto"/>
            </w:tcBorders>
            <w:shd w:val="clear" w:color="auto" w:fill="D3DFEE" w:themeFill="accent1" w:themeFillTint="3F"/>
          </w:tcPr>
          <w:p>
            <w:pPr>
              <w:autoSpaceDE w:val="0"/>
              <w:autoSpaceDN w:val="0"/>
              <w:adjustRightInd w:val="0"/>
              <w:spacing w:after="0" w:line="240" w:lineRule="auto"/>
              <w:rPr>
                <w:rFonts w:ascii="Times New Roman" w:hAnsi="Times New Roman"/>
                <w:b w:val="0"/>
                <w:bCs w:val="0"/>
                <w:noProof/>
                <w:sz w:val="20"/>
                <w:szCs w:val="20"/>
              </w:rPr>
            </w:pPr>
          </w:p>
        </w:tc>
        <w:tc>
          <w:tcPr>
            <w:tcW w:w="1148" w:type="dxa"/>
            <w:gridSpan w:val="2"/>
            <w:tcBorders>
              <w:left w:val="none" w:sz="0" w:space="0" w:color="auto"/>
              <w:right w:val="none" w:sz="0" w:space="0" w:color="auto"/>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noProof/>
                <w:sz w:val="20"/>
                <w:szCs w:val="20"/>
              </w:rPr>
            </w:pPr>
            <w:r>
              <w:rPr>
                <w:rFonts w:ascii="Times New Roman" w:hAnsi="Times New Roman"/>
                <w:bCs/>
                <w:noProof/>
                <w:sz w:val="20"/>
                <w:szCs w:val="20"/>
                <w:u w:val="single"/>
              </w:rPr>
              <w:t>Spain</w:t>
            </w:r>
          </w:p>
        </w:tc>
        <w:tc>
          <w:tcPr>
            <w:tcW w:w="648" w:type="dxa"/>
            <w:gridSpan w:val="2"/>
            <w:tcBorders>
              <w:left w:val="none" w:sz="0" w:space="0" w:color="auto"/>
              <w:right w:val="none" w:sz="0" w:space="0" w:color="auto"/>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c>
          <w:tcPr>
            <w:tcW w:w="1134" w:type="dxa"/>
            <w:gridSpan w:val="2"/>
            <w:tcBorders>
              <w:left w:val="none" w:sz="0" w:space="0" w:color="auto"/>
              <w:right w:val="none" w:sz="0" w:space="0" w:color="auto"/>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c>
          <w:tcPr>
            <w:tcW w:w="1417" w:type="dxa"/>
            <w:gridSpan w:val="2"/>
            <w:tcBorders>
              <w:left w:val="none" w:sz="0" w:space="0" w:color="auto"/>
              <w:right w:val="none" w:sz="0" w:space="0" w:color="auto"/>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c>
          <w:tcPr>
            <w:tcW w:w="1418" w:type="dxa"/>
            <w:gridSpan w:val="2"/>
            <w:tcBorders>
              <w:left w:val="none" w:sz="0" w:space="0" w:color="auto"/>
              <w:right w:val="none" w:sz="0" w:space="0" w:color="auto"/>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c>
          <w:tcPr>
            <w:tcW w:w="992" w:type="dxa"/>
            <w:gridSpan w:val="2"/>
            <w:tcBorders>
              <w:left w:val="none" w:sz="0" w:space="0" w:color="auto"/>
              <w:right w:val="none" w:sz="0" w:space="0" w:color="auto"/>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c>
          <w:tcPr>
            <w:tcW w:w="1276" w:type="dxa"/>
            <w:gridSpan w:val="2"/>
            <w:tcBorders>
              <w:left w:val="none" w:sz="0" w:space="0" w:color="auto"/>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dxa"/>
            <w:vMerge w:val="restart"/>
            <w:tcBorders>
              <w:right w:val="single" w:sz="8" w:space="0" w:color="7BA0CD" w:themeColor="accent1" w:themeTint="BF"/>
            </w:tcBorders>
            <w:vAlign w:val="center"/>
          </w:tcPr>
          <w:p>
            <w:pPr>
              <w:autoSpaceDE w:val="0"/>
              <w:autoSpaceDN w:val="0"/>
              <w:adjustRightInd w:val="0"/>
              <w:spacing w:after="0" w:line="240" w:lineRule="auto"/>
              <w:rPr>
                <w:rFonts w:ascii="Times New Roman" w:hAnsi="Times New Roman"/>
                <w:bCs w:val="0"/>
                <w:noProof/>
                <w:sz w:val="20"/>
                <w:szCs w:val="20"/>
              </w:rPr>
            </w:pPr>
            <w:r>
              <w:rPr>
                <w:rFonts w:ascii="Times New Roman" w:hAnsi="Times New Roman"/>
                <w:bCs w:val="0"/>
                <w:noProof/>
                <w:sz w:val="20"/>
                <w:szCs w:val="20"/>
              </w:rPr>
              <w:t>Third Country</w:t>
            </w:r>
          </w:p>
        </w:tc>
        <w:tc>
          <w:tcPr>
            <w:tcW w:w="1148"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sz w:val="20"/>
                <w:szCs w:val="20"/>
              </w:rPr>
            </w:pPr>
            <w:r>
              <w:rPr>
                <w:rFonts w:ascii="Times New Roman" w:hAnsi="Times New Roman"/>
                <w:bCs/>
                <w:noProof/>
                <w:sz w:val="20"/>
                <w:szCs w:val="20"/>
                <w:u w:val="single"/>
              </w:rPr>
              <w:t>Algeria</w:t>
            </w:r>
          </w:p>
        </w:tc>
        <w:tc>
          <w:tcPr>
            <w:tcW w:w="648"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rPr>
              <w:t>X</w:t>
            </w:r>
          </w:p>
        </w:tc>
        <w:tc>
          <w:tcPr>
            <w:tcW w:w="1134"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rPr>
              <w:t>X</w:t>
            </w:r>
          </w:p>
        </w:tc>
        <w:tc>
          <w:tcPr>
            <w:tcW w:w="1417"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rPr>
              <w:t>X</w:t>
            </w:r>
          </w:p>
        </w:tc>
        <w:tc>
          <w:tcPr>
            <w:tcW w:w="1418"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rPr>
              <w:t>X</w:t>
            </w:r>
          </w:p>
        </w:tc>
        <w:tc>
          <w:tcPr>
            <w:tcW w:w="992"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rPr>
              <w:t>X</w:t>
            </w:r>
          </w:p>
        </w:tc>
        <w:tc>
          <w:tcPr>
            <w:tcW w:w="1276" w:type="dxa"/>
            <w:gridSpan w:val="2"/>
            <w:tcBorders>
              <w:left w:val="single" w:sz="8" w:space="0" w:color="7BA0CD" w:themeColor="accent1" w:themeTint="BF"/>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rPr>
              <w:t>X</w:t>
            </w:r>
          </w:p>
        </w:tc>
      </w:tr>
      <w:tr>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dxa"/>
            <w:vMerge/>
            <w:tcBorders>
              <w:right w:val="single" w:sz="8" w:space="0" w:color="7BA0CD" w:themeColor="accent1" w:themeTint="BF"/>
            </w:tcBorders>
            <w:vAlign w:val="center"/>
          </w:tcPr>
          <w:p>
            <w:pPr>
              <w:autoSpaceDE w:val="0"/>
              <w:autoSpaceDN w:val="0"/>
              <w:adjustRightInd w:val="0"/>
              <w:spacing w:after="0" w:line="240" w:lineRule="auto"/>
              <w:rPr>
                <w:rFonts w:ascii="Times New Roman" w:hAnsi="Times New Roman"/>
                <w:bCs w:val="0"/>
                <w:noProof/>
                <w:sz w:val="20"/>
                <w:szCs w:val="20"/>
              </w:rPr>
            </w:pPr>
          </w:p>
        </w:tc>
        <w:tc>
          <w:tcPr>
            <w:tcW w:w="1148"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noProof/>
                <w:sz w:val="20"/>
                <w:szCs w:val="20"/>
              </w:rPr>
            </w:pPr>
            <w:r>
              <w:rPr>
                <w:rFonts w:ascii="Times New Roman" w:hAnsi="Times New Roman"/>
                <w:bCs/>
                <w:noProof/>
                <w:sz w:val="20"/>
                <w:szCs w:val="20"/>
              </w:rPr>
              <w:t>Egypt</w:t>
            </w:r>
          </w:p>
        </w:tc>
        <w:tc>
          <w:tcPr>
            <w:tcW w:w="648"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c>
          <w:tcPr>
            <w:tcW w:w="1134"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c>
          <w:tcPr>
            <w:tcW w:w="1417"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c>
          <w:tcPr>
            <w:tcW w:w="1418"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rPr>
            </w:pPr>
          </w:p>
        </w:tc>
        <w:tc>
          <w:tcPr>
            <w:tcW w:w="992"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c>
          <w:tcPr>
            <w:tcW w:w="1276" w:type="dxa"/>
            <w:gridSpan w:val="2"/>
            <w:tcBorders>
              <w:left w:val="single" w:sz="8" w:space="0" w:color="7BA0CD" w:themeColor="accent1" w:themeTint="BF"/>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X</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dxa"/>
            <w:vMerge/>
            <w:tcBorders>
              <w:right w:val="single" w:sz="8" w:space="0" w:color="7BA0CD" w:themeColor="accent1" w:themeTint="BF"/>
            </w:tcBorders>
          </w:tcPr>
          <w:p>
            <w:pPr>
              <w:autoSpaceDE w:val="0"/>
              <w:autoSpaceDN w:val="0"/>
              <w:adjustRightInd w:val="0"/>
              <w:spacing w:after="0" w:line="240" w:lineRule="auto"/>
              <w:rPr>
                <w:rFonts w:ascii="Times New Roman" w:hAnsi="Times New Roman"/>
                <w:b w:val="0"/>
                <w:bCs w:val="0"/>
                <w:noProof/>
                <w:sz w:val="20"/>
                <w:szCs w:val="20"/>
              </w:rPr>
            </w:pPr>
          </w:p>
        </w:tc>
        <w:tc>
          <w:tcPr>
            <w:tcW w:w="1148"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sz w:val="20"/>
                <w:szCs w:val="20"/>
              </w:rPr>
            </w:pPr>
            <w:r>
              <w:rPr>
                <w:rFonts w:ascii="Times New Roman" w:hAnsi="Times New Roman"/>
                <w:bCs/>
                <w:noProof/>
                <w:sz w:val="20"/>
                <w:szCs w:val="20"/>
              </w:rPr>
              <w:t>Israel</w:t>
            </w:r>
          </w:p>
        </w:tc>
        <w:tc>
          <w:tcPr>
            <w:tcW w:w="648"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rPr>
              <w:t>X</w:t>
            </w:r>
          </w:p>
        </w:tc>
        <w:tc>
          <w:tcPr>
            <w:tcW w:w="1134"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rPr>
              <w:t>X</w:t>
            </w:r>
          </w:p>
        </w:tc>
        <w:tc>
          <w:tcPr>
            <w:tcW w:w="1417"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p>
        </w:tc>
        <w:tc>
          <w:tcPr>
            <w:tcW w:w="1418"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p>
        </w:tc>
        <w:tc>
          <w:tcPr>
            <w:tcW w:w="992"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rPr>
              <w:t>X</w:t>
            </w:r>
          </w:p>
        </w:tc>
        <w:tc>
          <w:tcPr>
            <w:tcW w:w="1276" w:type="dxa"/>
            <w:gridSpan w:val="2"/>
            <w:tcBorders>
              <w:left w:val="single" w:sz="8" w:space="0" w:color="7BA0CD" w:themeColor="accent1" w:themeTint="BF"/>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rPr>
              <w:t>X</w:t>
            </w:r>
          </w:p>
        </w:tc>
      </w:tr>
      <w:tr>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dxa"/>
            <w:vMerge/>
            <w:tcBorders>
              <w:right w:val="single" w:sz="8" w:space="0" w:color="7BA0CD" w:themeColor="accent1" w:themeTint="BF"/>
            </w:tcBorders>
          </w:tcPr>
          <w:p>
            <w:pPr>
              <w:autoSpaceDE w:val="0"/>
              <w:autoSpaceDN w:val="0"/>
              <w:adjustRightInd w:val="0"/>
              <w:spacing w:after="0" w:line="240" w:lineRule="auto"/>
              <w:rPr>
                <w:rFonts w:ascii="Times New Roman" w:hAnsi="Times New Roman"/>
                <w:b w:val="0"/>
                <w:bCs w:val="0"/>
                <w:noProof/>
                <w:sz w:val="20"/>
                <w:szCs w:val="20"/>
              </w:rPr>
            </w:pPr>
          </w:p>
        </w:tc>
        <w:tc>
          <w:tcPr>
            <w:tcW w:w="1148"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rPr>
              <w:t>Jordan</w:t>
            </w:r>
          </w:p>
        </w:tc>
        <w:tc>
          <w:tcPr>
            <w:tcW w:w="648"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szCs w:val="20"/>
              </w:rPr>
              <w:t>X</w:t>
            </w:r>
          </w:p>
        </w:tc>
        <w:tc>
          <w:tcPr>
            <w:tcW w:w="1134"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szCs w:val="20"/>
              </w:rPr>
              <w:t>X</w:t>
            </w:r>
          </w:p>
        </w:tc>
        <w:tc>
          <w:tcPr>
            <w:tcW w:w="1417"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szCs w:val="20"/>
              </w:rPr>
              <w:t>X</w:t>
            </w:r>
          </w:p>
        </w:tc>
        <w:tc>
          <w:tcPr>
            <w:tcW w:w="1418"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p>
        </w:tc>
        <w:tc>
          <w:tcPr>
            <w:tcW w:w="992"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p>
        </w:tc>
        <w:tc>
          <w:tcPr>
            <w:tcW w:w="1276" w:type="dxa"/>
            <w:gridSpan w:val="2"/>
            <w:tcBorders>
              <w:left w:val="single" w:sz="8" w:space="0" w:color="7BA0CD" w:themeColor="accent1" w:themeTint="BF"/>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dxa"/>
            <w:vMerge/>
            <w:tcBorders>
              <w:right w:val="single" w:sz="8" w:space="0" w:color="7BA0CD" w:themeColor="accent1" w:themeTint="BF"/>
            </w:tcBorders>
          </w:tcPr>
          <w:p>
            <w:pPr>
              <w:autoSpaceDE w:val="0"/>
              <w:autoSpaceDN w:val="0"/>
              <w:adjustRightInd w:val="0"/>
              <w:spacing w:after="0" w:line="240" w:lineRule="auto"/>
              <w:rPr>
                <w:rFonts w:ascii="Times New Roman" w:hAnsi="Times New Roman"/>
                <w:b w:val="0"/>
                <w:bCs w:val="0"/>
                <w:noProof/>
                <w:sz w:val="20"/>
                <w:szCs w:val="20"/>
              </w:rPr>
            </w:pPr>
          </w:p>
        </w:tc>
        <w:tc>
          <w:tcPr>
            <w:tcW w:w="1148"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sz w:val="20"/>
                <w:szCs w:val="20"/>
              </w:rPr>
            </w:pPr>
            <w:r>
              <w:rPr>
                <w:rFonts w:ascii="Times New Roman" w:hAnsi="Times New Roman"/>
                <w:noProof/>
                <w:sz w:val="20"/>
              </w:rPr>
              <w:t xml:space="preserve">Lebanon </w:t>
            </w:r>
          </w:p>
        </w:tc>
        <w:tc>
          <w:tcPr>
            <w:tcW w:w="648"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rFonts w:ascii="Times New Roman" w:hAnsi="Times New Roman"/>
                <w:noProof/>
                <w:sz w:val="20"/>
              </w:rPr>
              <w:t>X</w:t>
            </w:r>
          </w:p>
        </w:tc>
        <w:tc>
          <w:tcPr>
            <w:tcW w:w="1134"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rFonts w:ascii="Times New Roman" w:hAnsi="Times New Roman"/>
                <w:noProof/>
                <w:sz w:val="20"/>
              </w:rPr>
              <w:t>X</w:t>
            </w:r>
          </w:p>
        </w:tc>
        <w:tc>
          <w:tcPr>
            <w:tcW w:w="1417"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rFonts w:ascii="Times New Roman" w:hAnsi="Times New Roman"/>
                <w:noProof/>
                <w:sz w:val="20"/>
              </w:rPr>
              <w:t>X</w:t>
            </w:r>
          </w:p>
        </w:tc>
        <w:tc>
          <w:tcPr>
            <w:tcW w:w="1418"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p>
        </w:tc>
        <w:tc>
          <w:tcPr>
            <w:tcW w:w="992"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p>
        </w:tc>
        <w:tc>
          <w:tcPr>
            <w:tcW w:w="1276" w:type="dxa"/>
            <w:gridSpan w:val="2"/>
            <w:tcBorders>
              <w:left w:val="single" w:sz="8" w:space="0" w:color="7BA0CD" w:themeColor="accent1" w:themeTint="BF"/>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p>
        </w:tc>
      </w:tr>
      <w:tr>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dxa"/>
            <w:vMerge/>
            <w:tcBorders>
              <w:right w:val="single" w:sz="8" w:space="0" w:color="7BA0CD" w:themeColor="accent1" w:themeTint="BF"/>
            </w:tcBorders>
            <w:shd w:val="clear" w:color="auto" w:fill="D3DFEE" w:themeFill="accent1" w:themeFillTint="3F"/>
          </w:tcPr>
          <w:p>
            <w:pPr>
              <w:autoSpaceDE w:val="0"/>
              <w:autoSpaceDN w:val="0"/>
              <w:adjustRightInd w:val="0"/>
              <w:spacing w:after="0" w:line="240" w:lineRule="auto"/>
              <w:rPr>
                <w:rFonts w:ascii="Times New Roman" w:hAnsi="Times New Roman"/>
                <w:b w:val="0"/>
                <w:bCs w:val="0"/>
                <w:noProof/>
                <w:sz w:val="20"/>
                <w:szCs w:val="20"/>
              </w:rPr>
            </w:pPr>
          </w:p>
        </w:tc>
        <w:tc>
          <w:tcPr>
            <w:tcW w:w="1148"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noProof/>
                <w:sz w:val="20"/>
                <w:szCs w:val="20"/>
              </w:rPr>
            </w:pPr>
            <w:r>
              <w:rPr>
                <w:rFonts w:ascii="Times New Roman" w:hAnsi="Times New Roman"/>
                <w:noProof/>
                <w:sz w:val="20"/>
                <w:u w:val="single"/>
              </w:rPr>
              <w:t>Morocco</w:t>
            </w:r>
          </w:p>
        </w:tc>
        <w:tc>
          <w:tcPr>
            <w:tcW w:w="648"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rPr>
              <w:t>X</w:t>
            </w:r>
          </w:p>
        </w:tc>
        <w:tc>
          <w:tcPr>
            <w:tcW w:w="1134"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rPr>
              <w:t>X</w:t>
            </w:r>
          </w:p>
        </w:tc>
        <w:tc>
          <w:tcPr>
            <w:tcW w:w="1417"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rPr>
              <w:t>X</w:t>
            </w:r>
          </w:p>
        </w:tc>
        <w:tc>
          <w:tcPr>
            <w:tcW w:w="1418"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rPr>
              <w:t>X</w:t>
            </w:r>
          </w:p>
        </w:tc>
        <w:tc>
          <w:tcPr>
            <w:tcW w:w="992"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rPr>
              <w:t>X</w:t>
            </w:r>
          </w:p>
        </w:tc>
        <w:tc>
          <w:tcPr>
            <w:tcW w:w="1276" w:type="dxa"/>
            <w:gridSpan w:val="2"/>
            <w:tcBorders>
              <w:left w:val="single" w:sz="8" w:space="0" w:color="7BA0CD" w:themeColor="accent1" w:themeTint="BF"/>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rPr>
              <w:t>X</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dxa"/>
            <w:vMerge/>
            <w:tcBorders>
              <w:right w:val="single" w:sz="8" w:space="0" w:color="7BA0CD" w:themeColor="accent1" w:themeTint="BF"/>
            </w:tcBorders>
          </w:tcPr>
          <w:p>
            <w:pPr>
              <w:autoSpaceDE w:val="0"/>
              <w:autoSpaceDN w:val="0"/>
              <w:adjustRightInd w:val="0"/>
              <w:spacing w:after="0" w:line="240" w:lineRule="auto"/>
              <w:rPr>
                <w:rFonts w:ascii="Times New Roman" w:hAnsi="Times New Roman"/>
                <w:b w:val="0"/>
                <w:bCs w:val="0"/>
                <w:noProof/>
                <w:sz w:val="20"/>
                <w:szCs w:val="20"/>
              </w:rPr>
            </w:pPr>
          </w:p>
        </w:tc>
        <w:tc>
          <w:tcPr>
            <w:tcW w:w="1148"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rFonts w:ascii="Times New Roman" w:hAnsi="Times New Roman"/>
                <w:noProof/>
                <w:sz w:val="20"/>
                <w:u w:val="single"/>
              </w:rPr>
              <w:t>Tunisia</w:t>
            </w:r>
          </w:p>
        </w:tc>
        <w:tc>
          <w:tcPr>
            <w:tcW w:w="648"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rFonts w:ascii="Times New Roman" w:hAnsi="Times New Roman"/>
                <w:noProof/>
                <w:sz w:val="20"/>
              </w:rPr>
              <w:t>X</w:t>
            </w:r>
          </w:p>
        </w:tc>
        <w:tc>
          <w:tcPr>
            <w:tcW w:w="1134"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rFonts w:ascii="Times New Roman" w:hAnsi="Times New Roman"/>
                <w:noProof/>
                <w:sz w:val="20"/>
              </w:rPr>
              <w:t>X</w:t>
            </w:r>
          </w:p>
        </w:tc>
        <w:tc>
          <w:tcPr>
            <w:tcW w:w="1417"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rFonts w:ascii="Times New Roman" w:hAnsi="Times New Roman"/>
                <w:noProof/>
                <w:sz w:val="20"/>
              </w:rPr>
              <w:t>X</w:t>
            </w:r>
          </w:p>
        </w:tc>
        <w:tc>
          <w:tcPr>
            <w:tcW w:w="1418"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rFonts w:ascii="Times New Roman" w:hAnsi="Times New Roman"/>
                <w:noProof/>
                <w:sz w:val="20"/>
              </w:rPr>
              <w:t>X</w:t>
            </w:r>
          </w:p>
        </w:tc>
        <w:tc>
          <w:tcPr>
            <w:tcW w:w="992"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rFonts w:ascii="Times New Roman" w:hAnsi="Times New Roman"/>
                <w:noProof/>
                <w:sz w:val="20"/>
              </w:rPr>
              <w:t>X</w:t>
            </w:r>
          </w:p>
        </w:tc>
        <w:tc>
          <w:tcPr>
            <w:tcW w:w="1276" w:type="dxa"/>
            <w:gridSpan w:val="2"/>
            <w:tcBorders>
              <w:left w:val="single" w:sz="8" w:space="0" w:color="7BA0CD" w:themeColor="accent1" w:themeTint="BF"/>
            </w:tcBorders>
          </w:tcPr>
          <w:p>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rFonts w:ascii="Times New Roman" w:hAnsi="Times New Roman"/>
                <w:noProof/>
                <w:sz w:val="20"/>
              </w:rPr>
              <w:t>X</w:t>
            </w:r>
          </w:p>
        </w:tc>
      </w:tr>
      <w:tr>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dxa"/>
            <w:vMerge/>
            <w:tcBorders>
              <w:right w:val="single" w:sz="8" w:space="0" w:color="7BA0CD" w:themeColor="accent1" w:themeTint="BF"/>
            </w:tcBorders>
            <w:shd w:val="clear" w:color="auto" w:fill="D3DFEE" w:themeFill="accent1" w:themeFillTint="3F"/>
          </w:tcPr>
          <w:p>
            <w:pPr>
              <w:autoSpaceDE w:val="0"/>
              <w:autoSpaceDN w:val="0"/>
              <w:adjustRightInd w:val="0"/>
              <w:spacing w:after="0" w:line="240" w:lineRule="auto"/>
              <w:rPr>
                <w:rFonts w:ascii="Times New Roman" w:hAnsi="Times New Roman"/>
                <w:b w:val="0"/>
                <w:bCs w:val="0"/>
                <w:noProof/>
                <w:sz w:val="20"/>
                <w:szCs w:val="20"/>
              </w:rPr>
            </w:pPr>
          </w:p>
        </w:tc>
        <w:tc>
          <w:tcPr>
            <w:tcW w:w="1148"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bCs/>
                <w:noProof/>
                <w:sz w:val="20"/>
                <w:szCs w:val="20"/>
                <w:u w:val="single"/>
              </w:rPr>
              <w:t>Turkey</w:t>
            </w:r>
          </w:p>
        </w:tc>
        <w:tc>
          <w:tcPr>
            <w:tcW w:w="648"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szCs w:val="20"/>
              </w:rPr>
              <w:t>X</w:t>
            </w:r>
          </w:p>
        </w:tc>
        <w:tc>
          <w:tcPr>
            <w:tcW w:w="1134"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szCs w:val="20"/>
              </w:rPr>
              <w:t>X</w:t>
            </w:r>
          </w:p>
        </w:tc>
        <w:tc>
          <w:tcPr>
            <w:tcW w:w="1417"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szCs w:val="20"/>
              </w:rPr>
              <w:t>X</w:t>
            </w:r>
          </w:p>
        </w:tc>
        <w:tc>
          <w:tcPr>
            <w:tcW w:w="1418"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szCs w:val="20"/>
              </w:rPr>
              <w:t>X</w:t>
            </w:r>
          </w:p>
        </w:tc>
        <w:tc>
          <w:tcPr>
            <w:tcW w:w="992" w:type="dxa"/>
            <w:gridSpan w:val="2"/>
            <w:tcBorders>
              <w:left w:val="single" w:sz="8" w:space="0" w:color="7BA0CD" w:themeColor="accent1" w:themeTint="BF"/>
              <w:right w:val="single" w:sz="8" w:space="0" w:color="7BA0CD" w:themeColor="accent1" w:themeTint="BF"/>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szCs w:val="20"/>
              </w:rPr>
              <w:t>X</w:t>
            </w:r>
          </w:p>
        </w:tc>
        <w:tc>
          <w:tcPr>
            <w:tcW w:w="1276" w:type="dxa"/>
            <w:gridSpan w:val="2"/>
            <w:tcBorders>
              <w:left w:val="single" w:sz="8" w:space="0" w:color="7BA0CD" w:themeColor="accent1" w:themeTint="BF"/>
            </w:tcBorders>
          </w:tcPr>
          <w:p>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szCs w:val="20"/>
              </w:rPr>
              <w:t>X</w:t>
            </w:r>
          </w:p>
        </w:tc>
      </w:tr>
    </w:tbl>
    <w:p>
      <w:pPr>
        <w:spacing w:after="240" w:line="240" w:lineRule="auto"/>
        <w:rPr>
          <w:rFonts w:ascii="Times New Roman" w:hAnsi="Times New Roman"/>
          <w:b/>
          <w:noProof/>
          <w:sz w:val="20"/>
          <w:szCs w:val="24"/>
        </w:rPr>
      </w:pPr>
      <w:r>
        <w:rPr>
          <w:rFonts w:ascii="Times New Roman" w:hAnsi="Times New Roman"/>
          <w:b/>
          <w:noProof/>
          <w:sz w:val="20"/>
          <w:szCs w:val="24"/>
          <w:shd w:val="clear" w:color="auto" w:fill="FFFFFF" w:themeFill="background1"/>
        </w:rPr>
        <w:t>Table 1.2:</w:t>
      </w:r>
      <w:r>
        <w:rPr>
          <w:rFonts w:ascii="Times New Roman" w:hAnsi="Times New Roman"/>
          <w:b/>
          <w:noProof/>
          <w:sz w:val="20"/>
          <w:szCs w:val="24"/>
        </w:rPr>
        <w:t xml:space="preserve"> Participation of Mediterranean countries in previous FP7 ERA-NETs (countries participating in all ERA-NETs are underlined)</w:t>
      </w:r>
    </w:p>
    <w:tbl>
      <w:tblPr>
        <w:tblW w:w="9150" w:type="dxa"/>
        <w:jc w:val="center"/>
        <w:tblInd w:w="93" w:type="dxa"/>
        <w:tblCellMar>
          <w:left w:w="57" w:type="dxa"/>
          <w:right w:w="57" w:type="dxa"/>
        </w:tblCellMar>
        <w:tblLook w:val="04A0" w:firstRow="1" w:lastRow="0" w:firstColumn="1" w:lastColumn="0" w:noHBand="0" w:noVBand="1"/>
      </w:tblPr>
      <w:tblGrid>
        <w:gridCol w:w="1382"/>
        <w:gridCol w:w="1005"/>
        <w:gridCol w:w="1118"/>
        <w:gridCol w:w="1114"/>
        <w:gridCol w:w="1134"/>
        <w:gridCol w:w="1136"/>
        <w:gridCol w:w="1123"/>
        <w:gridCol w:w="1138"/>
      </w:tblGrid>
      <w:tr>
        <w:trPr>
          <w:trHeight w:val="1403"/>
          <w:jc w:val="center"/>
        </w:trPr>
        <w:tc>
          <w:tcPr>
            <w:tcW w:w="1382" w:type="dxa"/>
            <w:tcBorders>
              <w:top w:val="single" w:sz="4" w:space="0" w:color="0070C0"/>
              <w:left w:val="single" w:sz="4" w:space="0" w:color="0070C0"/>
              <w:bottom w:val="single" w:sz="4" w:space="0" w:color="0070C0"/>
              <w:right w:val="single" w:sz="4" w:space="0" w:color="FFFFFF"/>
            </w:tcBorders>
            <w:shd w:val="clear" w:color="auto" w:fill="4F81BD" w:themeFill="accent1"/>
            <w:vAlign w:val="center"/>
            <w:hideMark/>
          </w:tcPr>
          <w:p>
            <w:pPr>
              <w:spacing w:after="0" w:line="240" w:lineRule="auto"/>
              <w:rPr>
                <w:rFonts w:ascii="Times New Roman" w:eastAsia="Times New Roman" w:hAnsi="Times New Roman"/>
                <w:b/>
                <w:bCs/>
                <w:noProof/>
                <w:color w:val="FFFFFF"/>
                <w:sz w:val="18"/>
                <w:szCs w:val="18"/>
                <w:lang w:eastAsia="en-GB"/>
              </w:rPr>
            </w:pPr>
            <w:r>
              <w:rPr>
                <w:rFonts w:ascii="Times New Roman" w:eastAsia="Times New Roman" w:hAnsi="Times New Roman"/>
                <w:b/>
                <w:bCs/>
                <w:noProof/>
                <w:color w:val="FFFFFF"/>
                <w:sz w:val="18"/>
                <w:szCs w:val="18"/>
                <w:lang w:eastAsia="en-GB"/>
              </w:rPr>
              <w:t>Initiative</w:t>
            </w:r>
          </w:p>
        </w:tc>
        <w:tc>
          <w:tcPr>
            <w:tcW w:w="1005" w:type="dxa"/>
            <w:tcBorders>
              <w:top w:val="single" w:sz="4" w:space="0" w:color="0070C0"/>
              <w:left w:val="nil"/>
              <w:bottom w:val="single" w:sz="4" w:space="0" w:color="0070C0"/>
              <w:right w:val="single" w:sz="4" w:space="0" w:color="FFFFFF"/>
            </w:tcBorders>
            <w:shd w:val="clear" w:color="auto" w:fill="4F81BD" w:themeFill="accent1"/>
            <w:vAlign w:val="center"/>
            <w:hideMark/>
          </w:tcPr>
          <w:p>
            <w:pPr>
              <w:spacing w:after="0" w:line="240" w:lineRule="auto"/>
              <w:jc w:val="center"/>
              <w:rPr>
                <w:rFonts w:ascii="Times New Roman" w:eastAsia="Times New Roman" w:hAnsi="Times New Roman"/>
                <w:b/>
                <w:bCs/>
                <w:noProof/>
                <w:color w:val="FFFFFF"/>
                <w:sz w:val="18"/>
                <w:szCs w:val="18"/>
                <w:lang w:eastAsia="en-GB"/>
              </w:rPr>
            </w:pPr>
            <w:r>
              <w:rPr>
                <w:rFonts w:ascii="Times New Roman" w:eastAsia="Times New Roman" w:hAnsi="Times New Roman"/>
                <w:b/>
                <w:bCs/>
                <w:noProof/>
                <w:color w:val="FFFFFF"/>
                <w:sz w:val="18"/>
                <w:szCs w:val="18"/>
                <w:lang w:eastAsia="en-GB"/>
              </w:rPr>
              <w:t>Has no explicit focus on Food or Water</w:t>
            </w:r>
          </w:p>
        </w:tc>
        <w:tc>
          <w:tcPr>
            <w:tcW w:w="1118" w:type="dxa"/>
            <w:tcBorders>
              <w:top w:val="single" w:sz="4" w:space="0" w:color="0070C0"/>
              <w:left w:val="nil"/>
              <w:bottom w:val="single" w:sz="4" w:space="0" w:color="0070C0"/>
              <w:right w:val="single" w:sz="4" w:space="0" w:color="FFFFFF"/>
            </w:tcBorders>
            <w:shd w:val="clear" w:color="auto" w:fill="4F81BD" w:themeFill="accent1"/>
            <w:vAlign w:val="center"/>
            <w:hideMark/>
          </w:tcPr>
          <w:p>
            <w:pPr>
              <w:spacing w:after="0" w:line="240" w:lineRule="auto"/>
              <w:jc w:val="center"/>
              <w:rPr>
                <w:rFonts w:ascii="Times New Roman" w:eastAsia="Times New Roman" w:hAnsi="Times New Roman"/>
                <w:b/>
                <w:bCs/>
                <w:noProof/>
                <w:color w:val="FFFFFF"/>
                <w:sz w:val="18"/>
                <w:szCs w:val="18"/>
                <w:lang w:eastAsia="en-GB"/>
              </w:rPr>
            </w:pPr>
            <w:r>
              <w:rPr>
                <w:rFonts w:ascii="Times New Roman" w:eastAsia="Times New Roman" w:hAnsi="Times New Roman"/>
                <w:b/>
                <w:bCs/>
                <w:noProof/>
                <w:color w:val="FFFFFF"/>
                <w:sz w:val="18"/>
                <w:szCs w:val="18"/>
                <w:lang w:eastAsia="en-GB"/>
              </w:rPr>
              <w:t>Water issues only</w:t>
            </w:r>
          </w:p>
        </w:tc>
        <w:tc>
          <w:tcPr>
            <w:tcW w:w="1114" w:type="dxa"/>
            <w:tcBorders>
              <w:top w:val="single" w:sz="4" w:space="0" w:color="0070C0"/>
              <w:left w:val="nil"/>
              <w:bottom w:val="single" w:sz="4" w:space="0" w:color="0070C0"/>
              <w:right w:val="single" w:sz="4" w:space="0" w:color="FFFFFF"/>
            </w:tcBorders>
            <w:shd w:val="clear" w:color="auto" w:fill="4F81BD" w:themeFill="accent1"/>
            <w:vAlign w:val="center"/>
            <w:hideMark/>
          </w:tcPr>
          <w:p>
            <w:pPr>
              <w:spacing w:after="0" w:line="240" w:lineRule="auto"/>
              <w:jc w:val="center"/>
              <w:rPr>
                <w:rFonts w:ascii="Times New Roman" w:eastAsia="Times New Roman" w:hAnsi="Times New Roman"/>
                <w:b/>
                <w:bCs/>
                <w:noProof/>
                <w:color w:val="FFFFFF"/>
                <w:sz w:val="18"/>
                <w:szCs w:val="18"/>
                <w:lang w:eastAsia="en-GB"/>
              </w:rPr>
            </w:pPr>
            <w:r>
              <w:rPr>
                <w:rFonts w:ascii="Times New Roman" w:eastAsia="Times New Roman" w:hAnsi="Times New Roman"/>
                <w:b/>
                <w:bCs/>
                <w:noProof/>
                <w:color w:val="FFFFFF"/>
                <w:sz w:val="18"/>
                <w:szCs w:val="18"/>
                <w:lang w:eastAsia="en-GB"/>
              </w:rPr>
              <w:t>Food and food prod. only</w:t>
            </w:r>
          </w:p>
        </w:tc>
        <w:tc>
          <w:tcPr>
            <w:tcW w:w="1134" w:type="dxa"/>
            <w:tcBorders>
              <w:top w:val="single" w:sz="4" w:space="0" w:color="0070C0"/>
              <w:left w:val="nil"/>
              <w:bottom w:val="single" w:sz="4" w:space="0" w:color="0070C0"/>
              <w:right w:val="single" w:sz="4" w:space="0" w:color="FFFFFF"/>
            </w:tcBorders>
            <w:shd w:val="clear" w:color="auto" w:fill="4F81BD" w:themeFill="accent1"/>
            <w:vAlign w:val="center"/>
            <w:hideMark/>
          </w:tcPr>
          <w:p>
            <w:pPr>
              <w:spacing w:after="0" w:line="240" w:lineRule="auto"/>
              <w:jc w:val="center"/>
              <w:rPr>
                <w:rFonts w:ascii="Times New Roman" w:eastAsia="Times New Roman" w:hAnsi="Times New Roman"/>
                <w:b/>
                <w:bCs/>
                <w:noProof/>
                <w:color w:val="FFFFFF"/>
                <w:sz w:val="18"/>
                <w:szCs w:val="18"/>
                <w:lang w:eastAsia="en-GB"/>
              </w:rPr>
            </w:pPr>
            <w:r>
              <w:rPr>
                <w:rFonts w:ascii="Times New Roman" w:eastAsia="Times New Roman" w:hAnsi="Times New Roman"/>
                <w:b/>
                <w:bCs/>
                <w:noProof/>
                <w:color w:val="FFFFFF"/>
                <w:sz w:val="18"/>
                <w:szCs w:val="18"/>
                <w:lang w:eastAsia="en-GB"/>
              </w:rPr>
              <w:t>Mainly water issues, with some attention to food production</w:t>
            </w:r>
          </w:p>
        </w:tc>
        <w:tc>
          <w:tcPr>
            <w:tcW w:w="1136" w:type="dxa"/>
            <w:tcBorders>
              <w:top w:val="single" w:sz="4" w:space="0" w:color="0070C0"/>
              <w:left w:val="nil"/>
              <w:bottom w:val="single" w:sz="4" w:space="0" w:color="0070C0"/>
              <w:right w:val="single" w:sz="4" w:space="0" w:color="FFFFFF"/>
            </w:tcBorders>
            <w:shd w:val="clear" w:color="auto" w:fill="4F81BD" w:themeFill="accent1"/>
            <w:vAlign w:val="center"/>
            <w:hideMark/>
          </w:tcPr>
          <w:p>
            <w:pPr>
              <w:spacing w:after="0" w:line="240" w:lineRule="auto"/>
              <w:jc w:val="center"/>
              <w:rPr>
                <w:rFonts w:ascii="Times New Roman" w:eastAsia="Times New Roman" w:hAnsi="Times New Roman"/>
                <w:b/>
                <w:bCs/>
                <w:noProof/>
                <w:color w:val="FFFFFF"/>
                <w:sz w:val="18"/>
                <w:szCs w:val="18"/>
                <w:lang w:eastAsia="en-GB"/>
              </w:rPr>
            </w:pPr>
            <w:r>
              <w:rPr>
                <w:rFonts w:ascii="Times New Roman" w:eastAsia="Times New Roman" w:hAnsi="Times New Roman"/>
                <w:b/>
                <w:bCs/>
                <w:noProof/>
                <w:color w:val="FFFFFF"/>
                <w:sz w:val="18"/>
                <w:szCs w:val="18"/>
                <w:lang w:eastAsia="en-GB"/>
              </w:rPr>
              <w:t>Mainly food and food production, with some attention to water</w:t>
            </w:r>
          </w:p>
        </w:tc>
        <w:tc>
          <w:tcPr>
            <w:tcW w:w="1123" w:type="dxa"/>
            <w:tcBorders>
              <w:top w:val="single" w:sz="4" w:space="0" w:color="0070C0"/>
              <w:left w:val="nil"/>
              <w:bottom w:val="single" w:sz="4" w:space="0" w:color="0070C0"/>
              <w:right w:val="single" w:sz="4" w:space="0" w:color="FFFFFF"/>
            </w:tcBorders>
            <w:shd w:val="clear" w:color="auto" w:fill="4F81BD" w:themeFill="accent1"/>
            <w:vAlign w:val="center"/>
            <w:hideMark/>
          </w:tcPr>
          <w:p>
            <w:pPr>
              <w:spacing w:after="0" w:line="240" w:lineRule="auto"/>
              <w:jc w:val="center"/>
              <w:rPr>
                <w:rFonts w:ascii="Times New Roman" w:eastAsia="Times New Roman" w:hAnsi="Times New Roman"/>
                <w:b/>
                <w:bCs/>
                <w:noProof/>
                <w:color w:val="FFFFFF"/>
                <w:sz w:val="18"/>
                <w:szCs w:val="18"/>
                <w:lang w:eastAsia="en-GB"/>
              </w:rPr>
            </w:pPr>
            <w:r>
              <w:rPr>
                <w:rFonts w:ascii="Times New Roman" w:eastAsia="Times New Roman" w:hAnsi="Times New Roman"/>
                <w:b/>
                <w:bCs/>
                <w:noProof/>
                <w:color w:val="FFFFFF"/>
                <w:sz w:val="18"/>
                <w:szCs w:val="18"/>
                <w:lang w:eastAsia="en-GB"/>
              </w:rPr>
              <w:t>Food and Water as part of a broader set of topics</w:t>
            </w:r>
          </w:p>
        </w:tc>
        <w:tc>
          <w:tcPr>
            <w:tcW w:w="1138" w:type="dxa"/>
            <w:tcBorders>
              <w:top w:val="single" w:sz="4" w:space="0" w:color="0070C0"/>
              <w:left w:val="nil"/>
              <w:bottom w:val="single" w:sz="4" w:space="0" w:color="0070C0"/>
              <w:right w:val="single" w:sz="4" w:space="0" w:color="0070C0"/>
            </w:tcBorders>
            <w:shd w:val="clear" w:color="auto" w:fill="4F81BD" w:themeFill="accent1"/>
            <w:vAlign w:val="center"/>
            <w:hideMark/>
          </w:tcPr>
          <w:p>
            <w:pPr>
              <w:spacing w:after="0" w:line="240" w:lineRule="auto"/>
              <w:jc w:val="center"/>
              <w:rPr>
                <w:rFonts w:ascii="Times New Roman" w:eastAsia="Times New Roman" w:hAnsi="Times New Roman"/>
                <w:b/>
                <w:bCs/>
                <w:noProof/>
                <w:color w:val="FFFFFF"/>
                <w:sz w:val="18"/>
                <w:szCs w:val="18"/>
                <w:lang w:eastAsia="en-GB"/>
              </w:rPr>
            </w:pPr>
            <w:r>
              <w:rPr>
                <w:rFonts w:ascii="Times New Roman" w:eastAsia="Times New Roman" w:hAnsi="Times New Roman"/>
                <w:b/>
                <w:bCs/>
                <w:noProof/>
                <w:color w:val="FFFFFF"/>
                <w:sz w:val="18"/>
                <w:szCs w:val="18"/>
                <w:lang w:eastAsia="en-GB"/>
              </w:rPr>
              <w:t>Inter-dependency of water and food issues explicitly as key focus of initiative</w:t>
            </w:r>
          </w:p>
        </w:tc>
      </w:tr>
      <w:tr>
        <w:trPr>
          <w:trHeight w:val="272"/>
          <w:jc w:val="center"/>
        </w:trPr>
        <w:tc>
          <w:tcPr>
            <w:tcW w:w="1382" w:type="dxa"/>
            <w:tcBorders>
              <w:top w:val="nil"/>
              <w:left w:val="single" w:sz="4" w:space="0" w:color="0070C0"/>
              <w:bottom w:val="single" w:sz="4" w:space="0" w:color="0070C0"/>
              <w:right w:val="single" w:sz="4" w:space="0" w:color="0070C0"/>
            </w:tcBorders>
            <w:shd w:val="clear" w:color="auto" w:fill="auto"/>
            <w:vAlign w:val="center"/>
            <w:hideMark/>
          </w:tcPr>
          <w:p>
            <w:pPr>
              <w:spacing w:after="0" w:line="240" w:lineRule="auto"/>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JPI Water</w:t>
            </w:r>
          </w:p>
        </w:tc>
        <w:tc>
          <w:tcPr>
            <w:tcW w:w="1005"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18"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14"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34"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X</w:t>
            </w:r>
          </w:p>
        </w:tc>
        <w:tc>
          <w:tcPr>
            <w:tcW w:w="1136"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23"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38"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r>
      <w:tr>
        <w:trPr>
          <w:trHeight w:val="272"/>
          <w:jc w:val="center"/>
        </w:trPr>
        <w:tc>
          <w:tcPr>
            <w:tcW w:w="1382" w:type="dxa"/>
            <w:tcBorders>
              <w:top w:val="nil"/>
              <w:left w:val="single" w:sz="4" w:space="0" w:color="0070C0"/>
              <w:bottom w:val="single" w:sz="4" w:space="0" w:color="0070C0"/>
              <w:right w:val="single" w:sz="4" w:space="0" w:color="0070C0"/>
            </w:tcBorders>
            <w:shd w:val="clear" w:color="auto" w:fill="auto"/>
            <w:vAlign w:val="center"/>
            <w:hideMark/>
          </w:tcPr>
          <w:p>
            <w:pPr>
              <w:spacing w:after="0" w:line="240" w:lineRule="auto"/>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JPI Facce</w:t>
            </w:r>
          </w:p>
        </w:tc>
        <w:tc>
          <w:tcPr>
            <w:tcW w:w="1005"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18"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14"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34"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36"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X</w:t>
            </w:r>
          </w:p>
        </w:tc>
        <w:tc>
          <w:tcPr>
            <w:tcW w:w="1123"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38"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r>
      <w:tr>
        <w:trPr>
          <w:trHeight w:val="342"/>
          <w:jc w:val="center"/>
        </w:trPr>
        <w:tc>
          <w:tcPr>
            <w:tcW w:w="1382" w:type="dxa"/>
            <w:tcBorders>
              <w:top w:val="nil"/>
              <w:left w:val="single" w:sz="4" w:space="0" w:color="0070C0"/>
              <w:bottom w:val="single" w:sz="4" w:space="0" w:color="0070C0"/>
              <w:right w:val="single" w:sz="4" w:space="0" w:color="0070C0"/>
            </w:tcBorders>
            <w:shd w:val="clear" w:color="auto" w:fill="auto"/>
            <w:vAlign w:val="center"/>
            <w:hideMark/>
          </w:tcPr>
          <w:p>
            <w:pPr>
              <w:spacing w:after="0" w:line="240" w:lineRule="auto"/>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xml:space="preserve">JPI Healthy Diet </w:t>
            </w:r>
          </w:p>
        </w:tc>
        <w:tc>
          <w:tcPr>
            <w:tcW w:w="1005"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18"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14"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X</w:t>
            </w:r>
          </w:p>
        </w:tc>
        <w:tc>
          <w:tcPr>
            <w:tcW w:w="1134"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36"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23"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38"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r>
      <w:tr>
        <w:trPr>
          <w:trHeight w:val="272"/>
          <w:jc w:val="center"/>
        </w:trPr>
        <w:tc>
          <w:tcPr>
            <w:tcW w:w="1382" w:type="dxa"/>
            <w:tcBorders>
              <w:top w:val="nil"/>
              <w:left w:val="single" w:sz="4" w:space="0" w:color="0070C0"/>
              <w:bottom w:val="single" w:sz="4" w:space="0" w:color="0070C0"/>
              <w:right w:val="single" w:sz="4" w:space="0" w:color="0070C0"/>
            </w:tcBorders>
            <w:shd w:val="clear" w:color="auto" w:fill="auto"/>
            <w:vAlign w:val="center"/>
            <w:hideMark/>
          </w:tcPr>
          <w:p>
            <w:pPr>
              <w:spacing w:after="0" w:line="240" w:lineRule="auto"/>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JPI Oceans</w:t>
            </w:r>
          </w:p>
        </w:tc>
        <w:tc>
          <w:tcPr>
            <w:tcW w:w="1005"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18"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X</w:t>
            </w:r>
          </w:p>
        </w:tc>
        <w:tc>
          <w:tcPr>
            <w:tcW w:w="1114"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34"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36"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23"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38"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r>
      <w:tr>
        <w:trPr>
          <w:trHeight w:val="272"/>
          <w:jc w:val="center"/>
        </w:trPr>
        <w:tc>
          <w:tcPr>
            <w:tcW w:w="1382" w:type="dxa"/>
            <w:tcBorders>
              <w:top w:val="nil"/>
              <w:left w:val="single" w:sz="4" w:space="0" w:color="0070C0"/>
              <w:bottom w:val="single" w:sz="4" w:space="0" w:color="0070C0"/>
              <w:right w:val="single" w:sz="4" w:space="0" w:color="0070C0"/>
            </w:tcBorders>
            <w:shd w:val="clear" w:color="auto" w:fill="auto"/>
            <w:vAlign w:val="center"/>
            <w:hideMark/>
          </w:tcPr>
          <w:p>
            <w:pPr>
              <w:spacing w:after="0" w:line="240" w:lineRule="auto"/>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MIRA</w:t>
            </w:r>
          </w:p>
        </w:tc>
        <w:tc>
          <w:tcPr>
            <w:tcW w:w="1005"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X</w:t>
            </w:r>
          </w:p>
        </w:tc>
        <w:tc>
          <w:tcPr>
            <w:tcW w:w="1118"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14"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34"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36"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23"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38"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r>
      <w:tr>
        <w:trPr>
          <w:trHeight w:val="272"/>
          <w:jc w:val="center"/>
        </w:trPr>
        <w:tc>
          <w:tcPr>
            <w:tcW w:w="1382" w:type="dxa"/>
            <w:tcBorders>
              <w:top w:val="nil"/>
              <w:left w:val="single" w:sz="4" w:space="0" w:color="0070C0"/>
              <w:bottom w:val="single" w:sz="4" w:space="0" w:color="0070C0"/>
              <w:right w:val="single" w:sz="4" w:space="0" w:color="0070C0"/>
            </w:tcBorders>
            <w:shd w:val="clear" w:color="auto" w:fill="auto"/>
            <w:vAlign w:val="center"/>
            <w:hideMark/>
          </w:tcPr>
          <w:p>
            <w:pPr>
              <w:spacing w:after="0" w:line="240" w:lineRule="auto"/>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MEDspring</w:t>
            </w:r>
          </w:p>
        </w:tc>
        <w:tc>
          <w:tcPr>
            <w:tcW w:w="1005"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18"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14"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34"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36"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23"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X</w:t>
            </w:r>
          </w:p>
        </w:tc>
        <w:tc>
          <w:tcPr>
            <w:tcW w:w="1138"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X</w:t>
            </w:r>
          </w:p>
        </w:tc>
      </w:tr>
      <w:tr>
        <w:trPr>
          <w:trHeight w:val="274"/>
          <w:jc w:val="center"/>
        </w:trPr>
        <w:tc>
          <w:tcPr>
            <w:tcW w:w="1382" w:type="dxa"/>
            <w:tcBorders>
              <w:top w:val="nil"/>
              <w:left w:val="single" w:sz="4" w:space="0" w:color="0070C0"/>
              <w:bottom w:val="single" w:sz="4" w:space="0" w:color="0070C0"/>
              <w:right w:val="single" w:sz="4" w:space="0" w:color="0070C0"/>
            </w:tcBorders>
            <w:shd w:val="clear" w:color="auto" w:fill="auto"/>
            <w:vAlign w:val="center"/>
            <w:hideMark/>
          </w:tcPr>
          <w:p>
            <w:pPr>
              <w:spacing w:after="0" w:line="240" w:lineRule="auto"/>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ERANETMED</w:t>
            </w:r>
          </w:p>
        </w:tc>
        <w:tc>
          <w:tcPr>
            <w:tcW w:w="1005"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18"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14"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34"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36"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23"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X</w:t>
            </w:r>
          </w:p>
        </w:tc>
        <w:tc>
          <w:tcPr>
            <w:tcW w:w="1138"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r>
      <w:tr>
        <w:trPr>
          <w:trHeight w:val="136"/>
          <w:jc w:val="center"/>
        </w:trPr>
        <w:tc>
          <w:tcPr>
            <w:tcW w:w="1382" w:type="dxa"/>
            <w:tcBorders>
              <w:top w:val="nil"/>
              <w:left w:val="single" w:sz="4" w:space="0" w:color="0070C0"/>
              <w:bottom w:val="single" w:sz="4" w:space="0" w:color="0070C0"/>
              <w:right w:val="single" w:sz="4" w:space="0" w:color="0070C0"/>
            </w:tcBorders>
            <w:shd w:val="clear" w:color="auto" w:fill="auto"/>
            <w:vAlign w:val="center"/>
            <w:hideMark/>
          </w:tcPr>
          <w:p>
            <w:pPr>
              <w:spacing w:after="0" w:line="240" w:lineRule="auto"/>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Foresterra</w:t>
            </w:r>
          </w:p>
        </w:tc>
        <w:tc>
          <w:tcPr>
            <w:tcW w:w="1005"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X</w:t>
            </w:r>
          </w:p>
        </w:tc>
        <w:tc>
          <w:tcPr>
            <w:tcW w:w="1118"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14"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34"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36"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23"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38"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r>
      <w:tr>
        <w:trPr>
          <w:trHeight w:val="272"/>
          <w:jc w:val="center"/>
        </w:trPr>
        <w:tc>
          <w:tcPr>
            <w:tcW w:w="1382" w:type="dxa"/>
            <w:tcBorders>
              <w:top w:val="nil"/>
              <w:left w:val="single" w:sz="4" w:space="0" w:color="0070C0"/>
              <w:bottom w:val="single" w:sz="4" w:space="0" w:color="0070C0"/>
              <w:right w:val="single" w:sz="4" w:space="0" w:color="0070C0"/>
            </w:tcBorders>
            <w:shd w:val="clear" w:color="auto" w:fill="auto"/>
            <w:vAlign w:val="center"/>
            <w:hideMark/>
          </w:tcPr>
          <w:p>
            <w:pPr>
              <w:spacing w:after="0" w:line="240" w:lineRule="auto"/>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ARIMNet</w:t>
            </w:r>
          </w:p>
        </w:tc>
        <w:tc>
          <w:tcPr>
            <w:tcW w:w="1005"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18"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14"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34"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36"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X</w:t>
            </w:r>
          </w:p>
        </w:tc>
        <w:tc>
          <w:tcPr>
            <w:tcW w:w="1123"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38"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X</w:t>
            </w:r>
          </w:p>
        </w:tc>
      </w:tr>
      <w:tr>
        <w:trPr>
          <w:trHeight w:val="272"/>
          <w:jc w:val="center"/>
        </w:trPr>
        <w:tc>
          <w:tcPr>
            <w:tcW w:w="1382" w:type="dxa"/>
            <w:tcBorders>
              <w:top w:val="nil"/>
              <w:left w:val="single" w:sz="4" w:space="0" w:color="0070C0"/>
              <w:bottom w:val="single" w:sz="4" w:space="0" w:color="0070C0"/>
              <w:right w:val="single" w:sz="4" w:space="0" w:color="0070C0"/>
            </w:tcBorders>
            <w:shd w:val="clear" w:color="auto" w:fill="auto"/>
            <w:vAlign w:val="center"/>
            <w:hideMark/>
          </w:tcPr>
          <w:p>
            <w:pPr>
              <w:spacing w:after="0" w:line="240" w:lineRule="auto"/>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ARIMNet2</w:t>
            </w:r>
          </w:p>
        </w:tc>
        <w:tc>
          <w:tcPr>
            <w:tcW w:w="1005"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18"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14"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34"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36"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X</w:t>
            </w:r>
          </w:p>
        </w:tc>
        <w:tc>
          <w:tcPr>
            <w:tcW w:w="1123"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 </w:t>
            </w:r>
          </w:p>
        </w:tc>
        <w:tc>
          <w:tcPr>
            <w:tcW w:w="1138" w:type="dxa"/>
            <w:tcBorders>
              <w:top w:val="nil"/>
              <w:left w:val="nil"/>
              <w:bottom w:val="single" w:sz="4" w:space="0" w:color="0070C0"/>
              <w:right w:val="single" w:sz="4" w:space="0" w:color="0070C0"/>
            </w:tcBorders>
            <w:shd w:val="clear" w:color="auto" w:fill="auto"/>
            <w:vAlign w:val="center"/>
            <w:hideMark/>
          </w:tcPr>
          <w:p>
            <w:pPr>
              <w:spacing w:after="0" w:line="240" w:lineRule="auto"/>
              <w:jc w:val="center"/>
              <w:rPr>
                <w:rFonts w:ascii="Times New Roman" w:eastAsia="Times New Roman" w:hAnsi="Times New Roman"/>
                <w:noProof/>
                <w:color w:val="000000"/>
                <w:sz w:val="18"/>
                <w:szCs w:val="18"/>
                <w:lang w:eastAsia="en-GB"/>
              </w:rPr>
            </w:pPr>
            <w:r>
              <w:rPr>
                <w:rFonts w:ascii="Times New Roman" w:eastAsia="Times New Roman" w:hAnsi="Times New Roman"/>
                <w:noProof/>
                <w:color w:val="000000"/>
                <w:sz w:val="18"/>
                <w:szCs w:val="18"/>
                <w:lang w:eastAsia="en-GB"/>
              </w:rPr>
              <w:t>X</w:t>
            </w:r>
          </w:p>
        </w:tc>
      </w:tr>
    </w:tbl>
    <w:p>
      <w:pPr>
        <w:spacing w:after="240" w:line="240" w:lineRule="auto"/>
        <w:rPr>
          <w:rFonts w:ascii="Times New Roman" w:hAnsi="Times New Roman"/>
          <w:b/>
          <w:noProof/>
          <w:sz w:val="24"/>
          <w:szCs w:val="24"/>
        </w:rPr>
      </w:pPr>
      <w:r>
        <w:rPr>
          <w:rFonts w:ascii="Times New Roman" w:hAnsi="Times New Roman"/>
          <w:b/>
          <w:noProof/>
          <w:sz w:val="20"/>
          <w:szCs w:val="20"/>
        </w:rPr>
        <w:t>Table 1.3: Thematic overlap of existing initiatives with R&amp;I on water provision and agro-food systems in the Mediterranean</w:t>
      </w:r>
    </w:p>
    <w:p>
      <w:pPr>
        <w:autoSpaceDE w:val="0"/>
        <w:autoSpaceDN w:val="0"/>
        <w:adjustRightInd w:val="0"/>
        <w:spacing w:after="120" w:line="240" w:lineRule="auto"/>
        <w:jc w:val="both"/>
        <w:rPr>
          <w:rFonts w:ascii="Times New Roman" w:hAnsi="Times New Roman"/>
          <w:noProof/>
          <w:color w:val="000000"/>
          <w:sz w:val="24"/>
          <w:szCs w:val="24"/>
        </w:rPr>
      </w:pPr>
      <w:r>
        <w:rPr>
          <w:rFonts w:ascii="Times New Roman" w:hAnsi="Times New Roman"/>
          <w:noProof/>
          <w:sz w:val="24"/>
          <w:szCs w:val="24"/>
        </w:rPr>
        <w:t>In addition to EU level actions, an extensive number of bilateral and transnational programmes are being implemented by the countries involved in the PRIMA Joint Programme. In Annex 4, a non-exhaustive list of the main programmes of scientific and technological collaboration between EU Member states and third countries in areas to be addressed by the PRIMA Joint Programme is provided. The table in this annex shows that:</w:t>
      </w:r>
    </w:p>
    <w:p>
      <w:pPr>
        <w:pStyle w:val="ListParagraph"/>
        <w:numPr>
          <w:ilvl w:val="0"/>
          <w:numId w:val="47"/>
        </w:numPr>
        <w:spacing w:after="120" w:line="240" w:lineRule="auto"/>
        <w:ind w:left="357" w:hanging="357"/>
        <w:contextualSpacing w:val="0"/>
        <w:rPr>
          <w:rFonts w:ascii="Times New Roman" w:hAnsi="Times New Roman"/>
          <w:noProof/>
          <w:sz w:val="24"/>
        </w:rPr>
      </w:pPr>
      <w:r>
        <w:rPr>
          <w:rFonts w:ascii="Times New Roman" w:hAnsi="Times New Roman"/>
          <w:noProof/>
          <w:sz w:val="24"/>
        </w:rPr>
        <w:t xml:space="preserve">There is </w:t>
      </w:r>
      <w:r>
        <w:rPr>
          <w:rFonts w:ascii="Times New Roman" w:hAnsi="Times New Roman"/>
          <w:b/>
          <w:noProof/>
          <w:sz w:val="24"/>
        </w:rPr>
        <w:t>no integrated R&amp;I strategy for the Mediterranean in the area of the sustainable management of water provision and food systems</w:t>
      </w:r>
      <w:r>
        <w:rPr>
          <w:rFonts w:ascii="Times New Roman" w:hAnsi="Times New Roman"/>
          <w:noProof/>
          <w:sz w:val="24"/>
        </w:rPr>
        <w:t>, which leads to possible overlaps between research activities and hampers the valorisation and scaling up of research results at European and international level.</w:t>
      </w:r>
    </w:p>
    <w:p>
      <w:pPr>
        <w:pStyle w:val="ListParagraph"/>
        <w:numPr>
          <w:ilvl w:val="0"/>
          <w:numId w:val="47"/>
        </w:numPr>
        <w:spacing w:after="120" w:line="240" w:lineRule="auto"/>
        <w:ind w:left="357" w:hanging="357"/>
        <w:contextualSpacing w:val="0"/>
        <w:rPr>
          <w:rFonts w:ascii="Times New Roman" w:hAnsi="Times New Roman"/>
          <w:noProof/>
          <w:sz w:val="24"/>
        </w:rPr>
      </w:pPr>
      <w:r>
        <w:rPr>
          <w:rFonts w:ascii="Times New Roman" w:hAnsi="Times New Roman"/>
          <w:noProof/>
          <w:sz w:val="24"/>
        </w:rPr>
        <w:t xml:space="preserve">The identified programmes are </w:t>
      </w:r>
      <w:r>
        <w:rPr>
          <w:rFonts w:ascii="Times New Roman" w:hAnsi="Times New Roman"/>
          <w:b/>
          <w:noProof/>
          <w:sz w:val="24"/>
        </w:rPr>
        <w:t>scattered</w:t>
      </w:r>
      <w:r>
        <w:rPr>
          <w:rFonts w:ascii="Times New Roman" w:hAnsi="Times New Roman"/>
          <w:noProof/>
          <w:sz w:val="24"/>
        </w:rPr>
        <w:t xml:space="preserve"> across numerous small bilateral agreements, with some privileged partnerships, which </w:t>
      </w:r>
      <w:r>
        <w:rPr>
          <w:rFonts w:ascii="Times New Roman" w:hAnsi="Times New Roman"/>
          <w:b/>
          <w:noProof/>
          <w:sz w:val="24"/>
        </w:rPr>
        <w:t xml:space="preserve">does not allow for reaching the scale and scope </w:t>
      </w:r>
      <w:r>
        <w:rPr>
          <w:rFonts w:ascii="Times New Roman" w:hAnsi="Times New Roman"/>
          <w:noProof/>
          <w:sz w:val="24"/>
        </w:rPr>
        <w:t>of R&amp;I efforts required to achieve strategic objectives.</w:t>
      </w:r>
    </w:p>
    <w:p>
      <w:pPr>
        <w:pStyle w:val="ListParagraph"/>
        <w:numPr>
          <w:ilvl w:val="0"/>
          <w:numId w:val="47"/>
        </w:numPr>
        <w:spacing w:after="120" w:line="240" w:lineRule="auto"/>
        <w:ind w:left="357" w:hanging="357"/>
        <w:contextualSpacing w:val="0"/>
        <w:rPr>
          <w:rFonts w:ascii="Times New Roman" w:hAnsi="Times New Roman"/>
          <w:noProof/>
          <w:sz w:val="24"/>
        </w:rPr>
      </w:pPr>
      <w:r>
        <w:rPr>
          <w:rFonts w:ascii="Times New Roman" w:hAnsi="Times New Roman"/>
          <w:noProof/>
          <w:sz w:val="24"/>
        </w:rPr>
        <w:t xml:space="preserve">The </w:t>
      </w:r>
      <w:r>
        <w:rPr>
          <w:rFonts w:ascii="Times New Roman" w:hAnsi="Times New Roman"/>
          <w:b/>
          <w:noProof/>
          <w:sz w:val="24"/>
        </w:rPr>
        <w:t xml:space="preserve">initiatives are of limited duration </w:t>
      </w:r>
      <w:r>
        <w:rPr>
          <w:rFonts w:ascii="Times New Roman" w:hAnsi="Times New Roman"/>
          <w:noProof/>
          <w:sz w:val="24"/>
        </w:rPr>
        <w:t>and/or subject to the yearly (re)definition of topics. Most of them are expiring at the end of 2016, which does not match the need for stable long-term commitments.</w:t>
      </w:r>
    </w:p>
    <w:p>
      <w:pPr>
        <w:pStyle w:val="ListParagraph"/>
        <w:numPr>
          <w:ilvl w:val="0"/>
          <w:numId w:val="47"/>
        </w:numPr>
        <w:spacing w:after="120" w:line="240" w:lineRule="auto"/>
        <w:ind w:left="357" w:hanging="357"/>
        <w:contextualSpacing w:val="0"/>
        <w:rPr>
          <w:rFonts w:ascii="Times New Roman" w:hAnsi="Times New Roman"/>
          <w:noProof/>
          <w:sz w:val="24"/>
        </w:rPr>
      </w:pPr>
      <w:r>
        <w:rPr>
          <w:rFonts w:ascii="Times New Roman" w:hAnsi="Times New Roman"/>
          <w:b/>
          <w:noProof/>
          <w:sz w:val="24"/>
        </w:rPr>
        <w:t>Policy dialogue, exchange of best practices, and mobility</w:t>
      </w:r>
      <w:r>
        <w:rPr>
          <w:rFonts w:ascii="Times New Roman" w:hAnsi="Times New Roman"/>
          <w:noProof/>
          <w:sz w:val="24"/>
        </w:rPr>
        <w:t xml:space="preserve"> of researchers appear to be the main focus of the identified programmes. </w:t>
      </w:r>
    </w:p>
    <w:p>
      <w:pPr>
        <w:pStyle w:val="ListParagraph"/>
        <w:numPr>
          <w:ilvl w:val="0"/>
          <w:numId w:val="47"/>
        </w:numPr>
        <w:spacing w:after="120" w:line="240" w:lineRule="auto"/>
        <w:ind w:left="357" w:hanging="357"/>
        <w:contextualSpacing w:val="0"/>
        <w:rPr>
          <w:rFonts w:ascii="Times New Roman" w:hAnsi="Times New Roman"/>
          <w:noProof/>
          <w:sz w:val="24"/>
        </w:rPr>
      </w:pPr>
      <w:r>
        <w:rPr>
          <w:rFonts w:ascii="Times New Roman" w:hAnsi="Times New Roman"/>
          <w:noProof/>
          <w:sz w:val="24"/>
        </w:rPr>
        <w:t xml:space="preserve">R&amp;I projects are also addressed but they </w:t>
      </w:r>
      <w:r>
        <w:rPr>
          <w:rFonts w:ascii="Times New Roman" w:hAnsi="Times New Roman"/>
          <w:b/>
          <w:noProof/>
          <w:sz w:val="24"/>
        </w:rPr>
        <w:t>do not appear to have size, ambition or scale</w:t>
      </w:r>
      <w:r>
        <w:rPr>
          <w:rFonts w:ascii="Times New Roman" w:hAnsi="Times New Roman"/>
          <w:noProof/>
          <w:sz w:val="24"/>
        </w:rPr>
        <w:t>.</w:t>
      </w:r>
    </w:p>
    <w:p>
      <w:pPr>
        <w:pStyle w:val="ListParagraph"/>
        <w:numPr>
          <w:ilvl w:val="0"/>
          <w:numId w:val="47"/>
        </w:numPr>
        <w:spacing w:after="120" w:line="240" w:lineRule="auto"/>
        <w:ind w:left="357" w:hanging="357"/>
        <w:contextualSpacing w:val="0"/>
        <w:rPr>
          <w:rFonts w:ascii="Times New Roman" w:hAnsi="Times New Roman"/>
          <w:noProof/>
          <w:sz w:val="24"/>
        </w:rPr>
      </w:pPr>
      <w:r>
        <w:rPr>
          <w:rFonts w:ascii="Times New Roman" w:hAnsi="Times New Roman"/>
          <w:noProof/>
          <w:sz w:val="24"/>
        </w:rPr>
        <w:t xml:space="preserve">There is only a </w:t>
      </w:r>
      <w:r>
        <w:rPr>
          <w:rFonts w:ascii="Times New Roman" w:hAnsi="Times New Roman"/>
          <w:b/>
          <w:noProof/>
          <w:sz w:val="24"/>
        </w:rPr>
        <w:t>limited presence of large-scale demonstration</w:t>
      </w:r>
      <w:r>
        <w:rPr>
          <w:rFonts w:ascii="Times New Roman" w:hAnsi="Times New Roman"/>
          <w:noProof/>
          <w:sz w:val="24"/>
        </w:rPr>
        <w:t xml:space="preserve"> projects in the identified programmes. Therefore, they do not allow for testing, demonstrating and implementing </w:t>
      </w:r>
      <w:r>
        <w:rPr>
          <w:rFonts w:ascii="Times New Roman" w:eastAsia="Times New Roman" w:hAnsi="Times New Roman"/>
          <w:bCs/>
          <w:noProof/>
          <w:color w:val="000000"/>
          <w:sz w:val="24"/>
          <w:lang w:eastAsia="en-GB"/>
        </w:rPr>
        <w:t>tailored water-saving and management solutions, smart and sustainable farming systems and innovative food products, novel approaches to reducing the impact of pests and pathogens in farming, and innovative quality-oriented business models in the agro-food sector.</w:t>
      </w:r>
    </w:p>
    <w:p>
      <w:pPr>
        <w:pStyle w:val="ListParagraph"/>
        <w:spacing w:after="120" w:line="240" w:lineRule="auto"/>
        <w:ind w:left="357"/>
        <w:contextualSpacing w:val="0"/>
        <w:rPr>
          <w:rFonts w:ascii="Times New Roman" w:hAnsi="Times New Roman"/>
          <w:noProof/>
          <w:sz w:val="24"/>
        </w:rPr>
      </w:pPr>
    </w:p>
    <w:p>
      <w:pPr>
        <w:spacing w:after="120" w:line="240" w:lineRule="auto"/>
        <w:jc w:val="both"/>
        <w:rPr>
          <w:rFonts w:ascii="Times New Roman" w:hAnsi="Times New Roman"/>
          <w:b/>
          <w:noProof/>
          <w:color w:val="000000"/>
          <w:sz w:val="24"/>
          <w:szCs w:val="24"/>
        </w:rPr>
      </w:pPr>
      <w:r>
        <w:rPr>
          <w:rFonts w:ascii="Times New Roman" w:hAnsi="Times New Roman"/>
          <w:b/>
          <w:noProof/>
          <w:sz w:val="24"/>
          <w:u w:val="single"/>
        </w:rPr>
        <w:t>Problem driver 3</w:t>
      </w:r>
      <w:r>
        <w:rPr>
          <w:rFonts w:ascii="Times New Roman" w:hAnsi="Times New Roman"/>
          <w:b/>
          <w:noProof/>
          <w:sz w:val="24"/>
        </w:rPr>
        <w:t>: Lack of long-term strategic R&amp;I agenda and multi-stakeholder governance</w:t>
      </w:r>
      <w:r>
        <w:rPr>
          <w:rFonts w:ascii="Times New Roman" w:hAnsi="Times New Roman"/>
          <w:b/>
          <w:noProof/>
          <w:color w:val="000000"/>
          <w:sz w:val="24"/>
          <w:szCs w:val="24"/>
        </w:rPr>
        <w:t xml:space="preserve"> </w:t>
      </w:r>
    </w:p>
    <w:p>
      <w:pPr>
        <w:spacing w:after="120" w:line="240" w:lineRule="auto"/>
        <w:jc w:val="both"/>
        <w:rPr>
          <w:rFonts w:ascii="Times New Roman" w:hAnsi="Times New Roman"/>
          <w:noProof/>
          <w:color w:val="000000"/>
          <w:sz w:val="24"/>
          <w:szCs w:val="24"/>
        </w:rPr>
      </w:pPr>
      <w:r>
        <w:rPr>
          <w:rFonts w:ascii="Times New Roman" w:hAnsi="Times New Roman"/>
          <w:noProof/>
          <w:color w:val="000000"/>
          <w:sz w:val="24"/>
          <w:szCs w:val="24"/>
        </w:rPr>
        <w:t>The involvement of all types of stakeholders is needed to address the complex, cross-sectoral challenge of the sustainable management of water provision and food systems in the Mediterranean area. Stronger cooperation between stakeholders in different economic sectors in the Mediterranean countries leading to the effective coordination and integration of R&amp;I systems is required to develop innovative and integrated solutions for the sustainable management of water provision and food systems. This is needed to tackle and mitigate the expected medium and long term impacts of climate and demographic changes in the Mediterranean area.</w:t>
      </w:r>
    </w:p>
    <w:p>
      <w:pPr>
        <w:spacing w:after="120" w:line="240" w:lineRule="auto"/>
        <w:jc w:val="both"/>
        <w:rPr>
          <w:rFonts w:ascii="Times New Roman" w:hAnsi="Times New Roman"/>
          <w:noProof/>
          <w:color w:val="000000"/>
          <w:sz w:val="24"/>
          <w:szCs w:val="24"/>
        </w:rPr>
      </w:pPr>
      <w:r>
        <w:rPr>
          <w:rFonts w:ascii="Times New Roman" w:hAnsi="Times New Roman"/>
          <w:noProof/>
          <w:color w:val="000000"/>
          <w:sz w:val="24"/>
          <w:szCs w:val="24"/>
        </w:rPr>
        <w:t xml:space="preserve">However, so far, </w:t>
      </w:r>
      <w:r>
        <w:rPr>
          <w:rFonts w:ascii="Times New Roman" w:hAnsi="Times New Roman"/>
          <w:b/>
          <w:noProof/>
          <w:color w:val="000000"/>
          <w:sz w:val="24"/>
          <w:szCs w:val="24"/>
        </w:rPr>
        <w:t>the coordination achieved between different areas of government policy (e.g. economy and environment, agriculture and energy) is limited</w:t>
      </w:r>
      <w:r>
        <w:rPr>
          <w:rFonts w:ascii="Times New Roman" w:hAnsi="Times New Roman"/>
          <w:noProof/>
          <w:color w:val="000000"/>
          <w:sz w:val="24"/>
          <w:szCs w:val="24"/>
        </w:rPr>
        <w:t>. In the same vein, stakeholders from the public and private sector in these countries have limited possibilities to create synergies for R&amp;I activities, e.g. bringing the result of public research to the market.</w:t>
      </w:r>
      <w:r>
        <w:rPr>
          <w:rFonts w:ascii="Times New Roman" w:hAnsi="Times New Roman"/>
          <w:noProof/>
          <w:sz w:val="24"/>
          <w:szCs w:val="24"/>
        </w:rPr>
        <w:t xml:space="preserve"> A</w:t>
      </w:r>
      <w:r>
        <w:rPr>
          <w:rFonts w:ascii="Times New Roman" w:hAnsi="Times New Roman"/>
          <w:noProof/>
          <w:color w:val="000000"/>
          <w:sz w:val="24"/>
          <w:szCs w:val="24"/>
        </w:rPr>
        <w:t>ccording to a 2012 study</w:t>
      </w:r>
      <w:r>
        <w:rPr>
          <w:rStyle w:val="FootnoteReference"/>
          <w:rFonts w:ascii="Times New Roman" w:hAnsi="Times New Roman"/>
          <w:noProof/>
          <w:color w:val="000000"/>
          <w:sz w:val="24"/>
          <w:szCs w:val="24"/>
        </w:rPr>
        <w:footnoteReference w:id="34"/>
      </w:r>
      <w:r>
        <w:rPr>
          <w:rFonts w:ascii="Times New Roman" w:hAnsi="Times New Roman"/>
          <w:noProof/>
          <w:color w:val="000000"/>
          <w:sz w:val="24"/>
          <w:szCs w:val="24"/>
        </w:rPr>
        <w:t xml:space="preserve"> by ANIMA Investment Network</w:t>
      </w:r>
      <w:r>
        <w:rPr>
          <w:rStyle w:val="FootnoteReference"/>
          <w:rFonts w:ascii="Times New Roman" w:hAnsi="Times New Roman"/>
          <w:noProof/>
          <w:color w:val="000000"/>
          <w:sz w:val="24"/>
          <w:szCs w:val="24"/>
        </w:rPr>
        <w:footnoteReference w:id="35"/>
      </w:r>
      <w:r>
        <w:rPr>
          <w:rFonts w:ascii="Times New Roman" w:hAnsi="Times New Roman"/>
          <w:noProof/>
          <w:color w:val="000000"/>
          <w:sz w:val="24"/>
          <w:szCs w:val="24"/>
        </w:rPr>
        <w:t xml:space="preserve">, most R&amp;D activities in the Mediterranean area (over 90%) is carried out by public universities and research centres (compared to 54% on average in the European Union). </w:t>
      </w:r>
      <w:r>
        <w:rPr>
          <w:rFonts w:ascii="Times New Roman" w:hAnsi="Times New Roman"/>
          <w:noProof/>
          <w:sz w:val="24"/>
          <w:szCs w:val="24"/>
        </w:rPr>
        <w:t>This is notwithstanding the fact that cooperation among market-based actors of the Mediterranean food value chains (mainly customers, food retailers and suppliers)</w:t>
      </w:r>
      <w:r>
        <w:rPr>
          <w:rStyle w:val="FootnoteReference"/>
          <w:rFonts w:ascii="Times New Roman" w:hAnsi="Times New Roman"/>
          <w:noProof/>
          <w:sz w:val="24"/>
          <w:szCs w:val="24"/>
        </w:rPr>
        <w:footnoteReference w:id="36"/>
      </w:r>
      <w:r>
        <w:rPr>
          <w:rFonts w:ascii="Times New Roman" w:hAnsi="Times New Roman"/>
          <w:noProof/>
          <w:sz w:val="24"/>
          <w:szCs w:val="24"/>
        </w:rPr>
        <w:t xml:space="preserve"> is a key aspect for the development of the required innovation.</w:t>
      </w:r>
    </w:p>
    <w:p>
      <w:pPr>
        <w:autoSpaceDE w:val="0"/>
        <w:autoSpaceDN w:val="0"/>
        <w:adjustRightInd w:val="0"/>
        <w:spacing w:after="120" w:line="240" w:lineRule="auto"/>
        <w:jc w:val="both"/>
        <w:rPr>
          <w:rFonts w:ascii="Times New Roman" w:hAnsi="Times New Roman"/>
          <w:noProof/>
          <w:color w:val="000000"/>
          <w:sz w:val="24"/>
          <w:szCs w:val="24"/>
        </w:rPr>
      </w:pPr>
      <w:r>
        <w:rPr>
          <w:rFonts w:ascii="Times New Roman" w:hAnsi="Times New Roman"/>
          <w:noProof/>
          <w:color w:val="000000"/>
          <w:sz w:val="24"/>
          <w:szCs w:val="24"/>
        </w:rPr>
        <w:t>Furthermore, in most of the Mediterranean countries, the existence of sector-specific R&amp;I structures is deeply rooted in the national governance systems and prevents the development and funding of multi-, inter- and trans-disciplinary environmental research and the subsequent uptake of results in innovative solutions and policy changes.</w:t>
      </w:r>
    </w:p>
    <w:p>
      <w:pPr>
        <w:autoSpaceDE w:val="0"/>
        <w:autoSpaceDN w:val="0"/>
        <w:adjustRightInd w:val="0"/>
        <w:spacing w:after="120" w:line="240" w:lineRule="auto"/>
        <w:jc w:val="both"/>
        <w:rPr>
          <w:rFonts w:ascii="Times New Roman" w:hAnsi="Times New Roman"/>
          <w:noProof/>
          <w:color w:val="000000"/>
          <w:sz w:val="24"/>
          <w:szCs w:val="24"/>
        </w:rPr>
      </w:pPr>
    </w:p>
    <w:p>
      <w:pPr>
        <w:pStyle w:val="Heading1"/>
        <w:numPr>
          <w:ilvl w:val="1"/>
          <w:numId w:val="7"/>
        </w:numPr>
        <w:spacing w:before="0" w:after="120"/>
        <w:jc w:val="both"/>
        <w:rPr>
          <w:rFonts w:ascii="Times New Roman" w:hAnsi="Times New Roman"/>
          <w:noProof/>
          <w:color w:val="000000"/>
          <w:sz w:val="24"/>
          <w:szCs w:val="24"/>
        </w:rPr>
      </w:pPr>
      <w:bookmarkStart w:id="9" w:name="_Toc457466031"/>
      <w:r>
        <w:rPr>
          <w:rFonts w:ascii="Times New Roman" w:hAnsi="Times New Roman"/>
          <w:noProof/>
          <w:color w:val="000000"/>
          <w:sz w:val="24"/>
          <w:szCs w:val="24"/>
        </w:rPr>
        <w:t>Who is affected by the problem</w:t>
      </w:r>
      <w:bookmarkEnd w:id="9"/>
    </w:p>
    <w:p>
      <w:pPr>
        <w:autoSpaceDE w:val="0"/>
        <w:autoSpaceDN w:val="0"/>
        <w:adjustRightInd w:val="0"/>
        <w:spacing w:after="120" w:line="240" w:lineRule="auto"/>
        <w:jc w:val="both"/>
        <w:rPr>
          <w:rFonts w:ascii="Times New Roman" w:hAnsi="Times New Roman"/>
          <w:noProof/>
          <w:color w:val="000000"/>
          <w:sz w:val="24"/>
          <w:szCs w:val="24"/>
        </w:rPr>
      </w:pPr>
      <w:r>
        <w:rPr>
          <w:rFonts w:ascii="Times New Roman" w:hAnsi="Times New Roman"/>
          <w:noProof/>
          <w:color w:val="000000"/>
          <w:sz w:val="24"/>
          <w:szCs w:val="24"/>
        </w:rPr>
        <w:t>The problem affects a very wide range of stakeholders both within and outside the Mediterranean area.</w:t>
      </w:r>
    </w:p>
    <w:p>
      <w:pPr>
        <w:autoSpaceDE w:val="0"/>
        <w:autoSpaceDN w:val="0"/>
        <w:adjustRightInd w:val="0"/>
        <w:spacing w:after="120" w:line="240" w:lineRule="auto"/>
        <w:jc w:val="both"/>
        <w:rPr>
          <w:rFonts w:ascii="Times New Roman" w:hAnsi="Times New Roman"/>
          <w:noProof/>
          <w:sz w:val="24"/>
          <w:szCs w:val="24"/>
        </w:rPr>
      </w:pPr>
      <w:r>
        <w:rPr>
          <w:rFonts w:ascii="Times New Roman" w:hAnsi="Times New Roman"/>
          <w:b/>
          <w:noProof/>
          <w:sz w:val="24"/>
          <w:szCs w:val="24"/>
        </w:rPr>
        <w:t>The population at large in the Mediterranean countries, both EU and third countries, is affected since inadequate water provision and food systems have important downstream effects</w:t>
      </w:r>
      <w:r>
        <w:rPr>
          <w:rFonts w:ascii="Times New Roman" w:hAnsi="Times New Roman"/>
          <w:noProof/>
          <w:sz w:val="24"/>
          <w:szCs w:val="24"/>
        </w:rPr>
        <w:t xml:space="preserve"> in society, affecting negatively nutrition, health, livelihoods and standards of living, and levels of wellbeing. </w:t>
      </w:r>
    </w:p>
    <w:p>
      <w:pPr>
        <w:autoSpaceDE w:val="0"/>
        <w:autoSpaceDN w:val="0"/>
        <w:adjustRightInd w:val="0"/>
        <w:spacing w:after="120" w:line="240" w:lineRule="auto"/>
        <w:jc w:val="both"/>
        <w:rPr>
          <w:rFonts w:ascii="Times New Roman" w:hAnsi="Times New Roman"/>
          <w:noProof/>
          <w:sz w:val="24"/>
          <w:szCs w:val="24"/>
        </w:rPr>
      </w:pPr>
      <w:r>
        <w:rPr>
          <w:rFonts w:ascii="Times New Roman" w:hAnsi="Times New Roman"/>
          <w:noProof/>
          <w:sz w:val="24"/>
          <w:szCs w:val="24"/>
        </w:rPr>
        <w:t xml:space="preserve">This </w:t>
      </w:r>
      <w:r>
        <w:rPr>
          <w:rFonts w:ascii="Times New Roman" w:hAnsi="Times New Roman"/>
          <w:b/>
          <w:noProof/>
          <w:sz w:val="24"/>
          <w:szCs w:val="24"/>
        </w:rPr>
        <w:t>social and economic stress</w:t>
      </w:r>
      <w:r>
        <w:rPr>
          <w:rFonts w:ascii="Times New Roman" w:hAnsi="Times New Roman"/>
          <w:noProof/>
          <w:sz w:val="24"/>
          <w:szCs w:val="24"/>
        </w:rPr>
        <w:t xml:space="preserve">, in turn, constitutes a key cause of instability and becomes a cause of </w:t>
      </w:r>
      <w:r>
        <w:rPr>
          <w:rFonts w:ascii="Times New Roman" w:hAnsi="Times New Roman"/>
          <w:b/>
          <w:noProof/>
          <w:sz w:val="24"/>
          <w:szCs w:val="24"/>
        </w:rPr>
        <w:t xml:space="preserve">migration </w:t>
      </w:r>
      <w:r>
        <w:rPr>
          <w:rFonts w:ascii="Times New Roman" w:hAnsi="Times New Roman"/>
          <w:noProof/>
          <w:sz w:val="24"/>
          <w:szCs w:val="24"/>
        </w:rPr>
        <w:t>in third countries, both internally, leading numerous farm families to move to cities and, externally, driving part of the population to migrate in particular towards Europe.</w:t>
      </w:r>
    </w:p>
    <w:p>
      <w:pPr>
        <w:autoSpaceDE w:val="0"/>
        <w:autoSpaceDN w:val="0"/>
        <w:adjustRightInd w:val="0"/>
        <w:spacing w:after="120" w:line="240" w:lineRule="auto"/>
        <w:jc w:val="both"/>
        <w:rPr>
          <w:rFonts w:ascii="Times New Roman" w:hAnsi="Times New Roman"/>
          <w:noProof/>
          <w:sz w:val="24"/>
          <w:szCs w:val="24"/>
        </w:rPr>
      </w:pPr>
      <w:r>
        <w:rPr>
          <w:rFonts w:ascii="Times New Roman" w:hAnsi="Times New Roman"/>
          <w:noProof/>
          <w:sz w:val="24"/>
          <w:szCs w:val="24"/>
        </w:rPr>
        <w:t>Farmers are affected since they are deprived from innovative solutions and have to keep suffering from inadequate water provision systems, which seriously affect crop yields.</w:t>
      </w:r>
    </w:p>
    <w:p>
      <w:pPr>
        <w:autoSpaceDE w:val="0"/>
        <w:autoSpaceDN w:val="0"/>
        <w:adjustRightInd w:val="0"/>
        <w:spacing w:after="120" w:line="240" w:lineRule="auto"/>
        <w:jc w:val="both"/>
        <w:rPr>
          <w:rFonts w:ascii="Times New Roman" w:hAnsi="Times New Roman"/>
          <w:noProof/>
          <w:sz w:val="24"/>
          <w:szCs w:val="24"/>
        </w:rPr>
      </w:pPr>
      <w:r>
        <w:rPr>
          <w:rFonts w:ascii="Times New Roman" w:hAnsi="Times New Roman"/>
          <w:noProof/>
          <w:sz w:val="24"/>
          <w:szCs w:val="24"/>
        </w:rPr>
        <w:t>Businesses, and in particular SMEs, are affected by the inability of current policies and programmes to adequately address market failures by providing long-term stable support and predictability, thereby being deprived from the opportunity to participate fully in the co-development of innovative integrated solutions and to valorise commercially the new products, processes and services developed.</w:t>
      </w:r>
    </w:p>
    <w:p>
      <w:pPr>
        <w:autoSpaceDE w:val="0"/>
        <w:autoSpaceDN w:val="0"/>
        <w:adjustRightInd w:val="0"/>
        <w:spacing w:after="120" w:line="240" w:lineRule="auto"/>
        <w:jc w:val="both"/>
        <w:rPr>
          <w:rFonts w:ascii="Times New Roman" w:hAnsi="Times New Roman"/>
          <w:noProof/>
          <w:sz w:val="24"/>
          <w:szCs w:val="24"/>
        </w:rPr>
      </w:pPr>
      <w:r>
        <w:rPr>
          <w:rFonts w:ascii="Times New Roman" w:hAnsi="Times New Roman"/>
          <w:noProof/>
          <w:color w:val="000000"/>
          <w:sz w:val="24"/>
          <w:szCs w:val="24"/>
        </w:rPr>
        <w:t>The R&amp;I community (policy-makers, programme managers, funders, R&amp;I organisations (universities, research institutes), individual researchers and innovators) is affected because, as a result of the current cross-border, cross-sectoral and cross-discipline fragmentation of policies and programmes, it is unable to pool resources to develop, disseminate and implement</w:t>
      </w:r>
      <w:r>
        <w:rPr>
          <w:rFonts w:ascii="Times New Roman" w:hAnsi="Times New Roman"/>
          <w:noProof/>
          <w:color w:val="000000"/>
          <w:sz w:val="24"/>
        </w:rPr>
        <w:t xml:space="preserve"> </w:t>
      </w:r>
      <w:r>
        <w:rPr>
          <w:rFonts w:ascii="Times New Roman" w:hAnsi="Times New Roman"/>
          <w:noProof/>
          <w:color w:val="000000"/>
          <w:sz w:val="24"/>
          <w:szCs w:val="24"/>
        </w:rPr>
        <w:t xml:space="preserve">the </w:t>
      </w:r>
      <w:r>
        <w:rPr>
          <w:rFonts w:ascii="Times New Roman" w:hAnsi="Times New Roman"/>
          <w:noProof/>
          <w:color w:val="000000"/>
          <w:sz w:val="24"/>
        </w:rPr>
        <w:t xml:space="preserve">innovative integrated solutions </w:t>
      </w:r>
      <w:r>
        <w:rPr>
          <w:rFonts w:ascii="Times New Roman" w:hAnsi="Times New Roman"/>
          <w:noProof/>
          <w:color w:val="000000"/>
          <w:sz w:val="24"/>
          <w:szCs w:val="24"/>
        </w:rPr>
        <w:t xml:space="preserve">urgently needed </w:t>
      </w:r>
      <w:r>
        <w:rPr>
          <w:rFonts w:ascii="Times New Roman" w:hAnsi="Times New Roman"/>
          <w:noProof/>
          <w:sz w:val="24"/>
          <w:szCs w:val="24"/>
        </w:rPr>
        <w:t>for the sustainable management of water provision and food systems.</w:t>
      </w:r>
    </w:p>
    <w:p>
      <w:pPr>
        <w:autoSpaceDE w:val="0"/>
        <w:autoSpaceDN w:val="0"/>
        <w:adjustRightInd w:val="0"/>
        <w:spacing w:after="120" w:line="240" w:lineRule="auto"/>
        <w:jc w:val="both"/>
        <w:rPr>
          <w:rFonts w:ascii="Times New Roman" w:hAnsi="Times New Roman"/>
          <w:noProof/>
          <w:sz w:val="24"/>
          <w:szCs w:val="24"/>
        </w:rPr>
      </w:pPr>
      <w:bookmarkStart w:id="10" w:name="_Toc452653891"/>
      <w:bookmarkStart w:id="11" w:name="_Toc452662522"/>
      <w:bookmarkStart w:id="12" w:name="_Toc452653892"/>
      <w:bookmarkStart w:id="13" w:name="_Toc452662523"/>
      <w:bookmarkStart w:id="14" w:name="_Toc452629062"/>
      <w:bookmarkStart w:id="15" w:name="_Toc452640589"/>
      <w:bookmarkStart w:id="16" w:name="_Toc452653893"/>
      <w:bookmarkStart w:id="17" w:name="_Toc452662524"/>
      <w:bookmarkStart w:id="18" w:name="_Toc455651024"/>
      <w:bookmarkStart w:id="19" w:name="_Toc455651146"/>
      <w:bookmarkEnd w:id="10"/>
      <w:bookmarkEnd w:id="11"/>
      <w:bookmarkEnd w:id="12"/>
      <w:bookmarkEnd w:id="13"/>
      <w:bookmarkEnd w:id="14"/>
      <w:bookmarkEnd w:id="15"/>
      <w:bookmarkEnd w:id="16"/>
      <w:bookmarkEnd w:id="17"/>
      <w:bookmarkEnd w:id="18"/>
      <w:bookmarkEnd w:id="19"/>
    </w:p>
    <w:p>
      <w:pPr>
        <w:pStyle w:val="Heading1"/>
        <w:numPr>
          <w:ilvl w:val="1"/>
          <w:numId w:val="7"/>
        </w:numPr>
        <w:spacing w:before="0" w:after="100"/>
        <w:rPr>
          <w:rFonts w:ascii="Times New Roman" w:hAnsi="Times New Roman"/>
          <w:noProof/>
          <w:color w:val="auto"/>
          <w:sz w:val="24"/>
          <w:szCs w:val="24"/>
        </w:rPr>
      </w:pPr>
      <w:bookmarkStart w:id="20" w:name="_Toc457466032"/>
      <w:r>
        <w:rPr>
          <w:rFonts w:ascii="Times New Roman" w:hAnsi="Times New Roman"/>
          <w:noProof/>
          <w:color w:val="auto"/>
          <w:sz w:val="24"/>
          <w:szCs w:val="24"/>
        </w:rPr>
        <w:t>EU dimension of the problem</w:t>
      </w:r>
      <w:bookmarkEnd w:id="20"/>
    </w:p>
    <w:p>
      <w:pPr>
        <w:autoSpaceDE w:val="0"/>
        <w:autoSpaceDN w:val="0"/>
        <w:adjustRightInd w:val="0"/>
        <w:spacing w:after="120" w:line="240" w:lineRule="auto"/>
        <w:jc w:val="both"/>
        <w:rPr>
          <w:rFonts w:ascii="Times New Roman" w:hAnsi="Times New Roman"/>
          <w:noProof/>
          <w:color w:val="000000"/>
          <w:sz w:val="24"/>
          <w:szCs w:val="24"/>
        </w:rPr>
      </w:pPr>
      <w:r>
        <w:rPr>
          <w:rFonts w:ascii="Times New Roman" w:hAnsi="Times New Roman"/>
          <w:noProof/>
          <w:sz w:val="24"/>
          <w:szCs w:val="24"/>
        </w:rPr>
        <w:t>Europe is affected by the large-scale instability close to its borders and by the refugee crisis driven partially by the shortage of water in the region. T</w:t>
      </w:r>
      <w:r>
        <w:rPr>
          <w:rFonts w:ascii="Times New Roman" w:hAnsi="Times New Roman"/>
          <w:noProof/>
          <w:color w:val="000000"/>
          <w:sz w:val="24"/>
          <w:szCs w:val="24"/>
        </w:rPr>
        <w:t>he PRIMA Joint Programme is of great relevance for a broad range of key EU policies.</w:t>
      </w:r>
    </w:p>
    <w:p>
      <w:pPr>
        <w:autoSpaceDE w:val="0"/>
        <w:autoSpaceDN w:val="0"/>
        <w:spacing w:after="120" w:line="240" w:lineRule="auto"/>
        <w:jc w:val="both"/>
        <w:rPr>
          <w:rFonts w:ascii="Times New Roman" w:hAnsi="Times New Roman"/>
          <w:b/>
          <w:noProof/>
          <w:color w:val="000000"/>
          <w:sz w:val="24"/>
          <w:szCs w:val="24"/>
        </w:rPr>
      </w:pPr>
      <w:r>
        <w:rPr>
          <w:rFonts w:ascii="Times New Roman" w:hAnsi="Times New Roman"/>
          <w:b/>
          <w:noProof/>
          <w:color w:val="000000"/>
          <w:sz w:val="24"/>
          <w:szCs w:val="24"/>
        </w:rPr>
        <w:t>EU migration policy</w:t>
      </w:r>
    </w:p>
    <w:p>
      <w:pPr>
        <w:autoSpaceDE w:val="0"/>
        <w:autoSpaceDN w:val="0"/>
        <w:spacing w:after="120" w:line="240" w:lineRule="auto"/>
        <w:jc w:val="both"/>
        <w:rPr>
          <w:rFonts w:ascii="Times New Roman" w:hAnsi="Times New Roman"/>
          <w:noProof/>
          <w:color w:val="000000"/>
          <w:sz w:val="24"/>
          <w:szCs w:val="24"/>
        </w:rPr>
      </w:pPr>
      <w:r>
        <w:rPr>
          <w:rFonts w:ascii="Times New Roman" w:hAnsi="Times New Roman"/>
          <w:noProof/>
          <w:color w:val="000000"/>
          <w:sz w:val="24"/>
          <w:szCs w:val="24"/>
        </w:rPr>
        <w:t>As outlined in a recent World Bank study</w:t>
      </w:r>
      <w:r>
        <w:rPr>
          <w:rStyle w:val="FootnoteReference"/>
          <w:rFonts w:ascii="Times New Roman" w:hAnsi="Times New Roman"/>
          <w:noProof/>
          <w:color w:val="000000"/>
          <w:sz w:val="24"/>
          <w:szCs w:val="24"/>
        </w:rPr>
        <w:footnoteReference w:id="37"/>
      </w:r>
      <w:r>
        <w:rPr>
          <w:rFonts w:ascii="Times New Roman" w:hAnsi="Times New Roman"/>
          <w:noProof/>
          <w:color w:val="000000"/>
          <w:sz w:val="24"/>
          <w:szCs w:val="24"/>
        </w:rPr>
        <w:t>, water scarcity and the consequent increase in food prices can induce people to leave their countries and can contribute to igniting civil conflicts. As the same report stresses, "in today's globalized and connected world, such problems are impossible to quarantine. And where large inequities prevail, people move from zones of poverty to regions of prosperity which can lead to increased social tensions" (p. vi). The EU is of course well aware of this, affected as it currently by the largest refugee crisis in recent history.</w:t>
      </w:r>
    </w:p>
    <w:p>
      <w:pPr>
        <w:autoSpaceDE w:val="0"/>
        <w:autoSpaceDN w:val="0"/>
        <w:spacing w:after="120" w:line="240" w:lineRule="auto"/>
        <w:jc w:val="both"/>
        <w:rPr>
          <w:rFonts w:ascii="Times New Roman" w:hAnsi="Times New Roman"/>
          <w:noProof/>
          <w:color w:val="000000"/>
          <w:sz w:val="24"/>
          <w:szCs w:val="24"/>
        </w:rPr>
      </w:pPr>
      <w:r>
        <w:rPr>
          <w:rFonts w:ascii="Times New Roman" w:hAnsi="Times New Roman"/>
          <w:noProof/>
          <w:color w:val="000000"/>
          <w:sz w:val="24"/>
          <w:szCs w:val="24"/>
        </w:rPr>
        <w:t xml:space="preserve">Within this context, and as explained in great detail in the introduction to this impact assessment, </w:t>
      </w:r>
      <w:r>
        <w:rPr>
          <w:rFonts w:ascii="Times New Roman" w:hAnsi="Times New Roman"/>
          <w:b/>
          <w:noProof/>
          <w:color w:val="000000"/>
          <w:sz w:val="24"/>
          <w:szCs w:val="24"/>
        </w:rPr>
        <w:t>the PRIMA Joint Programme fits clearly into the European Agenda on Migration and the 'Communication on establishing a new Partnership Framework with third countries</w:t>
      </w:r>
      <w:r>
        <w:rPr>
          <w:rFonts w:ascii="Times New Roman" w:hAnsi="Times New Roman"/>
          <w:noProof/>
          <w:color w:val="000000"/>
          <w:sz w:val="24"/>
          <w:szCs w:val="24"/>
        </w:rPr>
        <w:t xml:space="preserve"> under the European Agenda on Migration' adopted by the Commission on 7 June 2016 (COM(2016)385). In the text of the Communication, research is mentioned explicitly as one of the EU policies that may have a role to play in the wider context of the discussions on migration and in the dedicated agreements that the EU is expected to conclude with the most affected third countries.</w:t>
      </w:r>
    </w:p>
    <w:p>
      <w:pPr>
        <w:autoSpaceDE w:val="0"/>
        <w:autoSpaceDN w:val="0"/>
        <w:spacing w:after="120" w:line="240" w:lineRule="auto"/>
        <w:jc w:val="both"/>
        <w:rPr>
          <w:rFonts w:ascii="Times New Roman" w:hAnsi="Times New Roman"/>
          <w:b/>
          <w:noProof/>
          <w:color w:val="000000"/>
          <w:sz w:val="24"/>
          <w:szCs w:val="24"/>
        </w:rPr>
      </w:pPr>
      <w:r>
        <w:rPr>
          <w:rFonts w:ascii="Times New Roman" w:hAnsi="Times New Roman"/>
          <w:b/>
          <w:noProof/>
          <w:color w:val="000000"/>
          <w:sz w:val="24"/>
          <w:szCs w:val="24"/>
        </w:rPr>
        <w:t>EU external development policy</w:t>
      </w:r>
    </w:p>
    <w:p>
      <w:pPr>
        <w:autoSpaceDE w:val="0"/>
        <w:autoSpaceDN w:val="0"/>
        <w:spacing w:after="120" w:line="240" w:lineRule="auto"/>
        <w:jc w:val="both"/>
        <w:rPr>
          <w:rFonts w:ascii="Times New Roman" w:hAnsi="Times New Roman"/>
          <w:noProof/>
          <w:color w:val="000000"/>
          <w:sz w:val="24"/>
          <w:szCs w:val="24"/>
        </w:rPr>
      </w:pPr>
      <w:r>
        <w:rPr>
          <w:rFonts w:ascii="Times New Roman" w:hAnsi="Times New Roman"/>
          <w:noProof/>
          <w:color w:val="000000"/>
          <w:sz w:val="24"/>
          <w:szCs w:val="24"/>
        </w:rPr>
        <w:t xml:space="preserve">The PRIMA Joint Programme also fits clearly into the EU's efforts to achieve </w:t>
      </w:r>
      <w:r>
        <w:rPr>
          <w:rFonts w:ascii="Times New Roman" w:hAnsi="Times New Roman"/>
          <w:b/>
          <w:noProof/>
          <w:color w:val="000000"/>
          <w:sz w:val="24"/>
          <w:szCs w:val="24"/>
        </w:rPr>
        <w:t>the post-2015 Development Agenda</w:t>
      </w:r>
      <w:r>
        <w:rPr>
          <w:rFonts w:ascii="Times New Roman" w:hAnsi="Times New Roman"/>
          <w:noProof/>
          <w:color w:val="000000"/>
          <w:sz w:val="24"/>
          <w:szCs w:val="24"/>
        </w:rPr>
        <w:t xml:space="preserve"> and the Sustainable Development Goals (SDGs), and, more specifically, SDG #2 "End hunger, achieve food security and improved nutrition and promote sustainable agriculture" and SDG #6 "Ensure availability and sustainable management of water and sanitation for all".</w:t>
      </w:r>
    </w:p>
    <w:p>
      <w:pPr>
        <w:autoSpaceDE w:val="0"/>
        <w:autoSpaceDN w:val="0"/>
        <w:spacing w:after="120" w:line="240" w:lineRule="auto"/>
        <w:jc w:val="both"/>
        <w:rPr>
          <w:rFonts w:ascii="Times New Roman" w:hAnsi="Times New Roman"/>
          <w:b/>
          <w:noProof/>
          <w:color w:val="000000"/>
          <w:sz w:val="24"/>
        </w:rPr>
      </w:pPr>
      <w:r>
        <w:rPr>
          <w:rFonts w:ascii="Times New Roman" w:hAnsi="Times New Roman"/>
          <w:b/>
          <w:noProof/>
          <w:color w:val="000000"/>
          <w:sz w:val="24"/>
          <w:szCs w:val="24"/>
        </w:rPr>
        <w:t>EU sustainability</w:t>
      </w:r>
      <w:r>
        <w:rPr>
          <w:rFonts w:ascii="Times New Roman" w:hAnsi="Times New Roman"/>
          <w:b/>
          <w:noProof/>
          <w:color w:val="000000"/>
          <w:sz w:val="24"/>
        </w:rPr>
        <w:t xml:space="preserve"> policy</w:t>
      </w:r>
    </w:p>
    <w:p>
      <w:pPr>
        <w:autoSpaceDE w:val="0"/>
        <w:autoSpaceDN w:val="0"/>
        <w:spacing w:after="120" w:line="240" w:lineRule="auto"/>
        <w:jc w:val="both"/>
        <w:rPr>
          <w:rFonts w:ascii="Times New Roman" w:hAnsi="Times New Roman"/>
          <w:noProof/>
          <w:color w:val="000000"/>
          <w:sz w:val="24"/>
          <w:szCs w:val="24"/>
        </w:rPr>
      </w:pPr>
      <w:r>
        <w:rPr>
          <w:rFonts w:ascii="Times New Roman" w:hAnsi="Times New Roman"/>
          <w:noProof/>
          <w:color w:val="000000"/>
          <w:sz w:val="24"/>
          <w:szCs w:val="24"/>
        </w:rPr>
        <w:t>The implementation of the SDGs directly connects the PRIMA Joint Programme to EU sustainability policy. There are strong links between the content of the PRIMA Joint Programme and that of the Resource-efficient Europe Flagship Initiative, for its environmental dimension, and that of the European Neighbourhood Programme for Agriculture and Rural Development, for its international cooperation dimension.</w:t>
      </w:r>
    </w:p>
    <w:p>
      <w:pPr>
        <w:autoSpaceDE w:val="0"/>
        <w:autoSpaceDN w:val="0"/>
        <w:spacing w:after="120" w:line="240" w:lineRule="auto"/>
        <w:rPr>
          <w:rFonts w:ascii="Times New Roman" w:hAnsi="Times New Roman"/>
          <w:b/>
          <w:noProof/>
          <w:color w:val="000000"/>
          <w:sz w:val="24"/>
        </w:rPr>
      </w:pPr>
      <w:r>
        <w:rPr>
          <w:rFonts w:ascii="Times New Roman" w:hAnsi="Times New Roman"/>
          <w:b/>
          <w:noProof/>
          <w:color w:val="000000"/>
          <w:sz w:val="24"/>
          <w:szCs w:val="24"/>
        </w:rPr>
        <w:t xml:space="preserve">EU </w:t>
      </w:r>
      <w:r>
        <w:rPr>
          <w:rFonts w:ascii="Times New Roman" w:hAnsi="Times New Roman"/>
          <w:b/>
          <w:noProof/>
          <w:color w:val="000000"/>
          <w:sz w:val="24"/>
        </w:rPr>
        <w:t xml:space="preserve">R&amp;I policy </w:t>
      </w:r>
    </w:p>
    <w:p>
      <w:pPr>
        <w:autoSpaceDE w:val="0"/>
        <w:autoSpaceDN w:val="0"/>
        <w:spacing w:after="120" w:line="240" w:lineRule="auto"/>
        <w:jc w:val="both"/>
        <w:rPr>
          <w:rFonts w:ascii="Times New Roman" w:hAnsi="Times New Roman"/>
          <w:noProof/>
          <w:color w:val="000000"/>
          <w:sz w:val="24"/>
          <w:szCs w:val="24"/>
        </w:rPr>
      </w:pPr>
      <w:r>
        <w:rPr>
          <w:rFonts w:ascii="Times New Roman" w:hAnsi="Times New Roman"/>
          <w:noProof/>
          <w:color w:val="000000"/>
          <w:sz w:val="24"/>
          <w:szCs w:val="24"/>
        </w:rPr>
        <w:t xml:space="preserve">Water and food systems cannot be managed effectively and sustainably if innovative solutions are not developed, implemented and shared among countries. This is where the EU R&amp;I policy dimension, and Horizon 2020 in particular, comes into play. Horizon 2020 and the </w:t>
      </w:r>
      <w:r>
        <w:rPr>
          <w:rFonts w:ascii="Times New Roman" w:hAnsi="Times New Roman"/>
          <w:b/>
          <w:noProof/>
          <w:color w:val="000000"/>
          <w:sz w:val="24"/>
          <w:szCs w:val="24"/>
        </w:rPr>
        <w:t>"Open to the world" political priority of Commissioner Moedas</w:t>
      </w:r>
      <w:r>
        <w:rPr>
          <w:rFonts w:ascii="Times New Roman" w:hAnsi="Times New Roman"/>
          <w:noProof/>
          <w:color w:val="000000"/>
          <w:sz w:val="24"/>
          <w:szCs w:val="24"/>
        </w:rPr>
        <w:t xml:space="preserve"> have been identified by PRIMA proposers as the most appropriate instruments for tackling the challenges raised by the initiative and allowing PRIMA to achieve impact that goes beyond the single R&amp;I policy dimension.</w:t>
      </w:r>
    </w:p>
    <w:p>
      <w:pPr>
        <w:autoSpaceDE w:val="0"/>
        <w:autoSpaceDN w:val="0"/>
        <w:adjustRightInd w:val="0"/>
        <w:spacing w:after="120" w:line="240" w:lineRule="auto"/>
        <w:jc w:val="both"/>
        <w:rPr>
          <w:rFonts w:ascii="Times New Roman" w:hAnsi="Times New Roman"/>
          <w:noProof/>
          <w:color w:val="000000"/>
          <w:sz w:val="24"/>
          <w:szCs w:val="24"/>
        </w:rPr>
      </w:pPr>
    </w:p>
    <w:p>
      <w:pPr>
        <w:pStyle w:val="Heading1"/>
        <w:numPr>
          <w:ilvl w:val="1"/>
          <w:numId w:val="7"/>
        </w:numPr>
        <w:spacing w:before="0" w:after="100"/>
        <w:rPr>
          <w:rFonts w:ascii="Times New Roman" w:hAnsi="Times New Roman"/>
          <w:noProof/>
          <w:color w:val="auto"/>
          <w:sz w:val="24"/>
          <w:szCs w:val="24"/>
        </w:rPr>
      </w:pPr>
      <w:bookmarkStart w:id="21" w:name="_Toc457466033"/>
      <w:r>
        <w:rPr>
          <w:rFonts w:ascii="Times New Roman" w:hAnsi="Times New Roman"/>
          <w:noProof/>
          <w:color w:val="auto"/>
          <w:sz w:val="24"/>
          <w:szCs w:val="24"/>
        </w:rPr>
        <w:t>How would the problem evolve, all things being equal?</w:t>
      </w:r>
      <w:bookmarkEnd w:id="21"/>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Without additional initiatives aimed at increasing R&amp;I investment and collaboration with respect to water provision and food systems in the Mediterranean area, </w:t>
      </w:r>
      <w:r>
        <w:rPr>
          <w:rFonts w:ascii="Times New Roman" w:hAnsi="Times New Roman"/>
          <w:b/>
          <w:noProof/>
          <w:sz w:val="24"/>
          <w:szCs w:val="24"/>
        </w:rPr>
        <w:t>the current R&amp;I initiatives using EU instruments and the current bilateral cooperation will not be sufficient to address the current water and food stress in Mediterranean area</w:t>
      </w:r>
      <w:r>
        <w:rPr>
          <w:rFonts w:ascii="Times New Roman" w:hAnsi="Times New Roman"/>
          <w:noProof/>
          <w:sz w:val="24"/>
          <w:szCs w:val="24"/>
        </w:rPr>
        <w:t>. In fact, global competition for access to natural resources will continue to intensify, as will the associated risks: market volatility, geo-political tensions and instability. The large-scale exploitation and extraction of natural resources will still be highly concentrated in a small number of producer countries. According to EuroMed 2030</w:t>
      </w:r>
      <w:r>
        <w:rPr>
          <w:rStyle w:val="FootnoteReference"/>
          <w:noProof/>
        </w:rPr>
        <w:footnoteReference w:id="38"/>
      </w:r>
      <w:r>
        <w:rPr>
          <w:rFonts w:ascii="Times New Roman" w:hAnsi="Times New Roman"/>
          <w:noProof/>
          <w:sz w:val="24"/>
          <w:szCs w:val="24"/>
        </w:rPr>
        <w:t xml:space="preserve">, managing scarcity will be the principal challenge for the food and water supply by 2030. </w:t>
      </w:r>
    </w:p>
    <w:p>
      <w:pPr>
        <w:spacing w:after="120" w:line="240" w:lineRule="auto"/>
        <w:jc w:val="both"/>
        <w:rPr>
          <w:rFonts w:ascii="Times New Roman" w:hAnsi="Times New Roman"/>
          <w:noProof/>
          <w:sz w:val="24"/>
          <w:szCs w:val="24"/>
        </w:rPr>
      </w:pPr>
      <w:r>
        <w:rPr>
          <w:rFonts w:ascii="Times New Roman" w:hAnsi="Times New Roman"/>
          <w:noProof/>
          <w:sz w:val="24"/>
          <w:szCs w:val="24"/>
        </w:rPr>
        <w:t>In addition, climate change and demographic trends place additional pressures on the natural resources of the Mediterranean region and on the capacity of countries to provide affordable food and quality drinking water to an increasing population.</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It can be expected that without additional action, on-going activities to coordinate the programming of R&amp;I policies (e.g. ERA-NETs) related to water provision and food systems in the Mediterranean countries will be finalised before 2018. Funding for R&amp;I projects will likely continue without a specific focus on food water provision and food systems in the Mediterranean area. </w:t>
      </w:r>
    </w:p>
    <w:p>
      <w:pPr>
        <w:autoSpaceDE w:val="0"/>
        <w:autoSpaceDN w:val="0"/>
        <w:spacing w:after="120" w:line="240" w:lineRule="auto"/>
        <w:jc w:val="both"/>
        <w:rPr>
          <w:rFonts w:ascii="Times New Roman" w:hAnsi="Times New Roman"/>
          <w:noProof/>
          <w:sz w:val="24"/>
          <w:szCs w:val="24"/>
        </w:rPr>
      </w:pPr>
      <w:r>
        <w:rPr>
          <w:rFonts w:ascii="Times New Roman" w:hAnsi="Times New Roman"/>
          <w:noProof/>
          <w:sz w:val="24"/>
          <w:szCs w:val="24"/>
        </w:rPr>
        <w:t>Overall, even though it is difficult to make projections with respect to future calls, it could be assumed that the level of investment from Horizon 2020 will be comparable to that of FP7.</w:t>
      </w:r>
    </w:p>
    <w:p>
      <w:pPr>
        <w:spacing w:after="120" w:line="240" w:lineRule="auto"/>
        <w:jc w:val="both"/>
        <w:rPr>
          <w:rFonts w:ascii="Times New Roman" w:hAnsi="Times New Roman"/>
          <w:noProof/>
          <w:sz w:val="24"/>
          <w:szCs w:val="24"/>
        </w:rPr>
      </w:pPr>
      <w:r>
        <w:rPr>
          <w:rFonts w:ascii="Times New Roman" w:hAnsi="Times New Roman"/>
          <w:noProof/>
          <w:sz w:val="24"/>
          <w:szCs w:val="24"/>
        </w:rPr>
        <w:t>Concerning FP7 (2007-2013), an analysis has been provided in Annex 5 showing the participation of entities from Mediterranean third countries in projects relevant to water provision and food systems. It can be concluded that:</w:t>
      </w:r>
    </w:p>
    <w:p>
      <w:pPr>
        <w:pStyle w:val="ListParagraph"/>
        <w:numPr>
          <w:ilvl w:val="0"/>
          <w:numId w:val="49"/>
        </w:numPr>
        <w:spacing w:after="120" w:line="240" w:lineRule="auto"/>
        <w:rPr>
          <w:rFonts w:ascii="Times New Roman" w:hAnsi="Times New Roman"/>
          <w:noProof/>
          <w:sz w:val="24"/>
          <w:szCs w:val="24"/>
        </w:rPr>
      </w:pPr>
      <w:r>
        <w:rPr>
          <w:rFonts w:ascii="Times New Roman" w:hAnsi="Times New Roman"/>
          <w:noProof/>
          <w:sz w:val="24"/>
          <w:szCs w:val="24"/>
        </w:rPr>
        <w:t>Over the course of the seven years of FP7, a total of 151 projects, with a total budget of 408 million EUR, were funded;</w:t>
      </w:r>
    </w:p>
    <w:p>
      <w:pPr>
        <w:pStyle w:val="ListParagraph"/>
        <w:numPr>
          <w:ilvl w:val="0"/>
          <w:numId w:val="49"/>
        </w:numPr>
        <w:spacing w:after="120" w:line="240" w:lineRule="auto"/>
        <w:rPr>
          <w:rFonts w:ascii="Times New Roman" w:hAnsi="Times New Roman"/>
          <w:noProof/>
          <w:sz w:val="24"/>
          <w:szCs w:val="24"/>
        </w:rPr>
      </w:pPr>
      <w:r>
        <w:rPr>
          <w:rFonts w:ascii="Times New Roman" w:hAnsi="Times New Roman"/>
          <w:noProof/>
          <w:sz w:val="24"/>
          <w:szCs w:val="24"/>
        </w:rPr>
        <w:t>A budget of 31 million EUR was invested in horizontal projects fostering Euro-Mediterranean Co-operation (ERA-NETs and Coordination Actions);</w:t>
      </w:r>
    </w:p>
    <w:p>
      <w:pPr>
        <w:pStyle w:val="ListParagraph"/>
        <w:numPr>
          <w:ilvl w:val="0"/>
          <w:numId w:val="49"/>
        </w:numPr>
        <w:spacing w:after="120" w:line="240" w:lineRule="auto"/>
        <w:rPr>
          <w:rFonts w:ascii="Times New Roman" w:hAnsi="Times New Roman"/>
          <w:noProof/>
          <w:sz w:val="24"/>
          <w:szCs w:val="24"/>
        </w:rPr>
      </w:pPr>
      <w:r>
        <w:rPr>
          <w:rFonts w:ascii="Times New Roman" w:hAnsi="Times New Roman"/>
          <w:noProof/>
          <w:sz w:val="24"/>
          <w:szCs w:val="24"/>
        </w:rPr>
        <w:t>1 million EUR was invested in mobility actions</w:t>
      </w:r>
      <w:r>
        <w:rPr>
          <w:rStyle w:val="FootnoteReference"/>
          <w:rFonts w:ascii="Times New Roman" w:hAnsi="Times New Roman"/>
          <w:noProof/>
          <w:sz w:val="24"/>
          <w:szCs w:val="24"/>
        </w:rPr>
        <w:footnoteReference w:id="39"/>
      </w:r>
      <w:r>
        <w:rPr>
          <w:rFonts w:ascii="Times New Roman" w:hAnsi="Times New Roman"/>
          <w:noProof/>
          <w:sz w:val="24"/>
          <w:szCs w:val="24"/>
        </w:rPr>
        <w:t>.</w:t>
      </w:r>
    </w:p>
    <w:p>
      <w:pPr>
        <w:autoSpaceDE w:val="0"/>
        <w:autoSpaceDN w:val="0"/>
        <w:adjustRightInd w:val="0"/>
        <w:spacing w:after="120" w:line="240" w:lineRule="auto"/>
        <w:jc w:val="both"/>
        <w:rPr>
          <w:rFonts w:ascii="Times New Roman" w:hAnsi="Times New Roman"/>
          <w:noProof/>
          <w:sz w:val="24"/>
          <w:szCs w:val="24"/>
        </w:rPr>
      </w:pPr>
      <w:r>
        <w:rPr>
          <w:rFonts w:ascii="Times New Roman" w:hAnsi="Times New Roman"/>
          <w:noProof/>
          <w:sz w:val="24"/>
          <w:szCs w:val="24"/>
        </w:rPr>
        <w:t>Under Horizon 2020, the current EU Framework Programme for Research and Innovation</w:t>
      </w:r>
      <w:r>
        <w:rPr>
          <w:rStyle w:val="FootnoteReference"/>
          <w:rFonts w:ascii="Times New Roman" w:hAnsi="Times New Roman"/>
          <w:noProof/>
          <w:sz w:val="24"/>
          <w:szCs w:val="24"/>
          <w:lang w:eastAsia="en-GB"/>
        </w:rPr>
        <w:footnoteReference w:id="40"/>
      </w:r>
      <w:r>
        <w:rPr>
          <w:rFonts w:ascii="Times New Roman" w:hAnsi="Times New Roman"/>
          <w:noProof/>
          <w:sz w:val="24"/>
          <w:szCs w:val="24"/>
        </w:rPr>
        <w:t>, 13 out of the 19 countries involved in the PRIMA Joint Programme participate in actions related to water scarcity, irrigation, water saving, sustainable water, sustainable agriculture, agro food, and the food industry. These activities include different kind of instruments foreseen under Horizon 2020, including R&amp;I actions and SME instrument actions.</w:t>
      </w:r>
    </w:p>
    <w:p>
      <w:pPr>
        <w:autoSpaceDE w:val="0"/>
        <w:autoSpaceDN w:val="0"/>
        <w:adjustRightInd w:val="0"/>
        <w:spacing w:after="120" w:line="240" w:lineRule="auto"/>
        <w:jc w:val="both"/>
        <w:rPr>
          <w:rFonts w:ascii="Times New Roman" w:hAnsi="Times New Roman"/>
          <w:noProof/>
          <w:sz w:val="24"/>
          <w:szCs w:val="24"/>
        </w:rPr>
      </w:pPr>
      <w:r>
        <w:rPr>
          <w:rFonts w:ascii="Times New Roman" w:hAnsi="Times New Roman"/>
          <w:b/>
          <w:noProof/>
          <w:sz w:val="24"/>
          <w:szCs w:val="24"/>
        </w:rPr>
        <w:t>To date, none of the Horizon 2020 actions involving Mediterranean countries cover integrated R&amp;I activities on water provision and food systems</w:t>
      </w:r>
      <w:r>
        <w:rPr>
          <w:rFonts w:ascii="Times New Roman" w:hAnsi="Times New Roman"/>
          <w:noProof/>
          <w:sz w:val="24"/>
          <w:szCs w:val="24"/>
        </w:rPr>
        <w:t xml:space="preserve">, however. Opportunities for R&amp;I topics tackling water provision and agro-food production might continue to be provided under Horizon 2020, mainly under Societal Challenges 2 and 5, but it is unlikely that they would address comprehensively and specifically R&amp;I on water provision and food systems in the Mediterranean countries. </w:t>
      </w:r>
    </w:p>
    <w:p>
      <w:pPr>
        <w:autoSpaceDE w:val="0"/>
        <w:autoSpaceDN w:val="0"/>
        <w:spacing w:after="120" w:line="240" w:lineRule="auto"/>
        <w:jc w:val="both"/>
        <w:rPr>
          <w:rFonts w:ascii="Times New Roman" w:hAnsi="Times New Roman"/>
          <w:noProof/>
          <w:sz w:val="24"/>
          <w:szCs w:val="24"/>
        </w:rPr>
      </w:pPr>
      <w:r>
        <w:rPr>
          <w:rFonts w:ascii="Times New Roman" w:hAnsi="Times New Roman"/>
          <w:noProof/>
          <w:sz w:val="24"/>
          <w:szCs w:val="24"/>
        </w:rPr>
        <w:t xml:space="preserve">Based on the current situation under Horizon 2020 in the first two calls for proposals launched </w:t>
      </w:r>
      <w:r>
        <w:rPr>
          <w:rFonts w:ascii="Times New Roman" w:hAnsi="Times New Roman"/>
          <w:noProof/>
          <w:sz w:val="24"/>
          <w:szCs w:val="24"/>
          <w:u w:val="single"/>
        </w:rPr>
        <w:t>only under SC5 and SC2</w:t>
      </w:r>
      <w:r>
        <w:rPr>
          <w:rFonts w:ascii="Times New Roman" w:hAnsi="Times New Roman"/>
          <w:noProof/>
          <w:sz w:val="24"/>
          <w:szCs w:val="24"/>
        </w:rPr>
        <w:t>, the number of Mediterranean Countries covered by R&amp;I food and water EC funding are 8 Member states and 4 third countries</w:t>
      </w:r>
      <w:r>
        <w:rPr>
          <w:rStyle w:val="FootnoteReference"/>
          <w:rFonts w:ascii="Times New Roman" w:hAnsi="Times New Roman"/>
          <w:noProof/>
          <w:sz w:val="24"/>
          <w:szCs w:val="24"/>
        </w:rPr>
        <w:footnoteReference w:id="41"/>
      </w:r>
      <w:r>
        <w:rPr>
          <w:rFonts w:ascii="Times New Roman" w:hAnsi="Times New Roman"/>
          <w:noProof/>
          <w:sz w:val="24"/>
          <w:szCs w:val="24"/>
        </w:rPr>
        <w:t xml:space="preserve">. </w:t>
      </w:r>
    </w:p>
    <w:p>
      <w:pPr>
        <w:autoSpaceDE w:val="0"/>
        <w:autoSpaceDN w:val="0"/>
        <w:spacing w:after="120" w:line="240" w:lineRule="auto"/>
        <w:jc w:val="both"/>
        <w:rPr>
          <w:rFonts w:ascii="Times New Roman" w:hAnsi="Times New Roman"/>
          <w:noProof/>
          <w:sz w:val="24"/>
          <w:szCs w:val="24"/>
        </w:rPr>
      </w:pPr>
      <w:r>
        <w:rPr>
          <w:rFonts w:ascii="Times New Roman" w:hAnsi="Times New Roman"/>
          <w:noProof/>
          <w:sz w:val="24"/>
          <w:szCs w:val="24"/>
        </w:rPr>
        <w:t>It may be concluded that:</w:t>
      </w:r>
    </w:p>
    <w:p>
      <w:pPr>
        <w:pStyle w:val="ListParagraph"/>
        <w:numPr>
          <w:ilvl w:val="0"/>
          <w:numId w:val="51"/>
        </w:numPr>
        <w:autoSpaceDE w:val="0"/>
        <w:autoSpaceDN w:val="0"/>
        <w:spacing w:after="120" w:line="240" w:lineRule="auto"/>
        <w:rPr>
          <w:rFonts w:ascii="Times New Roman" w:hAnsi="Times New Roman"/>
          <w:noProof/>
          <w:sz w:val="24"/>
          <w:szCs w:val="24"/>
        </w:rPr>
      </w:pPr>
      <w:r>
        <w:rPr>
          <w:rFonts w:ascii="Times New Roman" w:hAnsi="Times New Roman"/>
          <w:noProof/>
          <w:sz w:val="24"/>
          <w:szCs w:val="24"/>
        </w:rPr>
        <w:t>In Horizon 2020, the situation of the participation of Third Countries should be improved compared to FP7, and</w:t>
      </w:r>
    </w:p>
    <w:p>
      <w:pPr>
        <w:pStyle w:val="ListParagraph"/>
        <w:numPr>
          <w:ilvl w:val="0"/>
          <w:numId w:val="51"/>
        </w:numPr>
        <w:autoSpaceDE w:val="0"/>
        <w:autoSpaceDN w:val="0"/>
        <w:spacing w:after="120" w:line="240" w:lineRule="auto"/>
        <w:rPr>
          <w:rFonts w:ascii="Times New Roman" w:hAnsi="Times New Roman"/>
          <w:noProof/>
          <w:sz w:val="24"/>
          <w:szCs w:val="24"/>
        </w:rPr>
      </w:pPr>
      <w:r>
        <w:rPr>
          <w:rFonts w:ascii="Times New Roman" w:hAnsi="Times New Roman"/>
          <w:noProof/>
          <w:sz w:val="24"/>
          <w:szCs w:val="24"/>
        </w:rPr>
        <w:t xml:space="preserve">It could be assumed that this trend is likely to persist under the baseline scenario. </w:t>
      </w:r>
    </w:p>
    <w:p>
      <w:pPr>
        <w:autoSpaceDE w:val="0"/>
        <w:autoSpaceDN w:val="0"/>
        <w:spacing w:after="120" w:line="240" w:lineRule="auto"/>
        <w:jc w:val="both"/>
        <w:rPr>
          <w:rFonts w:ascii="Times New Roman" w:hAnsi="Times New Roman"/>
          <w:noProof/>
          <w:sz w:val="24"/>
          <w:szCs w:val="24"/>
        </w:rPr>
      </w:pPr>
      <w:r>
        <w:rPr>
          <w:rFonts w:ascii="Times New Roman" w:hAnsi="Times New Roman"/>
          <w:noProof/>
          <w:sz w:val="24"/>
          <w:szCs w:val="24"/>
        </w:rPr>
        <w:t>As for existing transnational initiatives, some activities might be carried out related to water provision and food systems. Few of these initiatives, however, have a strong focus on R&amp;I activities and this is unlikely to change in the future. Some examples are the World Bank's Water Partnership Programs, particularly through IFAD (International Fund of Agriculture and Development); the Water Demand Initiative for the Middle East and North Africa (WaDImena), coordinated by the International Development Research Centre and supported by the International Fund for Agricultural Development; FAO's regional Initiative on Water Scarcity in the Near East and North Africa;</w:t>
      </w:r>
      <w:r>
        <w:rPr>
          <w:rStyle w:val="hvr"/>
          <w:rFonts w:ascii="Times New Roman" w:hAnsi="Times New Roman"/>
          <w:noProof/>
          <w:sz w:val="24"/>
          <w:szCs w:val="24"/>
        </w:rPr>
        <w:t xml:space="preserve"> the Consultative</w:t>
      </w:r>
      <w:r>
        <w:rPr>
          <w:rFonts w:ascii="Times New Roman" w:hAnsi="Times New Roman"/>
          <w:noProof/>
          <w:sz w:val="24"/>
          <w:szCs w:val="24"/>
        </w:rPr>
        <w:t xml:space="preserve"> </w:t>
      </w:r>
      <w:r>
        <w:rPr>
          <w:rStyle w:val="hvr"/>
          <w:rFonts w:ascii="Times New Roman" w:hAnsi="Times New Roman"/>
          <w:noProof/>
          <w:sz w:val="24"/>
          <w:szCs w:val="24"/>
        </w:rPr>
        <w:t>Group</w:t>
      </w:r>
      <w:r>
        <w:rPr>
          <w:rFonts w:ascii="Times New Roman" w:hAnsi="Times New Roman"/>
          <w:noProof/>
          <w:sz w:val="24"/>
          <w:szCs w:val="24"/>
        </w:rPr>
        <w:t xml:space="preserve"> on </w:t>
      </w:r>
      <w:r>
        <w:rPr>
          <w:rStyle w:val="hvr"/>
          <w:rFonts w:ascii="Times New Roman" w:hAnsi="Times New Roman"/>
          <w:noProof/>
          <w:sz w:val="24"/>
          <w:szCs w:val="24"/>
        </w:rPr>
        <w:t>International</w:t>
      </w:r>
      <w:r>
        <w:rPr>
          <w:rFonts w:ascii="Times New Roman" w:hAnsi="Times New Roman"/>
          <w:noProof/>
          <w:sz w:val="24"/>
          <w:szCs w:val="24"/>
        </w:rPr>
        <w:t xml:space="preserve"> </w:t>
      </w:r>
      <w:r>
        <w:rPr>
          <w:rStyle w:val="hvr"/>
          <w:rFonts w:ascii="Times New Roman" w:hAnsi="Times New Roman"/>
          <w:noProof/>
          <w:sz w:val="24"/>
          <w:szCs w:val="24"/>
        </w:rPr>
        <w:t>Agricultural</w:t>
      </w:r>
      <w:r>
        <w:rPr>
          <w:rFonts w:ascii="Times New Roman" w:hAnsi="Times New Roman"/>
          <w:noProof/>
          <w:sz w:val="24"/>
          <w:szCs w:val="24"/>
        </w:rPr>
        <w:t xml:space="preserve"> </w:t>
      </w:r>
      <w:r>
        <w:rPr>
          <w:rStyle w:val="hvr"/>
          <w:rFonts w:ascii="Times New Roman" w:hAnsi="Times New Roman"/>
          <w:noProof/>
          <w:sz w:val="24"/>
          <w:szCs w:val="24"/>
        </w:rPr>
        <w:t>Research (</w:t>
      </w:r>
      <w:r>
        <w:rPr>
          <w:rFonts w:ascii="Times New Roman" w:hAnsi="Times New Roman"/>
          <w:noProof/>
          <w:sz w:val="24"/>
          <w:szCs w:val="24"/>
        </w:rPr>
        <w:t>CGIAR</w:t>
      </w:r>
      <w:r>
        <w:rPr>
          <w:rStyle w:val="FootnoteReference"/>
          <w:rFonts w:ascii="Times New Roman" w:hAnsi="Times New Roman"/>
          <w:noProof/>
          <w:sz w:val="24"/>
          <w:szCs w:val="24"/>
        </w:rPr>
        <w:footnoteReference w:id="42"/>
      </w:r>
      <w:r>
        <w:rPr>
          <w:rFonts w:ascii="Times New Roman" w:hAnsi="Times New Roman"/>
          <w:noProof/>
          <w:sz w:val="24"/>
          <w:szCs w:val="24"/>
        </w:rPr>
        <w:t xml:space="preserve">) and the </w:t>
      </w:r>
      <w:r>
        <w:rPr>
          <w:rStyle w:val="st"/>
          <w:rFonts w:ascii="Times New Roman" w:hAnsi="Times New Roman"/>
          <w:noProof/>
          <w:sz w:val="24"/>
          <w:szCs w:val="24"/>
        </w:rPr>
        <w:t>International Center for Agricultural Research in the Dry Areas (</w:t>
      </w:r>
      <w:r>
        <w:rPr>
          <w:rFonts w:ascii="Times New Roman" w:hAnsi="Times New Roman"/>
          <w:noProof/>
          <w:sz w:val="24"/>
          <w:szCs w:val="24"/>
        </w:rPr>
        <w:t>ICARDA</w:t>
      </w:r>
      <w:r>
        <w:rPr>
          <w:rStyle w:val="FootnoteReference"/>
          <w:rFonts w:ascii="Times New Roman" w:hAnsi="Times New Roman"/>
          <w:noProof/>
          <w:sz w:val="24"/>
          <w:szCs w:val="24"/>
        </w:rPr>
        <w:footnoteReference w:id="43"/>
      </w:r>
      <w:r>
        <w:rPr>
          <w:rFonts w:ascii="Times New Roman" w:hAnsi="Times New Roman"/>
          <w:noProof/>
          <w:sz w:val="24"/>
          <w:szCs w:val="24"/>
        </w:rPr>
        <w:t>); and Plan Bleu</w:t>
      </w:r>
      <w:r>
        <w:rPr>
          <w:rStyle w:val="FootnoteReference"/>
          <w:rFonts w:ascii="Times New Roman" w:hAnsi="Times New Roman"/>
          <w:noProof/>
          <w:sz w:val="24"/>
          <w:szCs w:val="24"/>
        </w:rPr>
        <w:footnoteReference w:id="44"/>
      </w:r>
      <w:r>
        <w:rPr>
          <w:rFonts w:ascii="Times New Roman" w:hAnsi="Times New Roman"/>
          <w:noProof/>
          <w:sz w:val="24"/>
          <w:szCs w:val="24"/>
        </w:rPr>
        <w:t>.</w:t>
      </w:r>
    </w:p>
    <w:p>
      <w:pPr>
        <w:spacing w:after="120" w:line="240" w:lineRule="auto"/>
        <w:jc w:val="both"/>
        <w:rPr>
          <w:rFonts w:ascii="Times New Roman" w:hAnsi="Times New Roman"/>
          <w:noProof/>
          <w:sz w:val="24"/>
        </w:rPr>
      </w:pPr>
      <w:bookmarkStart w:id="22" w:name="_Toc452823878"/>
      <w:bookmarkStart w:id="23" w:name="_Toc452824048"/>
      <w:bookmarkStart w:id="24" w:name="_Toc452824217"/>
      <w:bookmarkStart w:id="25" w:name="_Toc452823879"/>
      <w:bookmarkStart w:id="26" w:name="_Toc452824049"/>
      <w:bookmarkStart w:id="27" w:name="_Toc452824218"/>
      <w:bookmarkStart w:id="28" w:name="_Toc452823880"/>
      <w:bookmarkStart w:id="29" w:name="_Toc452824050"/>
      <w:bookmarkStart w:id="30" w:name="_Toc452824219"/>
      <w:bookmarkStart w:id="31" w:name="_Toc452823881"/>
      <w:bookmarkStart w:id="32" w:name="_Toc452824051"/>
      <w:bookmarkStart w:id="33" w:name="_Toc452824220"/>
      <w:bookmarkStart w:id="34" w:name="_Toc452823882"/>
      <w:bookmarkStart w:id="35" w:name="_Toc452824052"/>
      <w:bookmarkStart w:id="36" w:name="_Toc452824221"/>
      <w:bookmarkStart w:id="37" w:name="_Toc452823883"/>
      <w:bookmarkStart w:id="38" w:name="_Toc452824053"/>
      <w:bookmarkStart w:id="39" w:name="_Toc452824222"/>
      <w:bookmarkStart w:id="40" w:name="_Toc452823884"/>
      <w:bookmarkStart w:id="41" w:name="_Toc452824054"/>
      <w:bookmarkStart w:id="42" w:name="_Toc452824223"/>
      <w:bookmarkStart w:id="43" w:name="_Toc452823885"/>
      <w:bookmarkStart w:id="44" w:name="_Toc452824055"/>
      <w:bookmarkStart w:id="45" w:name="_Toc452824224"/>
      <w:bookmarkStart w:id="46" w:name="_Toc452382082"/>
      <w:bookmarkStart w:id="47" w:name="_Toc452450344"/>
      <w:bookmarkStart w:id="48" w:name="_Toc452475736"/>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pPr>
        <w:pStyle w:val="Heading1"/>
        <w:numPr>
          <w:ilvl w:val="1"/>
          <w:numId w:val="7"/>
        </w:numPr>
        <w:spacing w:before="0" w:after="100" w:line="240" w:lineRule="auto"/>
        <w:rPr>
          <w:rFonts w:ascii="Times New Roman" w:hAnsi="Times New Roman"/>
          <w:noProof/>
          <w:color w:val="auto"/>
          <w:sz w:val="24"/>
          <w:szCs w:val="24"/>
        </w:rPr>
      </w:pPr>
      <w:bookmarkStart w:id="49" w:name="_Toc457466034"/>
      <w:r>
        <w:rPr>
          <w:rFonts w:ascii="Times New Roman" w:hAnsi="Times New Roman"/>
          <w:noProof/>
          <w:color w:val="auto"/>
          <w:sz w:val="24"/>
          <w:szCs w:val="24"/>
        </w:rPr>
        <w:t>Fitness check /retrospective evaluation</w:t>
      </w:r>
      <w:bookmarkEnd w:id="49"/>
      <w:r>
        <w:rPr>
          <w:rFonts w:ascii="Times New Roman" w:hAnsi="Times New Roman"/>
          <w:noProof/>
          <w:color w:val="auto"/>
          <w:sz w:val="24"/>
          <w:szCs w:val="24"/>
        </w:rPr>
        <w:t xml:space="preserve"> </w:t>
      </w:r>
    </w:p>
    <w:p>
      <w:pPr>
        <w:spacing w:after="120" w:line="240" w:lineRule="auto"/>
        <w:jc w:val="both"/>
        <w:rPr>
          <w:noProof/>
        </w:rPr>
      </w:pPr>
      <w:r>
        <w:rPr>
          <w:rFonts w:ascii="Times New Roman" w:hAnsi="Times New Roman"/>
          <w:noProof/>
          <w:sz w:val="24"/>
          <w:szCs w:val="24"/>
        </w:rPr>
        <w:t>There is no fitness check/retrospective evaluation carried out under the existing policy framework, targeting specifically R&amp;I activities on water provision and food systems in the Mediterranean area.</w:t>
      </w:r>
      <w:r>
        <w:rPr>
          <w:noProof/>
        </w:rPr>
        <w:br w:type="page"/>
      </w:r>
    </w:p>
    <w:tbl>
      <w:tblPr>
        <w:tblW w:w="0" w:type="auto"/>
        <w:shd w:val="clear" w:color="auto" w:fill="F2F2F2" w:themeFill="background1" w:themeFillShade="F2"/>
        <w:tblLook w:val="04A0" w:firstRow="1" w:lastRow="0" w:firstColumn="1" w:lastColumn="0" w:noHBand="0" w:noVBand="1"/>
      </w:tblPr>
      <w:tblGrid>
        <w:gridCol w:w="9747"/>
      </w:tblGrid>
      <w:tr>
        <w:tc>
          <w:tcPr>
            <w:tcW w:w="9747" w:type="dxa"/>
            <w:shd w:val="clear" w:color="auto" w:fill="F2F2F2" w:themeFill="background1" w:themeFillShade="F2"/>
          </w:tcPr>
          <w:p>
            <w:pPr>
              <w:pStyle w:val="ListParagraph"/>
              <w:keepNext/>
              <w:keepLines/>
              <w:numPr>
                <w:ilvl w:val="0"/>
                <w:numId w:val="7"/>
              </w:numPr>
              <w:spacing w:before="120" w:after="120" w:line="240" w:lineRule="auto"/>
              <w:contextualSpacing w:val="0"/>
              <w:jc w:val="left"/>
              <w:outlineLvl w:val="0"/>
              <w:rPr>
                <w:rFonts w:ascii="Times New Roman" w:hAnsi="Times New Roman"/>
                <w:b/>
                <w:noProof/>
                <w:sz w:val="24"/>
                <w:szCs w:val="24"/>
              </w:rPr>
            </w:pPr>
            <w:bookmarkStart w:id="50" w:name="_Toc457466035"/>
            <w:r>
              <w:rPr>
                <w:rFonts w:ascii="Times New Roman" w:hAnsi="Times New Roman"/>
                <w:b/>
                <w:noProof/>
                <w:sz w:val="24"/>
                <w:szCs w:val="24"/>
              </w:rPr>
              <w:t>Section 2. Why should the EU act?</w:t>
            </w:r>
            <w:bookmarkEnd w:id="50"/>
          </w:p>
        </w:tc>
      </w:tr>
    </w:tbl>
    <w:p>
      <w:pPr>
        <w:pStyle w:val="Heading1"/>
        <w:numPr>
          <w:ilvl w:val="1"/>
          <w:numId w:val="7"/>
        </w:numPr>
        <w:spacing w:before="120" w:after="120"/>
        <w:jc w:val="both"/>
        <w:rPr>
          <w:rFonts w:ascii="Times New Roman" w:hAnsi="Times New Roman"/>
          <w:noProof/>
          <w:color w:val="auto"/>
          <w:sz w:val="24"/>
          <w:szCs w:val="24"/>
        </w:rPr>
      </w:pPr>
      <w:bookmarkStart w:id="51" w:name="_Toc455571117"/>
      <w:bookmarkStart w:id="52" w:name="_Toc457466036"/>
      <w:r>
        <w:rPr>
          <w:rFonts w:ascii="Times New Roman" w:hAnsi="Times New Roman"/>
          <w:noProof/>
          <w:color w:val="auto"/>
          <w:sz w:val="24"/>
          <w:szCs w:val="24"/>
        </w:rPr>
        <w:t>EU right to act</w:t>
      </w:r>
      <w:bookmarkEnd w:id="51"/>
      <w:bookmarkEnd w:id="52"/>
    </w:p>
    <w:p>
      <w:pPr>
        <w:autoSpaceDE w:val="0"/>
        <w:autoSpaceDN w:val="0"/>
        <w:adjustRightInd w:val="0"/>
        <w:spacing w:after="120" w:line="240" w:lineRule="auto"/>
        <w:jc w:val="both"/>
        <w:rPr>
          <w:rFonts w:ascii="Times New Roman" w:hAnsi="Times New Roman"/>
          <w:noProof/>
          <w:sz w:val="24"/>
          <w:szCs w:val="24"/>
        </w:rPr>
      </w:pPr>
      <w:bookmarkStart w:id="53" w:name="_Toc451794764"/>
      <w:bookmarkStart w:id="54" w:name="_Toc451794821"/>
      <w:bookmarkStart w:id="55" w:name="_Toc451794872"/>
      <w:bookmarkStart w:id="56" w:name="_Toc451794923"/>
      <w:bookmarkStart w:id="57" w:name="_Toc451798259"/>
      <w:bookmarkStart w:id="58" w:name="_Toc451794765"/>
      <w:bookmarkStart w:id="59" w:name="_Toc451794822"/>
      <w:bookmarkStart w:id="60" w:name="_Toc451794873"/>
      <w:bookmarkStart w:id="61" w:name="_Toc451794924"/>
      <w:bookmarkStart w:id="62" w:name="_Toc451798260"/>
      <w:bookmarkEnd w:id="53"/>
      <w:bookmarkEnd w:id="54"/>
      <w:bookmarkEnd w:id="55"/>
      <w:bookmarkEnd w:id="56"/>
      <w:bookmarkEnd w:id="57"/>
      <w:bookmarkEnd w:id="58"/>
      <w:bookmarkEnd w:id="59"/>
      <w:bookmarkEnd w:id="60"/>
      <w:bookmarkEnd w:id="61"/>
      <w:bookmarkEnd w:id="62"/>
      <w:r>
        <w:rPr>
          <w:rFonts w:ascii="Times New Roman" w:hAnsi="Times New Roman"/>
          <w:noProof/>
          <w:sz w:val="24"/>
          <w:szCs w:val="24"/>
        </w:rPr>
        <w:t>The EU's right to act in the area of R&amp;I, including through cooperation with t</w:t>
      </w:r>
      <w:r>
        <w:rPr>
          <w:rFonts w:ascii="Times New Roman" w:hAnsi="Times New Roman"/>
          <w:noProof/>
          <w:color w:val="000000"/>
          <w:sz w:val="24"/>
          <w:szCs w:val="24"/>
        </w:rPr>
        <w:t xml:space="preserve">hird countries, </w:t>
      </w:r>
      <w:r>
        <w:rPr>
          <w:rFonts w:ascii="Times New Roman" w:hAnsi="Times New Roman"/>
          <w:noProof/>
          <w:sz w:val="24"/>
          <w:szCs w:val="24"/>
        </w:rPr>
        <w:t>is set out in the Treaty on the Functioning of the European Union (TFEU), which also provides instruments that can be used for such cooperation, see Box 1 for details.</w:t>
      </w:r>
    </w:p>
    <w:p>
      <w:pPr>
        <w:autoSpaceDE w:val="0"/>
        <w:autoSpaceDN w:val="0"/>
        <w:adjustRightInd w:val="0"/>
        <w:spacing w:after="120" w:line="240" w:lineRule="auto"/>
        <w:jc w:val="both"/>
        <w:rPr>
          <w:rFonts w:ascii="Times New Roman" w:hAnsi="Times New Roman"/>
          <w:noProof/>
          <w:sz w:val="24"/>
          <w:szCs w:val="24"/>
        </w:rPr>
      </w:pPr>
      <w:r>
        <w:rPr>
          <w:rFonts w:ascii="Times New Roman" w:hAnsi="Times New Roman"/>
          <w:noProof/>
        </w:rPr>
        <w:t>I</w:t>
      </w:r>
      <w:r>
        <w:rPr>
          <w:rFonts w:ascii="Times New Roman" w:hAnsi="Times New Roman"/>
          <w:bCs/>
          <w:noProof/>
          <w:sz w:val="24"/>
          <w:szCs w:val="24"/>
        </w:rPr>
        <w:t>nternational cooperation in R&amp;I is a key aspect of the EU's global commitments and has an important role to play in the EU partnership with developing countries,</w:t>
      </w:r>
      <w:r>
        <w:rPr>
          <w:rFonts w:ascii="Times New Roman" w:hAnsi="Times New Roman"/>
          <w:noProof/>
          <w:sz w:val="24"/>
          <w:szCs w:val="24"/>
        </w:rPr>
        <w:t xml:space="preserve"> which are often disproportionately affected by global challenges.</w:t>
      </w:r>
      <w:r>
        <w:rPr>
          <w:rStyle w:val="FootnoteReference"/>
          <w:rFonts w:ascii="Times New Roman" w:hAnsi="Times New Roman"/>
          <w:noProof/>
          <w:sz w:val="24"/>
          <w:szCs w:val="24"/>
        </w:rPr>
        <w:footnoteReference w:id="45"/>
      </w:r>
      <w:r>
        <w:rPr>
          <w:rFonts w:ascii="Times New Roman" w:hAnsi="Times New Roman"/>
          <w:noProof/>
          <w:sz w:val="24"/>
          <w:szCs w:val="24"/>
        </w:rPr>
        <w:t xml:space="preserve"> This cooperation can promote inclusive growth and is essential for the achievement of the Sustainable Development Goals as set by the 2030 Agenda for Sustainable Development Goals (SDGs)</w:t>
      </w:r>
      <w:r>
        <w:rPr>
          <w:rStyle w:val="FootnoteReference"/>
          <w:rFonts w:ascii="Times New Roman" w:hAnsi="Times New Roman"/>
          <w:noProof/>
          <w:sz w:val="24"/>
          <w:szCs w:val="24"/>
        </w:rPr>
        <w:footnoteReference w:id="46"/>
      </w:r>
      <w:r>
        <w:rPr>
          <w:rFonts w:ascii="Times New Roman" w:hAnsi="Times New Roman"/>
          <w:noProof/>
          <w:sz w:val="24"/>
          <w:szCs w:val="24"/>
        </w:rPr>
        <w:t xml:space="preserve">. </w:t>
      </w:r>
      <w:r>
        <w:rPr>
          <w:rFonts w:ascii="Times New Roman" w:hAnsi="Times New Roman"/>
          <w:bCs/>
          <w:noProof/>
          <w:sz w:val="24"/>
          <w:szCs w:val="24"/>
        </w:rPr>
        <w:t>Horizon 2020 complies with the principle of general openness, while encouraging reciprocal access to third countries' programmes.</w:t>
      </w:r>
    </w:p>
    <w:p>
      <w:pPr>
        <w:autoSpaceDE w:val="0"/>
        <w:autoSpaceDN w:val="0"/>
        <w:adjustRightInd w:val="0"/>
        <w:spacing w:after="120" w:line="240" w:lineRule="auto"/>
        <w:jc w:val="both"/>
        <w:rPr>
          <w:rFonts w:ascii="Times New Roman" w:hAnsi="Times New Roman"/>
          <w:noProof/>
          <w:sz w:val="24"/>
          <w:szCs w:val="24"/>
        </w:rPr>
      </w:pPr>
    </w:p>
    <w:tbl>
      <w:tblPr>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747"/>
      </w:tblGrid>
      <w:tr>
        <w:tc>
          <w:tcPr>
            <w:tcW w:w="9747" w:type="dxa"/>
            <w:shd w:val="clear" w:color="auto" w:fill="F2F2F2" w:themeFill="background1" w:themeFillShade="F2"/>
          </w:tcPr>
          <w:p>
            <w:pPr>
              <w:autoSpaceDE w:val="0"/>
              <w:autoSpaceDN w:val="0"/>
              <w:adjustRightInd w:val="0"/>
              <w:spacing w:after="120" w:line="240" w:lineRule="auto"/>
              <w:rPr>
                <w:rFonts w:ascii="Times New Roman" w:hAnsi="Times New Roman"/>
                <w:b/>
                <w:noProof/>
              </w:rPr>
            </w:pPr>
            <w:r>
              <w:rPr>
                <w:rFonts w:ascii="Times New Roman" w:hAnsi="Times New Roman"/>
                <w:b/>
                <w:noProof/>
                <w:u w:val="single"/>
              </w:rPr>
              <w:t>BOX 1: EU's right to act in the area of R&amp;I and to collaborate with third countries in the TFEU</w:t>
            </w:r>
          </w:p>
          <w:p>
            <w:pPr>
              <w:pStyle w:val="ListParagraph"/>
              <w:numPr>
                <w:ilvl w:val="0"/>
                <w:numId w:val="2"/>
              </w:numPr>
              <w:autoSpaceDE w:val="0"/>
              <w:autoSpaceDN w:val="0"/>
              <w:adjustRightInd w:val="0"/>
              <w:spacing w:after="120" w:line="240" w:lineRule="auto"/>
              <w:ind w:left="142" w:hanging="142"/>
              <w:rPr>
                <w:rFonts w:ascii="Times New Roman" w:hAnsi="Times New Roman"/>
                <w:noProof/>
                <w:sz w:val="20"/>
                <w:szCs w:val="20"/>
              </w:rPr>
            </w:pPr>
            <w:r>
              <w:rPr>
                <w:rFonts w:ascii="Times New Roman" w:hAnsi="Times New Roman"/>
                <w:b/>
                <w:noProof/>
                <w:sz w:val="20"/>
                <w:szCs w:val="20"/>
              </w:rPr>
              <w:t>Article 4 point 3 TFEU</w:t>
            </w:r>
            <w:r>
              <w:rPr>
                <w:rFonts w:ascii="Times New Roman" w:hAnsi="Times New Roman"/>
                <w:noProof/>
                <w:sz w:val="20"/>
                <w:szCs w:val="20"/>
              </w:rPr>
              <w:t xml:space="preserve"> indicates that in the area of research and technological development, the Union has competence to carry out activities, in particular to define and implement programmes, in parallel with Member States. </w:t>
            </w:r>
          </w:p>
          <w:p>
            <w:pPr>
              <w:pStyle w:val="ListParagraph"/>
              <w:numPr>
                <w:ilvl w:val="0"/>
                <w:numId w:val="2"/>
              </w:numPr>
              <w:autoSpaceDE w:val="0"/>
              <w:autoSpaceDN w:val="0"/>
              <w:adjustRightInd w:val="0"/>
              <w:spacing w:after="120" w:line="240" w:lineRule="auto"/>
              <w:ind w:left="142" w:hanging="142"/>
              <w:rPr>
                <w:rFonts w:ascii="Times New Roman" w:hAnsi="Times New Roman"/>
                <w:noProof/>
                <w:sz w:val="20"/>
                <w:szCs w:val="20"/>
              </w:rPr>
            </w:pPr>
            <w:r>
              <w:rPr>
                <w:rFonts w:ascii="Times New Roman" w:hAnsi="Times New Roman"/>
                <w:b/>
                <w:noProof/>
                <w:sz w:val="20"/>
                <w:szCs w:val="20"/>
              </w:rPr>
              <w:t>Article 180 TFEU</w:t>
            </w:r>
            <w:r>
              <w:rPr>
                <w:rFonts w:ascii="Times New Roman" w:hAnsi="Times New Roman"/>
                <w:noProof/>
                <w:sz w:val="20"/>
                <w:szCs w:val="20"/>
              </w:rPr>
              <w:t xml:space="preserve"> provides that these activities should complement the activities carried out in the Member States and include </w:t>
            </w:r>
            <w:r>
              <w:rPr>
                <w:rFonts w:ascii="Times New Roman" w:hAnsi="Times New Roman"/>
                <w:bCs/>
                <w:noProof/>
                <w:sz w:val="20"/>
                <w:szCs w:val="20"/>
              </w:rPr>
              <w:t>implementation of research, technological development and demonstration programmes, by promoting cooperation with and between undertakings, research centres and universities; promotion of  cooperation in the field of Union research, technological development and demonstration with third countries</w:t>
            </w:r>
            <w:r>
              <w:rPr>
                <w:rFonts w:ascii="Times New Roman" w:hAnsi="Times New Roman"/>
                <w:noProof/>
                <w:sz w:val="20"/>
                <w:szCs w:val="20"/>
              </w:rPr>
              <w:t xml:space="preserve"> and international organisations; dissemination and optimisation of the results of </w:t>
            </w:r>
            <w:r>
              <w:rPr>
                <w:rFonts w:ascii="Times New Roman" w:hAnsi="Times New Roman"/>
                <w:bCs/>
                <w:noProof/>
                <w:sz w:val="20"/>
                <w:szCs w:val="20"/>
              </w:rPr>
              <w:t>activities in Union research, technological development and demonstration;  stimulation of the training and mobility of researchers in the Union</w:t>
            </w:r>
            <w:r>
              <w:rPr>
                <w:rFonts w:ascii="Times New Roman" w:hAnsi="Times New Roman"/>
                <w:noProof/>
                <w:sz w:val="20"/>
                <w:szCs w:val="20"/>
              </w:rPr>
              <w:t xml:space="preserve">. </w:t>
            </w:r>
          </w:p>
          <w:p>
            <w:pPr>
              <w:pStyle w:val="ListParagraph"/>
              <w:numPr>
                <w:ilvl w:val="0"/>
                <w:numId w:val="2"/>
              </w:numPr>
              <w:autoSpaceDE w:val="0"/>
              <w:autoSpaceDN w:val="0"/>
              <w:adjustRightInd w:val="0"/>
              <w:spacing w:after="120" w:line="240" w:lineRule="auto"/>
              <w:ind w:left="142" w:hanging="142"/>
              <w:rPr>
                <w:rFonts w:ascii="Times New Roman" w:hAnsi="Times New Roman"/>
                <w:noProof/>
                <w:sz w:val="20"/>
                <w:szCs w:val="20"/>
              </w:rPr>
            </w:pPr>
            <w:r>
              <w:rPr>
                <w:rFonts w:ascii="Times New Roman" w:hAnsi="Times New Roman"/>
                <w:b/>
                <w:noProof/>
                <w:sz w:val="20"/>
                <w:szCs w:val="20"/>
              </w:rPr>
              <w:t>Article 181</w:t>
            </w:r>
            <w:r>
              <w:rPr>
                <w:rFonts w:ascii="Times New Roman" w:hAnsi="Times New Roman"/>
                <w:noProof/>
                <w:sz w:val="20"/>
                <w:szCs w:val="20"/>
              </w:rPr>
              <w:t xml:space="preserve"> </w:t>
            </w:r>
            <w:r>
              <w:rPr>
                <w:rFonts w:ascii="Times New Roman" w:hAnsi="Times New Roman"/>
                <w:b/>
                <w:noProof/>
                <w:sz w:val="20"/>
                <w:szCs w:val="20"/>
              </w:rPr>
              <w:t>TFEU</w:t>
            </w:r>
            <w:r>
              <w:rPr>
                <w:rFonts w:ascii="Times New Roman" w:hAnsi="Times New Roman"/>
                <w:noProof/>
                <w:sz w:val="20"/>
                <w:szCs w:val="20"/>
              </w:rPr>
              <w:t xml:space="preserve"> provides that "The Union and the Member States shall coordinate their research and technological development activities so as to ensure that national policies and Union policy are mutually consistent". The Commission may, in close cooperation with Member States, take any useful initiative to promote such coordination.</w:t>
            </w:r>
          </w:p>
          <w:p>
            <w:pPr>
              <w:pStyle w:val="ListParagraph"/>
              <w:numPr>
                <w:ilvl w:val="0"/>
                <w:numId w:val="2"/>
              </w:numPr>
              <w:autoSpaceDE w:val="0"/>
              <w:autoSpaceDN w:val="0"/>
              <w:adjustRightInd w:val="0"/>
              <w:spacing w:after="120" w:line="240" w:lineRule="auto"/>
              <w:ind w:left="142" w:hanging="142"/>
              <w:rPr>
                <w:rFonts w:ascii="Times New Roman" w:hAnsi="Times New Roman"/>
                <w:noProof/>
                <w:sz w:val="20"/>
                <w:szCs w:val="20"/>
              </w:rPr>
            </w:pPr>
            <w:r>
              <w:rPr>
                <w:rFonts w:ascii="Times New Roman" w:hAnsi="Times New Roman"/>
                <w:b/>
                <w:noProof/>
                <w:sz w:val="20"/>
                <w:szCs w:val="20"/>
              </w:rPr>
              <w:t>Article 182</w:t>
            </w:r>
            <w:r>
              <w:rPr>
                <w:rFonts w:ascii="Times New Roman" w:hAnsi="Times New Roman"/>
                <w:noProof/>
                <w:sz w:val="20"/>
                <w:szCs w:val="20"/>
              </w:rPr>
              <w:t xml:space="preserve"> </w:t>
            </w:r>
            <w:r>
              <w:rPr>
                <w:rFonts w:ascii="Times New Roman" w:hAnsi="Times New Roman"/>
                <w:b/>
                <w:noProof/>
                <w:sz w:val="20"/>
                <w:szCs w:val="20"/>
              </w:rPr>
              <w:t>TFEU</w:t>
            </w:r>
            <w:r>
              <w:rPr>
                <w:rFonts w:ascii="Times New Roman" w:hAnsi="Times New Roman"/>
                <w:noProof/>
                <w:sz w:val="20"/>
                <w:szCs w:val="20"/>
              </w:rPr>
              <w:t xml:space="preserve"> provides the legal basis for a multiannual framework programme (FP) setting out all the activities of the Union in the area of research, technological development and demonstration.</w:t>
            </w:r>
          </w:p>
          <w:p>
            <w:pPr>
              <w:pStyle w:val="ListParagraph"/>
              <w:numPr>
                <w:ilvl w:val="0"/>
                <w:numId w:val="2"/>
              </w:numPr>
              <w:autoSpaceDE w:val="0"/>
              <w:autoSpaceDN w:val="0"/>
              <w:adjustRightInd w:val="0"/>
              <w:spacing w:after="120" w:line="240" w:lineRule="auto"/>
              <w:ind w:left="142" w:hanging="142"/>
              <w:rPr>
                <w:rFonts w:ascii="Times New Roman" w:hAnsi="Times New Roman"/>
                <w:noProof/>
              </w:rPr>
            </w:pPr>
            <w:r>
              <w:rPr>
                <w:rFonts w:ascii="Times New Roman" w:hAnsi="Times New Roman"/>
                <w:b/>
                <w:noProof/>
                <w:sz w:val="20"/>
                <w:szCs w:val="20"/>
              </w:rPr>
              <w:t>Article 185</w:t>
            </w:r>
            <w:r>
              <w:rPr>
                <w:rFonts w:ascii="Times New Roman" w:hAnsi="Times New Roman"/>
                <w:noProof/>
                <w:sz w:val="20"/>
                <w:szCs w:val="20"/>
              </w:rPr>
              <w:t xml:space="preserve"> </w:t>
            </w:r>
            <w:r>
              <w:rPr>
                <w:rFonts w:ascii="Times New Roman" w:hAnsi="Times New Roman"/>
                <w:b/>
                <w:noProof/>
                <w:sz w:val="20"/>
                <w:szCs w:val="20"/>
              </w:rPr>
              <w:t>TFEU</w:t>
            </w:r>
            <w:r>
              <w:rPr>
                <w:rFonts w:ascii="Times New Roman" w:hAnsi="Times New Roman"/>
                <w:noProof/>
                <w:sz w:val="20"/>
                <w:szCs w:val="20"/>
              </w:rPr>
              <w:t xml:space="preserve"> provides that "In implementing the multiannual framework programme, the Union may make provision, in agreement with the Member States concerned, for participation in research and development programmes undertaken by several Member States, including participation in the structures created for the execution of those programmes". </w:t>
            </w:r>
          </w:p>
          <w:p>
            <w:pPr>
              <w:pStyle w:val="ListParagraph"/>
              <w:numPr>
                <w:ilvl w:val="0"/>
                <w:numId w:val="2"/>
              </w:numPr>
              <w:spacing w:after="120" w:line="240" w:lineRule="auto"/>
              <w:ind w:left="142" w:hanging="142"/>
              <w:rPr>
                <w:rFonts w:ascii="Times New Roman" w:hAnsi="Times New Roman"/>
                <w:noProof/>
              </w:rPr>
            </w:pPr>
            <w:r>
              <w:rPr>
                <w:rFonts w:ascii="Times New Roman" w:hAnsi="Times New Roman"/>
                <w:b/>
                <w:noProof/>
                <w:sz w:val="20"/>
                <w:szCs w:val="20"/>
              </w:rPr>
              <w:t>Article 186</w:t>
            </w:r>
            <w:r>
              <w:rPr>
                <w:rFonts w:ascii="Times New Roman" w:hAnsi="Times New Roman"/>
                <w:noProof/>
                <w:sz w:val="20"/>
                <w:szCs w:val="20"/>
              </w:rPr>
              <w:t xml:space="preserve"> </w:t>
            </w:r>
            <w:r>
              <w:rPr>
                <w:rFonts w:ascii="Times New Roman" w:hAnsi="Times New Roman"/>
                <w:b/>
                <w:noProof/>
                <w:sz w:val="20"/>
                <w:szCs w:val="20"/>
              </w:rPr>
              <w:t>TFEU</w:t>
            </w:r>
            <w:r>
              <w:rPr>
                <w:rFonts w:ascii="Times New Roman" w:hAnsi="Times New Roman"/>
                <w:noProof/>
                <w:sz w:val="20"/>
                <w:szCs w:val="20"/>
              </w:rPr>
              <w:t xml:space="preserve"> provides that "In implementing the multiannual framework programme the Union may make provision for cooperation in Union research, technological development and demonstration with third countries or international organisations".</w:t>
            </w:r>
          </w:p>
        </w:tc>
      </w:tr>
    </w:tbl>
    <w:p>
      <w:pPr>
        <w:autoSpaceDE w:val="0"/>
        <w:autoSpaceDN w:val="0"/>
        <w:adjustRightInd w:val="0"/>
        <w:spacing w:after="120"/>
        <w:jc w:val="both"/>
        <w:rPr>
          <w:rFonts w:ascii="Times New Roman" w:hAnsi="Times New Roman"/>
          <w:noProof/>
          <w:sz w:val="24"/>
          <w:szCs w:val="24"/>
        </w:rPr>
      </w:pPr>
    </w:p>
    <w:p>
      <w:pPr>
        <w:autoSpaceDE w:val="0"/>
        <w:autoSpaceDN w:val="0"/>
        <w:adjustRightInd w:val="0"/>
        <w:spacing w:after="120" w:line="240" w:lineRule="auto"/>
        <w:jc w:val="both"/>
        <w:rPr>
          <w:rFonts w:ascii="Times New Roman" w:hAnsi="Times New Roman"/>
          <w:noProof/>
          <w:sz w:val="24"/>
          <w:szCs w:val="24"/>
        </w:rPr>
      </w:pPr>
      <w:r>
        <w:rPr>
          <w:rFonts w:ascii="Times New Roman" w:hAnsi="Times New Roman"/>
          <w:noProof/>
          <w:sz w:val="24"/>
          <w:szCs w:val="24"/>
        </w:rPr>
        <w:t xml:space="preserve">The EU right to act also derives from the characteristics of the problem identified (see Box 2). </w:t>
      </w:r>
      <w:r>
        <w:rPr>
          <w:rFonts w:ascii="Times New Roman" w:hAnsi="Times New Roman"/>
          <w:b/>
          <w:noProof/>
          <w:sz w:val="24"/>
          <w:szCs w:val="24"/>
        </w:rPr>
        <w:t>The cross-border dimension of the problem and the links with R&amp;I European policies call for intervention at EU level and beyond</w:t>
      </w:r>
      <w:r>
        <w:rPr>
          <w:rFonts w:ascii="Times New Roman" w:hAnsi="Times New Roman"/>
          <w:noProof/>
          <w:sz w:val="24"/>
          <w:szCs w:val="24"/>
        </w:rPr>
        <w:t xml:space="preserve">. </w:t>
      </w:r>
      <w:r>
        <w:rPr>
          <w:rFonts w:ascii="Times New Roman" w:hAnsi="Times New Roman"/>
          <w:noProof/>
          <w:color w:val="000000"/>
          <w:sz w:val="24"/>
          <w:szCs w:val="24"/>
        </w:rPr>
        <w:t>Achieving a resource- and water-efficient economy and society calls for investment in R&amp;I with a long-term vision and strengthened cross-borders cooperation. This is both an EU and a global challenge of particular relevance for EU and non-EU countries in the Mediterranean area, where the adverse effects of climate change and the impacts of a growing population are increasingly putting under stress their resilience to respond to the on-going and foreseen environmental, climate and social changes.</w:t>
      </w:r>
      <w:r>
        <w:rPr>
          <w:rFonts w:ascii="Times New Roman" w:hAnsi="Times New Roman"/>
          <w:noProof/>
          <w:sz w:val="24"/>
          <w:szCs w:val="24"/>
        </w:rPr>
        <w:t xml:space="preserve"> </w:t>
      </w:r>
    </w:p>
    <w:p>
      <w:pPr>
        <w:autoSpaceDE w:val="0"/>
        <w:autoSpaceDN w:val="0"/>
        <w:adjustRightInd w:val="0"/>
        <w:spacing w:after="120" w:line="240" w:lineRule="auto"/>
        <w:jc w:val="both"/>
        <w:rPr>
          <w:rFonts w:ascii="Times New Roman" w:hAnsi="Times New Roman"/>
          <w:noProof/>
          <w:sz w:val="24"/>
          <w:szCs w:val="24"/>
        </w:rPr>
      </w:pPr>
    </w:p>
    <w:tbl>
      <w:tblPr>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747"/>
      </w:tblGrid>
      <w:tr>
        <w:tc>
          <w:tcPr>
            <w:tcW w:w="9747" w:type="dxa"/>
            <w:shd w:val="clear" w:color="auto" w:fill="F2F2F2" w:themeFill="background1" w:themeFillShade="F2"/>
          </w:tcPr>
          <w:p>
            <w:pPr>
              <w:autoSpaceDE w:val="0"/>
              <w:autoSpaceDN w:val="0"/>
              <w:adjustRightInd w:val="0"/>
              <w:spacing w:after="120" w:line="240" w:lineRule="auto"/>
              <w:rPr>
                <w:rFonts w:ascii="Times New Roman" w:hAnsi="Times New Roman"/>
                <w:b/>
                <w:noProof/>
                <w:u w:val="single"/>
              </w:rPr>
            </w:pPr>
            <w:r>
              <w:rPr>
                <w:rFonts w:ascii="Times New Roman" w:hAnsi="Times New Roman"/>
                <w:b/>
                <w:noProof/>
                <w:u w:val="single"/>
              </w:rPr>
              <w:t>BOX 2: Water provision and food systems from a sectorial perspective</w:t>
            </w:r>
          </w:p>
          <w:p>
            <w:pPr>
              <w:pStyle w:val="ListParagraph"/>
              <w:numPr>
                <w:ilvl w:val="0"/>
                <w:numId w:val="2"/>
              </w:numPr>
              <w:spacing w:after="120" w:line="240" w:lineRule="auto"/>
              <w:ind w:left="142" w:hanging="142"/>
              <w:rPr>
                <w:rFonts w:ascii="Times New Roman" w:hAnsi="Times New Roman"/>
                <w:noProof/>
              </w:rPr>
            </w:pPr>
            <w:r>
              <w:rPr>
                <w:rFonts w:ascii="Times New Roman" w:hAnsi="Times New Roman"/>
                <w:b/>
                <w:noProof/>
                <w:sz w:val="20"/>
                <w:szCs w:val="20"/>
              </w:rPr>
              <w:t>Article 11 TFEU</w:t>
            </w:r>
            <w:r>
              <w:rPr>
                <w:rFonts w:ascii="Times New Roman" w:hAnsi="Times New Roman"/>
                <w:noProof/>
                <w:sz w:val="20"/>
                <w:szCs w:val="20"/>
              </w:rPr>
              <w:t xml:space="preserve"> provides that "environmental protection requirements must be integrated into the definition and implementation of the Union's policies and activities, in particular with a view to promoting sustainable development".</w:t>
            </w:r>
          </w:p>
          <w:p>
            <w:pPr>
              <w:pStyle w:val="ListParagraph"/>
              <w:numPr>
                <w:ilvl w:val="0"/>
                <w:numId w:val="2"/>
              </w:numPr>
              <w:spacing w:after="120" w:line="240" w:lineRule="auto"/>
              <w:ind w:left="142" w:hanging="142"/>
              <w:rPr>
                <w:rFonts w:ascii="Times New Roman" w:hAnsi="Times New Roman"/>
                <w:noProof/>
              </w:rPr>
            </w:pPr>
            <w:r>
              <w:rPr>
                <w:rFonts w:ascii="Times New Roman" w:hAnsi="Times New Roman"/>
                <w:b/>
                <w:noProof/>
                <w:sz w:val="20"/>
                <w:szCs w:val="20"/>
              </w:rPr>
              <w:t>Article 191 TFEU</w:t>
            </w:r>
            <w:r>
              <w:rPr>
                <w:rFonts w:ascii="Times New Roman" w:hAnsi="Times New Roman"/>
                <w:noProof/>
                <w:sz w:val="20"/>
                <w:szCs w:val="20"/>
              </w:rPr>
              <w:t xml:space="preserve"> defines the objectives of the EU's policy on environment, including "prudent and rational utilisation of natural resources" and "promoting measures at international level to deal with regional or worldwide environmental problems, and in particular combating climate change" (§1). Such policy is guided by the principles of preventive action, precaution, rectification of environmental damage at the source and polluter pays (§2). It must take into account, amongst others "available scientific and technical data" (§3)</w:t>
            </w:r>
            <w:r>
              <w:rPr>
                <w:rFonts w:ascii="Times New Roman" w:hAnsi="Times New Roman"/>
                <w:noProof/>
              </w:rPr>
              <w:t>.</w:t>
            </w:r>
          </w:p>
        </w:tc>
      </w:tr>
    </w:tbl>
    <w:p>
      <w:pPr>
        <w:autoSpaceDE w:val="0"/>
        <w:autoSpaceDN w:val="0"/>
        <w:adjustRightInd w:val="0"/>
        <w:spacing w:after="120"/>
        <w:jc w:val="both"/>
        <w:rPr>
          <w:rFonts w:ascii="Times New Roman" w:hAnsi="Times New Roman"/>
          <w:noProof/>
          <w:sz w:val="24"/>
          <w:szCs w:val="24"/>
        </w:rPr>
      </w:pPr>
    </w:p>
    <w:p>
      <w:pPr>
        <w:pStyle w:val="Heading1"/>
        <w:numPr>
          <w:ilvl w:val="1"/>
          <w:numId w:val="7"/>
        </w:numPr>
        <w:spacing w:before="120" w:after="120" w:line="240" w:lineRule="auto"/>
        <w:rPr>
          <w:rFonts w:ascii="Times New Roman" w:hAnsi="Times New Roman"/>
          <w:noProof/>
          <w:color w:val="auto"/>
          <w:sz w:val="24"/>
          <w:szCs w:val="24"/>
        </w:rPr>
      </w:pPr>
      <w:bookmarkStart w:id="63" w:name="_Toc452662531"/>
      <w:bookmarkStart w:id="64" w:name="_Toc452662534"/>
      <w:bookmarkStart w:id="65" w:name="_Toc455571118"/>
      <w:bookmarkStart w:id="66" w:name="_Toc457466037"/>
      <w:bookmarkEnd w:id="63"/>
      <w:bookmarkEnd w:id="64"/>
      <w:r>
        <w:rPr>
          <w:rFonts w:ascii="Times New Roman" w:hAnsi="Times New Roman"/>
          <w:noProof/>
          <w:color w:val="auto"/>
          <w:sz w:val="24"/>
          <w:szCs w:val="24"/>
        </w:rPr>
        <w:t>Why could Member States not achieve the objectives of the proposed action sufficiently by themselves</w:t>
      </w:r>
      <w:bookmarkEnd w:id="65"/>
      <w:r>
        <w:rPr>
          <w:rFonts w:ascii="Times New Roman" w:hAnsi="Times New Roman"/>
          <w:noProof/>
          <w:color w:val="auto"/>
          <w:sz w:val="24"/>
          <w:szCs w:val="24"/>
        </w:rPr>
        <w:t>?</w:t>
      </w:r>
      <w:bookmarkEnd w:id="66"/>
    </w:p>
    <w:p>
      <w:pPr>
        <w:spacing w:after="120" w:line="240" w:lineRule="auto"/>
        <w:jc w:val="both"/>
        <w:rPr>
          <w:rFonts w:ascii="Times New Roman" w:hAnsi="Times New Roman"/>
          <w:noProof/>
          <w:sz w:val="24"/>
          <w:szCs w:val="24"/>
        </w:rPr>
      </w:pPr>
      <w:r>
        <w:rPr>
          <w:rFonts w:ascii="Times New Roman" w:hAnsi="Times New Roman"/>
          <w:noProof/>
          <w:sz w:val="24"/>
          <w:szCs w:val="24"/>
        </w:rPr>
        <w:t>The reference framework for R&amp;I in the water and food sectors at EU level is provided by major EU initiatives, but it does not tackle specifically the problem identified in the Mediterranean area.</w:t>
      </w:r>
    </w:p>
    <w:p>
      <w:pPr>
        <w:spacing w:after="120" w:line="240" w:lineRule="auto"/>
        <w:jc w:val="both"/>
        <w:rPr>
          <w:rFonts w:ascii="Times New Roman" w:hAnsi="Times New Roman"/>
          <w:noProof/>
          <w:sz w:val="24"/>
          <w:szCs w:val="24"/>
        </w:rPr>
      </w:pPr>
      <w:r>
        <w:rPr>
          <w:rFonts w:ascii="Times New Roman" w:hAnsi="Times New Roman"/>
          <w:b/>
          <w:noProof/>
          <w:sz w:val="24"/>
          <w:szCs w:val="24"/>
        </w:rPr>
        <w:t>The national, bilateral and transnational programmes that have been used so far to improve R&amp;I on water provision and food systems have not proved to be sufficient to tackle cross-border issues and attract further public and private investments</w:t>
      </w:r>
      <w:r>
        <w:rPr>
          <w:rFonts w:ascii="Times New Roman" w:hAnsi="Times New Roman"/>
          <w:noProof/>
          <w:sz w:val="24"/>
          <w:szCs w:val="24"/>
        </w:rPr>
        <w:t>.</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At national level, there is no evidence of synchronization between programmes, and alignment only takes place in a few thematic areas covered by Joint Programming activities. Moreover, the focus is on EU-EU alignment, and not on alignment with Mediterranean </w:t>
      </w:r>
      <w:r>
        <w:rPr>
          <w:rFonts w:ascii="Times New Roman" w:hAnsi="Times New Roman"/>
          <w:noProof/>
          <w:color w:val="000000"/>
          <w:sz w:val="24"/>
          <w:szCs w:val="24"/>
        </w:rPr>
        <w:t>third countries</w:t>
      </w:r>
      <w:r>
        <w:rPr>
          <w:rFonts w:ascii="Times New Roman" w:hAnsi="Times New Roman"/>
          <w:noProof/>
          <w:sz w:val="24"/>
          <w:szCs w:val="24"/>
        </w:rPr>
        <w:t>. Internationalisation and cooperation in R&amp;I are important objectives for Mediterranean countries in general.</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One commonality of all the national initiatives currently ongoing is that industry is not strongly involved. Three distinct weaknesses emerge at bilateral and transnational level: </w:t>
      </w:r>
    </w:p>
    <w:p>
      <w:pPr>
        <w:pStyle w:val="ListParagraph"/>
        <w:numPr>
          <w:ilvl w:val="0"/>
          <w:numId w:val="105"/>
        </w:numPr>
        <w:spacing w:after="120" w:line="240" w:lineRule="auto"/>
        <w:ind w:left="426" w:hanging="357"/>
        <w:rPr>
          <w:rFonts w:ascii="Times New Roman" w:hAnsi="Times New Roman"/>
          <w:noProof/>
          <w:sz w:val="24"/>
          <w:szCs w:val="24"/>
        </w:rPr>
      </w:pPr>
      <w:r>
        <w:rPr>
          <w:rFonts w:ascii="Times New Roman" w:hAnsi="Times New Roman"/>
          <w:noProof/>
          <w:sz w:val="24"/>
          <w:szCs w:val="24"/>
          <w:u w:val="single"/>
        </w:rPr>
        <w:t>Uneven R&amp;I resources</w:t>
      </w:r>
      <w:r>
        <w:rPr>
          <w:rFonts w:ascii="Times New Roman" w:hAnsi="Times New Roman"/>
          <w:noProof/>
          <w:sz w:val="24"/>
          <w:szCs w:val="24"/>
        </w:rPr>
        <w:t>: Past and present portfolios of bilateral initiatives with non-synchronised timeframes have not been able to leverage national efforts of Mediterranean countries at the required scale. In contrast, EU involvement would have the potential to attract and concentrate additional funding from the R&amp;I community, industry, and other stakeholders.</w:t>
      </w:r>
    </w:p>
    <w:p>
      <w:pPr>
        <w:pStyle w:val="ListParagraph"/>
        <w:numPr>
          <w:ilvl w:val="0"/>
          <w:numId w:val="105"/>
        </w:numPr>
        <w:spacing w:after="120" w:line="240" w:lineRule="auto"/>
        <w:ind w:left="426" w:hanging="357"/>
        <w:rPr>
          <w:rFonts w:ascii="Times New Roman" w:hAnsi="Times New Roman"/>
          <w:noProof/>
          <w:sz w:val="24"/>
          <w:szCs w:val="24"/>
        </w:rPr>
      </w:pPr>
      <w:r>
        <w:rPr>
          <w:rFonts w:ascii="Times New Roman" w:hAnsi="Times New Roman"/>
          <w:noProof/>
          <w:sz w:val="24"/>
          <w:szCs w:val="24"/>
          <w:u w:val="single"/>
        </w:rPr>
        <w:t>Limited coordination of R&amp;I policy programming</w:t>
      </w:r>
      <w:r>
        <w:rPr>
          <w:rFonts w:ascii="Times New Roman" w:hAnsi="Times New Roman"/>
          <w:noProof/>
          <w:sz w:val="24"/>
          <w:szCs w:val="24"/>
        </w:rPr>
        <w:t>: The alignment of R&amp;I Mediterranean programmes cannot be achieved by bilateral programmes alone.</w:t>
      </w:r>
    </w:p>
    <w:p>
      <w:pPr>
        <w:pStyle w:val="ListParagraph"/>
        <w:numPr>
          <w:ilvl w:val="0"/>
          <w:numId w:val="105"/>
        </w:numPr>
        <w:spacing w:after="120" w:line="240" w:lineRule="auto"/>
        <w:ind w:left="426" w:hanging="357"/>
        <w:rPr>
          <w:rFonts w:ascii="Times New Roman" w:hAnsi="Times New Roman"/>
          <w:noProof/>
          <w:sz w:val="24"/>
          <w:szCs w:val="24"/>
        </w:rPr>
      </w:pPr>
      <w:r>
        <w:rPr>
          <w:rFonts w:ascii="Times New Roman" w:hAnsi="Times New Roman"/>
          <w:noProof/>
          <w:sz w:val="24"/>
          <w:szCs w:val="24"/>
          <w:u w:val="single"/>
        </w:rPr>
        <w:t>Lack of long-term strategic R&amp;I agenda and multi-stakeholder governance</w:t>
      </w:r>
      <w:r>
        <w:rPr>
          <w:rFonts w:ascii="Times New Roman" w:hAnsi="Times New Roman"/>
          <w:noProof/>
          <w:sz w:val="24"/>
          <w:szCs w:val="24"/>
        </w:rPr>
        <w:t>: Bilateral R&amp;I programmes of the Mediterranean countries in the area of water provision and food systems are not leading to the development of shared Mediterranean R&amp;I Agendas. The creation and update of such agendas has been an aim of the EU since the establishment of MoCo in 1995</w:t>
      </w:r>
      <w:r>
        <w:rPr>
          <w:rStyle w:val="FootnoteReference"/>
          <w:rFonts w:ascii="Times New Roman" w:hAnsi="Times New Roman"/>
          <w:noProof/>
          <w:sz w:val="24"/>
          <w:szCs w:val="24"/>
        </w:rPr>
        <w:footnoteReference w:id="47"/>
      </w:r>
      <w:r>
        <w:rPr>
          <w:rFonts w:ascii="Times New Roman" w:hAnsi="Times New Roman"/>
          <w:noProof/>
          <w:sz w:val="24"/>
          <w:szCs w:val="24"/>
        </w:rPr>
        <w:t>.</w:t>
      </w:r>
    </w:p>
    <w:p>
      <w:pPr>
        <w:spacing w:after="120" w:line="240" w:lineRule="auto"/>
        <w:jc w:val="both"/>
        <w:rPr>
          <w:rFonts w:ascii="Times New Roman" w:hAnsi="Times New Roman"/>
          <w:noProof/>
          <w:sz w:val="24"/>
          <w:szCs w:val="24"/>
        </w:rPr>
      </w:pPr>
      <w:r>
        <w:rPr>
          <w:rFonts w:ascii="Times New Roman" w:hAnsi="Times New Roman"/>
          <w:noProof/>
          <w:sz w:val="24"/>
          <w:szCs w:val="24"/>
        </w:rPr>
        <w:t>As previously mentioned, the challenges of water provision and food systems in the Mediterranean area are complex, interrelated, transnational and multi-sectorial. They require trans-disciplinary research and integrated solutions that take into account not only innovation but also other factors, such as the social behaviour of rural communities, economic constraints, or the legal and institutional stable frameworks that may favour the adoption of the most appropriate measures. This shows that one country alone would never be able to cope with the complexity of the challenges to be covered.</w:t>
      </w:r>
    </w:p>
    <w:p>
      <w:pPr>
        <w:spacing w:after="120" w:line="240" w:lineRule="auto"/>
        <w:jc w:val="both"/>
        <w:rPr>
          <w:rFonts w:ascii="Times New Roman" w:hAnsi="Times New Roman"/>
          <w:noProof/>
          <w:sz w:val="24"/>
          <w:szCs w:val="24"/>
        </w:rPr>
      </w:pPr>
      <w:r>
        <w:rPr>
          <w:rFonts w:ascii="Times New Roman" w:hAnsi="Times New Roman"/>
          <w:noProof/>
          <w:sz w:val="24"/>
          <w:szCs w:val="24"/>
        </w:rPr>
        <w:t>In addition, the PRIMA Expert Group identified a series of gaps on R&amp;I that need to be addressed in an integrated and coordinated approach in the Mediterranean area.</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The same analysis also shows </w:t>
      </w:r>
      <w:r>
        <w:rPr>
          <w:rFonts w:ascii="Times New Roman" w:hAnsi="Times New Roman"/>
          <w:b/>
          <w:noProof/>
          <w:sz w:val="24"/>
          <w:szCs w:val="24"/>
        </w:rPr>
        <w:t>the need for actual R&amp;I projects including demonstrators, pilot plants, testing, pre-commercial deployment, and research projects addressing the complete range of Technology Readiness Levels (TRLs)</w:t>
      </w:r>
      <w:r>
        <w:rPr>
          <w:rFonts w:ascii="Times New Roman" w:hAnsi="Times New Roman"/>
          <w:noProof/>
          <w:sz w:val="24"/>
          <w:szCs w:val="24"/>
        </w:rPr>
        <w:t xml:space="preserve"> that need transnational cooperation (see section 4 for more details). Moreover, to achieve the objectives that will be detailed in the next section, it is essential to develop alignment policy mechanisms not only in research policy but also in agriculture, environment and economy. Finally, the problem addressed requires not only the participation of EU Member States but of non-EU Mediterranean countries on equal footing.</w:t>
      </w:r>
    </w:p>
    <w:p>
      <w:pPr>
        <w:spacing w:after="120" w:line="240" w:lineRule="auto"/>
        <w:ind w:left="57"/>
        <w:jc w:val="both"/>
        <w:rPr>
          <w:rFonts w:ascii="Times New Roman" w:hAnsi="Times New Roman"/>
          <w:noProof/>
          <w:sz w:val="24"/>
          <w:szCs w:val="24"/>
        </w:rPr>
      </w:pPr>
    </w:p>
    <w:p>
      <w:pPr>
        <w:pStyle w:val="Heading1"/>
        <w:numPr>
          <w:ilvl w:val="1"/>
          <w:numId w:val="7"/>
        </w:numPr>
        <w:spacing w:before="120" w:after="120" w:line="240" w:lineRule="auto"/>
        <w:rPr>
          <w:rFonts w:ascii="Times New Roman" w:hAnsi="Times New Roman"/>
          <w:noProof/>
          <w:color w:val="auto"/>
          <w:sz w:val="24"/>
          <w:szCs w:val="24"/>
        </w:rPr>
      </w:pPr>
      <w:bookmarkStart w:id="67" w:name="_Toc455557001"/>
      <w:bookmarkStart w:id="68" w:name="_Toc457466038"/>
      <w:bookmarkStart w:id="69" w:name="_Toc455571119"/>
      <w:r>
        <w:rPr>
          <w:rFonts w:ascii="Times New Roman" w:hAnsi="Times New Roman"/>
          <w:noProof/>
          <w:color w:val="auto"/>
          <w:sz w:val="24"/>
          <w:szCs w:val="24"/>
        </w:rPr>
        <w:t>What would be the added-value of action at EU-level?</w:t>
      </w:r>
      <w:bookmarkEnd w:id="67"/>
      <w:bookmarkEnd w:id="68"/>
    </w:p>
    <w:p>
      <w:pPr>
        <w:spacing w:after="120" w:line="240" w:lineRule="auto"/>
        <w:jc w:val="both"/>
        <w:rPr>
          <w:rFonts w:ascii="Times New Roman" w:hAnsi="Times New Roman"/>
          <w:noProof/>
          <w:sz w:val="24"/>
        </w:rPr>
      </w:pPr>
      <w:r>
        <w:rPr>
          <w:rFonts w:ascii="Times New Roman" w:hAnsi="Times New Roman"/>
          <w:noProof/>
          <w:sz w:val="24"/>
        </w:rPr>
        <w:t>The added value of EU level action can be described along the three dimensions reported below.</w:t>
      </w:r>
    </w:p>
    <w:p>
      <w:pPr>
        <w:spacing w:after="60"/>
        <w:jc w:val="both"/>
        <w:rPr>
          <w:rFonts w:ascii="Times New Roman" w:hAnsi="Times New Roman"/>
          <w:b/>
          <w:i/>
          <w:noProof/>
          <w:sz w:val="24"/>
          <w:u w:val="single"/>
        </w:rPr>
      </w:pPr>
      <w:r>
        <w:rPr>
          <w:rFonts w:ascii="Times New Roman" w:hAnsi="Times New Roman"/>
          <w:b/>
          <w:i/>
          <w:noProof/>
          <w:sz w:val="24"/>
          <w:u w:val="single"/>
        </w:rPr>
        <w:t>1. Attaining scale and scope and achieving a critical mass of resources</w:t>
      </w:r>
    </w:p>
    <w:p>
      <w:pPr>
        <w:spacing w:after="120" w:line="240" w:lineRule="auto"/>
        <w:jc w:val="both"/>
        <w:rPr>
          <w:rFonts w:ascii="Times New Roman" w:hAnsi="Times New Roman"/>
          <w:noProof/>
          <w:sz w:val="24"/>
        </w:rPr>
      </w:pPr>
      <w:r>
        <w:rPr>
          <w:rFonts w:ascii="Times New Roman" w:hAnsi="Times New Roman"/>
          <w:noProof/>
          <w:sz w:val="24"/>
        </w:rPr>
        <w:t>Only action at EU level is capable of achieving a well-coordinated and integrated programme with adequate scale and scope. Experience with transnational programmes demonstrates clearly that without EU action and support, the level of ambition and the degree of coordination and integration is significantly lower and does not achieve a critical mass of financial and knowledge resources compared to a partnership approaches between the Member States and the Union.</w:t>
      </w:r>
    </w:p>
    <w:p>
      <w:pPr>
        <w:spacing w:after="120" w:line="240" w:lineRule="auto"/>
        <w:jc w:val="both"/>
        <w:rPr>
          <w:rFonts w:ascii="Times New Roman" w:hAnsi="Times New Roman"/>
          <w:noProof/>
          <w:sz w:val="24"/>
          <w:szCs w:val="24"/>
        </w:rPr>
      </w:pPr>
      <w:r>
        <w:rPr>
          <w:rFonts w:ascii="Times New Roman" w:hAnsi="Times New Roman"/>
          <w:noProof/>
          <w:sz w:val="24"/>
          <w:szCs w:val="24"/>
        </w:rPr>
        <w:t>EU action entails in addition a stronger policy dimension as compared to separate Member States activities, which in turn is often a prerequisite for ensuring long-term financial commitments from all Participating States, as clearly demonstrated in the European &amp; Developing Countries Clinical Trials Partnership (EDCTP2 Art 185 initiative).</w:t>
      </w:r>
    </w:p>
    <w:p>
      <w:pPr>
        <w:spacing w:after="60"/>
        <w:jc w:val="both"/>
        <w:rPr>
          <w:rFonts w:ascii="Times New Roman" w:hAnsi="Times New Roman"/>
          <w:b/>
          <w:i/>
          <w:noProof/>
          <w:sz w:val="24"/>
          <w:szCs w:val="24"/>
          <w:u w:val="single"/>
        </w:rPr>
      </w:pPr>
      <w:r>
        <w:rPr>
          <w:rFonts w:ascii="Times New Roman" w:hAnsi="Times New Roman"/>
          <w:b/>
          <w:i/>
          <w:noProof/>
          <w:sz w:val="24"/>
          <w:u w:val="single"/>
        </w:rPr>
        <w:t xml:space="preserve">2. </w:t>
      </w:r>
      <w:r>
        <w:rPr>
          <w:rFonts w:ascii="Times New Roman" w:hAnsi="Times New Roman"/>
          <w:b/>
          <w:i/>
          <w:noProof/>
          <w:sz w:val="24"/>
          <w:szCs w:val="24"/>
          <w:u w:val="single"/>
        </w:rPr>
        <w:t>Leverage effects and delivery on impacts and broader implications to the EU's external policies and migration</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Experience from similar initiatives such as BONUS (Joint Baltic Sea research and development programme) demonstrates that action at EU level triggers significant additional public investments from the Participating States, which increasingly shift available national resources to the joint programme. Better coordinated and integrated action at national and EU-level within a joint programme is able </w:t>
      </w:r>
      <w:r>
        <w:rPr>
          <w:rFonts w:ascii="Times New Roman" w:hAnsi="Times New Roman"/>
          <w:b/>
          <w:noProof/>
          <w:sz w:val="24"/>
          <w:szCs w:val="24"/>
        </w:rPr>
        <w:t>to provide significant knowledge gains</w:t>
      </w:r>
      <w:r>
        <w:rPr>
          <w:rFonts w:ascii="Times New Roman" w:hAnsi="Times New Roman"/>
          <w:noProof/>
          <w:sz w:val="24"/>
          <w:szCs w:val="24"/>
        </w:rPr>
        <w:t xml:space="preserve"> for all participants but notably for those partners that had so far only limited access to world class knowledge. This, in turn, will improve the impacts stemming from joint efforts, so "the value for money" stemming from joint programmes is significantly higher than that stemming from discreet national activities.</w:t>
      </w:r>
    </w:p>
    <w:p>
      <w:pPr>
        <w:spacing w:after="120" w:line="240" w:lineRule="auto"/>
        <w:jc w:val="both"/>
        <w:rPr>
          <w:rFonts w:ascii="Times New Roman" w:hAnsi="Times New Roman"/>
          <w:noProof/>
          <w:sz w:val="24"/>
          <w:szCs w:val="24"/>
        </w:rPr>
      </w:pPr>
      <w:r>
        <w:rPr>
          <w:rFonts w:ascii="Times New Roman" w:hAnsi="Times New Roman"/>
          <w:noProof/>
          <w:sz w:val="24"/>
          <w:szCs w:val="24"/>
        </w:rPr>
        <w:t>In addition, action at EU-level following the Horizon 2020 rules will have significant impacts on the uptake of good practices in R&amp;I policy design and implementation across Europe and beyond. This has been shown by similar initiatives such as EDCTP2, as well as in ERA-NET activities supporting the coordination of national research programmes since FP6.</w:t>
      </w:r>
    </w:p>
    <w:p>
      <w:pPr>
        <w:spacing w:after="120" w:line="240" w:lineRule="auto"/>
        <w:jc w:val="both"/>
        <w:rPr>
          <w:rFonts w:ascii="Times New Roman" w:hAnsi="Times New Roman"/>
          <w:noProof/>
          <w:sz w:val="24"/>
          <w:szCs w:val="24"/>
        </w:rPr>
      </w:pPr>
      <w:r>
        <w:rPr>
          <w:rFonts w:ascii="Times New Roman" w:hAnsi="Times New Roman"/>
          <w:noProof/>
          <w:sz w:val="24"/>
          <w:szCs w:val="24"/>
        </w:rPr>
        <w:t>As discussed in the introduction, PRIMA is a key example of a sectorial initiative that will contribute towards addressing some of the root causes of migration by providing innovative solutions to water resources and food systems that will help manage long-term migratory trends more efficiently.</w:t>
      </w:r>
    </w:p>
    <w:p>
      <w:pPr>
        <w:spacing w:after="60"/>
        <w:jc w:val="both"/>
        <w:rPr>
          <w:rFonts w:ascii="Times New Roman" w:hAnsi="Times New Roman"/>
          <w:b/>
          <w:i/>
          <w:noProof/>
          <w:sz w:val="24"/>
          <w:szCs w:val="24"/>
          <w:u w:val="single"/>
        </w:rPr>
      </w:pPr>
      <w:r>
        <w:rPr>
          <w:rFonts w:ascii="Times New Roman" w:hAnsi="Times New Roman"/>
          <w:b/>
          <w:i/>
          <w:noProof/>
          <w:sz w:val="24"/>
          <w:szCs w:val="24"/>
          <w:u w:val="single"/>
        </w:rPr>
        <w:t>3. International leadership, global cooperation and the European Neighbourhood South</w:t>
      </w:r>
    </w:p>
    <w:p>
      <w:pPr>
        <w:spacing w:after="120" w:line="240" w:lineRule="auto"/>
        <w:jc w:val="both"/>
        <w:rPr>
          <w:rFonts w:ascii="Times New Roman" w:hAnsi="Times New Roman"/>
          <w:noProof/>
          <w:sz w:val="24"/>
          <w:szCs w:val="24"/>
        </w:rPr>
      </w:pPr>
      <w:r>
        <w:rPr>
          <w:rFonts w:ascii="Times New Roman" w:hAnsi="Times New Roman"/>
          <w:noProof/>
          <w:sz w:val="24"/>
          <w:szCs w:val="24"/>
        </w:rPr>
        <w:t>A well-coordinated joint programme and thus action at EU-level will strengthen Europe's visibility and global responsibility far beyond what single Member States action would be able to deliver. With respect to the SDGs in the field of water and food, the planned initiative will therefore contribute significantly to the fulfilment of Europe's global responsibilities. On the other hand, joint action proved to be instrumental for similar initiatives to achieve a stronger recognition of Europe as the world's leading knowledge hub for clinical trials on tropical diseases (in the case of EDCTP2) or metrology and related standardization activities (in the case of EMPIR, the European Metrology Programme for Research and Innovation).</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The approach towards a joint programme based on voluntary participation of countries from the Neighbourhood South on an equal footing as MS reflects </w:t>
      </w:r>
      <w:r>
        <w:rPr>
          <w:rFonts w:ascii="Times New Roman" w:hAnsi="Times New Roman"/>
          <w:b/>
          <w:noProof/>
          <w:sz w:val="24"/>
          <w:szCs w:val="24"/>
        </w:rPr>
        <w:t>the spirit of EU Neighbourhood Policy towards differentiation and greater mutual ownership with neighbourhood partners</w:t>
      </w:r>
      <w:r>
        <w:rPr>
          <w:rFonts w:ascii="Times New Roman" w:hAnsi="Times New Roman"/>
          <w:noProof/>
          <w:sz w:val="24"/>
          <w:szCs w:val="24"/>
        </w:rPr>
        <w:t xml:space="preserve"> based on their aspirations to draw their policy formulation closer to the EU. This is a key aspect of science diplomacy within the region, whereby cooperation between nations is essential to addressing the common challenges and conditions in the Mediterranean area that are not confined by the EU's geographical borders. These conditions are more likely to be addressed effectively at EU level than through bilateral action of MS with Southern Neighbourhood Countries.</w:t>
      </w:r>
    </w:p>
    <w:bookmarkEnd w:id="69"/>
    <w:p>
      <w:pPr>
        <w:rPr>
          <w:noProof/>
        </w:rPr>
      </w:pPr>
      <w:r>
        <w:rPr>
          <w:noProof/>
        </w:rPr>
        <w:br w:type="page"/>
      </w:r>
    </w:p>
    <w:tbl>
      <w:tblPr>
        <w:tblW w:w="0" w:type="auto"/>
        <w:tblLook w:val="00A0" w:firstRow="1" w:lastRow="0" w:firstColumn="1" w:lastColumn="0" w:noHBand="0" w:noVBand="0"/>
      </w:tblPr>
      <w:tblGrid>
        <w:gridCol w:w="9747"/>
      </w:tblGrid>
      <w:tr>
        <w:tc>
          <w:tcPr>
            <w:tcW w:w="9747" w:type="dxa"/>
            <w:shd w:val="clear" w:color="auto" w:fill="F2F2F2"/>
          </w:tcPr>
          <w:p>
            <w:pPr>
              <w:pStyle w:val="ListParagraph"/>
              <w:keepNext/>
              <w:keepLines/>
              <w:numPr>
                <w:ilvl w:val="0"/>
                <w:numId w:val="7"/>
              </w:numPr>
              <w:spacing w:before="120" w:after="120" w:line="240" w:lineRule="auto"/>
              <w:contextualSpacing w:val="0"/>
              <w:jc w:val="left"/>
              <w:outlineLvl w:val="0"/>
              <w:rPr>
                <w:rFonts w:ascii="Times New Roman" w:hAnsi="Times New Roman"/>
                <w:b/>
                <w:noProof/>
                <w:sz w:val="24"/>
                <w:szCs w:val="24"/>
              </w:rPr>
            </w:pPr>
            <w:bookmarkStart w:id="70" w:name="_Toc457466039"/>
            <w:r>
              <w:rPr>
                <w:rFonts w:ascii="Times New Roman" w:hAnsi="Times New Roman"/>
                <w:b/>
                <w:noProof/>
                <w:sz w:val="24"/>
                <w:szCs w:val="20"/>
              </w:rPr>
              <w:t>Section 3. What should be achieved?</w:t>
            </w:r>
            <w:bookmarkEnd w:id="70"/>
          </w:p>
        </w:tc>
      </w:tr>
    </w:tbl>
    <w:p>
      <w:pPr>
        <w:pStyle w:val="Heading1"/>
        <w:numPr>
          <w:ilvl w:val="1"/>
          <w:numId w:val="7"/>
        </w:numPr>
        <w:spacing w:before="120" w:after="120" w:line="240" w:lineRule="auto"/>
        <w:rPr>
          <w:rFonts w:ascii="Times New Roman" w:hAnsi="Times New Roman"/>
          <w:noProof/>
          <w:color w:val="auto"/>
          <w:sz w:val="24"/>
          <w:szCs w:val="24"/>
        </w:rPr>
      </w:pPr>
      <w:bookmarkStart w:id="71" w:name="_Toc457466040"/>
      <w:r>
        <w:rPr>
          <w:rFonts w:ascii="Times New Roman" w:hAnsi="Times New Roman"/>
          <w:noProof/>
          <w:color w:val="auto"/>
          <w:sz w:val="24"/>
          <w:szCs w:val="24"/>
        </w:rPr>
        <w:t>Policy Objectives</w:t>
      </w:r>
      <w:bookmarkEnd w:id="71"/>
    </w:p>
    <w:p>
      <w:pPr>
        <w:autoSpaceDE w:val="0"/>
        <w:autoSpaceDN w:val="0"/>
        <w:adjustRightInd w:val="0"/>
        <w:spacing w:after="120" w:line="240" w:lineRule="auto"/>
        <w:jc w:val="both"/>
        <w:rPr>
          <w:noProof/>
          <w:szCs w:val="24"/>
        </w:rPr>
      </w:pPr>
      <w:r>
        <w:rPr>
          <w:rFonts w:ascii="Times New Roman" w:hAnsi="Times New Roman"/>
          <w:noProof/>
          <w:sz w:val="24"/>
          <w:szCs w:val="24"/>
        </w:rPr>
        <w:t xml:space="preserve">The </w:t>
      </w:r>
      <w:r>
        <w:rPr>
          <w:rFonts w:ascii="Times New Roman" w:hAnsi="Times New Roman"/>
          <w:b/>
          <w:noProof/>
          <w:sz w:val="24"/>
          <w:szCs w:val="24"/>
        </w:rPr>
        <w:t>general objective is to develop the fully piloted and demonstrated common innovative solutions in the field of water provision and food systems that the Mediterranean region urgently needs.</w:t>
      </w:r>
    </w:p>
    <w:p>
      <w:pPr>
        <w:autoSpaceDE w:val="0"/>
        <w:autoSpaceDN w:val="0"/>
        <w:adjustRightInd w:val="0"/>
        <w:spacing w:after="120" w:line="240" w:lineRule="auto"/>
        <w:jc w:val="both"/>
        <w:rPr>
          <w:noProof/>
          <w:szCs w:val="24"/>
        </w:rPr>
      </w:pPr>
      <w:r>
        <w:rPr>
          <w:rFonts w:ascii="Times New Roman" w:hAnsi="Times New Roman"/>
          <w:noProof/>
          <w:sz w:val="24"/>
          <w:szCs w:val="24"/>
        </w:rPr>
        <w:t>Achieving this general objective will make water provision and food systems in the Mediterranean area more efficient, cost-effective, and sustainable. In this way, R&amp;I can contribute to solving the higher-level problems in the field of nutrition, health and social wellbeing, and ultimately help address mass migration trends. R&amp;I policies can thus be leveraged to the maximum to address the migration challenge, in line with the Communication on a new Partnership Framework with third countries under the European Agenda on Migration.</w:t>
      </w:r>
    </w:p>
    <w:p>
      <w:pPr>
        <w:autoSpaceDE w:val="0"/>
        <w:autoSpaceDN w:val="0"/>
        <w:adjustRightInd w:val="0"/>
        <w:spacing w:after="120" w:line="240" w:lineRule="auto"/>
        <w:jc w:val="both"/>
        <w:rPr>
          <w:noProof/>
          <w:szCs w:val="24"/>
        </w:rPr>
      </w:pPr>
    </w:p>
    <w:p>
      <w:pPr>
        <w:pStyle w:val="Heading1"/>
        <w:numPr>
          <w:ilvl w:val="1"/>
          <w:numId w:val="7"/>
        </w:numPr>
        <w:spacing w:before="120" w:after="120" w:line="240" w:lineRule="auto"/>
        <w:rPr>
          <w:rFonts w:ascii="Times New Roman" w:hAnsi="Times New Roman"/>
          <w:noProof/>
          <w:color w:val="auto"/>
          <w:sz w:val="24"/>
          <w:szCs w:val="24"/>
        </w:rPr>
      </w:pPr>
      <w:bookmarkStart w:id="72" w:name="_Toc457466041"/>
      <w:r>
        <w:rPr>
          <w:rFonts w:ascii="Times New Roman" w:hAnsi="Times New Roman"/>
          <w:noProof/>
          <w:color w:val="auto"/>
          <w:sz w:val="24"/>
          <w:szCs w:val="24"/>
        </w:rPr>
        <w:t>Specific Objectives</w:t>
      </w:r>
      <w:bookmarkEnd w:id="72"/>
    </w:p>
    <w:p>
      <w:pPr>
        <w:autoSpaceDE w:val="0"/>
        <w:autoSpaceDN w:val="0"/>
        <w:adjustRightInd w:val="0"/>
        <w:spacing w:after="120" w:line="240" w:lineRule="auto"/>
        <w:jc w:val="both"/>
        <w:rPr>
          <w:noProof/>
          <w:szCs w:val="24"/>
        </w:rPr>
      </w:pPr>
      <w:r>
        <w:rPr>
          <w:rFonts w:ascii="Times New Roman" w:hAnsi="Times New Roman"/>
          <w:noProof/>
          <w:sz w:val="24"/>
          <w:szCs w:val="24"/>
        </w:rPr>
        <w:t>This general objective can only be achieved if, in a structured way, a durable framework for R&amp;I in the field of water provision and food systems is put in place in the Mediterranean area. The following specific objectives need to be achieved in order to reach the scale and scope of R&amp;I efforts required:</w:t>
      </w:r>
    </w:p>
    <w:p>
      <w:pPr>
        <w:pStyle w:val="ListParagraph"/>
        <w:numPr>
          <w:ilvl w:val="0"/>
          <w:numId w:val="57"/>
        </w:numPr>
        <w:spacing w:after="120" w:line="240" w:lineRule="auto"/>
        <w:ind w:left="426"/>
        <w:rPr>
          <w:rFonts w:ascii="Times New Roman" w:hAnsi="Times New Roman"/>
          <w:noProof/>
          <w:sz w:val="24"/>
          <w:szCs w:val="24"/>
        </w:rPr>
      </w:pPr>
      <w:r>
        <w:rPr>
          <w:rFonts w:ascii="Times New Roman" w:hAnsi="Times New Roman"/>
          <w:b/>
          <w:noProof/>
          <w:sz w:val="24"/>
          <w:szCs w:val="24"/>
        </w:rPr>
        <w:t>Common long-term strategic R&amp;I agenda:</w:t>
      </w:r>
    </w:p>
    <w:p>
      <w:pPr>
        <w:pStyle w:val="ListParagraph"/>
        <w:spacing w:after="120" w:line="240" w:lineRule="auto"/>
        <w:ind w:left="426"/>
        <w:rPr>
          <w:rFonts w:ascii="Times New Roman" w:hAnsi="Times New Roman"/>
          <w:noProof/>
          <w:sz w:val="24"/>
          <w:szCs w:val="24"/>
        </w:rPr>
      </w:pPr>
      <w:r>
        <w:rPr>
          <w:rFonts w:ascii="Times New Roman" w:hAnsi="Times New Roman"/>
          <w:noProof/>
          <w:sz w:val="24"/>
          <w:szCs w:val="24"/>
        </w:rPr>
        <w:t>The formulation of a stable, long-term, common strategic R&amp;I agenda in the field of water provision and food systems;</w:t>
      </w:r>
    </w:p>
    <w:p>
      <w:pPr>
        <w:pStyle w:val="ListParagraph"/>
        <w:numPr>
          <w:ilvl w:val="0"/>
          <w:numId w:val="57"/>
        </w:numPr>
        <w:spacing w:after="120" w:line="240" w:lineRule="auto"/>
        <w:ind w:left="426"/>
        <w:rPr>
          <w:rFonts w:ascii="Times New Roman" w:hAnsi="Times New Roman"/>
          <w:noProof/>
          <w:sz w:val="24"/>
          <w:szCs w:val="24"/>
        </w:rPr>
      </w:pPr>
      <w:r>
        <w:rPr>
          <w:rFonts w:ascii="Times New Roman" w:hAnsi="Times New Roman"/>
          <w:b/>
          <w:noProof/>
          <w:sz w:val="24"/>
          <w:szCs w:val="24"/>
        </w:rPr>
        <w:t>Alignment of national R&amp;I programmes:</w:t>
      </w:r>
    </w:p>
    <w:p>
      <w:pPr>
        <w:pStyle w:val="ListParagraph"/>
        <w:spacing w:after="120" w:line="240" w:lineRule="auto"/>
        <w:ind w:left="426"/>
        <w:rPr>
          <w:rFonts w:ascii="Times New Roman" w:hAnsi="Times New Roman"/>
          <w:noProof/>
          <w:sz w:val="24"/>
          <w:szCs w:val="24"/>
        </w:rPr>
      </w:pPr>
      <w:r>
        <w:rPr>
          <w:rFonts w:ascii="Times New Roman" w:hAnsi="Times New Roman"/>
          <w:noProof/>
          <w:sz w:val="24"/>
          <w:szCs w:val="24"/>
        </w:rPr>
        <w:t>The orientation of all national R&amp;I programmes towards the implementation of the strategic R&amp;I agenda;</w:t>
      </w:r>
    </w:p>
    <w:p>
      <w:pPr>
        <w:pStyle w:val="ListParagraph"/>
        <w:numPr>
          <w:ilvl w:val="0"/>
          <w:numId w:val="57"/>
        </w:numPr>
        <w:spacing w:after="120" w:line="240" w:lineRule="auto"/>
        <w:ind w:left="426"/>
        <w:rPr>
          <w:rFonts w:ascii="Times New Roman" w:hAnsi="Times New Roman"/>
          <w:noProof/>
          <w:sz w:val="24"/>
          <w:szCs w:val="24"/>
        </w:rPr>
      </w:pPr>
      <w:r>
        <w:rPr>
          <w:rFonts w:ascii="Times New Roman" w:hAnsi="Times New Roman"/>
          <w:b/>
          <w:noProof/>
          <w:sz w:val="24"/>
          <w:szCs w:val="24"/>
        </w:rPr>
        <w:t>Critical mass of actors and resources:</w:t>
      </w:r>
    </w:p>
    <w:p>
      <w:pPr>
        <w:pStyle w:val="ListParagraph"/>
        <w:spacing w:after="120" w:line="240" w:lineRule="auto"/>
        <w:ind w:left="426"/>
        <w:rPr>
          <w:rFonts w:ascii="Times New Roman" w:hAnsi="Times New Roman"/>
          <w:noProof/>
          <w:sz w:val="24"/>
          <w:szCs w:val="24"/>
        </w:rPr>
      </w:pPr>
      <w:r>
        <w:rPr>
          <w:rFonts w:ascii="Times New Roman" w:hAnsi="Times New Roman"/>
          <w:noProof/>
          <w:sz w:val="24"/>
          <w:szCs w:val="24"/>
        </w:rPr>
        <w:t>The structural involvement of all relevant R&amp;I actors (the public and private sectors) in the implementation of the strategic R&amp;I agenda by pooling knowledge and financial resources so as to achieve the necessary critical mass;</w:t>
      </w:r>
    </w:p>
    <w:p>
      <w:pPr>
        <w:pStyle w:val="ListParagraph"/>
        <w:numPr>
          <w:ilvl w:val="0"/>
          <w:numId w:val="57"/>
        </w:numPr>
        <w:spacing w:after="120" w:line="240" w:lineRule="auto"/>
        <w:ind w:left="426"/>
        <w:rPr>
          <w:rFonts w:ascii="Times New Roman" w:hAnsi="Times New Roman"/>
          <w:noProof/>
          <w:sz w:val="24"/>
          <w:szCs w:val="24"/>
        </w:rPr>
      </w:pPr>
      <w:r>
        <w:rPr>
          <w:rFonts w:ascii="Times New Roman" w:hAnsi="Times New Roman"/>
          <w:b/>
          <w:noProof/>
          <w:sz w:val="24"/>
          <w:szCs w:val="24"/>
        </w:rPr>
        <w:t>Strengthening innovation capabilities:</w:t>
      </w:r>
    </w:p>
    <w:p>
      <w:pPr>
        <w:pStyle w:val="ListParagraph"/>
        <w:spacing w:after="120" w:line="240" w:lineRule="auto"/>
        <w:ind w:left="425"/>
        <w:contextualSpacing w:val="0"/>
        <w:rPr>
          <w:rFonts w:ascii="Times New Roman" w:hAnsi="Times New Roman"/>
          <w:noProof/>
          <w:sz w:val="24"/>
          <w:szCs w:val="24"/>
        </w:rPr>
      </w:pPr>
      <w:r>
        <w:rPr>
          <w:rFonts w:ascii="Times New Roman" w:hAnsi="Times New Roman"/>
          <w:noProof/>
          <w:sz w:val="24"/>
          <w:szCs w:val="24"/>
        </w:rPr>
        <w:t>The strengthening of R&amp;I funding and implementation capabilities of all involved actors.</w:t>
      </w:r>
    </w:p>
    <w:p>
      <w:pPr>
        <w:autoSpaceDE w:val="0"/>
        <w:autoSpaceDN w:val="0"/>
        <w:adjustRightInd w:val="0"/>
        <w:spacing w:after="120" w:line="240" w:lineRule="auto"/>
        <w:jc w:val="both"/>
        <w:rPr>
          <w:rFonts w:ascii="Times New Roman" w:hAnsi="Times New Roman"/>
          <w:noProof/>
          <w:sz w:val="24"/>
          <w:szCs w:val="24"/>
        </w:rPr>
      </w:pPr>
      <w:bookmarkStart w:id="73" w:name="_Toc451794771"/>
      <w:bookmarkStart w:id="74" w:name="_Toc451794828"/>
      <w:bookmarkStart w:id="75" w:name="_Toc451794879"/>
      <w:bookmarkStart w:id="76" w:name="_Toc451794930"/>
      <w:bookmarkStart w:id="77" w:name="_Toc451798266"/>
      <w:bookmarkStart w:id="78" w:name="_Toc451794773"/>
      <w:bookmarkStart w:id="79" w:name="_Toc451794830"/>
      <w:bookmarkStart w:id="80" w:name="_Toc451794881"/>
      <w:bookmarkStart w:id="81" w:name="_Toc451794932"/>
      <w:bookmarkStart w:id="82" w:name="_Toc451798268"/>
      <w:bookmarkStart w:id="83" w:name="_Toc451794775"/>
      <w:bookmarkStart w:id="84" w:name="_Toc451794832"/>
      <w:bookmarkStart w:id="85" w:name="_Toc451794883"/>
      <w:bookmarkStart w:id="86" w:name="_Toc451794934"/>
      <w:bookmarkStart w:id="87" w:name="_Toc451798270"/>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Pr>
          <w:rFonts w:ascii="Times New Roman" w:hAnsi="Times New Roman"/>
          <w:noProof/>
          <w:sz w:val="24"/>
          <w:szCs w:val="24"/>
        </w:rPr>
        <w:t>The achievement of the identified objectives will rely upon the establishment of long-term cooperation and upon end-user friendly and societally affordable solutions. The intervention logic reported in Figure 3.1 illustrates the links between the general objective, the problem definition, problem drivers and the identified objectives.</w:t>
      </w:r>
    </w:p>
    <w:p>
      <w:pPr>
        <w:autoSpaceDE w:val="0"/>
        <w:autoSpaceDN w:val="0"/>
        <w:adjustRightInd w:val="0"/>
        <w:spacing w:after="120" w:line="240" w:lineRule="auto"/>
        <w:jc w:val="both"/>
        <w:rPr>
          <w:rFonts w:ascii="Times New Roman" w:hAnsi="Times New Roman"/>
          <w:noProof/>
          <w:sz w:val="24"/>
          <w:szCs w:val="24"/>
        </w:rPr>
      </w:pPr>
      <w:r>
        <w:rPr>
          <w:rFonts w:ascii="Times New Roman" w:hAnsi="Times New Roman"/>
          <w:noProof/>
          <w:sz w:val="24"/>
          <w:szCs w:val="24"/>
        </w:rPr>
        <w:t>Synergies and trade-offs can be summarised as follows.</w:t>
      </w:r>
    </w:p>
    <w:p>
      <w:pPr>
        <w:pStyle w:val="ListParagraph"/>
        <w:numPr>
          <w:ilvl w:val="0"/>
          <w:numId w:val="3"/>
        </w:numPr>
        <w:autoSpaceDE w:val="0"/>
        <w:autoSpaceDN w:val="0"/>
        <w:adjustRightInd w:val="0"/>
        <w:spacing w:after="120" w:line="240" w:lineRule="auto"/>
        <w:ind w:left="425" w:hanging="357"/>
        <w:rPr>
          <w:rFonts w:ascii="Times New Roman" w:hAnsi="Times New Roman"/>
          <w:noProof/>
          <w:sz w:val="24"/>
          <w:szCs w:val="24"/>
        </w:rPr>
      </w:pPr>
      <w:r>
        <w:rPr>
          <w:rFonts w:ascii="Times New Roman" w:hAnsi="Times New Roman"/>
          <w:b/>
          <w:noProof/>
          <w:sz w:val="24"/>
          <w:szCs w:val="24"/>
        </w:rPr>
        <w:t xml:space="preserve">Cooperation in R&amp;I </w:t>
      </w:r>
      <w:r>
        <w:rPr>
          <w:rFonts w:ascii="Times New Roman" w:hAnsi="Times New Roman"/>
          <w:noProof/>
          <w:sz w:val="24"/>
          <w:szCs w:val="24"/>
        </w:rPr>
        <w:t xml:space="preserve">can lead to knowledge development and transfer. It increases research capacities quantitatively (i.e. number of researchers or highly qualified workers like engineers or technicians that are supported) and qualitatively, through the exchange of knowledge and experience. Common work between researchers and other highly qualified people may enhance skills and capacities, create knowledge-based job opportunities in opportunities in the Mediterranean countries. </w:t>
      </w:r>
    </w:p>
    <w:p>
      <w:pPr>
        <w:pStyle w:val="ListParagraph"/>
        <w:numPr>
          <w:ilvl w:val="0"/>
          <w:numId w:val="3"/>
        </w:numPr>
        <w:spacing w:after="120" w:line="240" w:lineRule="auto"/>
        <w:ind w:left="426" w:hanging="357"/>
        <w:contextualSpacing w:val="0"/>
        <w:rPr>
          <w:rFonts w:ascii="Times New Roman" w:hAnsi="Times New Roman"/>
          <w:noProof/>
          <w:sz w:val="24"/>
          <w:szCs w:val="24"/>
        </w:rPr>
      </w:pPr>
      <w:r>
        <w:rPr>
          <w:rFonts w:ascii="Times New Roman" w:hAnsi="Times New Roman"/>
          <w:noProof/>
          <w:sz w:val="24"/>
          <w:szCs w:val="24"/>
        </w:rPr>
        <w:t>The activities linked with the operational objectives ensure proper attention to innovation and to the implementation of the developed solutions. These solutions, if adequately implemented and mainstreamed, would contribute:</w:t>
      </w:r>
    </w:p>
    <w:p>
      <w:pPr>
        <w:pStyle w:val="ListParagraph"/>
        <w:numPr>
          <w:ilvl w:val="0"/>
          <w:numId w:val="95"/>
        </w:numPr>
        <w:autoSpaceDE w:val="0"/>
        <w:autoSpaceDN w:val="0"/>
        <w:adjustRightInd w:val="0"/>
        <w:spacing w:after="120" w:line="240" w:lineRule="auto"/>
        <w:rPr>
          <w:rFonts w:ascii="Times New Roman" w:hAnsi="Times New Roman"/>
          <w:noProof/>
          <w:sz w:val="24"/>
          <w:szCs w:val="24"/>
        </w:rPr>
      </w:pPr>
      <w:r>
        <w:rPr>
          <w:rFonts w:ascii="Times New Roman" w:hAnsi="Times New Roman"/>
          <w:noProof/>
          <w:sz w:val="24"/>
          <w:szCs w:val="24"/>
        </w:rPr>
        <w:t xml:space="preserve">To </w:t>
      </w:r>
      <w:r>
        <w:rPr>
          <w:rFonts w:ascii="Times New Roman" w:hAnsi="Times New Roman"/>
          <w:b/>
          <w:noProof/>
          <w:sz w:val="24"/>
          <w:szCs w:val="24"/>
        </w:rPr>
        <w:t>mitigating environmental pressures</w:t>
      </w:r>
      <w:r>
        <w:rPr>
          <w:rFonts w:ascii="Times New Roman" w:hAnsi="Times New Roman"/>
          <w:noProof/>
          <w:sz w:val="24"/>
          <w:szCs w:val="24"/>
        </w:rPr>
        <w:t>, such as water stress or pollution derived from over-exploitation of natural resources;</w:t>
      </w:r>
    </w:p>
    <w:p>
      <w:pPr>
        <w:pStyle w:val="ListParagraph"/>
        <w:numPr>
          <w:ilvl w:val="0"/>
          <w:numId w:val="95"/>
        </w:numPr>
        <w:autoSpaceDE w:val="0"/>
        <w:autoSpaceDN w:val="0"/>
        <w:adjustRightInd w:val="0"/>
        <w:spacing w:after="240" w:line="240" w:lineRule="auto"/>
        <w:ind w:left="714" w:hanging="357"/>
        <w:contextualSpacing w:val="0"/>
        <w:rPr>
          <w:rFonts w:ascii="Times New Roman" w:hAnsi="Times New Roman"/>
          <w:noProof/>
          <w:sz w:val="24"/>
          <w:szCs w:val="24"/>
        </w:rPr>
      </w:pPr>
      <w:r>
        <w:rPr>
          <w:rFonts w:ascii="Times New Roman" w:hAnsi="Times New Roman"/>
          <w:noProof/>
          <w:sz w:val="24"/>
          <w:szCs w:val="24"/>
        </w:rPr>
        <w:t xml:space="preserve">To </w:t>
      </w:r>
      <w:r>
        <w:rPr>
          <w:rFonts w:ascii="Times New Roman" w:hAnsi="Times New Roman"/>
          <w:b/>
          <w:noProof/>
          <w:sz w:val="24"/>
          <w:szCs w:val="24"/>
        </w:rPr>
        <w:t>opportunities for investments and development of new markets</w:t>
      </w:r>
      <w:r>
        <w:rPr>
          <w:rFonts w:ascii="Times New Roman" w:hAnsi="Times New Roman"/>
          <w:noProof/>
          <w:sz w:val="24"/>
          <w:szCs w:val="24"/>
        </w:rPr>
        <w:t>.</w:t>
      </w:r>
    </w:p>
    <w:p>
      <w:pPr>
        <w:pStyle w:val="ListParagraph"/>
        <w:spacing w:after="120" w:line="240" w:lineRule="auto"/>
        <w:ind w:left="426"/>
        <w:contextualSpacing w:val="0"/>
        <w:rPr>
          <w:rFonts w:ascii="Times New Roman" w:hAnsi="Times New Roman"/>
          <w:noProof/>
          <w:sz w:val="24"/>
          <w:szCs w:val="24"/>
        </w:rPr>
      </w:pPr>
      <w:r>
        <w:rPr>
          <w:rFonts w:ascii="Times New Roman" w:hAnsi="Times New Roman"/>
          <w:noProof/>
          <w:sz w:val="24"/>
          <w:szCs w:val="24"/>
          <w:lang w:val="en-US"/>
        </w:rPr>
        <mc:AlternateContent>
          <mc:Choice Requires="wps">
            <w:drawing>
              <wp:anchor distT="0" distB="0" distL="114300" distR="114300" simplePos="0" relativeHeight="251696128" behindDoc="0" locked="0" layoutInCell="1" allowOverlap="1">
                <wp:simplePos x="0" y="0"/>
                <wp:positionH relativeFrom="column">
                  <wp:posOffset>4559300</wp:posOffset>
                </wp:positionH>
                <wp:positionV relativeFrom="paragraph">
                  <wp:posOffset>27305</wp:posOffset>
                </wp:positionV>
                <wp:extent cx="1407160" cy="3496945"/>
                <wp:effectExtent l="0" t="0" r="2540" b="8255"/>
                <wp:wrapNone/>
                <wp:docPr id="52" name="Rounded Rectangle 52"/>
                <wp:cNvGraphicFramePr/>
                <a:graphic xmlns:a="http://schemas.openxmlformats.org/drawingml/2006/main">
                  <a:graphicData uri="http://schemas.microsoft.com/office/word/2010/wordprocessingShape">
                    <wps:wsp>
                      <wps:cNvSpPr/>
                      <wps:spPr>
                        <a:xfrm>
                          <a:off x="0" y="0"/>
                          <a:ext cx="1407160" cy="3496945"/>
                        </a:xfrm>
                        <a:prstGeom prst="round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2" o:spid="_x0000_s1026" style="position:absolute;margin-left:359pt;margin-top:2.15pt;width:110.8pt;height:275.3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" fillcolor="#c6d9f1 [671]" stroked="f" strokeweight="2pt"/>
            </w:pict>
          </mc:Fallback>
        </mc:AlternateContent>
      </w:r>
      <w:r>
        <w:rPr>
          <w:rFonts w:ascii="Times New Roman" w:hAnsi="Times New Roman"/>
          <w:noProof/>
          <w:sz w:val="24"/>
          <w:szCs w:val="24"/>
          <w:lang w:val="en-US"/>
        </w:rPr>
        <mc:AlternateContent>
          <mc:Choice Requires="wps">
            <w:drawing>
              <wp:anchor distT="0" distB="0" distL="114300" distR="114300" simplePos="0" relativeHeight="251693056" behindDoc="0" locked="0" layoutInCell="1" allowOverlap="1">
                <wp:simplePos x="0" y="0"/>
                <wp:positionH relativeFrom="column">
                  <wp:posOffset>3024505</wp:posOffset>
                </wp:positionH>
                <wp:positionV relativeFrom="paragraph">
                  <wp:posOffset>27305</wp:posOffset>
                </wp:positionV>
                <wp:extent cx="1407160" cy="3496945"/>
                <wp:effectExtent l="0" t="0" r="2540" b="8255"/>
                <wp:wrapNone/>
                <wp:docPr id="47" name="Rounded Rectangle 47"/>
                <wp:cNvGraphicFramePr/>
                <a:graphic xmlns:a="http://schemas.openxmlformats.org/drawingml/2006/main">
                  <a:graphicData uri="http://schemas.microsoft.com/office/word/2010/wordprocessingShape">
                    <wps:wsp>
                      <wps:cNvSpPr/>
                      <wps:spPr>
                        <a:xfrm>
                          <a:off x="0" y="0"/>
                          <a:ext cx="1407160" cy="3496945"/>
                        </a:xfrm>
                        <a:prstGeom prst="round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7" o:spid="_x0000_s1026" style="position:absolute;margin-left:238.15pt;margin-top:2.15pt;width:110.8pt;height:275.3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" fillcolor="#c6d9f1 [671]" stroked="f" strokeweight="2pt"/>
            </w:pict>
          </mc:Fallback>
        </mc:AlternateContent>
      </w:r>
      <w:r>
        <w:rPr>
          <w:rFonts w:ascii="Times New Roman" w:hAnsi="Times New Roman"/>
          <w:noProof/>
          <w:sz w:val="24"/>
          <w:szCs w:val="24"/>
          <w:lang w:val="en-US"/>
        </w:rPr>
        <mc:AlternateContent>
          <mc:Choice Requires="wps">
            <w:drawing>
              <wp:anchor distT="0" distB="0" distL="114300" distR="114300" simplePos="0" relativeHeight="251656192" behindDoc="0" locked="0" layoutInCell="1" allowOverlap="1">
                <wp:simplePos x="0" y="0"/>
                <wp:positionH relativeFrom="column">
                  <wp:posOffset>1522178</wp:posOffset>
                </wp:positionH>
                <wp:positionV relativeFrom="paragraph">
                  <wp:posOffset>27305</wp:posOffset>
                </wp:positionV>
                <wp:extent cx="1407160" cy="3497083"/>
                <wp:effectExtent l="0" t="0" r="2540" b="8255"/>
                <wp:wrapNone/>
                <wp:docPr id="42" name="Rounded Rectangle 42"/>
                <wp:cNvGraphicFramePr/>
                <a:graphic xmlns:a="http://schemas.openxmlformats.org/drawingml/2006/main">
                  <a:graphicData uri="http://schemas.microsoft.com/office/word/2010/wordprocessingShape">
                    <wps:wsp>
                      <wps:cNvSpPr/>
                      <wps:spPr>
                        <a:xfrm>
                          <a:off x="0" y="0"/>
                          <a:ext cx="1407160" cy="3497083"/>
                        </a:xfrm>
                        <a:prstGeom prst="round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 o:spid="_x0000_s1026" style="position:absolute;margin-left:119.85pt;margin-top:2.15pt;width:110.8pt;height:27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" fillcolor="#c6d9f1 [671]" stroked="f" strokeweight="2pt"/>
            </w:pict>
          </mc:Fallback>
        </mc:AlternateContent>
      </w:r>
      <w:r>
        <w:rPr>
          <w:rFonts w:ascii="Times New Roman" w:hAnsi="Times New Roman"/>
          <w:noProof/>
          <w:sz w:val="24"/>
          <w:szCs w:val="24"/>
          <w:lang w:val="en-US"/>
        </w:rPr>
        <mc:AlternateContent>
          <mc:Choice Requires="wps">
            <w:drawing>
              <wp:anchor distT="0" distB="0" distL="114300" distR="114300" simplePos="0" relativeHeight="251702272" behindDoc="0" locked="0" layoutInCell="1" allowOverlap="1">
                <wp:simplePos x="0" y="0"/>
                <wp:positionH relativeFrom="column">
                  <wp:posOffset>-12700</wp:posOffset>
                </wp:positionH>
                <wp:positionV relativeFrom="paragraph">
                  <wp:posOffset>26670</wp:posOffset>
                </wp:positionV>
                <wp:extent cx="1407160" cy="3497580"/>
                <wp:effectExtent l="0" t="0" r="2540" b="7620"/>
                <wp:wrapNone/>
                <wp:docPr id="28" name="Rounded Rectangle 28"/>
                <wp:cNvGraphicFramePr/>
                <a:graphic xmlns:a="http://schemas.openxmlformats.org/drawingml/2006/main">
                  <a:graphicData uri="http://schemas.microsoft.com/office/word/2010/wordprocessingShape">
                    <wps:wsp>
                      <wps:cNvSpPr/>
                      <wps:spPr>
                        <a:xfrm>
                          <a:off x="0" y="0"/>
                          <a:ext cx="1407160" cy="3497580"/>
                        </a:xfrm>
                        <a:prstGeom prst="round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8" o:spid="_x0000_s1026" style="position:absolute;margin-left:-1pt;margin-top:2.1pt;width:110.8pt;height:275.4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" fillcolor="#c6d9f1 [671]" stroked="f" strokeweight="2pt"/>
            </w:pict>
          </mc:Fallback>
        </mc:AlternateContent>
      </w:r>
      <w:r>
        <w:rPr>
          <w:rFonts w:ascii="Times New Roman" w:hAnsi="Times New Roman"/>
          <w:noProof/>
          <w:sz w:val="24"/>
          <w:szCs w:val="24"/>
          <w:lang w:val="en-US"/>
        </w:rPr>
        <mc:AlternateContent>
          <mc:Choice Requires="wps">
            <w:drawing>
              <wp:anchor distT="0" distB="0" distL="114300" distR="114300" simplePos="0" relativeHeight="251698176" behindDoc="0" locked="0" layoutInCell="1" allowOverlap="1">
                <wp:simplePos x="0" y="0"/>
                <wp:positionH relativeFrom="column">
                  <wp:posOffset>4592806</wp:posOffset>
                </wp:positionH>
                <wp:positionV relativeFrom="paragraph">
                  <wp:posOffset>109745</wp:posOffset>
                </wp:positionV>
                <wp:extent cx="1311910" cy="452755"/>
                <wp:effectExtent l="0" t="0" r="2540" b="4445"/>
                <wp:wrapNone/>
                <wp:docPr id="57" name="Text Box 57"/>
                <wp:cNvGraphicFramePr/>
                <a:graphic xmlns:a="http://schemas.openxmlformats.org/drawingml/2006/main">
                  <a:graphicData uri="http://schemas.microsoft.com/office/word/2010/wordprocessingShape">
                    <wps:wsp>
                      <wps:cNvSpPr txBox="1"/>
                      <wps:spPr>
                        <a:xfrm>
                          <a:off x="0" y="0"/>
                          <a:ext cx="1311910" cy="45275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pPr>
                              <w:jc w:val="center"/>
                              <w:rPr>
                                <w:b/>
                                <w:sz w:val="20"/>
                              </w:rPr>
                            </w:pPr>
                            <w:r>
                              <w:rPr>
                                <w:b/>
                                <w:sz w:val="20"/>
                              </w:rPr>
                              <w:t>SPECIFIC OBJECTIVES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7" o:spid="_x0000_s1026" type="#_x0000_t202" style="position:absolute;left:0;text-align:left;margin-left:361.65pt;margin-top:8.65pt;width:103.3pt;height:35.6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" filled="f" stroked="f" strokeweight="2pt">
                <v:textbox inset="0,0,0,0">
                  <w:txbxContent>
                    <w:p>
                      <w:pPr>
                        <w:jc w:val="center"/>
                        <w:rPr>
                          <w:b/>
                          <w:sz w:val="20"/>
                        </w:rPr>
                      </w:pPr>
                      <w:r>
                        <w:rPr>
                          <w:b/>
                          <w:sz w:val="20"/>
                        </w:rPr>
                        <w:t>SPECIFIC OBJECTIVES</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06368" behindDoc="0" locked="0" layoutInCell="1" allowOverlap="1">
                <wp:simplePos x="0" y="0"/>
                <wp:positionH relativeFrom="column">
                  <wp:posOffset>25676</wp:posOffset>
                </wp:positionH>
                <wp:positionV relativeFrom="paragraph">
                  <wp:posOffset>109745</wp:posOffset>
                </wp:positionV>
                <wp:extent cx="1311910" cy="452755"/>
                <wp:effectExtent l="0" t="0" r="0" b="4445"/>
                <wp:wrapNone/>
                <wp:docPr id="41" name="Text Box 41"/>
                <wp:cNvGraphicFramePr/>
                <a:graphic xmlns:a="http://schemas.openxmlformats.org/drawingml/2006/main">
                  <a:graphicData uri="http://schemas.microsoft.com/office/word/2010/wordprocessingShape">
                    <wps:wsp>
                      <wps:cNvSpPr txBox="1"/>
                      <wps:spPr>
                        <a:xfrm>
                          <a:off x="0" y="0"/>
                          <a:ext cx="1311910" cy="45275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pPr>
                              <w:jc w:val="center"/>
                              <w:rPr>
                                <w:b/>
                                <w:sz w:val="20"/>
                              </w:rPr>
                            </w:pPr>
                            <w:r>
                              <w:rPr>
                                <w:b/>
                                <w:sz w:val="20"/>
                              </w:rPr>
                              <w:t>PROBLEM DRIVERS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id="Text Box 41" o:spid="_x0000_s1027" type="#_x0000_t202" style="position:absolute;left:0;text-align:left;margin-left:2pt;margin-top:8.65pt;width:103.3pt;height:35.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" filled="f" stroked="f" strokeweight="2pt">
                <v:textbox inset=",0,,0">
                  <w:txbxContent>
                    <w:p>
                      <w:pPr>
                        <w:jc w:val="center"/>
                        <w:rPr>
                          <w:b/>
                          <w:sz w:val="20"/>
                        </w:rPr>
                      </w:pPr>
                      <w:r>
                        <w:rPr>
                          <w:b/>
                          <w:sz w:val="20"/>
                        </w:rPr>
                        <w:t>PROBLEM DRIVERS</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95104" behindDoc="0" locked="0" layoutInCell="1" allowOverlap="1">
                <wp:simplePos x="0" y="0"/>
                <wp:positionH relativeFrom="column">
                  <wp:posOffset>3067107</wp:posOffset>
                </wp:positionH>
                <wp:positionV relativeFrom="paragraph">
                  <wp:posOffset>109746</wp:posOffset>
                </wp:positionV>
                <wp:extent cx="1311910" cy="342292"/>
                <wp:effectExtent l="0" t="0" r="2540" b="635"/>
                <wp:wrapNone/>
                <wp:docPr id="51" name="Text Box 51"/>
                <wp:cNvGraphicFramePr/>
                <a:graphic xmlns:a="http://schemas.openxmlformats.org/drawingml/2006/main">
                  <a:graphicData uri="http://schemas.microsoft.com/office/word/2010/wordprocessingShape">
                    <wps:wsp>
                      <wps:cNvSpPr txBox="1"/>
                      <wps:spPr>
                        <a:xfrm>
                          <a:off x="0" y="0"/>
                          <a:ext cx="1311910" cy="342292"/>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pPr>
                              <w:jc w:val="center"/>
                              <w:rPr>
                                <w:b/>
                                <w:sz w:val="20"/>
                              </w:rPr>
                            </w:pPr>
                            <w:r>
                              <w:rPr>
                                <w:b/>
                                <w:sz w:val="20"/>
                              </w:rPr>
                              <w:t>STRATEGIC OBJECTIVE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51" o:spid="_x0000_s1028" type="#_x0000_t202" style="position:absolute;left:0;text-align:left;margin-left:241.5pt;margin-top:8.65pt;width:103.3pt;height:26.9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" filled="f" stroked="f" strokeweight="2pt">
                <v:textbox inset="0,0,0,0">
                  <w:txbxContent>
                    <w:p>
                      <w:pPr>
                        <w:jc w:val="center"/>
                        <w:rPr>
                          <w:b/>
                          <w:sz w:val="20"/>
                        </w:rPr>
                      </w:pPr>
                      <w:r>
                        <w:rPr>
                          <w:b/>
                          <w:sz w:val="20"/>
                        </w:rPr>
                        <w:t>STRATEGIC OBJECTIVE</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1524000</wp:posOffset>
                </wp:positionH>
                <wp:positionV relativeFrom="paragraph">
                  <wp:posOffset>105248</wp:posOffset>
                </wp:positionV>
                <wp:extent cx="1407160" cy="452755"/>
                <wp:effectExtent l="0" t="0" r="2540" b="4445"/>
                <wp:wrapNone/>
                <wp:docPr id="46" name="Text Box 46"/>
                <wp:cNvGraphicFramePr/>
                <a:graphic xmlns:a="http://schemas.openxmlformats.org/drawingml/2006/main">
                  <a:graphicData uri="http://schemas.microsoft.com/office/word/2010/wordprocessingShape">
                    <wps:wsp>
                      <wps:cNvSpPr txBox="1"/>
                      <wps:spPr>
                        <a:xfrm>
                          <a:off x="0" y="0"/>
                          <a:ext cx="1407160" cy="45275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pPr>
                              <w:jc w:val="center"/>
                              <w:rPr>
                                <w:b/>
                                <w:sz w:val="20"/>
                              </w:rPr>
                            </w:pPr>
                            <w:r>
                              <w:rPr>
                                <w:b/>
                                <w:sz w:val="20"/>
                              </w:rPr>
                              <w:t>PROBLEM DEFINITION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9" type="#_x0000_t202" style="position:absolute;left:0;text-align:left;margin-left:120pt;margin-top:8.3pt;width:110.8pt;height:3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" filled="f" stroked="f" strokeweight="2pt">
                <v:textbox inset="0,0,0,0">
                  <w:txbxContent>
                    <w:p>
                      <w:pPr>
                        <w:jc w:val="center"/>
                        <w:rPr>
                          <w:b/>
                          <w:sz w:val="20"/>
                        </w:rPr>
                      </w:pPr>
                      <w:r>
                        <w:rPr>
                          <w:b/>
                          <w:sz w:val="20"/>
                        </w:rPr>
                        <w:t>PROBLEM DEFINITION</w:t>
                      </w:r>
                    </w:p>
                  </w:txbxContent>
                </v:textbox>
              </v:shape>
            </w:pict>
          </mc:Fallback>
        </mc:AlternateContent>
      </w:r>
    </w:p>
    <w:p>
      <w:pPr>
        <w:pStyle w:val="ListParagraph"/>
        <w:spacing w:after="120" w:line="240" w:lineRule="auto"/>
        <w:ind w:left="426"/>
        <w:contextualSpacing w:val="0"/>
        <w:rPr>
          <w:rFonts w:ascii="Times New Roman" w:hAnsi="Times New Roman"/>
          <w:noProof/>
          <w:sz w:val="24"/>
          <w:szCs w:val="24"/>
        </w:rPr>
      </w:pPr>
    </w:p>
    <w:p>
      <w:pPr>
        <w:pStyle w:val="ListParagraph"/>
        <w:spacing w:after="120" w:line="240" w:lineRule="auto"/>
        <w:ind w:left="426"/>
        <w:contextualSpacing w:val="0"/>
        <w:rPr>
          <w:rFonts w:ascii="Times New Roman" w:hAnsi="Times New Roman"/>
          <w:noProof/>
          <w:sz w:val="24"/>
          <w:szCs w:val="24"/>
        </w:rPr>
      </w:pPr>
      <w:r>
        <w:rPr>
          <w:rFonts w:ascii="Times New Roman" w:hAnsi="Times New Roman"/>
          <w:noProof/>
          <w:sz w:val="24"/>
          <w:szCs w:val="24"/>
          <w:lang w:val="en-US"/>
        </w:rPr>
        <mc:AlternateContent>
          <mc:Choice Requires="wps">
            <w:drawing>
              <wp:anchor distT="0" distB="0" distL="114300" distR="114300" simplePos="0" relativeHeight="251657216" behindDoc="0" locked="0" layoutInCell="1" allowOverlap="1">
                <wp:simplePos x="0" y="0"/>
                <wp:positionH relativeFrom="column">
                  <wp:posOffset>1565910</wp:posOffset>
                </wp:positionH>
                <wp:positionV relativeFrom="paragraph">
                  <wp:posOffset>2039</wp:posOffset>
                </wp:positionV>
                <wp:extent cx="1311910" cy="1284548"/>
                <wp:effectExtent l="19050" t="19050" r="21590" b="11430"/>
                <wp:wrapNone/>
                <wp:docPr id="43" name="Text Box 43"/>
                <wp:cNvGraphicFramePr/>
                <a:graphic xmlns:a="http://schemas.openxmlformats.org/drawingml/2006/main">
                  <a:graphicData uri="http://schemas.microsoft.com/office/word/2010/wordprocessingShape">
                    <wps:wsp>
                      <wps:cNvSpPr txBox="1"/>
                      <wps:spPr>
                        <a:xfrm>
                          <a:off x="0" y="0"/>
                          <a:ext cx="1311910" cy="1284548"/>
                        </a:xfrm>
                        <a:prstGeom prst="rect">
                          <a:avLst/>
                        </a:prstGeom>
                        <a:solidFill>
                          <a:schemeClr val="accent1"/>
                        </a:solidFill>
                        <a:ln w="28575">
                          <a:solidFill>
                            <a:schemeClr val="bg1"/>
                          </a:solidFill>
                        </a:ln>
                      </wps:spPr>
                      <wps:style>
                        <a:lnRef idx="2">
                          <a:schemeClr val="accent1"/>
                        </a:lnRef>
                        <a:fillRef idx="1">
                          <a:schemeClr val="lt1"/>
                        </a:fillRef>
                        <a:effectRef idx="0">
                          <a:schemeClr val="accent1"/>
                        </a:effectRef>
                        <a:fontRef idx="minor">
                          <a:schemeClr val="dk1"/>
                        </a:fontRef>
                      </wps:style>
                      <wps:txbx>
                        <w:txbxContent>
                          <w:p>
                            <w:pPr>
                              <w:spacing w:after="0" w:line="240" w:lineRule="auto"/>
                              <w:rPr>
                                <w:rFonts w:ascii="Times New Roman" w:hAnsi="Times New Roman"/>
                                <w:color w:val="FFFFFF" w:themeColor="background1"/>
                                <w:sz w:val="20"/>
                              </w:rPr>
                            </w:pPr>
                            <w:r>
                              <w:rPr>
                                <w:rFonts w:ascii="Times New Roman" w:hAnsi="Times New Roman"/>
                                <w:b/>
                                <w:color w:val="FFFFFF" w:themeColor="background1"/>
                                <w:sz w:val="20"/>
                              </w:rPr>
                              <w:t>Unsustainable management of water provision and food systems in the Mediterranean area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0" type="#_x0000_t202" style="position:absolute;left:0;text-align:left;margin-left:123.3pt;margin-top:.15pt;width:103.3pt;height:10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" fillcolor="#4f81bd [3204]" strokecolor="white [3212]" strokeweight="2.25pt">
                <v:textbox inset="1mm,0,1mm,0">
                  <w:txbxContent>
                    <w:p>
                      <w:pPr>
                        <w:spacing w:after="0" w:line="240" w:lineRule="auto"/>
                        <w:rPr>
                          <w:rFonts w:ascii="Times New Roman" w:hAnsi="Times New Roman"/>
                          <w:color w:val="FFFFFF" w:themeColor="background1"/>
                          <w:sz w:val="20"/>
                        </w:rPr>
                      </w:pPr>
                      <w:r>
                        <w:rPr>
                          <w:rFonts w:ascii="Times New Roman" w:hAnsi="Times New Roman"/>
                          <w:b/>
                          <w:color w:val="FFFFFF" w:themeColor="background1"/>
                          <w:sz w:val="20"/>
                        </w:rPr>
                        <w:t>Unsustainable management of water provision and food systems in the Mediterranean area</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03296" behindDoc="0" locked="0" layoutInCell="1" allowOverlap="1">
                <wp:simplePos x="0" y="0"/>
                <wp:positionH relativeFrom="column">
                  <wp:posOffset>25400</wp:posOffset>
                </wp:positionH>
                <wp:positionV relativeFrom="paragraph">
                  <wp:posOffset>-1270</wp:posOffset>
                </wp:positionV>
                <wp:extent cx="1311910" cy="890270"/>
                <wp:effectExtent l="19050" t="19050" r="21590" b="24130"/>
                <wp:wrapNone/>
                <wp:docPr id="30" name="Text Box 30"/>
                <wp:cNvGraphicFramePr/>
                <a:graphic xmlns:a="http://schemas.openxmlformats.org/drawingml/2006/main">
                  <a:graphicData uri="http://schemas.microsoft.com/office/word/2010/wordprocessingShape">
                    <wps:wsp>
                      <wps:cNvSpPr txBox="1"/>
                      <wps:spPr>
                        <a:xfrm>
                          <a:off x="0" y="0"/>
                          <a:ext cx="1311910" cy="890270"/>
                        </a:xfrm>
                        <a:prstGeom prst="rect">
                          <a:avLst/>
                        </a:prstGeom>
                        <a:solidFill>
                          <a:schemeClr val="accent1"/>
                        </a:solidFill>
                        <a:ln w="28575">
                          <a:solidFill>
                            <a:schemeClr val="bg1"/>
                          </a:solidFill>
                        </a:ln>
                      </wps:spPr>
                      <wps:style>
                        <a:lnRef idx="2">
                          <a:schemeClr val="accent1"/>
                        </a:lnRef>
                        <a:fillRef idx="1">
                          <a:schemeClr val="lt1"/>
                        </a:fillRef>
                        <a:effectRef idx="0">
                          <a:schemeClr val="accent1"/>
                        </a:effectRef>
                        <a:fontRef idx="minor">
                          <a:schemeClr val="dk1"/>
                        </a:fontRef>
                      </wps:style>
                      <wps:txbx>
                        <w:txbxContent>
                          <w:p>
                            <w:pPr>
                              <w:spacing w:after="0" w:line="240" w:lineRule="auto"/>
                              <w:rPr>
                                <w:rFonts w:ascii="Times New Roman" w:hAnsi="Times New Roman"/>
                                <w:b/>
                                <w:color w:val="FFFFFF" w:themeColor="background1"/>
                                <w:sz w:val="20"/>
                              </w:rPr>
                            </w:pPr>
                            <w:r>
                              <w:rPr>
                                <w:rFonts w:ascii="Times New Roman" w:hAnsi="Times New Roman"/>
                                <w:b/>
                                <w:color w:val="FFFFFF" w:themeColor="background1"/>
                                <w:sz w:val="20"/>
                              </w:rPr>
                              <w:t>Uneven R&amp;I resources in the Mediterranean countries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Text Box 30" o:spid="_x0000_s1031" type="#_x0000_t202" style="position:absolute;left:0;text-align:left;margin-left:2pt;margin-top:-.1pt;width:103.3pt;height:70.1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" fillcolor="#4f81bd [3204]" strokecolor="white [3212]" strokeweight="2.25pt">
                <v:textbox inset="1mm,0,1mm,0">
                  <w:txbxContent>
                    <w:p>
                      <w:pPr>
                        <w:spacing w:after="0" w:line="240" w:lineRule="auto"/>
                        <w:rPr>
                          <w:rFonts w:ascii="Times New Roman" w:hAnsi="Times New Roman"/>
                          <w:b/>
                          <w:color w:val="FFFFFF" w:themeColor="background1"/>
                          <w:sz w:val="20"/>
                        </w:rPr>
                      </w:pPr>
                      <w:r>
                        <w:rPr>
                          <w:rFonts w:ascii="Times New Roman" w:hAnsi="Times New Roman"/>
                          <w:b/>
                          <w:color w:val="FFFFFF" w:themeColor="background1"/>
                          <w:sz w:val="20"/>
                        </w:rPr>
                        <w:t>Uneven R&amp;I resources in the Mediterranean countries</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97152" behindDoc="0" locked="0" layoutInCell="1" allowOverlap="1">
                <wp:simplePos x="0" y="0"/>
                <wp:positionH relativeFrom="column">
                  <wp:posOffset>4591050</wp:posOffset>
                </wp:positionH>
                <wp:positionV relativeFrom="paragraph">
                  <wp:posOffset>42214</wp:posOffset>
                </wp:positionV>
                <wp:extent cx="1311910" cy="563245"/>
                <wp:effectExtent l="19050" t="19050" r="21590" b="27305"/>
                <wp:wrapNone/>
                <wp:docPr id="53" name="Text Box 53"/>
                <wp:cNvGraphicFramePr/>
                <a:graphic xmlns:a="http://schemas.openxmlformats.org/drawingml/2006/main">
                  <a:graphicData uri="http://schemas.microsoft.com/office/word/2010/wordprocessingShape">
                    <wps:wsp>
                      <wps:cNvSpPr txBox="1"/>
                      <wps:spPr>
                        <a:xfrm>
                          <a:off x="0" y="0"/>
                          <a:ext cx="1311910" cy="563245"/>
                        </a:xfrm>
                        <a:prstGeom prst="rect">
                          <a:avLst/>
                        </a:prstGeom>
                        <a:solidFill>
                          <a:schemeClr val="accent1"/>
                        </a:solidFill>
                        <a:ln w="28575">
                          <a:solidFill>
                            <a:schemeClr val="bg1"/>
                          </a:solidFill>
                        </a:ln>
                      </wps:spPr>
                      <wps:style>
                        <a:lnRef idx="2">
                          <a:schemeClr val="accent1"/>
                        </a:lnRef>
                        <a:fillRef idx="1">
                          <a:schemeClr val="lt1"/>
                        </a:fillRef>
                        <a:effectRef idx="0">
                          <a:schemeClr val="accent1"/>
                        </a:effectRef>
                        <a:fontRef idx="minor">
                          <a:schemeClr val="dk1"/>
                        </a:fontRef>
                      </wps:style>
                      <wps:txbx>
                        <w:txbxContent>
                          <w:p>
                            <w:pPr>
                              <w:spacing w:after="0" w:line="240" w:lineRule="auto"/>
                              <w:rPr>
                                <w:rFonts w:ascii="Times New Roman" w:hAnsi="Times New Roman"/>
                                <w:b/>
                                <w:color w:val="FFFFFF" w:themeColor="background1"/>
                                <w:sz w:val="20"/>
                              </w:rPr>
                            </w:pPr>
                            <w:r>
                              <w:rPr>
                                <w:rFonts w:ascii="Times New Roman" w:hAnsi="Times New Roman"/>
                                <w:b/>
                                <w:color w:val="FFFFFF" w:themeColor="background1"/>
                                <w:sz w:val="20"/>
                              </w:rPr>
                              <w:t>Common long-term strategic R&amp;I agenda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Text Box 53" o:spid="_x0000_s1032" type="#_x0000_t202" style="position:absolute;left:0;text-align:left;margin-left:361.5pt;margin-top:3.3pt;width:103.3pt;height:44.3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" fillcolor="#4f81bd [3204]" strokecolor="white [3212]" strokeweight="2.25pt">
                <v:textbox inset="1mm,0,1mm,0">
                  <w:txbxContent>
                    <w:p>
                      <w:pPr>
                        <w:spacing w:after="0" w:line="240" w:lineRule="auto"/>
                        <w:rPr>
                          <w:rFonts w:ascii="Times New Roman" w:hAnsi="Times New Roman"/>
                          <w:b/>
                          <w:color w:val="FFFFFF" w:themeColor="background1"/>
                          <w:sz w:val="20"/>
                        </w:rPr>
                      </w:pPr>
                      <w:r>
                        <w:rPr>
                          <w:rFonts w:ascii="Times New Roman" w:hAnsi="Times New Roman"/>
                          <w:b/>
                          <w:color w:val="FFFFFF" w:themeColor="background1"/>
                          <w:sz w:val="20"/>
                        </w:rPr>
                        <w:t>Common long-term strategic R&amp;I agenda</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01248" behindDoc="0" locked="0" layoutInCell="1" allowOverlap="1">
                <wp:simplePos x="0" y="0"/>
                <wp:positionH relativeFrom="column">
                  <wp:posOffset>4603750</wp:posOffset>
                </wp:positionH>
                <wp:positionV relativeFrom="paragraph">
                  <wp:posOffset>2223135</wp:posOffset>
                </wp:positionV>
                <wp:extent cx="1311910" cy="563245"/>
                <wp:effectExtent l="19050" t="19050" r="21590" b="27305"/>
                <wp:wrapNone/>
                <wp:docPr id="60" name="Text Box 60"/>
                <wp:cNvGraphicFramePr/>
                <a:graphic xmlns:a="http://schemas.openxmlformats.org/drawingml/2006/main">
                  <a:graphicData uri="http://schemas.microsoft.com/office/word/2010/wordprocessingShape">
                    <wps:wsp>
                      <wps:cNvSpPr txBox="1"/>
                      <wps:spPr>
                        <a:xfrm>
                          <a:off x="0" y="0"/>
                          <a:ext cx="1311910" cy="563245"/>
                        </a:xfrm>
                        <a:prstGeom prst="rect">
                          <a:avLst/>
                        </a:prstGeom>
                        <a:solidFill>
                          <a:schemeClr val="accent1"/>
                        </a:solidFill>
                        <a:ln w="28575">
                          <a:solidFill>
                            <a:schemeClr val="bg1"/>
                          </a:solidFill>
                        </a:ln>
                      </wps:spPr>
                      <wps:style>
                        <a:lnRef idx="2">
                          <a:schemeClr val="accent1"/>
                        </a:lnRef>
                        <a:fillRef idx="1">
                          <a:schemeClr val="lt1"/>
                        </a:fillRef>
                        <a:effectRef idx="0">
                          <a:schemeClr val="accent1"/>
                        </a:effectRef>
                        <a:fontRef idx="minor">
                          <a:schemeClr val="dk1"/>
                        </a:fontRef>
                      </wps:style>
                      <wps:txbx>
                        <w:txbxContent>
                          <w:p>
                            <w:pPr>
                              <w:spacing w:after="0" w:line="240" w:lineRule="auto"/>
                              <w:rPr>
                                <w:rFonts w:ascii="Times New Roman" w:hAnsi="Times New Roman"/>
                                <w:b/>
                                <w:color w:val="FFFFFF" w:themeColor="background1"/>
                                <w:sz w:val="20"/>
                              </w:rPr>
                            </w:pPr>
                            <w:r>
                              <w:rPr>
                                <w:rFonts w:ascii="Times New Roman" w:hAnsi="Times New Roman"/>
                                <w:b/>
                                <w:color w:val="FFFFFF" w:themeColor="background1"/>
                                <w:sz w:val="20"/>
                              </w:rPr>
                              <w:t>Strengthening innovation capabilities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Text Box 60" o:spid="_x0000_s1033" type="#_x0000_t202" style="position:absolute;left:0;text-align:left;margin-left:362.5pt;margin-top:175.05pt;width:103.3pt;height:44.3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" fillcolor="#4f81bd [3204]" strokecolor="white [3212]" strokeweight="2.25pt">
                <v:textbox inset="1mm,0,1mm,0">
                  <w:txbxContent>
                    <w:p>
                      <w:pPr>
                        <w:spacing w:after="0" w:line="240" w:lineRule="auto"/>
                        <w:rPr>
                          <w:rFonts w:ascii="Times New Roman" w:hAnsi="Times New Roman"/>
                          <w:b/>
                          <w:color w:val="FFFFFF" w:themeColor="background1"/>
                          <w:sz w:val="20"/>
                        </w:rPr>
                      </w:pPr>
                      <w:r>
                        <w:rPr>
                          <w:rFonts w:ascii="Times New Roman" w:hAnsi="Times New Roman"/>
                          <w:b/>
                          <w:color w:val="FFFFFF" w:themeColor="background1"/>
                          <w:sz w:val="20"/>
                        </w:rPr>
                        <w:t>Strengthening innovation capabilities</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09440" behindDoc="0" locked="0" layoutInCell="1" allowOverlap="1">
                <wp:simplePos x="0" y="0"/>
                <wp:positionH relativeFrom="column">
                  <wp:posOffset>1340485</wp:posOffset>
                </wp:positionH>
                <wp:positionV relativeFrom="paragraph">
                  <wp:posOffset>1413510</wp:posOffset>
                </wp:positionV>
                <wp:extent cx="234950" cy="933450"/>
                <wp:effectExtent l="0" t="76200" r="0" b="19050"/>
                <wp:wrapNone/>
                <wp:docPr id="64" name="Elbow Connector 64"/>
                <wp:cNvGraphicFramePr/>
                <a:graphic xmlns:a="http://schemas.openxmlformats.org/drawingml/2006/main">
                  <a:graphicData uri="http://schemas.microsoft.com/office/word/2010/wordprocessingShape">
                    <wps:wsp>
                      <wps:cNvCnPr/>
                      <wps:spPr>
                        <a:xfrm flipV="1">
                          <a:off x="0" y="0"/>
                          <a:ext cx="234950" cy="933450"/>
                        </a:xfrm>
                        <a:prstGeom prst="bentConnector3">
                          <a:avLst/>
                        </a:prstGeom>
                        <a:ln w="19050">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4" o:spid="_x0000_s1026" type="#_x0000_t34" style="position:absolute;margin-left:105.55pt;margin-top:111.3pt;width:18.5pt;height:73.5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" strokecolor="#1f497d [3215]" strokeweight="1.5pt">
                <v:stroke endarrow="open"/>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08416" behindDoc="0" locked="0" layoutInCell="1" allowOverlap="1">
                <wp:simplePos x="0" y="0"/>
                <wp:positionH relativeFrom="column">
                  <wp:posOffset>1340485</wp:posOffset>
                </wp:positionH>
                <wp:positionV relativeFrom="paragraph">
                  <wp:posOffset>1413510</wp:posOffset>
                </wp:positionV>
                <wp:extent cx="234950" cy="0"/>
                <wp:effectExtent l="0" t="76200" r="12700" b="114300"/>
                <wp:wrapNone/>
                <wp:docPr id="63" name="Straight Arrow Connector 63"/>
                <wp:cNvGraphicFramePr/>
                <a:graphic xmlns:a="http://schemas.openxmlformats.org/drawingml/2006/main">
                  <a:graphicData uri="http://schemas.microsoft.com/office/word/2010/wordprocessingShape">
                    <wps:wsp>
                      <wps:cNvCnPr/>
                      <wps:spPr>
                        <a:xfrm>
                          <a:off x="0" y="0"/>
                          <a:ext cx="234950" cy="0"/>
                        </a:xfrm>
                        <a:prstGeom prst="straightConnector1">
                          <a:avLst/>
                        </a:prstGeom>
                        <a:ln w="19050">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3" o:spid="_x0000_s1026" type="#_x0000_t32" style="position:absolute;margin-left:105.55pt;margin-top:111.3pt;width:18.5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" strokecolor="#1f497d [3215]" strokeweight="1.5pt">
                <v:stroke endarrow="open"/>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94080" behindDoc="0" locked="0" layoutInCell="1" allowOverlap="1">
                <wp:simplePos x="0" y="0"/>
                <wp:positionH relativeFrom="column">
                  <wp:posOffset>3068955</wp:posOffset>
                </wp:positionH>
                <wp:positionV relativeFrom="paragraph">
                  <wp:posOffset>635</wp:posOffset>
                </wp:positionV>
                <wp:extent cx="1311910" cy="2793365"/>
                <wp:effectExtent l="19050" t="19050" r="21590" b="26035"/>
                <wp:wrapNone/>
                <wp:docPr id="48" name="Text Box 48"/>
                <wp:cNvGraphicFramePr/>
                <a:graphic xmlns:a="http://schemas.openxmlformats.org/drawingml/2006/main">
                  <a:graphicData uri="http://schemas.microsoft.com/office/word/2010/wordprocessingShape">
                    <wps:wsp>
                      <wps:cNvSpPr txBox="1"/>
                      <wps:spPr>
                        <a:xfrm>
                          <a:off x="0" y="0"/>
                          <a:ext cx="1311910" cy="2793365"/>
                        </a:xfrm>
                        <a:prstGeom prst="rect">
                          <a:avLst/>
                        </a:prstGeom>
                        <a:solidFill>
                          <a:schemeClr val="accent1"/>
                        </a:solidFill>
                        <a:ln w="28575">
                          <a:solidFill>
                            <a:schemeClr val="bg1"/>
                          </a:solidFill>
                        </a:ln>
                      </wps:spPr>
                      <wps:style>
                        <a:lnRef idx="2">
                          <a:schemeClr val="accent1"/>
                        </a:lnRef>
                        <a:fillRef idx="1">
                          <a:schemeClr val="lt1"/>
                        </a:fillRef>
                        <a:effectRef idx="0">
                          <a:schemeClr val="accent1"/>
                        </a:effectRef>
                        <a:fontRef idx="minor">
                          <a:schemeClr val="dk1"/>
                        </a:fontRef>
                      </wps:style>
                      <wps:txbx>
                        <w:txbxContent>
                          <w:p>
                            <w:pPr>
                              <w:spacing w:after="0" w:line="240" w:lineRule="auto"/>
                              <w:rPr>
                                <w:rFonts w:ascii="Times New Roman" w:hAnsi="Times New Roman"/>
                                <w:b/>
                                <w:color w:val="FFFFFF" w:themeColor="background1"/>
                                <w:sz w:val="20"/>
                              </w:rPr>
                            </w:pPr>
                            <w:r>
                              <w:rPr>
                                <w:rFonts w:ascii="Times New Roman" w:hAnsi="Times New Roman"/>
                                <w:b/>
                                <w:color w:val="FFFFFF" w:themeColor="background1"/>
                                <w:sz w:val="20"/>
                              </w:rPr>
                              <w:t>Develop the common innovative solutions in the field of water provision and food systems that the Mediterranean region urgently needs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Text Box 48" o:spid="_x0000_s1034" type="#_x0000_t202" style="position:absolute;left:0;text-align:left;margin-left:241.65pt;margin-top:.05pt;width:103.3pt;height:219.9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" fillcolor="#4f81bd [3204]" strokecolor="white [3212]" strokeweight="2.25pt">
                <v:textbox inset=",0,,0">
                  <w:txbxContent>
                    <w:p>
                      <w:pPr>
                        <w:spacing w:after="0" w:line="240" w:lineRule="auto"/>
                        <w:rPr>
                          <w:rFonts w:ascii="Times New Roman" w:hAnsi="Times New Roman"/>
                          <w:b/>
                          <w:color w:val="FFFFFF" w:themeColor="background1"/>
                          <w:sz w:val="20"/>
                        </w:rPr>
                      </w:pPr>
                      <w:r>
                        <w:rPr>
                          <w:rFonts w:ascii="Times New Roman" w:hAnsi="Times New Roman"/>
                          <w:b/>
                          <w:color w:val="FFFFFF" w:themeColor="background1"/>
                          <w:sz w:val="20"/>
                        </w:rPr>
                        <w:t>Develop the common innovative solutions in the field of water provision and food systems that the Mediterranean region urgently needs</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07392" behindDoc="0" locked="0" layoutInCell="1" allowOverlap="1">
                <wp:simplePos x="0" y="0"/>
                <wp:positionH relativeFrom="column">
                  <wp:posOffset>1340485</wp:posOffset>
                </wp:positionH>
                <wp:positionV relativeFrom="paragraph">
                  <wp:posOffset>403860</wp:posOffset>
                </wp:positionV>
                <wp:extent cx="240030" cy="1009650"/>
                <wp:effectExtent l="0" t="0" r="45720" b="114300"/>
                <wp:wrapNone/>
                <wp:docPr id="61" name="Elbow Connector 61"/>
                <wp:cNvGraphicFramePr/>
                <a:graphic xmlns:a="http://schemas.openxmlformats.org/drawingml/2006/main">
                  <a:graphicData uri="http://schemas.microsoft.com/office/word/2010/wordprocessingShape">
                    <wps:wsp>
                      <wps:cNvCnPr/>
                      <wps:spPr>
                        <a:xfrm>
                          <a:off x="0" y="0"/>
                          <a:ext cx="240030" cy="1009650"/>
                        </a:xfrm>
                        <a:prstGeom prst="bentConnector3">
                          <a:avLst/>
                        </a:prstGeom>
                        <a:ln w="19050">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Elbow Connector 61" o:spid="_x0000_s1026" type="#_x0000_t34" style="position:absolute;margin-left:105.55pt;margin-top:31.8pt;width:18.9pt;height:79.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" strokecolor="#1f497d [3215]" strokeweight="1.5pt">
                <v:stroke endarrow="open"/>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05344" behindDoc="0" locked="0" layoutInCell="1" allowOverlap="1">
                <wp:simplePos x="0" y="0"/>
                <wp:positionH relativeFrom="column">
                  <wp:posOffset>25400</wp:posOffset>
                </wp:positionH>
                <wp:positionV relativeFrom="paragraph">
                  <wp:posOffset>1912620</wp:posOffset>
                </wp:positionV>
                <wp:extent cx="1311910" cy="890270"/>
                <wp:effectExtent l="19050" t="19050" r="21590" b="24130"/>
                <wp:wrapNone/>
                <wp:docPr id="40" name="Text Box 40"/>
                <wp:cNvGraphicFramePr/>
                <a:graphic xmlns:a="http://schemas.openxmlformats.org/drawingml/2006/main">
                  <a:graphicData uri="http://schemas.microsoft.com/office/word/2010/wordprocessingShape">
                    <wps:wsp>
                      <wps:cNvSpPr txBox="1"/>
                      <wps:spPr>
                        <a:xfrm>
                          <a:off x="0" y="0"/>
                          <a:ext cx="1311910" cy="890270"/>
                        </a:xfrm>
                        <a:prstGeom prst="rect">
                          <a:avLst/>
                        </a:prstGeom>
                        <a:solidFill>
                          <a:schemeClr val="accent1"/>
                        </a:solidFill>
                        <a:ln w="28575">
                          <a:solidFill>
                            <a:schemeClr val="bg1"/>
                          </a:solidFill>
                        </a:ln>
                      </wps:spPr>
                      <wps:style>
                        <a:lnRef idx="2">
                          <a:schemeClr val="accent1"/>
                        </a:lnRef>
                        <a:fillRef idx="1">
                          <a:schemeClr val="lt1"/>
                        </a:fillRef>
                        <a:effectRef idx="0">
                          <a:schemeClr val="accent1"/>
                        </a:effectRef>
                        <a:fontRef idx="minor">
                          <a:schemeClr val="dk1"/>
                        </a:fontRef>
                      </wps:style>
                      <wps:txbx>
                        <w:txbxContent>
                          <w:p>
                            <w:pPr>
                              <w:spacing w:after="0" w:line="240" w:lineRule="auto"/>
                              <w:rPr>
                                <w:rFonts w:ascii="Times New Roman" w:hAnsi="Times New Roman"/>
                                <w:b/>
                                <w:color w:val="FFFFFF" w:themeColor="background1"/>
                                <w:sz w:val="20"/>
                              </w:rPr>
                            </w:pPr>
                            <w:r>
                              <w:rPr>
                                <w:rFonts w:ascii="Times New Roman" w:hAnsi="Times New Roman"/>
                                <w:b/>
                                <w:color w:val="FFFFFF" w:themeColor="background1"/>
                                <w:sz w:val="20"/>
                              </w:rPr>
                              <w:t>Lack of long-term strategic R&amp;I agenda and multi-stakeholder governance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Text Box 40" o:spid="_x0000_s1035" type="#_x0000_t202" style="position:absolute;left:0;text-align:left;margin-left:2pt;margin-top:150.6pt;width:103.3pt;height:70.1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" fillcolor="#4f81bd [3204]" strokecolor="white [3212]" strokeweight="2.25pt">
                <v:textbox inset="1mm,0,1mm,0">
                  <w:txbxContent>
                    <w:p>
                      <w:pPr>
                        <w:spacing w:after="0" w:line="240" w:lineRule="auto"/>
                        <w:rPr>
                          <w:rFonts w:ascii="Times New Roman" w:hAnsi="Times New Roman"/>
                          <w:b/>
                          <w:color w:val="FFFFFF" w:themeColor="background1"/>
                          <w:sz w:val="20"/>
                        </w:rPr>
                      </w:pPr>
                      <w:r>
                        <w:rPr>
                          <w:rFonts w:ascii="Times New Roman" w:hAnsi="Times New Roman"/>
                          <w:b/>
                          <w:color w:val="FFFFFF" w:themeColor="background1"/>
                          <w:sz w:val="20"/>
                        </w:rPr>
                        <w:t>Lack of long-term strategic R&amp;I agenda and multi-stakeholder governance</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04320" behindDoc="0" locked="0" layoutInCell="1" allowOverlap="1">
                <wp:simplePos x="0" y="0"/>
                <wp:positionH relativeFrom="column">
                  <wp:posOffset>25400</wp:posOffset>
                </wp:positionH>
                <wp:positionV relativeFrom="paragraph">
                  <wp:posOffset>953770</wp:posOffset>
                </wp:positionV>
                <wp:extent cx="1311910" cy="890270"/>
                <wp:effectExtent l="19050" t="19050" r="21590" b="24130"/>
                <wp:wrapNone/>
                <wp:docPr id="37" name="Text Box 37"/>
                <wp:cNvGraphicFramePr/>
                <a:graphic xmlns:a="http://schemas.openxmlformats.org/drawingml/2006/main">
                  <a:graphicData uri="http://schemas.microsoft.com/office/word/2010/wordprocessingShape">
                    <wps:wsp>
                      <wps:cNvSpPr txBox="1"/>
                      <wps:spPr>
                        <a:xfrm>
                          <a:off x="0" y="0"/>
                          <a:ext cx="1311910" cy="890270"/>
                        </a:xfrm>
                        <a:prstGeom prst="rect">
                          <a:avLst/>
                        </a:prstGeom>
                        <a:solidFill>
                          <a:schemeClr val="accent1"/>
                        </a:solidFill>
                        <a:ln w="28575">
                          <a:solidFill>
                            <a:schemeClr val="bg1"/>
                          </a:solidFill>
                        </a:ln>
                      </wps:spPr>
                      <wps:style>
                        <a:lnRef idx="2">
                          <a:schemeClr val="accent1"/>
                        </a:lnRef>
                        <a:fillRef idx="1">
                          <a:schemeClr val="lt1"/>
                        </a:fillRef>
                        <a:effectRef idx="0">
                          <a:schemeClr val="accent1"/>
                        </a:effectRef>
                        <a:fontRef idx="minor">
                          <a:schemeClr val="dk1"/>
                        </a:fontRef>
                      </wps:style>
                      <wps:txbx>
                        <w:txbxContent>
                          <w:p>
                            <w:pPr>
                              <w:spacing w:after="0" w:line="240" w:lineRule="auto"/>
                              <w:rPr>
                                <w:rFonts w:ascii="Times New Roman" w:hAnsi="Times New Roman"/>
                                <w:b/>
                                <w:color w:val="FFFFFF" w:themeColor="background1"/>
                                <w:sz w:val="20"/>
                              </w:rPr>
                            </w:pPr>
                            <w:r>
                              <w:rPr>
                                <w:rFonts w:ascii="Times New Roman" w:hAnsi="Times New Roman"/>
                                <w:b/>
                                <w:color w:val="FFFFFF" w:themeColor="background1"/>
                                <w:sz w:val="20"/>
                              </w:rPr>
                              <w:t>Limited coordination of R&amp;I policy programming between Mediterranean countries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Text Box 37" o:spid="_x0000_s1036" type="#_x0000_t202" style="position:absolute;left:0;text-align:left;margin-left:2pt;margin-top:75.1pt;width:103.3pt;height:70.1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" fillcolor="#4f81bd [3204]" strokecolor="white [3212]" strokeweight="2.25pt">
                <v:textbox inset="1mm,0,1mm,0">
                  <w:txbxContent>
                    <w:p>
                      <w:pPr>
                        <w:spacing w:after="0" w:line="240" w:lineRule="auto"/>
                        <w:rPr>
                          <w:rFonts w:ascii="Times New Roman" w:hAnsi="Times New Roman"/>
                          <w:b/>
                          <w:color w:val="FFFFFF" w:themeColor="background1"/>
                          <w:sz w:val="20"/>
                        </w:rPr>
                      </w:pPr>
                      <w:r>
                        <w:rPr>
                          <w:rFonts w:ascii="Times New Roman" w:hAnsi="Times New Roman"/>
                          <w:b/>
                          <w:color w:val="FFFFFF" w:themeColor="background1"/>
                          <w:sz w:val="20"/>
                        </w:rPr>
                        <w:t>Limited coordination of R&amp;I policy programming between Mediterranean countries</w:t>
                      </w:r>
                    </w:p>
                  </w:txbxContent>
                </v:textbox>
              </v:shape>
            </w:pict>
          </mc:Fallback>
        </mc:AlternateContent>
      </w:r>
    </w:p>
    <w:p>
      <w:pPr>
        <w:pStyle w:val="ListParagraph"/>
        <w:spacing w:after="120" w:line="240" w:lineRule="auto"/>
        <w:ind w:left="426"/>
        <w:contextualSpacing w:val="0"/>
        <w:rPr>
          <w:rFonts w:ascii="Times New Roman" w:hAnsi="Times New Roman"/>
          <w:noProof/>
          <w:sz w:val="24"/>
          <w:szCs w:val="24"/>
        </w:rPr>
      </w:pPr>
      <w:r>
        <w:rPr>
          <w:rFonts w:ascii="Times New Roman" w:hAnsi="Times New Roman"/>
          <w:noProof/>
          <w:sz w:val="24"/>
          <w:szCs w:val="24"/>
          <w:lang w:val="en-US"/>
        </w:rPr>
        <mc:AlternateContent>
          <mc:Choice Requires="wps">
            <w:drawing>
              <wp:anchor distT="0" distB="0" distL="114300" distR="114300" simplePos="0" relativeHeight="251711488" behindDoc="0" locked="0" layoutInCell="1" allowOverlap="1">
                <wp:simplePos x="0" y="0"/>
                <wp:positionH relativeFrom="column">
                  <wp:posOffset>4387215</wp:posOffset>
                </wp:positionH>
                <wp:positionV relativeFrom="paragraph">
                  <wp:posOffset>55962</wp:posOffset>
                </wp:positionV>
                <wp:extent cx="186690" cy="1104900"/>
                <wp:effectExtent l="38100" t="0" r="22860" b="114300"/>
                <wp:wrapNone/>
                <wp:docPr id="66" name="Elbow Connector 66"/>
                <wp:cNvGraphicFramePr/>
                <a:graphic xmlns:a="http://schemas.openxmlformats.org/drawingml/2006/main">
                  <a:graphicData uri="http://schemas.microsoft.com/office/word/2010/wordprocessingShape">
                    <wps:wsp>
                      <wps:cNvCnPr/>
                      <wps:spPr>
                        <a:xfrm flipH="1">
                          <a:off x="0" y="0"/>
                          <a:ext cx="186690" cy="1104900"/>
                        </a:xfrm>
                        <a:prstGeom prst="bentConnector3">
                          <a:avLst>
                            <a:gd name="adj1" fmla="val 32993"/>
                          </a:avLst>
                        </a:prstGeom>
                        <a:ln w="19050">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Elbow Connector 66" o:spid="_x0000_s1026" type="#_x0000_t34" style="position:absolute;margin-left:345.45pt;margin-top:4.4pt;width:14.7pt;height:87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" adj="7126" strokecolor="#1f497d [3215]" strokeweight="1.5pt">
                <v:stroke endarrow="open"/>
              </v:shape>
            </w:pict>
          </mc:Fallback>
        </mc:AlternateContent>
      </w:r>
    </w:p>
    <w:p>
      <w:pPr>
        <w:pStyle w:val="ListParagraph"/>
        <w:spacing w:after="120" w:line="240" w:lineRule="auto"/>
        <w:ind w:left="426"/>
        <w:contextualSpacing w:val="0"/>
        <w:rPr>
          <w:rFonts w:ascii="Times New Roman" w:hAnsi="Times New Roman"/>
          <w:noProof/>
          <w:sz w:val="24"/>
          <w:szCs w:val="24"/>
        </w:rPr>
      </w:pPr>
    </w:p>
    <w:p>
      <w:pPr>
        <w:pStyle w:val="ListParagraph"/>
        <w:spacing w:after="120" w:line="240" w:lineRule="auto"/>
        <w:ind w:left="426"/>
        <w:contextualSpacing w:val="0"/>
        <w:rPr>
          <w:rFonts w:ascii="Times New Roman" w:hAnsi="Times New Roman"/>
          <w:noProof/>
          <w:sz w:val="24"/>
          <w:szCs w:val="24"/>
        </w:rPr>
      </w:pPr>
      <w:r>
        <w:rPr>
          <w:rFonts w:ascii="Times New Roman" w:hAnsi="Times New Roman"/>
          <w:noProof/>
          <w:sz w:val="24"/>
          <w:szCs w:val="24"/>
          <w:lang w:val="en-US"/>
        </w:rPr>
        <mc:AlternateContent>
          <mc:Choice Requires="wps">
            <w:drawing>
              <wp:anchor distT="0" distB="0" distL="114300" distR="114300" simplePos="0" relativeHeight="251699200" behindDoc="0" locked="0" layoutInCell="1" allowOverlap="1">
                <wp:simplePos x="0" y="0"/>
                <wp:positionH relativeFrom="column">
                  <wp:posOffset>4603750</wp:posOffset>
                </wp:positionH>
                <wp:positionV relativeFrom="paragraph">
                  <wp:posOffset>40309</wp:posOffset>
                </wp:positionV>
                <wp:extent cx="1311910" cy="563245"/>
                <wp:effectExtent l="19050" t="19050" r="21590" b="27305"/>
                <wp:wrapNone/>
                <wp:docPr id="58" name="Text Box 58"/>
                <wp:cNvGraphicFramePr/>
                <a:graphic xmlns:a="http://schemas.openxmlformats.org/drawingml/2006/main">
                  <a:graphicData uri="http://schemas.microsoft.com/office/word/2010/wordprocessingShape">
                    <wps:wsp>
                      <wps:cNvSpPr txBox="1"/>
                      <wps:spPr>
                        <a:xfrm>
                          <a:off x="0" y="0"/>
                          <a:ext cx="1311910" cy="563245"/>
                        </a:xfrm>
                        <a:prstGeom prst="rect">
                          <a:avLst/>
                        </a:prstGeom>
                        <a:solidFill>
                          <a:schemeClr val="accent1"/>
                        </a:solidFill>
                        <a:ln w="28575">
                          <a:solidFill>
                            <a:schemeClr val="bg1"/>
                          </a:solidFill>
                        </a:ln>
                      </wps:spPr>
                      <wps:style>
                        <a:lnRef idx="2">
                          <a:schemeClr val="accent1"/>
                        </a:lnRef>
                        <a:fillRef idx="1">
                          <a:schemeClr val="lt1"/>
                        </a:fillRef>
                        <a:effectRef idx="0">
                          <a:schemeClr val="accent1"/>
                        </a:effectRef>
                        <a:fontRef idx="minor">
                          <a:schemeClr val="dk1"/>
                        </a:fontRef>
                      </wps:style>
                      <wps:txbx>
                        <w:txbxContent>
                          <w:p>
                            <w:pPr>
                              <w:spacing w:after="0" w:line="240" w:lineRule="auto"/>
                              <w:rPr>
                                <w:rFonts w:ascii="Times New Roman" w:hAnsi="Times New Roman"/>
                                <w:b/>
                                <w:color w:val="FFFFFF" w:themeColor="background1"/>
                                <w:sz w:val="20"/>
                              </w:rPr>
                            </w:pPr>
                            <w:r>
                              <w:rPr>
                                <w:rFonts w:ascii="Times New Roman" w:hAnsi="Times New Roman"/>
                                <w:b/>
                                <w:color w:val="FFFFFF" w:themeColor="background1"/>
                                <w:sz w:val="20"/>
                              </w:rPr>
                              <w:t>Alignment of national R&amp;I programmes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Text Box 58" o:spid="_x0000_s1037" type="#_x0000_t202" style="position:absolute;left:0;text-align:left;margin-left:362.5pt;margin-top:3.15pt;width:103.3pt;height:44.3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" fillcolor="#4f81bd [3204]" strokecolor="white [3212]" strokeweight="2.25pt">
                <v:textbox inset="1mm,0,1mm,0">
                  <w:txbxContent>
                    <w:p>
                      <w:pPr>
                        <w:spacing w:after="0" w:line="240" w:lineRule="auto"/>
                        <w:rPr>
                          <w:rFonts w:ascii="Times New Roman" w:hAnsi="Times New Roman"/>
                          <w:b/>
                          <w:color w:val="FFFFFF" w:themeColor="background1"/>
                          <w:sz w:val="20"/>
                        </w:rPr>
                      </w:pPr>
                      <w:r>
                        <w:rPr>
                          <w:rFonts w:ascii="Times New Roman" w:hAnsi="Times New Roman"/>
                          <w:b/>
                          <w:color w:val="FFFFFF" w:themeColor="background1"/>
                          <w:sz w:val="20"/>
                        </w:rPr>
                        <w:t>Alignment of national R&amp;I programmes</w:t>
                      </w:r>
                    </w:p>
                  </w:txbxContent>
                </v:textbox>
              </v:shape>
            </w:pict>
          </mc:Fallback>
        </mc:AlternateContent>
      </w:r>
    </w:p>
    <w:p>
      <w:pPr>
        <w:pStyle w:val="ListParagraph"/>
        <w:spacing w:after="120" w:line="240" w:lineRule="auto"/>
        <w:ind w:left="426"/>
        <w:contextualSpacing w:val="0"/>
        <w:rPr>
          <w:rFonts w:ascii="Times New Roman" w:hAnsi="Times New Roman"/>
          <w:noProof/>
          <w:sz w:val="24"/>
          <w:szCs w:val="24"/>
        </w:rPr>
      </w:pPr>
      <w:r>
        <w:rPr>
          <w:rFonts w:ascii="Times New Roman" w:hAnsi="Times New Roman"/>
          <w:noProof/>
          <w:sz w:val="24"/>
          <w:szCs w:val="24"/>
          <w:lang w:val="en-US"/>
        </w:rPr>
        <mc:AlternateContent>
          <mc:Choice Requires="wps">
            <w:drawing>
              <wp:anchor distT="0" distB="0" distL="114300" distR="114300" simplePos="0" relativeHeight="251712512" behindDoc="0" locked="0" layoutInCell="1" allowOverlap="1">
                <wp:simplePos x="0" y="0"/>
                <wp:positionH relativeFrom="column">
                  <wp:posOffset>4387850</wp:posOffset>
                </wp:positionH>
                <wp:positionV relativeFrom="paragraph">
                  <wp:posOffset>61677</wp:posOffset>
                </wp:positionV>
                <wp:extent cx="203200" cy="342900"/>
                <wp:effectExtent l="38100" t="0" r="25400" b="114300"/>
                <wp:wrapNone/>
                <wp:docPr id="67" name="Elbow Connector 67"/>
                <wp:cNvGraphicFramePr/>
                <a:graphic xmlns:a="http://schemas.openxmlformats.org/drawingml/2006/main">
                  <a:graphicData uri="http://schemas.microsoft.com/office/word/2010/wordprocessingShape">
                    <wps:wsp>
                      <wps:cNvCnPr/>
                      <wps:spPr>
                        <a:xfrm flipH="1">
                          <a:off x="0" y="0"/>
                          <a:ext cx="203200" cy="342900"/>
                        </a:xfrm>
                        <a:prstGeom prst="bentConnector3">
                          <a:avLst>
                            <a:gd name="adj1" fmla="val 37136"/>
                          </a:avLst>
                        </a:prstGeom>
                        <a:ln w="19050">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Elbow Connector 67" o:spid="_x0000_s1026" type="#_x0000_t34" style="position:absolute;margin-left:345.5pt;margin-top:4.85pt;width:16pt;height:27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" adj="8021" strokecolor="#1f497d [3215]" strokeweight="1.5pt">
                <v:stroke endarrow="open"/>
              </v:shape>
            </w:pict>
          </mc:Fallback>
        </mc:AlternateContent>
      </w:r>
    </w:p>
    <w:p>
      <w:pPr>
        <w:pStyle w:val="ListParagraph"/>
        <w:spacing w:after="120" w:line="240" w:lineRule="auto"/>
        <w:ind w:left="426"/>
        <w:contextualSpacing w:val="0"/>
        <w:rPr>
          <w:rFonts w:ascii="Times New Roman" w:hAnsi="Times New Roman"/>
          <w:noProof/>
          <w:sz w:val="24"/>
          <w:szCs w:val="24"/>
        </w:rPr>
      </w:pPr>
      <w:r>
        <w:rPr>
          <w:rFonts w:ascii="Times New Roman" w:hAnsi="Times New Roman"/>
          <w:noProof/>
          <w:sz w:val="24"/>
          <w:szCs w:val="24"/>
          <w:lang w:val="en-US"/>
        </w:rPr>
        <mc:AlternateContent>
          <mc:Choice Requires="wps">
            <w:drawing>
              <wp:anchor distT="0" distB="0" distL="114300" distR="114300" simplePos="0" relativeHeight="251714560" behindDoc="0" locked="0" layoutInCell="1" allowOverlap="1">
                <wp:simplePos x="0" y="0"/>
                <wp:positionH relativeFrom="column">
                  <wp:posOffset>4383405</wp:posOffset>
                </wp:positionH>
                <wp:positionV relativeFrom="paragraph">
                  <wp:posOffset>155022</wp:posOffset>
                </wp:positionV>
                <wp:extent cx="184150" cy="393700"/>
                <wp:effectExtent l="38100" t="76200" r="25400" b="25400"/>
                <wp:wrapNone/>
                <wp:docPr id="69" name="Elbow Connector 69"/>
                <wp:cNvGraphicFramePr/>
                <a:graphic xmlns:a="http://schemas.openxmlformats.org/drawingml/2006/main">
                  <a:graphicData uri="http://schemas.microsoft.com/office/word/2010/wordprocessingShape">
                    <wps:wsp>
                      <wps:cNvCnPr/>
                      <wps:spPr>
                        <a:xfrm flipH="1" flipV="1">
                          <a:off x="0" y="0"/>
                          <a:ext cx="184150" cy="393700"/>
                        </a:xfrm>
                        <a:prstGeom prst="bentConnector3">
                          <a:avLst>
                            <a:gd name="adj1" fmla="val 29310"/>
                          </a:avLst>
                        </a:prstGeom>
                        <a:ln w="19050">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Elbow Connector 69" o:spid="_x0000_s1026" type="#_x0000_t34" style="position:absolute;margin-left:345.15pt;margin-top:12.2pt;width:14.5pt;height:31pt;flip:x 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" adj="6331" strokecolor="#1f497d [3215]" strokeweight="1.5pt">
                <v:stroke endarrow="open"/>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13536" behindDoc="0" locked="0" layoutInCell="1" allowOverlap="1">
                <wp:simplePos x="0" y="0"/>
                <wp:positionH relativeFrom="column">
                  <wp:posOffset>4382053</wp:posOffset>
                </wp:positionH>
                <wp:positionV relativeFrom="paragraph">
                  <wp:posOffset>154940</wp:posOffset>
                </wp:positionV>
                <wp:extent cx="199390" cy="1066800"/>
                <wp:effectExtent l="38100" t="76200" r="10160" b="19050"/>
                <wp:wrapNone/>
                <wp:docPr id="68" name="Elbow Connector 68"/>
                <wp:cNvGraphicFramePr/>
                <a:graphic xmlns:a="http://schemas.openxmlformats.org/drawingml/2006/main">
                  <a:graphicData uri="http://schemas.microsoft.com/office/word/2010/wordprocessingShape">
                    <wps:wsp>
                      <wps:cNvCnPr/>
                      <wps:spPr>
                        <a:xfrm flipH="1" flipV="1">
                          <a:off x="0" y="0"/>
                          <a:ext cx="199390" cy="1066800"/>
                        </a:xfrm>
                        <a:prstGeom prst="bentConnector3">
                          <a:avLst>
                            <a:gd name="adj1" fmla="val 34448"/>
                          </a:avLst>
                        </a:prstGeom>
                        <a:ln w="19050">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68" o:spid="_x0000_s1026" type="#_x0000_t34" style="position:absolute;margin-left:345.05pt;margin-top:12.2pt;width:15.7pt;height:84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" adj="7441" strokecolor="#1f497d [3215]" strokeweight="1.5pt">
                <v:stroke endarrow="open"/>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19680" behindDoc="0" locked="0" layoutInCell="1" allowOverlap="1">
                <wp:simplePos x="0" y="0"/>
                <wp:positionH relativeFrom="column">
                  <wp:posOffset>2873844</wp:posOffset>
                </wp:positionH>
                <wp:positionV relativeFrom="paragraph">
                  <wp:posOffset>140666</wp:posOffset>
                </wp:positionV>
                <wp:extent cx="195249" cy="0"/>
                <wp:effectExtent l="0" t="76200" r="14605" b="114300"/>
                <wp:wrapNone/>
                <wp:docPr id="26" name="Straight Arrow Connector 26"/>
                <wp:cNvGraphicFramePr/>
                <a:graphic xmlns:a="http://schemas.openxmlformats.org/drawingml/2006/main">
                  <a:graphicData uri="http://schemas.microsoft.com/office/word/2010/wordprocessingShape">
                    <wps:wsp>
                      <wps:cNvCnPr/>
                      <wps:spPr>
                        <a:xfrm>
                          <a:off x="0" y="0"/>
                          <a:ext cx="195249" cy="0"/>
                        </a:xfrm>
                        <a:prstGeom prst="straightConnector1">
                          <a:avLst/>
                        </a:prstGeom>
                        <a:ln w="19050">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6" o:spid="_x0000_s1026" type="#_x0000_t32" style="position:absolute;margin-left:226.3pt;margin-top:11.1pt;width:15.35pt;height:0;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" strokecolor="#1f497d [3215]" strokeweight="1.5pt">
                <v:stroke endarrow="open"/>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17632" behindDoc="0" locked="0" layoutInCell="1" allowOverlap="1">
                <wp:simplePos x="0" y="0"/>
                <wp:positionH relativeFrom="column">
                  <wp:posOffset>2177746</wp:posOffset>
                </wp:positionH>
                <wp:positionV relativeFrom="paragraph">
                  <wp:posOffset>29210</wp:posOffset>
                </wp:positionV>
                <wp:extent cx="158529" cy="230119"/>
                <wp:effectExtent l="0" t="0" r="0" b="0"/>
                <wp:wrapNone/>
                <wp:docPr id="25" name="Up-Down Arrow 25"/>
                <wp:cNvGraphicFramePr/>
                <a:graphic xmlns:a="http://schemas.openxmlformats.org/drawingml/2006/main">
                  <a:graphicData uri="http://schemas.microsoft.com/office/word/2010/wordprocessingShape">
                    <wps:wsp>
                      <wps:cNvSpPr/>
                      <wps:spPr>
                        <a:xfrm>
                          <a:off x="0" y="0"/>
                          <a:ext cx="158529" cy="230119"/>
                        </a:xfrm>
                        <a:prstGeom prst="upDown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25" o:spid="_x0000_s1026" type="#_x0000_t70" style="position:absolute;margin-left:171.5pt;margin-top:2.3pt;width:12.5pt;height:18.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" adj=",7440" fillcolor="#1f497d [3215]" stroked="f" strokeweight="2pt"/>
            </w:pict>
          </mc:Fallback>
        </mc:AlternateContent>
      </w:r>
    </w:p>
    <w:p>
      <w:pPr>
        <w:pStyle w:val="ListParagraph"/>
        <w:spacing w:after="120" w:line="240" w:lineRule="auto"/>
        <w:ind w:left="426"/>
        <w:contextualSpacing w:val="0"/>
        <w:rPr>
          <w:rFonts w:ascii="Times New Roman" w:hAnsi="Times New Roman"/>
          <w:noProof/>
          <w:sz w:val="24"/>
          <w:szCs w:val="24"/>
        </w:rPr>
      </w:pPr>
      <w:r>
        <w:rPr>
          <w:rFonts w:ascii="Times New Roman" w:hAnsi="Times New Roman"/>
          <w:noProof/>
          <w:sz w:val="24"/>
          <w:szCs w:val="24"/>
          <w:lang w:val="en-US"/>
        </w:rPr>
        <mc:AlternateContent>
          <mc:Choice Requires="wps">
            <w:drawing>
              <wp:anchor distT="0" distB="0" distL="114300" distR="114300" simplePos="0" relativeHeight="251716608" behindDoc="0" locked="0" layoutInCell="1" allowOverlap="1">
                <wp:simplePos x="0" y="0"/>
                <wp:positionH relativeFrom="column">
                  <wp:posOffset>1565910</wp:posOffset>
                </wp:positionH>
                <wp:positionV relativeFrom="paragraph">
                  <wp:posOffset>35475</wp:posOffset>
                </wp:positionV>
                <wp:extent cx="1311910" cy="1258759"/>
                <wp:effectExtent l="19050" t="19050" r="21590" b="17780"/>
                <wp:wrapNone/>
                <wp:docPr id="24" name="Text Box 24"/>
                <wp:cNvGraphicFramePr/>
                <a:graphic xmlns:a="http://schemas.openxmlformats.org/drawingml/2006/main">
                  <a:graphicData uri="http://schemas.microsoft.com/office/word/2010/wordprocessingShape">
                    <wps:wsp>
                      <wps:cNvSpPr txBox="1"/>
                      <wps:spPr>
                        <a:xfrm>
                          <a:off x="0" y="0"/>
                          <a:ext cx="1311910" cy="1258759"/>
                        </a:xfrm>
                        <a:prstGeom prst="rect">
                          <a:avLst/>
                        </a:prstGeom>
                        <a:solidFill>
                          <a:schemeClr val="accent1"/>
                        </a:solidFill>
                        <a:ln w="28575">
                          <a:solidFill>
                            <a:schemeClr val="bg1"/>
                          </a:solidFill>
                        </a:ln>
                      </wps:spPr>
                      <wps:style>
                        <a:lnRef idx="2">
                          <a:schemeClr val="accent1"/>
                        </a:lnRef>
                        <a:fillRef idx="1">
                          <a:schemeClr val="lt1"/>
                        </a:fillRef>
                        <a:effectRef idx="0">
                          <a:schemeClr val="accent1"/>
                        </a:effectRef>
                        <a:fontRef idx="minor">
                          <a:schemeClr val="dk1"/>
                        </a:fontRef>
                      </wps:style>
                      <wps:txbx>
                        <w:txbxContent>
                          <w:p>
                            <w:pPr>
                              <w:spacing w:after="0" w:line="240" w:lineRule="auto"/>
                              <w:rPr>
                                <w:rFonts w:ascii="Times New Roman" w:hAnsi="Times New Roman"/>
                                <w:b/>
                                <w:color w:val="FFFFFF" w:themeColor="background1"/>
                                <w:sz w:val="20"/>
                                <w:szCs w:val="20"/>
                              </w:rPr>
                            </w:pPr>
                            <w:r>
                              <w:rPr>
                                <w:rFonts w:ascii="Times New Roman" w:hAnsi="Times New Roman"/>
                                <w:b/>
                                <w:color w:val="FFFFFF" w:themeColor="background1"/>
                                <w:sz w:val="20"/>
                                <w:szCs w:val="20"/>
                              </w:rPr>
                              <w:t xml:space="preserve">lack of common innovative solutions to be fully piloted and demonstrated on the ground, adapted to the realities of the region, and easily transferable across it.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8" type="#_x0000_t202" style="position:absolute;left:0;text-align:left;margin-left:123.3pt;margin-top:2.8pt;width:103.3pt;height:99.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" fillcolor="#4f81bd [3204]" strokecolor="white [3212]" strokeweight="2.25pt">
                <v:textbox inset="1mm,0,1mm,0">
                  <w:txbxContent>
                    <w:p>
                      <w:pPr>
                        <w:spacing w:after="0" w:line="240" w:lineRule="auto"/>
                        <w:rPr>
                          <w:rFonts w:ascii="Times New Roman" w:hAnsi="Times New Roman"/>
                          <w:b/>
                          <w:color w:val="FFFFFF" w:themeColor="background1"/>
                          <w:sz w:val="20"/>
                          <w:szCs w:val="20"/>
                        </w:rPr>
                      </w:pPr>
                      <w:r>
                        <w:rPr>
                          <w:rFonts w:ascii="Times New Roman" w:hAnsi="Times New Roman"/>
                          <w:b/>
                          <w:color w:val="FFFFFF" w:themeColor="background1"/>
                          <w:sz w:val="20"/>
                          <w:szCs w:val="20"/>
                        </w:rPr>
                        <w:t xml:space="preserve">lack of common innovative solutions to be fully piloted and demonstrated on the ground, adapted to the realities of the region, and easily transferable across it. </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00224" behindDoc="0" locked="0" layoutInCell="1" allowOverlap="1">
                <wp:simplePos x="0" y="0"/>
                <wp:positionH relativeFrom="column">
                  <wp:posOffset>4597400</wp:posOffset>
                </wp:positionH>
                <wp:positionV relativeFrom="paragraph">
                  <wp:posOffset>9829</wp:posOffset>
                </wp:positionV>
                <wp:extent cx="1311910" cy="563245"/>
                <wp:effectExtent l="19050" t="19050" r="21590" b="27305"/>
                <wp:wrapNone/>
                <wp:docPr id="59" name="Text Box 59"/>
                <wp:cNvGraphicFramePr/>
                <a:graphic xmlns:a="http://schemas.openxmlformats.org/drawingml/2006/main">
                  <a:graphicData uri="http://schemas.microsoft.com/office/word/2010/wordprocessingShape">
                    <wps:wsp>
                      <wps:cNvSpPr txBox="1"/>
                      <wps:spPr>
                        <a:xfrm>
                          <a:off x="0" y="0"/>
                          <a:ext cx="1311910" cy="563245"/>
                        </a:xfrm>
                        <a:prstGeom prst="rect">
                          <a:avLst/>
                        </a:prstGeom>
                        <a:solidFill>
                          <a:schemeClr val="accent1"/>
                        </a:solidFill>
                        <a:ln w="28575">
                          <a:solidFill>
                            <a:schemeClr val="bg1"/>
                          </a:solidFill>
                        </a:ln>
                      </wps:spPr>
                      <wps:style>
                        <a:lnRef idx="2">
                          <a:schemeClr val="accent1"/>
                        </a:lnRef>
                        <a:fillRef idx="1">
                          <a:schemeClr val="lt1"/>
                        </a:fillRef>
                        <a:effectRef idx="0">
                          <a:schemeClr val="accent1"/>
                        </a:effectRef>
                        <a:fontRef idx="minor">
                          <a:schemeClr val="dk1"/>
                        </a:fontRef>
                      </wps:style>
                      <wps:txbx>
                        <w:txbxContent>
                          <w:p>
                            <w:pPr>
                              <w:spacing w:after="0" w:line="240" w:lineRule="auto"/>
                              <w:rPr>
                                <w:rFonts w:ascii="Times New Roman" w:hAnsi="Times New Roman"/>
                                <w:b/>
                                <w:color w:val="FFFFFF" w:themeColor="background1"/>
                                <w:sz w:val="20"/>
                              </w:rPr>
                            </w:pPr>
                            <w:r>
                              <w:rPr>
                                <w:rFonts w:ascii="Times New Roman" w:hAnsi="Times New Roman"/>
                                <w:b/>
                                <w:color w:val="FFFFFF" w:themeColor="background1"/>
                                <w:sz w:val="20"/>
                              </w:rPr>
                              <w:t>Critical mass of actors and resources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Text Box 59" o:spid="_x0000_s1039" type="#_x0000_t202" style="position:absolute;left:0;text-align:left;margin-left:362pt;margin-top:.75pt;width:103.3pt;height:44.3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" fillcolor="#4f81bd [3204]" strokecolor="white [3212]" strokeweight="2.25pt">
                <v:textbox inset="1mm,0,1mm,0">
                  <w:txbxContent>
                    <w:p>
                      <w:pPr>
                        <w:spacing w:after="0" w:line="240" w:lineRule="auto"/>
                        <w:rPr>
                          <w:rFonts w:ascii="Times New Roman" w:hAnsi="Times New Roman"/>
                          <w:b/>
                          <w:color w:val="FFFFFF" w:themeColor="background1"/>
                          <w:sz w:val="20"/>
                        </w:rPr>
                      </w:pPr>
                      <w:r>
                        <w:rPr>
                          <w:rFonts w:ascii="Times New Roman" w:hAnsi="Times New Roman"/>
                          <w:b/>
                          <w:color w:val="FFFFFF" w:themeColor="background1"/>
                          <w:sz w:val="20"/>
                        </w:rPr>
                        <w:t>Critical mass of actors and resources</w:t>
                      </w:r>
                    </w:p>
                  </w:txbxContent>
                </v:textbox>
              </v:shape>
            </w:pict>
          </mc:Fallback>
        </mc:AlternateContent>
      </w:r>
    </w:p>
    <w:p>
      <w:pPr>
        <w:pStyle w:val="ListParagraph"/>
        <w:spacing w:after="120" w:line="240" w:lineRule="auto"/>
        <w:ind w:left="426"/>
        <w:contextualSpacing w:val="0"/>
        <w:rPr>
          <w:rFonts w:ascii="Times New Roman" w:hAnsi="Times New Roman"/>
          <w:noProof/>
          <w:sz w:val="24"/>
          <w:szCs w:val="24"/>
        </w:rPr>
      </w:pPr>
    </w:p>
    <w:p>
      <w:pPr>
        <w:pStyle w:val="ListParagraph"/>
        <w:spacing w:after="120" w:line="240" w:lineRule="auto"/>
        <w:ind w:left="426"/>
        <w:contextualSpacing w:val="0"/>
        <w:rPr>
          <w:rFonts w:ascii="Times New Roman" w:hAnsi="Times New Roman"/>
          <w:noProof/>
          <w:sz w:val="24"/>
          <w:szCs w:val="24"/>
        </w:rPr>
      </w:pPr>
    </w:p>
    <w:p>
      <w:pPr>
        <w:pStyle w:val="ListParagraph"/>
        <w:spacing w:after="120" w:line="240" w:lineRule="auto"/>
        <w:ind w:left="426"/>
        <w:contextualSpacing w:val="0"/>
        <w:rPr>
          <w:rFonts w:ascii="Times New Roman" w:hAnsi="Times New Roman"/>
          <w:noProof/>
          <w:sz w:val="24"/>
          <w:szCs w:val="24"/>
        </w:rPr>
      </w:pPr>
    </w:p>
    <w:p>
      <w:pPr>
        <w:pStyle w:val="ListParagraph"/>
        <w:spacing w:after="120" w:line="240" w:lineRule="auto"/>
        <w:ind w:left="426"/>
        <w:contextualSpacing w:val="0"/>
        <w:rPr>
          <w:rFonts w:ascii="Times New Roman" w:hAnsi="Times New Roman"/>
          <w:noProof/>
          <w:sz w:val="24"/>
          <w:szCs w:val="24"/>
        </w:rPr>
      </w:pPr>
    </w:p>
    <w:p>
      <w:pPr>
        <w:pStyle w:val="ListParagraph"/>
        <w:spacing w:after="120" w:line="240" w:lineRule="auto"/>
        <w:ind w:left="426"/>
        <w:contextualSpacing w:val="0"/>
        <w:rPr>
          <w:rFonts w:ascii="Times New Roman" w:hAnsi="Times New Roman"/>
          <w:noProof/>
          <w:sz w:val="24"/>
          <w:szCs w:val="24"/>
        </w:rPr>
      </w:pPr>
    </w:p>
    <w:p>
      <w:pPr>
        <w:spacing w:before="240" w:after="240" w:line="240" w:lineRule="auto"/>
        <w:rPr>
          <w:rFonts w:ascii="Times New Roman" w:hAnsi="Times New Roman"/>
          <w:b/>
          <w:noProof/>
          <w:color w:val="000000"/>
          <w:sz w:val="20"/>
        </w:rPr>
      </w:pPr>
      <w:r>
        <w:rPr>
          <w:rFonts w:ascii="Times New Roman" w:hAnsi="Times New Roman"/>
          <w:b/>
          <w:noProof/>
          <w:color w:val="000000"/>
          <w:sz w:val="20"/>
        </w:rPr>
        <w:t>Figure 3.1: Intervention Logic</w:t>
      </w:r>
    </w:p>
    <w:p>
      <w:pPr>
        <w:spacing w:before="240" w:after="240" w:line="240" w:lineRule="auto"/>
        <w:jc w:val="both"/>
        <w:rPr>
          <w:rFonts w:ascii="Times New Roman" w:hAnsi="Times New Roman"/>
          <w:b/>
          <w:noProof/>
          <w:color w:val="000000"/>
          <w:sz w:val="20"/>
        </w:rPr>
      </w:pPr>
      <w:r>
        <w:rPr>
          <w:rFonts w:ascii="Times New Roman" w:hAnsi="Times New Roman"/>
          <w:noProof/>
          <w:sz w:val="24"/>
          <w:szCs w:val="24"/>
        </w:rPr>
        <w:t>Addressing the inefficient and unsustainable use of resources through R&amp;I implies new governance approaches (to improve regional R&amp;I governance, structures for the evaluation, funding, management and follow-up of R&amp;I proposals and grants, and water governance), based on integration and cooperation beyond Mediterranean neighbourhood boundaries and between different stakeholders, on equal footing. This is a critical condition to address the main problem and to reach the other operational objectives. R&amp;I can also help shaping future policies in the water and agro-food sectors.</w:t>
      </w:r>
    </w:p>
    <w:p>
      <w:pPr>
        <w:pStyle w:val="Heading1"/>
        <w:numPr>
          <w:ilvl w:val="1"/>
          <w:numId w:val="7"/>
        </w:numPr>
        <w:spacing w:before="120" w:after="120" w:line="240" w:lineRule="auto"/>
        <w:rPr>
          <w:rFonts w:ascii="Times New Roman" w:hAnsi="Times New Roman"/>
          <w:noProof/>
          <w:color w:val="auto"/>
          <w:sz w:val="24"/>
          <w:szCs w:val="24"/>
        </w:rPr>
      </w:pPr>
      <w:bookmarkStart w:id="88" w:name="_Toc455748110"/>
      <w:bookmarkStart w:id="89" w:name="_Toc451794777"/>
      <w:bookmarkStart w:id="90" w:name="_Toc451794834"/>
      <w:bookmarkStart w:id="91" w:name="_Toc451794885"/>
      <w:bookmarkStart w:id="92" w:name="_Toc451794936"/>
      <w:bookmarkStart w:id="93" w:name="_Toc451798272"/>
      <w:bookmarkStart w:id="94" w:name="_Toc455584531"/>
      <w:bookmarkStart w:id="95" w:name="_Toc457466042"/>
      <w:bookmarkStart w:id="96" w:name="_Toc440211772"/>
      <w:bookmarkStart w:id="97" w:name="_Toc447950895"/>
      <w:bookmarkEnd w:id="88"/>
      <w:bookmarkEnd w:id="89"/>
      <w:bookmarkEnd w:id="90"/>
      <w:bookmarkEnd w:id="91"/>
      <w:bookmarkEnd w:id="92"/>
      <w:bookmarkEnd w:id="93"/>
      <w:r>
        <w:rPr>
          <w:rFonts w:ascii="Times New Roman" w:hAnsi="Times New Roman"/>
          <w:noProof/>
          <w:color w:val="auto"/>
          <w:sz w:val="24"/>
          <w:szCs w:val="24"/>
        </w:rPr>
        <w:t>Consistency with other EU policies</w:t>
      </w:r>
      <w:bookmarkEnd w:id="94"/>
      <w:bookmarkEnd w:id="95"/>
    </w:p>
    <w:p>
      <w:pPr>
        <w:autoSpaceDE w:val="0"/>
        <w:autoSpaceDN w:val="0"/>
        <w:adjustRightInd w:val="0"/>
        <w:spacing w:after="120" w:line="240" w:lineRule="auto"/>
        <w:jc w:val="both"/>
        <w:rPr>
          <w:rFonts w:ascii="Times New Roman" w:hAnsi="Times New Roman"/>
          <w:noProof/>
          <w:sz w:val="24"/>
          <w:szCs w:val="24"/>
        </w:rPr>
      </w:pPr>
      <w:r>
        <w:rPr>
          <w:rFonts w:ascii="Times New Roman" w:hAnsi="Times New Roman"/>
          <w:noProof/>
          <w:sz w:val="24"/>
          <w:szCs w:val="24"/>
        </w:rPr>
        <w:t>The objectives are in line with the problem definition and cover the related R&amp;I challenges ensuring adequate interaction with European, Mediterranean and global policies.</w:t>
      </w:r>
    </w:p>
    <w:p>
      <w:pPr>
        <w:autoSpaceDE w:val="0"/>
        <w:autoSpaceDN w:val="0"/>
        <w:adjustRightInd w:val="0"/>
        <w:spacing w:after="120" w:line="240" w:lineRule="auto"/>
        <w:jc w:val="both"/>
        <w:rPr>
          <w:rFonts w:ascii="Times New Roman" w:hAnsi="Times New Roman"/>
          <w:noProof/>
          <w:sz w:val="24"/>
          <w:szCs w:val="24"/>
        </w:rPr>
      </w:pPr>
      <w:r>
        <w:rPr>
          <w:rFonts w:ascii="Times New Roman" w:hAnsi="Times New Roman"/>
          <w:noProof/>
          <w:color w:val="000000"/>
          <w:sz w:val="24"/>
          <w:szCs w:val="24"/>
        </w:rPr>
        <w:t xml:space="preserve">As already mentioned in the introduction and in Section 1 of this impact assessment, the objectives to be pursued are fully in line with the recent </w:t>
      </w:r>
      <w:r>
        <w:rPr>
          <w:rFonts w:ascii="Times New Roman" w:hAnsi="Times New Roman"/>
          <w:b/>
          <w:noProof/>
          <w:color w:val="000000"/>
          <w:sz w:val="24"/>
          <w:szCs w:val="24"/>
        </w:rPr>
        <w:t xml:space="preserve">Communication on establishing a new Partnership Framework with third countries under the European Agenda on Migration </w:t>
      </w:r>
      <w:r>
        <w:rPr>
          <w:rFonts w:ascii="Times New Roman" w:hAnsi="Times New Roman"/>
          <w:noProof/>
          <w:color w:val="000000"/>
          <w:sz w:val="24"/>
          <w:szCs w:val="24"/>
        </w:rPr>
        <w:t xml:space="preserve">(New Migration Partnership Framework), and with the 2011/2012 EU Development Report (ERD) "Confronting scarcity: Managing water, energy and land for inclusive and sustainable growth". </w:t>
      </w:r>
    </w:p>
    <w:p>
      <w:pPr>
        <w:autoSpaceDE w:val="0"/>
        <w:autoSpaceDN w:val="0"/>
        <w:adjustRightInd w:val="0"/>
        <w:spacing w:after="120" w:line="240" w:lineRule="auto"/>
        <w:jc w:val="both"/>
        <w:rPr>
          <w:rFonts w:ascii="Times New Roman" w:hAnsi="Times New Roman"/>
          <w:noProof/>
          <w:color w:val="000000"/>
          <w:sz w:val="24"/>
          <w:szCs w:val="24"/>
        </w:rPr>
      </w:pPr>
      <w:r>
        <w:rPr>
          <w:rFonts w:ascii="Times New Roman" w:hAnsi="Times New Roman"/>
          <w:noProof/>
          <w:sz w:val="24"/>
          <w:szCs w:val="24"/>
        </w:rPr>
        <w:t xml:space="preserve">In particular the </w:t>
      </w:r>
      <w:r>
        <w:rPr>
          <w:rFonts w:ascii="Times New Roman" w:hAnsi="Times New Roman"/>
          <w:b/>
          <w:noProof/>
          <w:sz w:val="24"/>
          <w:szCs w:val="24"/>
        </w:rPr>
        <w:t>New Migration Partnership Framework</w:t>
      </w:r>
      <w:r>
        <w:rPr>
          <w:rFonts w:ascii="Times New Roman" w:hAnsi="Times New Roman"/>
          <w:noProof/>
          <w:sz w:val="24"/>
          <w:szCs w:val="24"/>
        </w:rPr>
        <w:t xml:space="preserve"> calls very concretely for new development cooperation models that involve </w:t>
      </w:r>
      <w:r>
        <w:rPr>
          <w:rFonts w:ascii="Times New Roman" w:hAnsi="Times New Roman"/>
          <w:b/>
          <w:noProof/>
          <w:sz w:val="24"/>
          <w:szCs w:val="24"/>
        </w:rPr>
        <w:t>private investors</w:t>
      </w:r>
      <w:r>
        <w:rPr>
          <w:rFonts w:ascii="Times New Roman" w:hAnsi="Times New Roman"/>
          <w:noProof/>
          <w:sz w:val="24"/>
          <w:szCs w:val="24"/>
        </w:rPr>
        <w:t xml:space="preserve"> looking for new investment opportunities in emerging markets, mobilise European private and public resources for investment in third countries of origin thereby contributing to the sustainable development of the local economies, assign an important role to </w:t>
      </w:r>
      <w:r>
        <w:rPr>
          <w:rFonts w:ascii="Times New Roman" w:hAnsi="Times New Roman"/>
          <w:b/>
          <w:noProof/>
          <w:sz w:val="24"/>
          <w:szCs w:val="24"/>
        </w:rPr>
        <w:t>innovative financing mechanisms</w:t>
      </w:r>
      <w:r>
        <w:rPr>
          <w:rFonts w:ascii="Times New Roman" w:hAnsi="Times New Roman"/>
          <w:noProof/>
          <w:sz w:val="24"/>
          <w:szCs w:val="24"/>
        </w:rPr>
        <w:t xml:space="preserve"> that can be deployed and developed to </w:t>
      </w:r>
      <w:r>
        <w:rPr>
          <w:rFonts w:ascii="Times New Roman" w:hAnsi="Times New Roman"/>
          <w:b/>
          <w:noProof/>
          <w:sz w:val="24"/>
          <w:szCs w:val="24"/>
        </w:rPr>
        <w:t>leverage</w:t>
      </w:r>
      <w:r>
        <w:rPr>
          <w:rFonts w:ascii="Times New Roman" w:hAnsi="Times New Roman"/>
          <w:noProof/>
          <w:sz w:val="24"/>
          <w:szCs w:val="24"/>
        </w:rPr>
        <w:t xml:space="preserve"> limited budget resources, and remove bottlenecks to </w:t>
      </w:r>
      <w:r>
        <w:rPr>
          <w:rFonts w:ascii="Times New Roman" w:hAnsi="Times New Roman"/>
          <w:b/>
          <w:noProof/>
          <w:sz w:val="24"/>
          <w:szCs w:val="24"/>
        </w:rPr>
        <w:t>investment in SMEs and sustainable infrastructure</w:t>
      </w:r>
      <w:r>
        <w:rPr>
          <w:rFonts w:ascii="Times New Roman" w:hAnsi="Times New Roman"/>
          <w:noProof/>
          <w:sz w:val="24"/>
          <w:szCs w:val="24"/>
        </w:rPr>
        <w:t>". Indeed, the PRIMA Joint Programme constitutes a concrete example of how research policy can promote effective cooperation by leveraging national budgets and by bringing together Mediterranean countries around long-term common challenges.</w:t>
      </w:r>
    </w:p>
    <w:p>
      <w:pPr>
        <w:autoSpaceDE w:val="0"/>
        <w:autoSpaceDN w:val="0"/>
        <w:adjustRightInd w:val="0"/>
        <w:spacing w:after="120" w:line="240" w:lineRule="auto"/>
        <w:jc w:val="both"/>
        <w:rPr>
          <w:rFonts w:ascii="Times New Roman" w:hAnsi="Times New Roman"/>
          <w:noProof/>
          <w:sz w:val="24"/>
          <w:szCs w:val="24"/>
        </w:rPr>
      </w:pPr>
      <w:r>
        <w:rPr>
          <w:rFonts w:ascii="Times New Roman" w:hAnsi="Times New Roman"/>
          <w:noProof/>
          <w:color w:val="000000"/>
          <w:sz w:val="24"/>
          <w:szCs w:val="24"/>
        </w:rPr>
        <w:t xml:space="preserve">The R&amp;I objectives concerning water provision and food systems in the Mediterranean area </w:t>
      </w:r>
      <w:r>
        <w:rPr>
          <w:rFonts w:ascii="Times New Roman" w:hAnsi="Times New Roman"/>
          <w:noProof/>
          <w:sz w:val="24"/>
          <w:szCs w:val="24"/>
        </w:rPr>
        <w:t>appear to be consistent with and relevant also to the following initiatives:</w:t>
      </w:r>
    </w:p>
    <w:p>
      <w:pPr>
        <w:pStyle w:val="ListParagraph"/>
        <w:numPr>
          <w:ilvl w:val="0"/>
          <w:numId w:val="4"/>
        </w:numPr>
        <w:autoSpaceDE w:val="0"/>
        <w:autoSpaceDN w:val="0"/>
        <w:adjustRightInd w:val="0"/>
        <w:spacing w:after="120" w:line="240" w:lineRule="auto"/>
        <w:ind w:left="425" w:hanging="357"/>
        <w:rPr>
          <w:rFonts w:ascii="Times New Roman" w:hAnsi="Times New Roman"/>
          <w:noProof/>
          <w:sz w:val="24"/>
          <w:szCs w:val="24"/>
        </w:rPr>
      </w:pPr>
      <w:r>
        <w:rPr>
          <w:rFonts w:ascii="Times New Roman" w:hAnsi="Times New Roman"/>
          <w:noProof/>
          <w:color w:val="000000"/>
          <w:sz w:val="24"/>
          <w:szCs w:val="24"/>
        </w:rPr>
        <w:t>As highlighted in the Communication "</w:t>
      </w:r>
      <w:r>
        <w:rPr>
          <w:rFonts w:ascii="Times New Roman" w:hAnsi="Times New Roman"/>
          <w:b/>
          <w:noProof/>
          <w:color w:val="000000"/>
          <w:sz w:val="24"/>
          <w:szCs w:val="24"/>
        </w:rPr>
        <w:t>A resource-efficient Europe – Flagship initiative</w:t>
      </w:r>
      <w:r>
        <w:rPr>
          <w:rFonts w:ascii="Times New Roman" w:hAnsi="Times New Roman"/>
          <w:noProof/>
          <w:color w:val="000000"/>
          <w:sz w:val="24"/>
          <w:szCs w:val="24"/>
        </w:rPr>
        <w:t>"</w:t>
      </w:r>
      <w:r>
        <w:rPr>
          <w:rStyle w:val="FootnoteReference"/>
          <w:rFonts w:ascii="Times New Roman" w:hAnsi="Times New Roman"/>
          <w:noProof/>
          <w:color w:val="000000"/>
          <w:sz w:val="24"/>
          <w:szCs w:val="24"/>
        </w:rPr>
        <w:footnoteReference w:id="48"/>
      </w:r>
      <w:r>
        <w:rPr>
          <w:rFonts w:ascii="Times New Roman" w:hAnsi="Times New Roman"/>
          <w:noProof/>
          <w:color w:val="000000"/>
          <w:sz w:val="24"/>
          <w:szCs w:val="24"/>
        </w:rPr>
        <w:t xml:space="preserve">, </w:t>
      </w:r>
      <w:r>
        <w:rPr>
          <w:rFonts w:ascii="Times New Roman" w:hAnsi="Times New Roman"/>
          <w:noProof/>
          <w:sz w:val="24"/>
          <w:szCs w:val="24"/>
        </w:rPr>
        <w:t>EU-wide, coordinated public support for R&amp;D and innovation is important to increase the availability and performance of the necessary resource efficient solutions.</w:t>
      </w:r>
    </w:p>
    <w:p>
      <w:pPr>
        <w:pStyle w:val="ListParagraph"/>
        <w:numPr>
          <w:ilvl w:val="0"/>
          <w:numId w:val="4"/>
        </w:numPr>
        <w:autoSpaceDE w:val="0"/>
        <w:autoSpaceDN w:val="0"/>
        <w:adjustRightInd w:val="0"/>
        <w:spacing w:after="120" w:line="240" w:lineRule="auto"/>
        <w:ind w:left="425" w:hanging="357"/>
        <w:rPr>
          <w:rFonts w:ascii="Times New Roman" w:hAnsi="Times New Roman"/>
          <w:noProof/>
          <w:color w:val="000000"/>
          <w:sz w:val="24"/>
          <w:szCs w:val="24"/>
        </w:rPr>
      </w:pPr>
      <w:r>
        <w:rPr>
          <w:rFonts w:ascii="Times New Roman" w:hAnsi="Times New Roman"/>
          <w:b/>
          <w:noProof/>
          <w:color w:val="000000"/>
          <w:sz w:val="24"/>
          <w:szCs w:val="24"/>
        </w:rPr>
        <w:t xml:space="preserve">Horizon 2020 </w:t>
      </w:r>
      <w:r>
        <w:rPr>
          <w:rFonts w:ascii="Times New Roman" w:hAnsi="Times New Roman"/>
          <w:noProof/>
          <w:color w:val="000000"/>
          <w:sz w:val="24"/>
          <w:szCs w:val="24"/>
        </w:rPr>
        <w:t>identifies "Climate action, Environment, Resource Efficiency and Raw Materials" and "Food security, sustainable agriculture and forestry, marine, maritime and inland water research, and the bio-economy" as two of the priority societal challenges to be addressed by supporting R&amp;I investments. Moreover, Horizon 2020 recognises that R&amp;I activities for these challenges should be carried out at the Union level and beyond, given the transnational and global nature of the climate and the environment, their scale and complexity, and the international dimension of the food and agricultural supply chain.</w:t>
      </w:r>
    </w:p>
    <w:p>
      <w:pPr>
        <w:pStyle w:val="ListParagraph"/>
        <w:numPr>
          <w:ilvl w:val="0"/>
          <w:numId w:val="4"/>
        </w:numPr>
        <w:autoSpaceDE w:val="0"/>
        <w:autoSpaceDN w:val="0"/>
        <w:adjustRightInd w:val="0"/>
        <w:spacing w:after="120" w:line="240" w:lineRule="auto"/>
        <w:ind w:left="425" w:hanging="357"/>
        <w:rPr>
          <w:rFonts w:ascii="Times New Roman" w:hAnsi="Times New Roman"/>
          <w:noProof/>
          <w:color w:val="000000"/>
          <w:sz w:val="24"/>
          <w:szCs w:val="24"/>
        </w:rPr>
      </w:pPr>
      <w:r>
        <w:rPr>
          <w:rFonts w:ascii="Times New Roman" w:hAnsi="Times New Roman"/>
          <w:noProof/>
          <w:color w:val="000000"/>
          <w:sz w:val="24"/>
          <w:szCs w:val="24"/>
        </w:rPr>
        <w:t>In the report "Science, Research and Innovation performance of the EU - A contribution to the Open Innovation, Open Science, Open to the World agenda"</w:t>
      </w:r>
      <w:r>
        <w:rPr>
          <w:rStyle w:val="FootnoteReference"/>
          <w:rFonts w:ascii="Times New Roman" w:hAnsi="Times New Roman"/>
          <w:noProof/>
          <w:color w:val="000000"/>
          <w:sz w:val="24"/>
          <w:szCs w:val="24"/>
        </w:rPr>
        <w:footnoteReference w:id="49"/>
      </w:r>
      <w:r>
        <w:rPr>
          <w:rFonts w:ascii="Times New Roman" w:hAnsi="Times New Roman"/>
          <w:noProof/>
          <w:color w:val="000000"/>
          <w:sz w:val="24"/>
          <w:szCs w:val="24"/>
        </w:rPr>
        <w:t xml:space="preserve"> it is analysed how Europe should be leading the way in </w:t>
      </w:r>
      <w:r>
        <w:rPr>
          <w:rFonts w:ascii="Times New Roman" w:hAnsi="Times New Roman"/>
          <w:b/>
          <w:noProof/>
          <w:color w:val="000000"/>
          <w:sz w:val="24"/>
          <w:szCs w:val="24"/>
        </w:rPr>
        <w:t>developing global research partnerships to address challenges in areas like energy, health, food and water</w:t>
      </w:r>
      <w:r>
        <w:rPr>
          <w:rFonts w:ascii="Times New Roman" w:hAnsi="Times New Roman"/>
          <w:noProof/>
          <w:color w:val="000000"/>
          <w:sz w:val="24"/>
          <w:szCs w:val="24"/>
        </w:rPr>
        <w:t xml:space="preserve">. The report shows how the growing openness of the global R&amp;I system has enhanced the importance of international collaboration, and </w:t>
      </w:r>
      <w:r>
        <w:rPr>
          <w:rFonts w:ascii="Times New Roman" w:hAnsi="Times New Roman"/>
          <w:b/>
          <w:noProof/>
          <w:color w:val="000000"/>
          <w:sz w:val="24"/>
          <w:szCs w:val="24"/>
        </w:rPr>
        <w:t>has become a crucial factor in accessing new sources of knowledge and improving competitiveness</w:t>
      </w:r>
      <w:r>
        <w:rPr>
          <w:rFonts w:ascii="Times New Roman" w:hAnsi="Times New Roman"/>
          <w:noProof/>
          <w:color w:val="000000"/>
          <w:sz w:val="24"/>
          <w:szCs w:val="24"/>
        </w:rPr>
        <w:t xml:space="preserve">. </w:t>
      </w:r>
    </w:p>
    <w:p>
      <w:pPr>
        <w:pStyle w:val="ListParagraph"/>
        <w:numPr>
          <w:ilvl w:val="0"/>
          <w:numId w:val="4"/>
        </w:numPr>
        <w:autoSpaceDE w:val="0"/>
        <w:autoSpaceDN w:val="0"/>
        <w:adjustRightInd w:val="0"/>
        <w:spacing w:after="120" w:line="240" w:lineRule="auto"/>
        <w:ind w:left="425" w:hanging="357"/>
        <w:rPr>
          <w:rFonts w:ascii="Times New Roman" w:hAnsi="Times New Roman"/>
          <w:noProof/>
          <w:sz w:val="24"/>
          <w:szCs w:val="24"/>
        </w:rPr>
      </w:pPr>
      <w:bookmarkStart w:id="98" w:name="_Toc440211773"/>
      <w:bookmarkStart w:id="99" w:name="_Toc447950896"/>
      <w:bookmarkEnd w:id="96"/>
      <w:bookmarkEnd w:id="97"/>
      <w:r>
        <w:rPr>
          <w:rFonts w:ascii="Times New Roman" w:hAnsi="Times New Roman"/>
          <w:noProof/>
          <w:sz w:val="24"/>
          <w:szCs w:val="24"/>
        </w:rPr>
        <w:t xml:space="preserve">The </w:t>
      </w:r>
      <w:r>
        <w:rPr>
          <w:rFonts w:ascii="Times New Roman" w:hAnsi="Times New Roman"/>
          <w:b/>
          <w:noProof/>
          <w:sz w:val="24"/>
          <w:szCs w:val="24"/>
        </w:rPr>
        <w:t>Post-2015 Development Agenda and the Sustainable Development Goals</w:t>
      </w:r>
      <w:r>
        <w:rPr>
          <w:rStyle w:val="FootnoteReference"/>
          <w:rFonts w:ascii="Times New Roman" w:hAnsi="Times New Roman"/>
          <w:noProof/>
          <w:color w:val="000000"/>
          <w:sz w:val="24"/>
          <w:szCs w:val="24"/>
        </w:rPr>
        <w:footnoteReference w:id="50"/>
      </w:r>
      <w:r>
        <w:rPr>
          <w:rFonts w:ascii="Times New Roman" w:hAnsi="Times New Roman"/>
          <w:noProof/>
          <w:color w:val="000000"/>
          <w:sz w:val="24"/>
          <w:szCs w:val="24"/>
          <w:vertAlign w:val="superscript"/>
        </w:rPr>
        <w:t>,</w:t>
      </w:r>
      <w:r>
        <w:rPr>
          <w:rStyle w:val="FootnoteReference"/>
          <w:rFonts w:ascii="Times New Roman" w:hAnsi="Times New Roman"/>
          <w:noProof/>
          <w:sz w:val="24"/>
          <w:szCs w:val="24"/>
        </w:rPr>
        <w:footnoteReference w:id="51"/>
      </w:r>
      <w:r>
        <w:rPr>
          <w:rFonts w:ascii="Times New Roman" w:hAnsi="Times New Roman"/>
          <w:noProof/>
          <w:sz w:val="24"/>
          <w:szCs w:val="24"/>
        </w:rPr>
        <w:t>.</w:t>
      </w:r>
    </w:p>
    <w:p>
      <w:pPr>
        <w:pStyle w:val="ListParagraph"/>
        <w:numPr>
          <w:ilvl w:val="0"/>
          <w:numId w:val="4"/>
        </w:numPr>
        <w:autoSpaceDE w:val="0"/>
        <w:autoSpaceDN w:val="0"/>
        <w:adjustRightInd w:val="0"/>
        <w:spacing w:after="120" w:line="240" w:lineRule="auto"/>
        <w:ind w:left="425" w:hanging="357"/>
        <w:rPr>
          <w:rFonts w:ascii="Times New Roman" w:hAnsi="Times New Roman"/>
          <w:noProof/>
          <w:sz w:val="24"/>
          <w:szCs w:val="24"/>
        </w:rPr>
      </w:pPr>
      <w:r>
        <w:rPr>
          <w:rFonts w:ascii="Times New Roman" w:hAnsi="Times New Roman"/>
          <w:noProof/>
          <w:sz w:val="24"/>
          <w:szCs w:val="24"/>
        </w:rPr>
        <w:t>The Barcelona Process launched in November 1995 at the initiative of the Euro-Mediterranean Foreign Ministers, and the related Communication "Barcelona Process: Union for the Mediterranean"(COM(2008)319), which was adopted by the Commission on 20 May 2008 and established a multilateral partnership, focusing on regional and trans-national projects.</w:t>
      </w:r>
    </w:p>
    <w:p>
      <w:pPr>
        <w:pStyle w:val="ListParagraph"/>
        <w:numPr>
          <w:ilvl w:val="0"/>
          <w:numId w:val="4"/>
        </w:numPr>
        <w:autoSpaceDE w:val="0"/>
        <w:autoSpaceDN w:val="0"/>
        <w:adjustRightInd w:val="0"/>
        <w:spacing w:after="120" w:line="240" w:lineRule="auto"/>
        <w:ind w:left="425" w:hanging="357"/>
        <w:rPr>
          <w:rFonts w:ascii="Times New Roman" w:hAnsi="Times New Roman"/>
          <w:noProof/>
          <w:sz w:val="24"/>
          <w:szCs w:val="24"/>
        </w:rPr>
      </w:pPr>
      <w:r>
        <w:rPr>
          <w:rFonts w:ascii="Times New Roman" w:hAnsi="Times New Roman"/>
          <w:noProof/>
          <w:sz w:val="24"/>
          <w:szCs w:val="24"/>
        </w:rPr>
        <w:t xml:space="preserve">The Communication "Enhancing and focusing EU international cooperation in R&amp;I: a strategic approach" (COM(2012)497final) adopted by the Commission on 14 September 2012, which establishes a focus on fostering integration into – or alignment with – the </w:t>
      </w:r>
      <w:r>
        <w:rPr>
          <w:rFonts w:ascii="Times New Roman" w:hAnsi="Times New Roman"/>
          <w:b/>
          <w:noProof/>
          <w:sz w:val="24"/>
          <w:szCs w:val="24"/>
        </w:rPr>
        <w:t>European Research Area (ERA) for the Neighbourhood</w:t>
      </w:r>
      <w:r>
        <w:rPr>
          <w:rFonts w:ascii="Times New Roman" w:hAnsi="Times New Roman"/>
          <w:noProof/>
          <w:sz w:val="24"/>
          <w:szCs w:val="24"/>
        </w:rPr>
        <w:t xml:space="preserve">. </w:t>
      </w:r>
    </w:p>
    <w:bookmarkEnd w:id="98"/>
    <w:bookmarkEnd w:id="99"/>
    <w:p>
      <w:pPr>
        <w:spacing w:after="240" w:line="240" w:lineRule="auto"/>
        <w:jc w:val="both"/>
        <w:rPr>
          <w:noProof/>
        </w:rPr>
      </w:pPr>
      <w:r>
        <w:rPr>
          <w:rFonts w:ascii="Times New Roman" w:hAnsi="Times New Roman"/>
          <w:noProof/>
          <w:sz w:val="24"/>
        </w:rPr>
        <w:t xml:space="preserve">Regarding </w:t>
      </w:r>
      <w:r>
        <w:rPr>
          <w:rFonts w:ascii="Times New Roman" w:hAnsi="Times New Roman"/>
          <w:b/>
          <w:noProof/>
          <w:sz w:val="24"/>
        </w:rPr>
        <w:t>Charter of Fundamental Rights of the European Union</w:t>
      </w:r>
      <w:r>
        <w:rPr>
          <w:rStyle w:val="FootnoteReference"/>
          <w:rFonts w:ascii="Times New Roman" w:hAnsi="Times New Roman"/>
          <w:b/>
          <w:noProof/>
          <w:sz w:val="24"/>
        </w:rPr>
        <w:footnoteReference w:id="52"/>
      </w:r>
      <w:r>
        <w:rPr>
          <w:rFonts w:ascii="Times New Roman" w:hAnsi="Times New Roman"/>
          <w:noProof/>
          <w:sz w:val="24"/>
        </w:rPr>
        <w:t>, the initiative is consistent with Article 37 on "</w:t>
      </w:r>
      <w:r>
        <w:rPr>
          <w:rFonts w:ascii="Times New Roman" w:hAnsi="Times New Roman"/>
          <w:b/>
          <w:bCs/>
          <w:i/>
          <w:noProof/>
          <w:sz w:val="24"/>
        </w:rPr>
        <w:t xml:space="preserve">Environmental protection: </w:t>
      </w:r>
      <w:r>
        <w:rPr>
          <w:rFonts w:ascii="Times New Roman" w:hAnsi="Times New Roman"/>
          <w:bCs/>
          <w:i/>
          <w:noProof/>
          <w:sz w:val="24"/>
        </w:rPr>
        <w:t>"</w:t>
      </w:r>
      <w:r>
        <w:rPr>
          <w:rFonts w:ascii="Times New Roman" w:hAnsi="Times New Roman"/>
          <w:i/>
          <w:noProof/>
          <w:sz w:val="24"/>
        </w:rPr>
        <w:t xml:space="preserve">A high level of environmental protection and the improvement of the quality of the environment must be integrated into the policies of the Union and ensured in accordance with the principle of sustainable development". </w:t>
      </w:r>
    </w:p>
    <w:p>
      <w:pPr>
        <w:rPr>
          <w:noProof/>
        </w:rPr>
      </w:pPr>
      <w:r>
        <w:rPr>
          <w:noProof/>
        </w:rPr>
        <w:br w:type="page"/>
      </w:r>
    </w:p>
    <w:tbl>
      <w:tblPr>
        <w:tblW w:w="9889" w:type="dxa"/>
        <w:tblLook w:val="00A0" w:firstRow="1" w:lastRow="0" w:firstColumn="1" w:lastColumn="0" w:noHBand="0" w:noVBand="0"/>
      </w:tblPr>
      <w:tblGrid>
        <w:gridCol w:w="9889"/>
      </w:tblGrid>
      <w:tr>
        <w:tc>
          <w:tcPr>
            <w:tcW w:w="9889" w:type="dxa"/>
            <w:shd w:val="clear" w:color="auto" w:fill="F2F2F2"/>
          </w:tcPr>
          <w:p>
            <w:pPr>
              <w:pStyle w:val="ListParagraph"/>
              <w:keepNext/>
              <w:keepLines/>
              <w:numPr>
                <w:ilvl w:val="0"/>
                <w:numId w:val="7"/>
              </w:numPr>
              <w:spacing w:before="120" w:after="120" w:line="240" w:lineRule="auto"/>
              <w:contextualSpacing w:val="0"/>
              <w:jc w:val="left"/>
              <w:outlineLvl w:val="0"/>
              <w:rPr>
                <w:rFonts w:ascii="Times New Roman" w:hAnsi="Times New Roman"/>
                <w:b/>
                <w:noProof/>
                <w:sz w:val="24"/>
                <w:szCs w:val="24"/>
              </w:rPr>
            </w:pPr>
            <w:bookmarkStart w:id="100" w:name="_Toc457466043"/>
            <w:r>
              <w:rPr>
                <w:rFonts w:ascii="Times New Roman" w:hAnsi="Times New Roman"/>
                <w:b/>
                <w:noProof/>
                <w:sz w:val="24"/>
                <w:szCs w:val="24"/>
              </w:rPr>
              <w:t>Section 4. What are the different options to achieve the objectives?</w:t>
            </w:r>
            <w:bookmarkEnd w:id="100"/>
          </w:p>
        </w:tc>
      </w:tr>
    </w:tbl>
    <w:p>
      <w:pPr>
        <w:pStyle w:val="Heading1"/>
        <w:numPr>
          <w:ilvl w:val="1"/>
          <w:numId w:val="7"/>
        </w:numPr>
        <w:spacing w:before="120" w:after="120" w:line="240" w:lineRule="auto"/>
        <w:rPr>
          <w:rFonts w:ascii="Times New Roman" w:hAnsi="Times New Roman"/>
          <w:noProof/>
          <w:color w:val="auto"/>
          <w:sz w:val="24"/>
          <w:szCs w:val="24"/>
        </w:rPr>
      </w:pPr>
      <w:bookmarkStart w:id="101" w:name="_Toc455682271"/>
      <w:bookmarkStart w:id="102" w:name="_Toc455731804"/>
      <w:bookmarkStart w:id="103" w:name="_Toc451955140"/>
      <w:bookmarkStart w:id="104" w:name="_Toc457466044"/>
      <w:r>
        <w:rPr>
          <w:rFonts w:ascii="Times New Roman" w:hAnsi="Times New Roman"/>
          <w:noProof/>
          <w:color w:val="auto"/>
          <w:sz w:val="24"/>
          <w:szCs w:val="24"/>
        </w:rPr>
        <w:t>Analysis of the possible options</w:t>
      </w:r>
      <w:bookmarkEnd w:id="101"/>
      <w:bookmarkEnd w:id="102"/>
      <w:bookmarkEnd w:id="103"/>
      <w:bookmarkEnd w:id="104"/>
    </w:p>
    <w:p>
      <w:pPr>
        <w:autoSpaceDE w:val="0"/>
        <w:autoSpaceDN w:val="0"/>
        <w:adjustRightInd w:val="0"/>
        <w:spacing w:after="120" w:line="240" w:lineRule="auto"/>
        <w:jc w:val="both"/>
        <w:rPr>
          <w:rFonts w:ascii="Times New Roman" w:hAnsi="Times New Roman"/>
          <w:noProof/>
          <w:sz w:val="24"/>
          <w:szCs w:val="24"/>
        </w:rPr>
      </w:pPr>
      <w:r>
        <w:rPr>
          <w:rFonts w:ascii="Times New Roman" w:hAnsi="Times New Roman"/>
          <w:noProof/>
          <w:sz w:val="24"/>
          <w:szCs w:val="24"/>
        </w:rPr>
        <w:t>Several policy options are available to meet the objectives identified above. These options differ in terms of scope, geographical coverage and instrument used.</w:t>
      </w:r>
    </w:p>
    <w:p>
      <w:pPr>
        <w:autoSpaceDE w:val="0"/>
        <w:autoSpaceDN w:val="0"/>
        <w:adjustRightInd w:val="0"/>
        <w:spacing w:after="0" w:line="240" w:lineRule="auto"/>
        <w:jc w:val="both"/>
        <w:rPr>
          <w:rFonts w:ascii="Times New Roman" w:hAnsi="Times New Roman"/>
          <w:noProof/>
          <w:sz w:val="24"/>
          <w:szCs w:val="24"/>
        </w:rPr>
      </w:pPr>
      <w:r>
        <w:rPr>
          <w:rFonts w:ascii="Times New Roman" w:hAnsi="Times New Roman"/>
          <w:noProof/>
          <w:sz w:val="24"/>
          <w:szCs w:val="24"/>
        </w:rPr>
        <w:t xml:space="preserve">As regards the </w:t>
      </w:r>
      <w:r>
        <w:rPr>
          <w:rFonts w:ascii="Times New Roman" w:hAnsi="Times New Roman"/>
          <w:b/>
          <w:noProof/>
          <w:sz w:val="24"/>
          <w:szCs w:val="24"/>
        </w:rPr>
        <w:t>scope</w:t>
      </w:r>
      <w:r>
        <w:rPr>
          <w:rFonts w:ascii="Times New Roman" w:hAnsi="Times New Roman"/>
          <w:noProof/>
          <w:sz w:val="24"/>
          <w:szCs w:val="24"/>
        </w:rPr>
        <w:t xml:space="preserve"> of possible actions, the following options were identified:</w:t>
      </w:r>
    </w:p>
    <w:p>
      <w:pPr>
        <w:numPr>
          <w:ilvl w:val="0"/>
          <w:numId w:val="39"/>
        </w:numPr>
        <w:autoSpaceDE w:val="0"/>
        <w:autoSpaceDN w:val="0"/>
        <w:spacing w:after="120" w:line="240" w:lineRule="auto"/>
        <w:ind w:left="425" w:hanging="357"/>
        <w:contextualSpacing/>
        <w:jc w:val="both"/>
        <w:rPr>
          <w:rFonts w:ascii="Times New Roman" w:hAnsi="Times New Roman"/>
          <w:noProof/>
          <w:sz w:val="24"/>
          <w:szCs w:val="24"/>
        </w:rPr>
      </w:pPr>
      <w:r>
        <w:rPr>
          <w:rFonts w:ascii="Times New Roman" w:hAnsi="Times New Roman"/>
          <w:noProof/>
          <w:sz w:val="24"/>
          <w:szCs w:val="24"/>
        </w:rPr>
        <w:t>Actions covering R&amp;I activities related to water provision;</w:t>
      </w:r>
    </w:p>
    <w:p>
      <w:pPr>
        <w:numPr>
          <w:ilvl w:val="0"/>
          <w:numId w:val="39"/>
        </w:numPr>
        <w:autoSpaceDE w:val="0"/>
        <w:autoSpaceDN w:val="0"/>
        <w:spacing w:after="120" w:line="240" w:lineRule="auto"/>
        <w:ind w:left="425" w:hanging="357"/>
        <w:contextualSpacing/>
        <w:jc w:val="both"/>
        <w:rPr>
          <w:rFonts w:ascii="Times New Roman" w:hAnsi="Times New Roman"/>
          <w:noProof/>
          <w:sz w:val="24"/>
          <w:szCs w:val="24"/>
        </w:rPr>
      </w:pPr>
      <w:r>
        <w:rPr>
          <w:rFonts w:ascii="Times New Roman" w:hAnsi="Times New Roman"/>
          <w:noProof/>
          <w:sz w:val="24"/>
          <w:szCs w:val="24"/>
        </w:rPr>
        <w:t>Actions covering R&amp;I activities related to food systems;</w:t>
      </w:r>
    </w:p>
    <w:p>
      <w:pPr>
        <w:numPr>
          <w:ilvl w:val="0"/>
          <w:numId w:val="39"/>
        </w:numPr>
        <w:autoSpaceDE w:val="0"/>
        <w:autoSpaceDN w:val="0"/>
        <w:spacing w:after="120" w:line="240" w:lineRule="auto"/>
        <w:ind w:left="425" w:hanging="357"/>
        <w:contextualSpacing/>
        <w:jc w:val="both"/>
        <w:rPr>
          <w:rFonts w:ascii="Times New Roman" w:hAnsi="Times New Roman"/>
          <w:noProof/>
          <w:sz w:val="24"/>
          <w:szCs w:val="24"/>
        </w:rPr>
      </w:pPr>
      <w:r>
        <w:rPr>
          <w:rFonts w:ascii="Times New Roman" w:hAnsi="Times New Roman"/>
          <w:noProof/>
          <w:sz w:val="24"/>
          <w:szCs w:val="24"/>
        </w:rPr>
        <w:t>Actions covering R&amp;I activities integrating water provision and food systems.</w:t>
      </w:r>
    </w:p>
    <w:p>
      <w:pPr>
        <w:autoSpaceDE w:val="0"/>
        <w:autoSpaceDN w:val="0"/>
        <w:spacing w:after="120" w:line="240" w:lineRule="auto"/>
        <w:ind w:left="68"/>
        <w:contextualSpacing/>
        <w:jc w:val="both"/>
        <w:rPr>
          <w:rFonts w:ascii="Times New Roman" w:hAnsi="Times New Roman"/>
          <w:noProof/>
          <w:sz w:val="24"/>
          <w:szCs w:val="24"/>
        </w:rPr>
      </w:pPr>
    </w:p>
    <w:p>
      <w:pPr>
        <w:autoSpaceDE w:val="0"/>
        <w:autoSpaceDN w:val="0"/>
        <w:adjustRightInd w:val="0"/>
        <w:spacing w:after="0" w:line="240" w:lineRule="auto"/>
        <w:jc w:val="both"/>
        <w:rPr>
          <w:rFonts w:ascii="Times New Roman" w:hAnsi="Times New Roman"/>
          <w:noProof/>
          <w:sz w:val="24"/>
          <w:szCs w:val="24"/>
        </w:rPr>
      </w:pPr>
      <w:r>
        <w:rPr>
          <w:rFonts w:ascii="Times New Roman" w:hAnsi="Times New Roman"/>
          <w:noProof/>
          <w:sz w:val="24"/>
          <w:szCs w:val="24"/>
        </w:rPr>
        <w:t xml:space="preserve">As regards the </w:t>
      </w:r>
      <w:r>
        <w:rPr>
          <w:rFonts w:ascii="Times New Roman" w:hAnsi="Times New Roman"/>
          <w:b/>
          <w:noProof/>
          <w:sz w:val="24"/>
          <w:szCs w:val="24"/>
        </w:rPr>
        <w:t>geographical coverage</w:t>
      </w:r>
      <w:r>
        <w:rPr>
          <w:rFonts w:ascii="Times New Roman" w:hAnsi="Times New Roman"/>
          <w:noProof/>
          <w:sz w:val="24"/>
          <w:szCs w:val="24"/>
        </w:rPr>
        <w:t xml:space="preserve"> of possible actions, the following options were identified:</w:t>
      </w:r>
    </w:p>
    <w:p>
      <w:pPr>
        <w:numPr>
          <w:ilvl w:val="0"/>
          <w:numId w:val="39"/>
        </w:numPr>
        <w:autoSpaceDE w:val="0"/>
        <w:autoSpaceDN w:val="0"/>
        <w:spacing w:after="120" w:line="240" w:lineRule="auto"/>
        <w:ind w:left="425" w:hanging="357"/>
        <w:contextualSpacing/>
        <w:jc w:val="both"/>
        <w:rPr>
          <w:rFonts w:ascii="Times New Roman" w:hAnsi="Times New Roman"/>
          <w:noProof/>
          <w:sz w:val="24"/>
          <w:szCs w:val="24"/>
        </w:rPr>
      </w:pPr>
      <w:r>
        <w:rPr>
          <w:rFonts w:ascii="Times New Roman" w:hAnsi="Times New Roman"/>
          <w:noProof/>
          <w:sz w:val="24"/>
          <w:szCs w:val="24"/>
        </w:rPr>
        <w:t xml:space="preserve">Actions with EU Member States; </w:t>
      </w:r>
    </w:p>
    <w:p>
      <w:pPr>
        <w:numPr>
          <w:ilvl w:val="0"/>
          <w:numId w:val="39"/>
        </w:numPr>
        <w:autoSpaceDE w:val="0"/>
        <w:autoSpaceDN w:val="0"/>
        <w:spacing w:after="120" w:line="240" w:lineRule="auto"/>
        <w:ind w:left="425" w:hanging="357"/>
        <w:contextualSpacing/>
        <w:jc w:val="both"/>
        <w:rPr>
          <w:rFonts w:ascii="Times New Roman" w:hAnsi="Times New Roman"/>
          <w:noProof/>
          <w:sz w:val="24"/>
          <w:szCs w:val="24"/>
        </w:rPr>
      </w:pPr>
      <w:r>
        <w:rPr>
          <w:rFonts w:ascii="Times New Roman" w:hAnsi="Times New Roman"/>
          <w:noProof/>
          <w:sz w:val="24"/>
          <w:szCs w:val="24"/>
        </w:rPr>
        <w:t>Actions with EU Member States and third countries associated to Horizon 2020 ("Associated third countries");</w:t>
      </w:r>
    </w:p>
    <w:p>
      <w:pPr>
        <w:numPr>
          <w:ilvl w:val="0"/>
          <w:numId w:val="39"/>
        </w:numPr>
        <w:autoSpaceDE w:val="0"/>
        <w:autoSpaceDN w:val="0"/>
        <w:spacing w:after="0" w:line="240" w:lineRule="auto"/>
        <w:ind w:left="425" w:hanging="357"/>
        <w:jc w:val="both"/>
        <w:rPr>
          <w:rFonts w:ascii="Times New Roman" w:hAnsi="Times New Roman"/>
          <w:noProof/>
          <w:sz w:val="24"/>
          <w:szCs w:val="24"/>
        </w:rPr>
      </w:pPr>
      <w:r>
        <w:rPr>
          <w:rFonts w:ascii="Times New Roman" w:hAnsi="Times New Roman"/>
          <w:noProof/>
          <w:sz w:val="24"/>
          <w:szCs w:val="24"/>
        </w:rPr>
        <w:t>Actions with EU Member States, Associated third countries and non-Associated third counties.</w:t>
      </w:r>
    </w:p>
    <w:p>
      <w:pPr>
        <w:autoSpaceDE w:val="0"/>
        <w:autoSpaceDN w:val="0"/>
        <w:spacing w:after="120" w:line="240" w:lineRule="auto"/>
        <w:ind w:left="68"/>
        <w:contextualSpacing/>
        <w:jc w:val="both"/>
        <w:rPr>
          <w:rFonts w:ascii="Times New Roman" w:hAnsi="Times New Roman"/>
          <w:noProof/>
          <w:sz w:val="24"/>
          <w:szCs w:val="24"/>
        </w:rPr>
      </w:pPr>
    </w:p>
    <w:p>
      <w:pPr>
        <w:autoSpaceDE w:val="0"/>
        <w:autoSpaceDN w:val="0"/>
        <w:adjustRightInd w:val="0"/>
        <w:spacing w:after="120" w:line="240" w:lineRule="auto"/>
        <w:jc w:val="both"/>
        <w:rPr>
          <w:rFonts w:ascii="Times New Roman" w:hAnsi="Times New Roman"/>
          <w:noProof/>
          <w:sz w:val="24"/>
          <w:szCs w:val="24"/>
        </w:rPr>
      </w:pPr>
      <w:r>
        <w:rPr>
          <w:rFonts w:ascii="Times New Roman" w:hAnsi="Times New Roman"/>
          <w:noProof/>
          <w:sz w:val="24"/>
          <w:szCs w:val="24"/>
        </w:rPr>
        <w:t xml:space="preserve">As regards possible </w:t>
      </w:r>
      <w:r>
        <w:rPr>
          <w:rFonts w:ascii="Times New Roman" w:hAnsi="Times New Roman"/>
          <w:b/>
          <w:noProof/>
          <w:sz w:val="24"/>
          <w:szCs w:val="24"/>
        </w:rPr>
        <w:t>approaches</w:t>
      </w:r>
      <w:r>
        <w:rPr>
          <w:rFonts w:ascii="Times New Roman" w:hAnsi="Times New Roman"/>
          <w:noProof/>
          <w:sz w:val="24"/>
          <w:szCs w:val="24"/>
        </w:rPr>
        <w:t>, the following options were identified:</w:t>
      </w:r>
    </w:p>
    <w:p>
      <w:pPr>
        <w:numPr>
          <w:ilvl w:val="0"/>
          <w:numId w:val="64"/>
        </w:numPr>
        <w:spacing w:after="120" w:line="240" w:lineRule="auto"/>
        <w:ind w:left="426"/>
        <w:rPr>
          <w:rFonts w:ascii="Times New Roman" w:hAnsi="Times New Roman"/>
          <w:noProof/>
          <w:sz w:val="24"/>
          <w:szCs w:val="24"/>
        </w:rPr>
      </w:pPr>
      <w:r>
        <w:rPr>
          <w:rFonts w:ascii="Times New Roman" w:hAnsi="Times New Roman"/>
          <w:b/>
          <w:noProof/>
          <w:sz w:val="24"/>
          <w:szCs w:val="24"/>
        </w:rPr>
        <w:t>No dedicated EU action</w:t>
      </w:r>
      <w:r>
        <w:rPr>
          <w:rFonts w:ascii="Times New Roman" w:hAnsi="Times New Roman"/>
          <w:noProof/>
          <w:sz w:val="24"/>
          <w:szCs w:val="24"/>
        </w:rPr>
        <w:t xml:space="preserve"> ("Baseline scenario" - No policy change).</w:t>
      </w:r>
    </w:p>
    <w:p>
      <w:pPr>
        <w:numPr>
          <w:ilvl w:val="0"/>
          <w:numId w:val="64"/>
        </w:numPr>
        <w:autoSpaceDE w:val="0"/>
        <w:autoSpaceDN w:val="0"/>
        <w:adjustRightInd w:val="0"/>
        <w:spacing w:after="120" w:line="240" w:lineRule="auto"/>
        <w:ind w:left="426"/>
        <w:jc w:val="both"/>
        <w:rPr>
          <w:rFonts w:ascii="Times New Roman" w:hAnsi="Times New Roman"/>
          <w:noProof/>
          <w:sz w:val="24"/>
          <w:szCs w:val="24"/>
        </w:rPr>
      </w:pPr>
      <w:r>
        <w:rPr>
          <w:rFonts w:ascii="Times New Roman" w:hAnsi="Times New Roman"/>
          <w:b/>
          <w:noProof/>
          <w:sz w:val="24"/>
          <w:szCs w:val="24"/>
        </w:rPr>
        <w:t>Support to coordination between Participating States</w:t>
      </w:r>
      <w:r>
        <w:rPr>
          <w:rFonts w:ascii="Times New Roman" w:hAnsi="Times New Roman"/>
          <w:noProof/>
          <w:sz w:val="24"/>
          <w:szCs w:val="24"/>
        </w:rPr>
        <w:t xml:space="preserve"> (public-public partnerships) on the basis of specific grant-based support from Horizon 2020 with:</w:t>
      </w:r>
    </w:p>
    <w:p>
      <w:pPr>
        <w:numPr>
          <w:ilvl w:val="0"/>
          <w:numId w:val="69"/>
        </w:numPr>
        <w:autoSpaceDE w:val="0"/>
        <w:autoSpaceDN w:val="0"/>
        <w:adjustRightInd w:val="0"/>
        <w:spacing w:after="120" w:line="240" w:lineRule="auto"/>
        <w:contextualSpacing/>
        <w:jc w:val="both"/>
        <w:rPr>
          <w:rFonts w:ascii="Times New Roman" w:hAnsi="Times New Roman"/>
          <w:noProof/>
          <w:sz w:val="24"/>
          <w:szCs w:val="24"/>
        </w:rPr>
      </w:pPr>
      <w:r>
        <w:rPr>
          <w:rFonts w:ascii="Times New Roman" w:hAnsi="Times New Roman"/>
          <w:noProof/>
          <w:sz w:val="24"/>
          <w:szCs w:val="24"/>
        </w:rPr>
        <w:t>ERA-NET Cofund actions, where the Union would co-fund one joint call for proposals leading to the funding of trans-national research and/or innovation projects;</w:t>
      </w:r>
    </w:p>
    <w:p>
      <w:pPr>
        <w:numPr>
          <w:ilvl w:val="0"/>
          <w:numId w:val="69"/>
        </w:numPr>
        <w:autoSpaceDE w:val="0"/>
        <w:autoSpaceDN w:val="0"/>
        <w:adjustRightInd w:val="0"/>
        <w:spacing w:after="120" w:line="240" w:lineRule="auto"/>
        <w:ind w:left="714" w:hanging="357"/>
        <w:jc w:val="both"/>
        <w:rPr>
          <w:rFonts w:ascii="Times New Roman" w:hAnsi="Times New Roman"/>
          <w:noProof/>
          <w:sz w:val="24"/>
          <w:szCs w:val="24"/>
        </w:rPr>
      </w:pPr>
      <w:r>
        <w:rPr>
          <w:rFonts w:ascii="Times New Roman" w:hAnsi="Times New Roman"/>
          <w:noProof/>
          <w:sz w:val="24"/>
          <w:szCs w:val="24"/>
        </w:rPr>
        <w:t>European Joint Programme Cofund actions, where the Union would support the implementation of a joint programme of activities of governmental research organisations.</w:t>
      </w:r>
    </w:p>
    <w:p>
      <w:pPr>
        <w:numPr>
          <w:ilvl w:val="0"/>
          <w:numId w:val="64"/>
        </w:numPr>
        <w:autoSpaceDE w:val="0"/>
        <w:autoSpaceDN w:val="0"/>
        <w:adjustRightInd w:val="0"/>
        <w:spacing w:after="120" w:line="240" w:lineRule="auto"/>
        <w:ind w:left="426"/>
        <w:jc w:val="both"/>
        <w:rPr>
          <w:rFonts w:ascii="Times New Roman" w:hAnsi="Times New Roman"/>
          <w:noProof/>
          <w:sz w:val="24"/>
          <w:szCs w:val="24"/>
        </w:rPr>
      </w:pPr>
      <w:r>
        <w:rPr>
          <w:rFonts w:ascii="Times New Roman" w:hAnsi="Times New Roman"/>
          <w:b/>
          <w:noProof/>
          <w:sz w:val="24"/>
          <w:szCs w:val="24"/>
        </w:rPr>
        <w:t>Support to integration between Participating States</w:t>
      </w:r>
      <w:r>
        <w:rPr>
          <w:rFonts w:ascii="Times New Roman" w:hAnsi="Times New Roman"/>
          <w:noProof/>
          <w:sz w:val="24"/>
          <w:szCs w:val="24"/>
        </w:rPr>
        <w:t xml:space="preserve"> (public-public partnerships) on the basis of Article 185, where the Union participates in programmes undertaken by several EU Member States, and where that participation is justified by the scope of the objectives and the scale of the resources required.</w:t>
      </w:r>
    </w:p>
    <w:p>
      <w:pPr>
        <w:numPr>
          <w:ilvl w:val="0"/>
          <w:numId w:val="64"/>
        </w:numPr>
        <w:autoSpaceDE w:val="0"/>
        <w:autoSpaceDN w:val="0"/>
        <w:adjustRightInd w:val="0"/>
        <w:spacing w:after="120" w:line="240" w:lineRule="auto"/>
        <w:ind w:left="426"/>
        <w:jc w:val="both"/>
        <w:rPr>
          <w:rFonts w:ascii="Times New Roman" w:hAnsi="Times New Roman"/>
          <w:noProof/>
          <w:sz w:val="24"/>
          <w:szCs w:val="24"/>
        </w:rPr>
      </w:pPr>
      <w:r>
        <w:rPr>
          <w:rFonts w:ascii="Times New Roman" w:hAnsi="Times New Roman"/>
          <w:b/>
          <w:noProof/>
          <w:sz w:val="24"/>
          <w:szCs w:val="24"/>
        </w:rPr>
        <w:t>Support to Public-Private Partnerships (PPP)</w:t>
      </w:r>
      <w:r>
        <w:rPr>
          <w:rFonts w:ascii="Times New Roman" w:hAnsi="Times New Roman"/>
          <w:noProof/>
          <w:sz w:val="24"/>
          <w:szCs w:val="24"/>
        </w:rPr>
        <w:t>, set up between the Union and stakeholders from the private sector, in accordance with Article 187 TFEU, where all partners concerned commit to supporting the development and implementation of pre-competitive R&amp;I activities of strategic importance for the Union's competitiveness and industrial leadership or for addressing specific societal challenges.</w:t>
      </w:r>
    </w:p>
    <w:p>
      <w:pPr>
        <w:autoSpaceDE w:val="0"/>
        <w:autoSpaceDN w:val="0"/>
        <w:spacing w:after="120" w:line="240" w:lineRule="auto"/>
        <w:ind w:left="720"/>
        <w:contextualSpacing/>
        <w:jc w:val="both"/>
        <w:rPr>
          <w:rFonts w:ascii="Times New Roman" w:hAnsi="Times New Roman"/>
          <w:noProof/>
          <w:sz w:val="24"/>
          <w:szCs w:val="24"/>
        </w:rPr>
      </w:pPr>
    </w:p>
    <w:p>
      <w:pPr>
        <w:pStyle w:val="Heading1"/>
        <w:numPr>
          <w:ilvl w:val="1"/>
          <w:numId w:val="7"/>
        </w:numPr>
        <w:spacing w:before="120" w:after="120" w:line="240" w:lineRule="auto"/>
        <w:rPr>
          <w:rFonts w:ascii="Times New Roman" w:hAnsi="Times New Roman"/>
          <w:noProof/>
          <w:color w:val="auto"/>
          <w:sz w:val="24"/>
          <w:szCs w:val="24"/>
        </w:rPr>
      </w:pPr>
      <w:bookmarkStart w:id="105" w:name="_Toc455682272"/>
      <w:bookmarkStart w:id="106" w:name="_Toc455731805"/>
      <w:bookmarkStart w:id="107" w:name="_Toc457466045"/>
      <w:r>
        <w:rPr>
          <w:rFonts w:ascii="Times New Roman" w:hAnsi="Times New Roman"/>
          <w:noProof/>
          <w:color w:val="auto"/>
          <w:sz w:val="24"/>
          <w:szCs w:val="24"/>
        </w:rPr>
        <w:t>Options discarded at an early stage</w:t>
      </w:r>
      <w:bookmarkEnd w:id="105"/>
      <w:bookmarkEnd w:id="106"/>
      <w:bookmarkEnd w:id="107"/>
      <w:r>
        <w:rPr>
          <w:rFonts w:ascii="Times New Roman" w:hAnsi="Times New Roman"/>
          <w:noProof/>
          <w:color w:val="auto"/>
          <w:sz w:val="24"/>
          <w:szCs w:val="24"/>
        </w:rPr>
        <w:t xml:space="preserve"> </w:t>
      </w:r>
    </w:p>
    <w:p>
      <w:pPr>
        <w:spacing w:after="120" w:line="240" w:lineRule="auto"/>
        <w:jc w:val="both"/>
        <w:rPr>
          <w:rFonts w:ascii="Times New Roman" w:hAnsi="Times New Roman"/>
          <w:noProof/>
          <w:sz w:val="24"/>
        </w:rPr>
      </w:pPr>
      <w:r>
        <w:rPr>
          <w:rFonts w:ascii="Times New Roman" w:hAnsi="Times New Roman"/>
          <w:noProof/>
          <w:sz w:val="24"/>
        </w:rPr>
        <w:t>A screening of all these options was undertaken based on Tool #14 of the Better Regulation Toolbox (Annex 6). Many options do not fulfil most key criteria related to legal and political feasibility and relevance.</w:t>
      </w:r>
    </w:p>
    <w:p>
      <w:pPr>
        <w:spacing w:after="120" w:line="240" w:lineRule="auto"/>
        <w:jc w:val="both"/>
        <w:rPr>
          <w:rFonts w:ascii="Times New Roman" w:hAnsi="Times New Roman"/>
          <w:noProof/>
          <w:sz w:val="24"/>
        </w:rPr>
      </w:pPr>
      <w:r>
        <w:rPr>
          <w:rFonts w:ascii="Times New Roman" w:hAnsi="Times New Roman"/>
          <w:noProof/>
          <w:sz w:val="24"/>
        </w:rPr>
        <w:t xml:space="preserve">As </w:t>
      </w:r>
      <w:r>
        <w:rPr>
          <w:rFonts w:ascii="Times New Roman" w:hAnsi="Times New Roman"/>
          <w:b/>
          <w:noProof/>
          <w:sz w:val="24"/>
        </w:rPr>
        <w:t>regards scope</w:t>
      </w:r>
      <w:r>
        <w:rPr>
          <w:rFonts w:ascii="Times New Roman" w:hAnsi="Times New Roman"/>
          <w:noProof/>
          <w:sz w:val="24"/>
        </w:rPr>
        <w:t>, options involving only water provision or only food systems were discarded at an early stage because of considerations related to relevance, effectiveness, efficiency and political feasibility. Options not covering both issues together would not be relevant enough to address a problem that is essentially of a cross-sectoral nature and requires an integrated approach.</w:t>
      </w:r>
    </w:p>
    <w:p>
      <w:pPr>
        <w:spacing w:after="120" w:line="240" w:lineRule="auto"/>
        <w:jc w:val="both"/>
        <w:rPr>
          <w:rFonts w:ascii="Times New Roman" w:hAnsi="Times New Roman"/>
          <w:noProof/>
          <w:sz w:val="24"/>
        </w:rPr>
      </w:pPr>
      <w:r>
        <w:rPr>
          <w:rFonts w:ascii="Times New Roman" w:hAnsi="Times New Roman"/>
          <w:noProof/>
          <w:sz w:val="24"/>
        </w:rPr>
        <w:t xml:space="preserve">As regards </w:t>
      </w:r>
      <w:r>
        <w:rPr>
          <w:rFonts w:ascii="Times New Roman" w:hAnsi="Times New Roman"/>
          <w:b/>
          <w:noProof/>
          <w:sz w:val="24"/>
        </w:rPr>
        <w:t>geographical coverage</w:t>
      </w:r>
      <w:r>
        <w:rPr>
          <w:rFonts w:ascii="Times New Roman" w:hAnsi="Times New Roman"/>
          <w:noProof/>
          <w:sz w:val="24"/>
        </w:rPr>
        <w:t>, options involving only EU Member States were discarded at an early stage due to considerations related to legal and political feasibility as well as relevance, as the problem identified concerns the complete Mediterranean area, which requires the involvement of Mediterranean third countries associated to Horizon 2020 and third countries not associated to Horizon 2020. Without the participation of both associated and non-associated third countries, it would not be possible to achieve critical mass in terms of knowledge and financial resources on both sides of the Mediterranean. The non-EU countries have important R&amp;I capabilities and have made substantial financial commitments.</w:t>
      </w:r>
    </w:p>
    <w:p>
      <w:pPr>
        <w:spacing w:after="120" w:line="240" w:lineRule="auto"/>
        <w:jc w:val="both"/>
        <w:rPr>
          <w:rFonts w:ascii="Times New Roman" w:hAnsi="Times New Roman"/>
          <w:noProof/>
          <w:sz w:val="24"/>
        </w:rPr>
      </w:pPr>
      <w:bookmarkStart w:id="108" w:name="_Toc455682273"/>
      <w:bookmarkStart w:id="109" w:name="_Toc455731806"/>
      <w:r>
        <w:rPr>
          <w:rFonts w:ascii="Times New Roman" w:hAnsi="Times New Roman"/>
          <w:noProof/>
          <w:sz w:val="24"/>
        </w:rPr>
        <w:t xml:space="preserve">As for </w:t>
      </w:r>
      <w:r>
        <w:rPr>
          <w:rFonts w:ascii="Times New Roman" w:hAnsi="Times New Roman"/>
          <w:b/>
          <w:noProof/>
          <w:sz w:val="24"/>
        </w:rPr>
        <w:t>possible approaches</w:t>
      </w:r>
      <w:r>
        <w:rPr>
          <w:rFonts w:ascii="Times New Roman" w:hAnsi="Times New Roman"/>
          <w:noProof/>
          <w:sz w:val="24"/>
        </w:rPr>
        <w:t>, some options have been discarded at an early stage on the basis of legal and political feasibility, effectiveness and efficiency, as well as relevance:</w:t>
      </w:r>
    </w:p>
    <w:p>
      <w:pPr>
        <w:numPr>
          <w:ilvl w:val="0"/>
          <w:numId w:val="67"/>
        </w:numPr>
        <w:autoSpaceDE w:val="0"/>
        <w:autoSpaceDN w:val="0"/>
        <w:spacing w:after="120" w:line="240" w:lineRule="auto"/>
        <w:ind w:left="426" w:hanging="357"/>
        <w:contextualSpacing/>
        <w:jc w:val="both"/>
        <w:rPr>
          <w:rFonts w:ascii="Times New Roman" w:hAnsi="Times New Roman"/>
          <w:noProof/>
          <w:sz w:val="24"/>
          <w:szCs w:val="24"/>
          <w:lang w:eastAsia="fr-BE"/>
        </w:rPr>
      </w:pPr>
      <w:r>
        <w:rPr>
          <w:rFonts w:ascii="Times New Roman" w:hAnsi="Times New Roman"/>
          <w:noProof/>
          <w:sz w:val="24"/>
          <w:szCs w:val="24"/>
          <w:lang w:eastAsia="fr-BE"/>
        </w:rPr>
        <w:t>European Joint Programme Cofund would not allow addressing the full range of stakeholders, as it would be limited to selected governmental research organisations. The political feasibility would be low. EJP Cofund would provide little support to common long-term R&amp;I agendas, little support to National alignment, create only a limited critical mass of actors and resources and would provide no support to Strengthening innovation capabilities, thus not meet the relevance requirements.</w:t>
      </w:r>
    </w:p>
    <w:p>
      <w:pPr>
        <w:numPr>
          <w:ilvl w:val="0"/>
          <w:numId w:val="67"/>
        </w:numPr>
        <w:autoSpaceDE w:val="0"/>
        <w:autoSpaceDN w:val="0"/>
        <w:spacing w:after="120" w:line="240" w:lineRule="auto"/>
        <w:ind w:left="426" w:hanging="357"/>
        <w:contextualSpacing/>
        <w:jc w:val="both"/>
        <w:rPr>
          <w:rFonts w:ascii="Times New Roman" w:hAnsi="Times New Roman"/>
          <w:noProof/>
          <w:sz w:val="24"/>
          <w:szCs w:val="24"/>
          <w:lang w:eastAsia="fr-BE"/>
        </w:rPr>
      </w:pPr>
      <w:r>
        <w:rPr>
          <w:rFonts w:ascii="Times New Roman" w:hAnsi="Times New Roman"/>
          <w:noProof/>
          <w:sz w:val="24"/>
          <w:szCs w:val="24"/>
          <w:lang w:eastAsia="fr-BE"/>
        </w:rPr>
        <w:t>For Public-Private Partnerships (PPPs) the preconditions are not met (Industrial leadership and its strong financial commitment). There is no political support from the Participating States for this approach. Furthermore PPPs would not necessarily provide support to a common long-term R&amp;I agenda of the Participating States, or to the alignment of national activities, thus not meeting the relevance requirements.</w:t>
      </w:r>
    </w:p>
    <w:p>
      <w:pPr>
        <w:autoSpaceDE w:val="0"/>
        <w:autoSpaceDN w:val="0"/>
        <w:spacing w:after="120" w:line="240" w:lineRule="auto"/>
        <w:ind w:left="720"/>
        <w:jc w:val="both"/>
        <w:rPr>
          <w:rFonts w:ascii="Times New Roman" w:hAnsi="Times New Roman"/>
          <w:noProof/>
          <w:sz w:val="24"/>
          <w:szCs w:val="24"/>
        </w:rPr>
      </w:pPr>
    </w:p>
    <w:p>
      <w:pPr>
        <w:pStyle w:val="Heading1"/>
        <w:numPr>
          <w:ilvl w:val="1"/>
          <w:numId w:val="7"/>
        </w:numPr>
        <w:spacing w:before="120" w:after="120" w:line="240" w:lineRule="auto"/>
        <w:rPr>
          <w:rFonts w:ascii="Times New Roman" w:hAnsi="Times New Roman"/>
          <w:noProof/>
          <w:color w:val="auto"/>
          <w:sz w:val="24"/>
          <w:szCs w:val="24"/>
        </w:rPr>
      </w:pPr>
      <w:bookmarkStart w:id="110" w:name="_Toc457466046"/>
      <w:r>
        <w:rPr>
          <w:rFonts w:ascii="Times New Roman" w:hAnsi="Times New Roman"/>
          <w:noProof/>
          <w:color w:val="auto"/>
          <w:sz w:val="24"/>
          <w:szCs w:val="24"/>
        </w:rPr>
        <w:t>Retained policy options</w:t>
      </w:r>
      <w:bookmarkEnd w:id="108"/>
      <w:bookmarkEnd w:id="109"/>
      <w:bookmarkEnd w:id="110"/>
      <w:r>
        <w:rPr>
          <w:rFonts w:ascii="Times New Roman" w:hAnsi="Times New Roman"/>
          <w:noProof/>
          <w:color w:val="auto"/>
          <w:sz w:val="24"/>
          <w:szCs w:val="24"/>
        </w:rPr>
        <w:t xml:space="preserve"> </w:t>
      </w:r>
    </w:p>
    <w:p>
      <w:pPr>
        <w:autoSpaceDE w:val="0"/>
        <w:autoSpaceDN w:val="0"/>
        <w:spacing w:after="120" w:line="240" w:lineRule="auto"/>
        <w:jc w:val="both"/>
        <w:rPr>
          <w:rFonts w:ascii="Times New Roman" w:hAnsi="Times New Roman"/>
          <w:noProof/>
          <w:sz w:val="24"/>
          <w:szCs w:val="24"/>
          <w:lang w:eastAsia="fr-BE"/>
        </w:rPr>
      </w:pPr>
      <w:bookmarkStart w:id="111" w:name="_Toc451955141"/>
      <w:bookmarkStart w:id="112" w:name="_Toc455557008"/>
      <w:r>
        <w:rPr>
          <w:rFonts w:ascii="Times New Roman" w:hAnsi="Times New Roman"/>
          <w:noProof/>
          <w:sz w:val="24"/>
          <w:szCs w:val="24"/>
          <w:lang w:eastAsia="fr-BE"/>
        </w:rPr>
        <w:t>On the basis of the options screening undertaken, the following policy options have been retained:</w:t>
      </w:r>
    </w:p>
    <w:p>
      <w:pPr>
        <w:numPr>
          <w:ilvl w:val="0"/>
          <w:numId w:val="67"/>
        </w:numPr>
        <w:autoSpaceDE w:val="0"/>
        <w:autoSpaceDN w:val="0"/>
        <w:spacing w:after="120" w:line="240" w:lineRule="auto"/>
        <w:ind w:left="714" w:hanging="357"/>
        <w:contextualSpacing/>
        <w:jc w:val="both"/>
        <w:rPr>
          <w:rFonts w:ascii="Times New Roman" w:hAnsi="Times New Roman"/>
          <w:noProof/>
          <w:sz w:val="24"/>
          <w:szCs w:val="24"/>
          <w:lang w:eastAsia="fr-BE"/>
        </w:rPr>
      </w:pPr>
      <w:r>
        <w:rPr>
          <w:rFonts w:ascii="Times New Roman" w:hAnsi="Times New Roman"/>
          <w:noProof/>
          <w:sz w:val="24"/>
          <w:szCs w:val="24"/>
          <w:lang w:eastAsia="fr-BE"/>
        </w:rPr>
        <w:t>Option 0: No dedicated EU action ("Baseline scenario" - No policy change)</w:t>
      </w:r>
    </w:p>
    <w:p>
      <w:pPr>
        <w:numPr>
          <w:ilvl w:val="0"/>
          <w:numId w:val="67"/>
        </w:numPr>
        <w:autoSpaceDE w:val="0"/>
        <w:autoSpaceDN w:val="0"/>
        <w:spacing w:after="120" w:line="240" w:lineRule="auto"/>
        <w:ind w:left="714" w:hanging="357"/>
        <w:contextualSpacing/>
        <w:jc w:val="both"/>
        <w:rPr>
          <w:rFonts w:ascii="Times New Roman" w:hAnsi="Times New Roman"/>
          <w:noProof/>
          <w:sz w:val="24"/>
          <w:szCs w:val="24"/>
          <w:lang w:eastAsia="fr-BE"/>
        </w:rPr>
      </w:pPr>
      <w:r>
        <w:rPr>
          <w:rFonts w:ascii="Times New Roman" w:hAnsi="Times New Roman"/>
          <w:noProof/>
          <w:sz w:val="24"/>
          <w:szCs w:val="24"/>
          <w:lang w:eastAsia="fr-BE"/>
        </w:rPr>
        <w:t>Option 1: ERA-NET Cofund actions</w:t>
      </w:r>
    </w:p>
    <w:p>
      <w:pPr>
        <w:numPr>
          <w:ilvl w:val="0"/>
          <w:numId w:val="67"/>
        </w:numPr>
        <w:autoSpaceDE w:val="0"/>
        <w:autoSpaceDN w:val="0"/>
        <w:spacing w:after="120" w:line="240" w:lineRule="auto"/>
        <w:ind w:left="714" w:hanging="357"/>
        <w:contextualSpacing/>
        <w:jc w:val="both"/>
        <w:rPr>
          <w:rFonts w:ascii="Times New Roman" w:hAnsi="Times New Roman"/>
          <w:noProof/>
          <w:sz w:val="24"/>
          <w:szCs w:val="24"/>
          <w:lang w:eastAsia="fr-BE"/>
        </w:rPr>
      </w:pPr>
      <w:r>
        <w:rPr>
          <w:rFonts w:ascii="Times New Roman" w:hAnsi="Times New Roman"/>
          <w:noProof/>
          <w:sz w:val="24"/>
          <w:szCs w:val="24"/>
          <w:lang w:eastAsia="fr-BE"/>
        </w:rPr>
        <w:t>Option 2: PRIMA Joint Programme based on Article 185 TFEU</w:t>
      </w:r>
    </w:p>
    <w:p>
      <w:pPr>
        <w:autoSpaceDE w:val="0"/>
        <w:autoSpaceDN w:val="0"/>
        <w:spacing w:after="120" w:line="240" w:lineRule="auto"/>
        <w:jc w:val="both"/>
        <w:rPr>
          <w:rFonts w:ascii="Times New Roman" w:hAnsi="Times New Roman"/>
          <w:noProof/>
          <w:sz w:val="24"/>
          <w:szCs w:val="24"/>
          <w:lang w:eastAsia="fr-BE"/>
        </w:rPr>
      </w:pPr>
    </w:p>
    <w:p>
      <w:pPr>
        <w:autoSpaceDE w:val="0"/>
        <w:autoSpaceDN w:val="0"/>
        <w:spacing w:after="120" w:line="240" w:lineRule="auto"/>
        <w:jc w:val="both"/>
        <w:rPr>
          <w:rFonts w:ascii="Times New Roman" w:hAnsi="Times New Roman"/>
          <w:b/>
          <w:noProof/>
          <w:sz w:val="24"/>
          <w:szCs w:val="24"/>
          <w:u w:val="single"/>
          <w:lang w:eastAsia="fr-BE"/>
        </w:rPr>
      </w:pPr>
      <w:r>
        <w:rPr>
          <w:rFonts w:ascii="Times New Roman" w:hAnsi="Times New Roman"/>
          <w:b/>
          <w:noProof/>
          <w:sz w:val="24"/>
          <w:szCs w:val="24"/>
          <w:u w:val="single"/>
          <w:lang w:eastAsia="fr-BE"/>
        </w:rPr>
        <w:t>Option 0: No dedicated EU action ("Baseline scenario" - No policy change)</w:t>
      </w:r>
      <w:bookmarkEnd w:id="111"/>
      <w:bookmarkEnd w:id="112"/>
    </w:p>
    <w:p>
      <w:pPr>
        <w:autoSpaceDE w:val="0"/>
        <w:autoSpaceDN w:val="0"/>
        <w:spacing w:after="120" w:line="240" w:lineRule="auto"/>
        <w:jc w:val="both"/>
        <w:rPr>
          <w:rFonts w:ascii="Times New Roman" w:hAnsi="Times New Roman"/>
          <w:noProof/>
          <w:sz w:val="24"/>
          <w:szCs w:val="24"/>
          <w:lang w:eastAsia="fr-BE"/>
        </w:rPr>
      </w:pPr>
      <w:r>
        <w:rPr>
          <w:rFonts w:ascii="Times New Roman" w:hAnsi="Times New Roman"/>
          <w:noProof/>
          <w:sz w:val="24"/>
          <w:szCs w:val="24"/>
          <w:lang w:eastAsia="fr-BE"/>
        </w:rPr>
        <w:t xml:space="preserve">Under the baseline scenario, which consists of no dedicated EU action under Horizon 2020, usual calls for </w:t>
      </w:r>
      <w:r>
        <w:rPr>
          <w:rFonts w:ascii="Times New Roman" w:hAnsi="Times New Roman"/>
          <w:noProof/>
          <w:sz w:val="24"/>
          <w:szCs w:val="24"/>
        </w:rPr>
        <w:t xml:space="preserve">R&amp;I </w:t>
      </w:r>
      <w:r>
        <w:rPr>
          <w:rFonts w:ascii="Times New Roman" w:hAnsi="Times New Roman"/>
          <w:noProof/>
          <w:sz w:val="24"/>
          <w:szCs w:val="24"/>
          <w:lang w:eastAsia="fr-BE"/>
        </w:rPr>
        <w:t>proposals would continue, and Participating States would continue to implement national activities, mostly in a bottom-up manner with little orientation towards the challenge identified. No support for coordination and collaboration between Participating States at programme level would be ensured.</w:t>
      </w:r>
    </w:p>
    <w:p>
      <w:pPr>
        <w:autoSpaceDE w:val="0"/>
        <w:autoSpaceDN w:val="0"/>
        <w:spacing w:after="120" w:line="240" w:lineRule="auto"/>
        <w:jc w:val="both"/>
        <w:rPr>
          <w:rFonts w:ascii="Times New Roman" w:hAnsi="Times New Roman"/>
          <w:noProof/>
          <w:sz w:val="24"/>
          <w:szCs w:val="24"/>
          <w:lang w:eastAsia="fr-BE"/>
        </w:rPr>
      </w:pPr>
      <w:r>
        <w:rPr>
          <w:rFonts w:ascii="Times New Roman" w:hAnsi="Times New Roman"/>
          <w:noProof/>
          <w:sz w:val="24"/>
          <w:szCs w:val="24"/>
          <w:lang w:eastAsia="fr-BE"/>
        </w:rPr>
        <w:t xml:space="preserve">The main elements of this </w:t>
      </w:r>
      <w:r>
        <w:rPr>
          <w:rFonts w:ascii="Times New Roman" w:hAnsi="Times New Roman"/>
          <w:b/>
          <w:noProof/>
          <w:sz w:val="24"/>
          <w:szCs w:val="24"/>
          <w:lang w:eastAsia="fr-BE"/>
        </w:rPr>
        <w:t xml:space="preserve">Option 0, </w:t>
      </w:r>
      <w:r>
        <w:rPr>
          <w:rFonts w:ascii="Times New Roman" w:hAnsi="Times New Roman"/>
          <w:noProof/>
          <w:sz w:val="24"/>
          <w:szCs w:val="24"/>
          <w:lang w:eastAsia="fr-BE"/>
        </w:rPr>
        <w:t>as already described in detail in Section 1.4, can be summarised as follows:</w:t>
      </w:r>
    </w:p>
    <w:p>
      <w:pPr>
        <w:numPr>
          <w:ilvl w:val="0"/>
          <w:numId w:val="33"/>
        </w:numPr>
        <w:autoSpaceDE w:val="0"/>
        <w:autoSpaceDN w:val="0"/>
        <w:spacing w:after="120" w:line="240" w:lineRule="auto"/>
        <w:ind w:left="426" w:hanging="357"/>
        <w:contextualSpacing/>
        <w:jc w:val="both"/>
        <w:rPr>
          <w:rFonts w:ascii="Times New Roman" w:hAnsi="Times New Roman"/>
          <w:noProof/>
          <w:sz w:val="24"/>
          <w:szCs w:val="24"/>
          <w:lang w:eastAsia="fr-BE"/>
        </w:rPr>
      </w:pPr>
      <w:r>
        <w:rPr>
          <w:rFonts w:ascii="Times New Roman" w:hAnsi="Times New Roman"/>
          <w:noProof/>
          <w:sz w:val="24"/>
          <w:szCs w:val="24"/>
          <w:lang w:eastAsia="fr-BE"/>
        </w:rPr>
        <w:t>No dedicated EU action targeting specifically Water and Food in the Mediterranean;</w:t>
      </w:r>
    </w:p>
    <w:p>
      <w:pPr>
        <w:numPr>
          <w:ilvl w:val="0"/>
          <w:numId w:val="33"/>
        </w:numPr>
        <w:autoSpaceDE w:val="0"/>
        <w:autoSpaceDN w:val="0"/>
        <w:spacing w:after="120" w:line="240" w:lineRule="auto"/>
        <w:ind w:left="426" w:hanging="357"/>
        <w:contextualSpacing/>
        <w:jc w:val="both"/>
        <w:rPr>
          <w:rFonts w:ascii="Times New Roman" w:hAnsi="Times New Roman"/>
          <w:noProof/>
          <w:sz w:val="24"/>
          <w:szCs w:val="24"/>
          <w:lang w:eastAsia="fr-BE"/>
        </w:rPr>
      </w:pPr>
      <w:r>
        <w:rPr>
          <w:rFonts w:ascii="Times New Roman" w:hAnsi="Times New Roman"/>
          <w:noProof/>
          <w:sz w:val="24"/>
          <w:szCs w:val="24"/>
          <w:lang w:eastAsia="fr-BE"/>
        </w:rPr>
        <w:t xml:space="preserve">Horizon 2020 will continue supporting R&amp;I on Water and Food issues in general and </w:t>
      </w:r>
      <w:r>
        <w:rPr>
          <w:rFonts w:ascii="Times New Roman" w:hAnsi="Times New Roman"/>
          <w:i/>
          <w:noProof/>
          <w:sz w:val="24"/>
          <w:szCs w:val="24"/>
          <w:lang w:eastAsia="fr-BE"/>
        </w:rPr>
        <w:t>ad-hoc</w:t>
      </w:r>
      <w:r>
        <w:rPr>
          <w:rFonts w:ascii="Times New Roman" w:hAnsi="Times New Roman"/>
          <w:noProof/>
          <w:sz w:val="24"/>
          <w:szCs w:val="24"/>
          <w:lang w:eastAsia="fr-BE"/>
        </w:rPr>
        <w:t>;</w:t>
      </w:r>
    </w:p>
    <w:p>
      <w:pPr>
        <w:numPr>
          <w:ilvl w:val="0"/>
          <w:numId w:val="33"/>
        </w:numPr>
        <w:autoSpaceDE w:val="0"/>
        <w:autoSpaceDN w:val="0"/>
        <w:spacing w:after="120" w:line="240" w:lineRule="auto"/>
        <w:ind w:left="426" w:hanging="357"/>
        <w:contextualSpacing/>
        <w:jc w:val="both"/>
        <w:rPr>
          <w:rFonts w:ascii="Times New Roman" w:hAnsi="Times New Roman"/>
          <w:noProof/>
          <w:sz w:val="24"/>
          <w:szCs w:val="24"/>
          <w:lang w:eastAsia="fr-BE"/>
        </w:rPr>
      </w:pPr>
      <w:r>
        <w:rPr>
          <w:rFonts w:ascii="Times New Roman" w:hAnsi="Times New Roman"/>
          <w:noProof/>
          <w:sz w:val="24"/>
          <w:szCs w:val="24"/>
          <w:lang w:eastAsia="fr-BE"/>
        </w:rPr>
        <w:t>Projects (indirect actions) will be selected from open calls for proposals, mainly for R&amp;I Actions and Innovation actions, within Horizon 2020, some of which may or may not involve beneficiaries from the Mediterranean area;</w:t>
      </w:r>
    </w:p>
    <w:p>
      <w:pPr>
        <w:numPr>
          <w:ilvl w:val="0"/>
          <w:numId w:val="33"/>
        </w:numPr>
        <w:autoSpaceDE w:val="0"/>
        <w:autoSpaceDN w:val="0"/>
        <w:spacing w:after="120" w:line="240" w:lineRule="auto"/>
        <w:ind w:left="426" w:hanging="357"/>
        <w:contextualSpacing/>
        <w:jc w:val="both"/>
        <w:rPr>
          <w:rFonts w:ascii="Times New Roman" w:hAnsi="Times New Roman"/>
          <w:noProof/>
          <w:sz w:val="24"/>
          <w:szCs w:val="24"/>
          <w:lang w:eastAsia="fr-BE"/>
        </w:rPr>
      </w:pPr>
      <w:r>
        <w:rPr>
          <w:rFonts w:ascii="Times New Roman" w:hAnsi="Times New Roman"/>
          <w:noProof/>
          <w:sz w:val="24"/>
          <w:szCs w:val="24"/>
          <w:lang w:eastAsia="fr-BE"/>
        </w:rPr>
        <w:t>The beneficiaries would be any legal entity eligible for funding (in accordance with Article 10 of Framework Programme Regulation), typically research organizations and private companies;</w:t>
      </w:r>
    </w:p>
    <w:p>
      <w:pPr>
        <w:numPr>
          <w:ilvl w:val="0"/>
          <w:numId w:val="33"/>
        </w:numPr>
        <w:autoSpaceDE w:val="0"/>
        <w:autoSpaceDN w:val="0"/>
        <w:spacing w:after="120" w:line="240" w:lineRule="auto"/>
        <w:ind w:left="426" w:hanging="357"/>
        <w:contextualSpacing/>
        <w:jc w:val="both"/>
        <w:rPr>
          <w:rFonts w:ascii="Times New Roman" w:hAnsi="Times New Roman"/>
          <w:noProof/>
          <w:sz w:val="24"/>
          <w:szCs w:val="24"/>
          <w:lang w:eastAsia="fr-BE"/>
        </w:rPr>
      </w:pPr>
      <w:r>
        <w:rPr>
          <w:rFonts w:ascii="Times New Roman" w:hAnsi="Times New Roman"/>
          <w:noProof/>
          <w:sz w:val="24"/>
          <w:szCs w:val="24"/>
          <w:lang w:eastAsia="fr-BE"/>
        </w:rPr>
        <w:t>Individual actions would typically last 3-4 years.</w:t>
      </w:r>
      <w:bookmarkStart w:id="113" w:name="_Toc451955142"/>
      <w:bookmarkStart w:id="114" w:name="_Toc455557009"/>
    </w:p>
    <w:p>
      <w:pPr>
        <w:autoSpaceDE w:val="0"/>
        <w:autoSpaceDN w:val="0"/>
        <w:spacing w:after="120" w:line="240" w:lineRule="auto"/>
        <w:ind w:left="426"/>
        <w:contextualSpacing/>
        <w:jc w:val="both"/>
        <w:rPr>
          <w:rFonts w:ascii="Times New Roman" w:hAnsi="Times New Roman"/>
          <w:noProof/>
          <w:sz w:val="24"/>
          <w:szCs w:val="24"/>
          <w:lang w:eastAsia="fr-BE"/>
        </w:rPr>
      </w:pPr>
    </w:p>
    <w:p>
      <w:pPr>
        <w:autoSpaceDE w:val="0"/>
        <w:autoSpaceDN w:val="0"/>
        <w:spacing w:after="120" w:line="240" w:lineRule="auto"/>
        <w:jc w:val="both"/>
        <w:rPr>
          <w:rFonts w:ascii="Times New Roman" w:hAnsi="Times New Roman"/>
          <w:b/>
          <w:noProof/>
          <w:sz w:val="24"/>
          <w:szCs w:val="24"/>
          <w:u w:val="single"/>
          <w:lang w:eastAsia="fr-BE"/>
        </w:rPr>
      </w:pPr>
      <w:r>
        <w:rPr>
          <w:rFonts w:ascii="Times New Roman" w:hAnsi="Times New Roman"/>
          <w:b/>
          <w:noProof/>
          <w:sz w:val="24"/>
          <w:szCs w:val="24"/>
          <w:u w:val="single"/>
          <w:lang w:eastAsia="fr-BE"/>
        </w:rPr>
        <w:t>Option 1: ERA-NET Cofund action</w:t>
      </w:r>
      <w:bookmarkEnd w:id="113"/>
      <w:r>
        <w:rPr>
          <w:rFonts w:ascii="Times New Roman" w:hAnsi="Times New Roman"/>
          <w:b/>
          <w:noProof/>
          <w:sz w:val="24"/>
          <w:szCs w:val="24"/>
          <w:u w:val="single"/>
          <w:lang w:eastAsia="fr-BE"/>
        </w:rPr>
        <w:t xml:space="preserve">s </w:t>
      </w:r>
      <w:bookmarkEnd w:id="114"/>
    </w:p>
    <w:p>
      <w:pPr>
        <w:autoSpaceDE w:val="0"/>
        <w:autoSpaceDN w:val="0"/>
        <w:spacing w:after="120" w:line="240" w:lineRule="auto"/>
        <w:jc w:val="both"/>
        <w:rPr>
          <w:rFonts w:ascii="Times New Roman" w:hAnsi="Times New Roman"/>
          <w:noProof/>
          <w:sz w:val="24"/>
          <w:szCs w:val="24"/>
          <w:lang w:eastAsia="fr-BE"/>
        </w:rPr>
      </w:pPr>
      <w:r>
        <w:rPr>
          <w:rFonts w:ascii="Times New Roman" w:hAnsi="Times New Roman"/>
          <w:noProof/>
          <w:sz w:val="24"/>
          <w:szCs w:val="24"/>
          <w:lang w:eastAsia="fr-BE"/>
        </w:rPr>
        <w:t>The EU could intervene through Horizon 2020 ERA-NET Cofund actions, which support the coordination of national research programmes. The main, compulsory activity of ERA-NET Cofund actions under Horizon 2020 is the implementation of a single co-funded joint call for R&amp;I proposals that results in funding for trans-national research and/or innovation projects. In addition, ERA-NET Cofund actions can also support the preparation and implementation of other joint activities (including additional joint calls without EU cofunding) that contribute to the coordination of national research programmes, such as workshops, meetings and studies. Past and ongoing ERA-NETs relevant to water and food in the Mediterranean area (e.g. ARIMNet2, ERANETMED) have been mentioned in previous sections</w:t>
      </w:r>
      <w:r>
        <w:rPr>
          <w:rFonts w:ascii="Times New Roman" w:hAnsi="Times New Roman"/>
          <w:noProof/>
          <w:sz w:val="24"/>
          <w:szCs w:val="24"/>
          <w:vertAlign w:val="superscript"/>
          <w:lang w:eastAsia="fr-BE"/>
        </w:rPr>
        <w:footnoteReference w:id="53"/>
      </w:r>
      <w:r>
        <w:rPr>
          <w:rFonts w:ascii="Times New Roman" w:hAnsi="Times New Roman"/>
          <w:noProof/>
          <w:sz w:val="24"/>
          <w:szCs w:val="24"/>
          <w:lang w:eastAsia="fr-BE"/>
        </w:rPr>
        <w:t>. In an ERA-NET action, all Participating States (EU and Third Countries) have the same rights and obligations as regulated by the Grant Agreement.</w:t>
      </w:r>
    </w:p>
    <w:p>
      <w:pPr>
        <w:autoSpaceDE w:val="0"/>
        <w:autoSpaceDN w:val="0"/>
        <w:spacing w:after="120" w:line="240" w:lineRule="auto"/>
        <w:jc w:val="both"/>
        <w:rPr>
          <w:rFonts w:ascii="Times New Roman" w:hAnsi="Times New Roman"/>
          <w:noProof/>
          <w:sz w:val="24"/>
          <w:szCs w:val="24"/>
          <w:lang w:eastAsia="fr-BE"/>
        </w:rPr>
      </w:pPr>
      <w:r>
        <w:rPr>
          <w:rFonts w:ascii="Times New Roman" w:hAnsi="Times New Roman"/>
          <w:noProof/>
          <w:sz w:val="24"/>
          <w:szCs w:val="24"/>
          <w:lang w:eastAsia="fr-BE"/>
        </w:rPr>
        <w:t>The cofunding of the Union has a positive impact on proposal evaluation and selection (international peer review, selection according to excellence) but also maximises the number of proposals that can be supported</w:t>
      </w:r>
      <w:r>
        <w:rPr>
          <w:rFonts w:ascii="Times New Roman" w:hAnsi="Times New Roman"/>
          <w:noProof/>
          <w:sz w:val="24"/>
          <w:szCs w:val="24"/>
          <w:vertAlign w:val="superscript"/>
          <w:lang w:eastAsia="fr-BE"/>
        </w:rPr>
        <w:footnoteReference w:id="54"/>
      </w:r>
      <w:r>
        <w:rPr>
          <w:rFonts w:ascii="Times New Roman" w:hAnsi="Times New Roman"/>
          <w:noProof/>
          <w:sz w:val="24"/>
          <w:szCs w:val="24"/>
          <w:lang w:eastAsia="fr-BE"/>
        </w:rPr>
        <w:t>.</w:t>
      </w:r>
    </w:p>
    <w:p>
      <w:pPr>
        <w:autoSpaceDE w:val="0"/>
        <w:autoSpaceDN w:val="0"/>
        <w:spacing w:after="120" w:line="240" w:lineRule="auto"/>
        <w:jc w:val="both"/>
        <w:rPr>
          <w:rFonts w:ascii="Times New Roman" w:hAnsi="Times New Roman"/>
          <w:noProof/>
          <w:sz w:val="24"/>
          <w:szCs w:val="24"/>
          <w:lang w:eastAsia="fr-BE"/>
        </w:rPr>
      </w:pPr>
      <w:r>
        <w:rPr>
          <w:rFonts w:ascii="Times New Roman" w:hAnsi="Times New Roman"/>
          <w:noProof/>
          <w:sz w:val="24"/>
          <w:szCs w:val="24"/>
          <w:lang w:eastAsia="fr-BE"/>
        </w:rPr>
        <w:t>The implementation of ERA-NETs relies on existing national programmes. The scope of calls for proposals, the nature of eligible activities, and the type of beneficiaries depend on the applicable national funding rules. The result is that in many countries participating in ERA-NETs, predominantly public research organisations participate in calls. In ERA-NETS in the area of water and food, all participants are public research organizations. Also, only in some areas, ERA-NETs have been established that address the innovation dimension, e.g. MANUNET (with 70% SME participation) or the Horizon 2020 energy ERA-NETs (with a focus on demonstration projects and higher Technology Readiness Levels). The total duration of the action should normally not exceed 5 years.</w:t>
      </w:r>
    </w:p>
    <w:p>
      <w:pPr>
        <w:autoSpaceDE w:val="0"/>
        <w:autoSpaceDN w:val="0"/>
        <w:spacing w:after="120" w:line="240" w:lineRule="auto"/>
        <w:jc w:val="both"/>
        <w:rPr>
          <w:rFonts w:ascii="Times New Roman" w:hAnsi="Times New Roman"/>
          <w:noProof/>
          <w:sz w:val="24"/>
          <w:szCs w:val="24"/>
          <w:lang w:eastAsia="fr-BE"/>
        </w:rPr>
      </w:pPr>
      <w:r>
        <w:rPr>
          <w:rFonts w:ascii="Times New Roman" w:hAnsi="Times New Roman"/>
          <w:noProof/>
          <w:sz w:val="24"/>
          <w:szCs w:val="24"/>
          <w:lang w:eastAsia="fr-BE"/>
        </w:rPr>
        <w:t>Option 1 would consist of a series of ERA-NET Cofund actions, limited to the remainder of Horizon 2020. They would result in calls being launched by Participating States in the years 2018, 2019 and 2020 respectively. On the basis of past experience with ERA-NETs and Participating State commitments, it can be assumed that Participating States would contribute around €20 million to each call, and that consequently the Union would provide support amounting to €10 million (on the basis of the reimbursement rate, which for ERA-NET Cofund actions is set at 33%). This would lead to a total investment from the Participating States of around €60 million and a Union contribution of €30 million.</w:t>
      </w:r>
    </w:p>
    <w:p>
      <w:pPr>
        <w:autoSpaceDE w:val="0"/>
        <w:autoSpaceDN w:val="0"/>
        <w:spacing w:after="120" w:line="240" w:lineRule="auto"/>
        <w:jc w:val="both"/>
        <w:rPr>
          <w:rFonts w:ascii="Times New Roman" w:hAnsi="Times New Roman"/>
          <w:noProof/>
          <w:sz w:val="24"/>
          <w:szCs w:val="24"/>
          <w:lang w:eastAsia="fr-BE"/>
        </w:rPr>
      </w:pPr>
      <w:r>
        <w:rPr>
          <w:rFonts w:ascii="Times New Roman" w:hAnsi="Times New Roman"/>
          <w:b/>
          <w:noProof/>
          <w:sz w:val="24"/>
          <w:szCs w:val="24"/>
          <w:lang w:eastAsia="fr-BE"/>
        </w:rPr>
        <w:t>Option 1 would not allow for addressing substantially the innovation dimension, since the national programmes that would collaborate and coordinate their activities during these three years are mainly addressing research activities of public research organisations. Furthermore, Option 1 is not expected to integrate national funding programmes in a common research strategic agenda</w:t>
      </w:r>
      <w:r>
        <w:rPr>
          <w:rFonts w:ascii="Times New Roman" w:hAnsi="Times New Roman"/>
          <w:noProof/>
          <w:sz w:val="24"/>
          <w:szCs w:val="24"/>
          <w:lang w:eastAsia="fr-BE"/>
        </w:rPr>
        <w:t>.</w:t>
      </w:r>
    </w:p>
    <w:p>
      <w:pPr>
        <w:autoSpaceDE w:val="0"/>
        <w:autoSpaceDN w:val="0"/>
        <w:spacing w:before="240" w:after="120" w:line="240" w:lineRule="auto"/>
        <w:jc w:val="both"/>
        <w:rPr>
          <w:rFonts w:ascii="Times New Roman" w:hAnsi="Times New Roman"/>
          <w:b/>
          <w:noProof/>
          <w:sz w:val="24"/>
          <w:szCs w:val="24"/>
          <w:u w:val="single"/>
          <w:lang w:eastAsia="fr-BE"/>
        </w:rPr>
      </w:pPr>
      <w:bookmarkStart w:id="115" w:name="_Toc451955143"/>
      <w:bookmarkStart w:id="116" w:name="_Toc455557010"/>
      <w:r>
        <w:rPr>
          <w:rFonts w:ascii="Times New Roman" w:hAnsi="Times New Roman"/>
          <w:b/>
          <w:noProof/>
          <w:sz w:val="24"/>
          <w:szCs w:val="24"/>
          <w:u w:val="single"/>
          <w:lang w:eastAsia="fr-BE"/>
        </w:rPr>
        <w:t>Option 2:</w:t>
      </w:r>
      <w:bookmarkEnd w:id="115"/>
      <w:bookmarkEnd w:id="116"/>
      <w:r>
        <w:rPr>
          <w:rFonts w:ascii="Times New Roman" w:hAnsi="Times New Roman"/>
          <w:b/>
          <w:noProof/>
          <w:sz w:val="24"/>
          <w:szCs w:val="24"/>
          <w:u w:val="single"/>
          <w:lang w:eastAsia="fr-BE"/>
        </w:rPr>
        <w:t xml:space="preserve"> PRIMA Joint Programme based on Article 185 TFEU</w:t>
      </w:r>
    </w:p>
    <w:p>
      <w:pPr>
        <w:autoSpaceDE w:val="0"/>
        <w:autoSpaceDN w:val="0"/>
        <w:spacing w:after="120" w:line="240" w:lineRule="auto"/>
        <w:jc w:val="both"/>
        <w:rPr>
          <w:rFonts w:ascii="Times New Roman" w:hAnsi="Times New Roman"/>
          <w:noProof/>
          <w:sz w:val="24"/>
          <w:szCs w:val="24"/>
          <w:lang w:eastAsia="fr-BE"/>
        </w:rPr>
      </w:pPr>
      <w:r>
        <w:rPr>
          <w:rFonts w:ascii="Times New Roman" w:hAnsi="Times New Roman"/>
          <w:noProof/>
          <w:sz w:val="24"/>
          <w:szCs w:val="24"/>
          <w:lang w:eastAsia="fr-BE"/>
        </w:rPr>
        <w:t xml:space="preserve">Article 185 TFEU enables the EU to make provision for its participation in research and development programmes undertaken by several Member States, including participation in the structures created for the execution of those programmes. Article 26 of the Horizon 2020 Framework Programme Regulation specifies the conditions and criteria for identifying and proposing an initiative pursuant to Article 185 TFEU. Among other criteria, Article 185 initiatives may only be proposed by the Commission in cases where there is a need for a </w:t>
      </w:r>
      <w:r>
        <w:rPr>
          <w:rFonts w:ascii="Times New Roman" w:hAnsi="Times New Roman"/>
          <w:b/>
          <w:noProof/>
          <w:sz w:val="24"/>
          <w:szCs w:val="24"/>
          <w:lang w:eastAsia="fr-BE"/>
        </w:rPr>
        <w:t>dedicated implementation structure</w:t>
      </w:r>
      <w:r>
        <w:rPr>
          <w:rFonts w:ascii="Times New Roman" w:hAnsi="Times New Roman"/>
          <w:noProof/>
          <w:sz w:val="24"/>
          <w:szCs w:val="24"/>
          <w:lang w:eastAsia="fr-BE"/>
        </w:rPr>
        <w:t xml:space="preserve"> and where there is a </w:t>
      </w:r>
      <w:r>
        <w:rPr>
          <w:rFonts w:ascii="Times New Roman" w:hAnsi="Times New Roman"/>
          <w:b/>
          <w:noProof/>
          <w:sz w:val="24"/>
          <w:szCs w:val="24"/>
          <w:lang w:eastAsia="fr-BE"/>
        </w:rPr>
        <w:t>high level of commitment of Participating States</w:t>
      </w:r>
      <w:r>
        <w:rPr>
          <w:rFonts w:ascii="Times New Roman" w:hAnsi="Times New Roman"/>
          <w:noProof/>
          <w:sz w:val="24"/>
          <w:szCs w:val="24"/>
          <w:lang w:eastAsia="fr-BE"/>
        </w:rPr>
        <w:t xml:space="preserve"> to </w:t>
      </w:r>
      <w:r>
        <w:rPr>
          <w:rFonts w:ascii="Times New Roman" w:hAnsi="Times New Roman"/>
          <w:b/>
          <w:noProof/>
          <w:sz w:val="24"/>
          <w:szCs w:val="24"/>
          <w:lang w:eastAsia="fr-BE"/>
        </w:rPr>
        <w:t>integration at scientific, management and financial levels</w:t>
      </w:r>
      <w:r>
        <w:rPr>
          <w:rFonts w:ascii="Times New Roman" w:hAnsi="Times New Roman"/>
          <w:noProof/>
          <w:sz w:val="24"/>
          <w:szCs w:val="24"/>
          <w:lang w:eastAsia="fr-BE"/>
        </w:rPr>
        <w:t xml:space="preserve">. In order to submit a proposal, all criteria set out in Article 26(2) of the Horizon 2020 Regulation must be met and the Participating States must demonstrate that they are committed to integrating (rather than coordinating) their R&amp;I efforts by defining and committing themselves to a joint programme. This high level of integration requires a new or pre-existing implementation structure - </w:t>
      </w:r>
      <w:r>
        <w:rPr>
          <w:rFonts w:ascii="Times New Roman" w:hAnsi="Times New Roman"/>
          <w:b/>
          <w:noProof/>
          <w:sz w:val="24"/>
          <w:szCs w:val="24"/>
          <w:lang w:eastAsia="fr-BE"/>
        </w:rPr>
        <w:t>Dedicated Implementation Structure ('DIS')</w:t>
      </w:r>
      <w:r>
        <w:rPr>
          <w:rFonts w:ascii="Times New Roman" w:hAnsi="Times New Roman"/>
          <w:noProof/>
          <w:sz w:val="24"/>
          <w:szCs w:val="24"/>
          <w:lang w:eastAsia="fr-BE"/>
        </w:rPr>
        <w:t xml:space="preserve"> - that is designated by the Participating States, and entrusted under certain conditions, by the Commission with budget implementation tasks for indirect management purposes and with long-term commitment. The EU would provide financial support by matching under certain conditions Participating States contributions up to a ceiling. It deserves emphasis that Article 185 initiatives have a strong track record with respect to the long-term integration of national and European </w:t>
      </w:r>
      <w:r>
        <w:rPr>
          <w:rFonts w:ascii="Times New Roman" w:hAnsi="Times New Roman"/>
          <w:noProof/>
          <w:sz w:val="24"/>
          <w:szCs w:val="24"/>
        </w:rPr>
        <w:t xml:space="preserve">R&amp;I </w:t>
      </w:r>
      <w:r>
        <w:rPr>
          <w:rFonts w:ascii="Times New Roman" w:hAnsi="Times New Roman"/>
          <w:noProof/>
          <w:sz w:val="24"/>
          <w:szCs w:val="24"/>
          <w:lang w:eastAsia="fr-BE"/>
        </w:rPr>
        <w:t>efforts on common challenges, leverage effects and the delivery of impacts, international leadership and global cooperation, and implementation, budget and sound financial management (Box 3).</w:t>
      </w:r>
    </w:p>
    <w:p>
      <w:pPr>
        <w:autoSpaceDE w:val="0"/>
        <w:autoSpaceDN w:val="0"/>
        <w:spacing w:after="120" w:line="240" w:lineRule="auto"/>
        <w:jc w:val="both"/>
        <w:rPr>
          <w:rFonts w:ascii="Times New Roman" w:hAnsi="Times New Roman"/>
          <w:noProof/>
          <w:sz w:val="24"/>
          <w:szCs w:val="24"/>
          <w:lang w:eastAsia="fr-BE"/>
        </w:rPr>
      </w:pPr>
    </w:p>
    <w:p>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imes New Roman" w:hAnsi="Times New Roman"/>
          <w:b/>
          <w:noProof/>
          <w:u w:val="single"/>
        </w:rPr>
      </w:pPr>
      <w:r>
        <w:rPr>
          <w:rFonts w:ascii="Times New Roman" w:hAnsi="Times New Roman"/>
          <w:b/>
          <w:noProof/>
          <w:u w:val="single"/>
        </w:rPr>
        <w:t>BOX 3: The track record of past Article 185 initiatives</w:t>
      </w:r>
    </w:p>
    <w:p>
      <w:pPr>
        <w:pBdr>
          <w:top w:val="single" w:sz="4" w:space="1" w:color="auto"/>
          <w:left w:val="single" w:sz="4" w:space="4" w:color="auto"/>
          <w:bottom w:val="single" w:sz="4" w:space="1" w:color="auto"/>
          <w:right w:val="single" w:sz="4" w:space="4" w:color="auto"/>
        </w:pBdr>
        <w:shd w:val="clear" w:color="auto" w:fill="F2F2F2" w:themeFill="background1" w:themeFillShade="F2"/>
        <w:spacing w:after="60"/>
        <w:jc w:val="both"/>
        <w:rPr>
          <w:rFonts w:ascii="Times New Roman" w:hAnsi="Times New Roman"/>
          <w:noProof/>
          <w:spacing w:val="-2"/>
        </w:rPr>
      </w:pPr>
      <w:r>
        <w:rPr>
          <w:rFonts w:ascii="Times New Roman" w:hAnsi="Times New Roman"/>
          <w:noProof/>
          <w:spacing w:val="-2"/>
        </w:rPr>
        <w:t>The experience from past and on-going initiatives from FP6 to Horizon 2020 can be summarised as follows:</w:t>
      </w:r>
    </w:p>
    <w:p>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both"/>
        <w:rPr>
          <w:rFonts w:ascii="Times New Roman" w:hAnsi="Times New Roman"/>
          <w:b/>
          <w:noProof/>
          <w:spacing w:val="-2"/>
        </w:rPr>
      </w:pPr>
      <w:r>
        <w:rPr>
          <w:rFonts w:ascii="Times New Roman" w:hAnsi="Times New Roman"/>
          <w:b/>
          <w:noProof/>
          <w:spacing w:val="-2"/>
        </w:rPr>
        <w:t>Long-term integration of national and European efforts on common challenges</w:t>
      </w:r>
    </w:p>
    <w:p>
      <w:pPr>
        <w:pStyle w:val="ListParagraph"/>
        <w:numPr>
          <w:ilvl w:val="0"/>
          <w:numId w:val="96"/>
        </w:numPr>
        <w:pBdr>
          <w:top w:val="single" w:sz="4" w:space="1" w:color="auto"/>
          <w:left w:val="single" w:sz="4" w:space="4" w:color="auto"/>
          <w:bottom w:val="single" w:sz="4" w:space="1" w:color="auto"/>
          <w:right w:val="single" w:sz="4" w:space="4" w:color="auto"/>
        </w:pBdr>
        <w:shd w:val="clear" w:color="auto" w:fill="F2F2F2" w:themeFill="background1" w:themeFillShade="F2"/>
        <w:spacing w:after="60" w:line="240" w:lineRule="auto"/>
        <w:ind w:left="142" w:hanging="142"/>
        <w:rPr>
          <w:rFonts w:ascii="Times New Roman" w:hAnsi="Times New Roman"/>
          <w:noProof/>
          <w:spacing w:val="-2"/>
        </w:rPr>
      </w:pPr>
      <w:r>
        <w:rPr>
          <w:rFonts w:ascii="Times New Roman" w:hAnsi="Times New Roman"/>
          <w:noProof/>
          <w:spacing w:val="-2"/>
        </w:rPr>
        <w:t xml:space="preserve">Article185 initiatives are the only legally possible form to address jointly common challenges in a long-term collaboration between </w:t>
      </w:r>
      <w:r>
        <w:rPr>
          <w:rFonts w:ascii="Times New Roman" w:hAnsi="Times New Roman"/>
          <w:noProof/>
          <w:spacing w:val="-2"/>
          <w:sz w:val="24"/>
          <w:szCs w:val="24"/>
        </w:rPr>
        <w:t xml:space="preserve">R&amp;I </w:t>
      </w:r>
      <w:r>
        <w:rPr>
          <w:rFonts w:ascii="Times New Roman" w:hAnsi="Times New Roman"/>
          <w:noProof/>
          <w:spacing w:val="-2"/>
        </w:rPr>
        <w:t>programmes of Member States, with clear up-front financial and political commitments;</w:t>
      </w:r>
    </w:p>
    <w:p>
      <w:pPr>
        <w:pStyle w:val="ListParagraph"/>
        <w:numPr>
          <w:ilvl w:val="0"/>
          <w:numId w:val="96"/>
        </w:numPr>
        <w:pBdr>
          <w:top w:val="single" w:sz="4" w:space="1" w:color="auto"/>
          <w:left w:val="single" w:sz="4" w:space="4" w:color="auto"/>
          <w:bottom w:val="single" w:sz="4" w:space="1" w:color="auto"/>
          <w:right w:val="single" w:sz="4" w:space="4" w:color="auto"/>
        </w:pBdr>
        <w:shd w:val="clear" w:color="auto" w:fill="F2F2F2" w:themeFill="background1" w:themeFillShade="F2"/>
        <w:spacing w:after="60" w:line="240" w:lineRule="auto"/>
        <w:ind w:left="142" w:hanging="142"/>
        <w:rPr>
          <w:rFonts w:ascii="Times New Roman" w:hAnsi="Times New Roman"/>
          <w:noProof/>
          <w:spacing w:val="-2"/>
        </w:rPr>
      </w:pPr>
      <w:r>
        <w:rPr>
          <w:rFonts w:ascii="Times New Roman" w:hAnsi="Times New Roman"/>
          <w:noProof/>
          <w:spacing w:val="-2"/>
        </w:rPr>
        <w:t>Art 185 initiatives are policy driven programming activities that ensure through their basic acts a high visibility and recognition among national and EU policy makers;</w:t>
      </w:r>
    </w:p>
    <w:p>
      <w:pPr>
        <w:pStyle w:val="ListParagraph"/>
        <w:numPr>
          <w:ilvl w:val="0"/>
          <w:numId w:val="96"/>
        </w:numPr>
        <w:pBdr>
          <w:top w:val="single" w:sz="4" w:space="1" w:color="auto"/>
          <w:left w:val="single" w:sz="4" w:space="4" w:color="auto"/>
          <w:bottom w:val="single" w:sz="4" w:space="1" w:color="auto"/>
          <w:right w:val="single" w:sz="4" w:space="4" w:color="auto"/>
        </w:pBdr>
        <w:shd w:val="clear" w:color="auto" w:fill="F2F2F2" w:themeFill="background1" w:themeFillShade="F2"/>
        <w:spacing w:after="60" w:line="240" w:lineRule="auto"/>
        <w:ind w:left="142" w:hanging="142"/>
        <w:rPr>
          <w:rFonts w:ascii="Times New Roman" w:hAnsi="Times New Roman"/>
          <w:noProof/>
          <w:spacing w:val="-2"/>
        </w:rPr>
      </w:pPr>
      <w:r>
        <w:rPr>
          <w:rFonts w:ascii="Times New Roman" w:hAnsi="Times New Roman"/>
          <w:noProof/>
          <w:spacing w:val="-2"/>
        </w:rPr>
        <w:t xml:space="preserve">They allow a high degree of scientific, management and financial integration within their narrow borders (in the case of EMPIR, the Article185 initiative on Metrology 50% of all related research in Europe) and wider coordination effects beyond; without the need to institutionalise joint efforts or create large new structures; </w:t>
      </w:r>
    </w:p>
    <w:p>
      <w:pPr>
        <w:pStyle w:val="ListParagraph"/>
        <w:numPr>
          <w:ilvl w:val="0"/>
          <w:numId w:val="96"/>
        </w:numPr>
        <w:pBdr>
          <w:top w:val="single" w:sz="4" w:space="1" w:color="auto"/>
          <w:left w:val="single" w:sz="4" w:space="4" w:color="auto"/>
          <w:bottom w:val="single" w:sz="4" w:space="1" w:color="auto"/>
          <w:right w:val="single" w:sz="4" w:space="4" w:color="auto"/>
        </w:pBdr>
        <w:shd w:val="clear" w:color="auto" w:fill="F2F2F2" w:themeFill="background1" w:themeFillShade="F2"/>
        <w:spacing w:after="60" w:line="240" w:lineRule="auto"/>
        <w:ind w:left="142" w:hanging="142"/>
        <w:rPr>
          <w:rFonts w:ascii="Times New Roman" w:hAnsi="Times New Roman"/>
          <w:noProof/>
          <w:spacing w:val="-2"/>
        </w:rPr>
      </w:pPr>
      <w:r>
        <w:rPr>
          <w:rFonts w:ascii="Times New Roman" w:hAnsi="Times New Roman"/>
          <w:noProof/>
          <w:spacing w:val="-2"/>
        </w:rPr>
        <w:t>Article185 initiatives operate on the basis of Annual Work Plans that allow flexible programming according to changing needs and coordination with broader Union and Participating States policy objectives;</w:t>
      </w:r>
    </w:p>
    <w:p>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both"/>
        <w:rPr>
          <w:rFonts w:ascii="Times New Roman" w:hAnsi="Times New Roman"/>
          <w:b/>
          <w:noProof/>
          <w:spacing w:val="-2"/>
        </w:rPr>
      </w:pPr>
      <w:r>
        <w:rPr>
          <w:rFonts w:ascii="Times New Roman" w:hAnsi="Times New Roman"/>
          <w:b/>
          <w:noProof/>
          <w:spacing w:val="-2"/>
        </w:rPr>
        <w:t>Leverage effects and delivery on impacts</w:t>
      </w:r>
    </w:p>
    <w:p>
      <w:pPr>
        <w:pStyle w:val="ListParagraph"/>
        <w:numPr>
          <w:ilvl w:val="0"/>
          <w:numId w:val="96"/>
        </w:numPr>
        <w:pBdr>
          <w:top w:val="single" w:sz="4" w:space="1" w:color="auto"/>
          <w:left w:val="single" w:sz="4" w:space="4" w:color="auto"/>
          <w:bottom w:val="single" w:sz="4" w:space="1" w:color="auto"/>
          <w:right w:val="single" w:sz="4" w:space="4" w:color="auto"/>
        </w:pBdr>
        <w:shd w:val="clear" w:color="auto" w:fill="F2F2F2" w:themeFill="background1" w:themeFillShade="F2"/>
        <w:spacing w:after="60" w:line="240" w:lineRule="auto"/>
        <w:ind w:left="142" w:hanging="142"/>
        <w:rPr>
          <w:rFonts w:ascii="Times New Roman" w:hAnsi="Times New Roman"/>
          <w:noProof/>
          <w:spacing w:val="-2"/>
        </w:rPr>
      </w:pPr>
      <w:r>
        <w:rPr>
          <w:rFonts w:ascii="Times New Roman" w:hAnsi="Times New Roman"/>
          <w:noProof/>
          <w:spacing w:val="-2"/>
        </w:rPr>
        <w:t>They achieve substantial direct and indirect leverage both in terms of financial resources and overall knowledge gains;</w:t>
      </w:r>
    </w:p>
    <w:p>
      <w:pPr>
        <w:pStyle w:val="ListParagraph"/>
        <w:numPr>
          <w:ilvl w:val="0"/>
          <w:numId w:val="96"/>
        </w:numPr>
        <w:pBdr>
          <w:top w:val="single" w:sz="4" w:space="1" w:color="auto"/>
          <w:left w:val="single" w:sz="4" w:space="4" w:color="auto"/>
          <w:bottom w:val="single" w:sz="4" w:space="1" w:color="auto"/>
          <w:right w:val="single" w:sz="4" w:space="4" w:color="auto"/>
        </w:pBdr>
        <w:shd w:val="clear" w:color="auto" w:fill="F2F2F2" w:themeFill="background1" w:themeFillShade="F2"/>
        <w:spacing w:after="60" w:line="240" w:lineRule="auto"/>
        <w:ind w:left="142" w:hanging="142"/>
        <w:rPr>
          <w:rFonts w:ascii="Times New Roman" w:hAnsi="Times New Roman"/>
          <w:noProof/>
          <w:spacing w:val="-2"/>
        </w:rPr>
      </w:pPr>
      <w:r>
        <w:rPr>
          <w:rFonts w:ascii="Times New Roman" w:hAnsi="Times New Roman"/>
          <w:noProof/>
          <w:spacing w:val="-2"/>
        </w:rPr>
        <w:t xml:space="preserve">Article185 initiatives are designed around clearly specified objectives and targets in order to deliver economic and wider societal impacts, e.g. the Active and Assisted Living Programme (AAL2) accelerating innovative ICT-based solutions for active and healthy ageing; or the European &amp; Developing Countries Clinical Trials Partnership (EDCTP2) developing new or improved drugs, vaccines and diagnostics against HIV/AIDS, tuberculosis and malaria in sub-Saharan Africa; </w:t>
      </w:r>
    </w:p>
    <w:p>
      <w:pPr>
        <w:pStyle w:val="ListParagraph"/>
        <w:numPr>
          <w:ilvl w:val="0"/>
          <w:numId w:val="96"/>
        </w:numPr>
        <w:pBdr>
          <w:top w:val="single" w:sz="4" w:space="1" w:color="auto"/>
          <w:left w:val="single" w:sz="4" w:space="4" w:color="auto"/>
          <w:bottom w:val="single" w:sz="4" w:space="1" w:color="auto"/>
          <w:right w:val="single" w:sz="4" w:space="4" w:color="auto"/>
        </w:pBdr>
        <w:shd w:val="clear" w:color="auto" w:fill="F2F2F2" w:themeFill="background1" w:themeFillShade="F2"/>
        <w:spacing w:after="60" w:line="240" w:lineRule="auto"/>
        <w:ind w:left="142" w:hanging="142"/>
        <w:rPr>
          <w:rFonts w:ascii="Times New Roman" w:hAnsi="Times New Roman"/>
          <w:noProof/>
          <w:spacing w:val="-2"/>
        </w:rPr>
      </w:pPr>
      <w:r>
        <w:rPr>
          <w:rFonts w:ascii="Times New Roman" w:hAnsi="Times New Roman"/>
          <w:noProof/>
          <w:spacing w:val="-2"/>
        </w:rPr>
        <w:t>They disseminate the uptake of good practice in R&amp;I policy design and implementation across Europe and beyond, driven by principles and standards of Horizon 2020;</w:t>
      </w:r>
    </w:p>
    <w:p>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6396"/>
        </w:tabs>
        <w:spacing w:after="0"/>
        <w:jc w:val="both"/>
        <w:rPr>
          <w:rFonts w:ascii="Times New Roman" w:hAnsi="Times New Roman"/>
          <w:b/>
          <w:noProof/>
          <w:spacing w:val="-2"/>
        </w:rPr>
      </w:pPr>
      <w:r>
        <w:rPr>
          <w:rFonts w:ascii="Times New Roman" w:hAnsi="Times New Roman"/>
          <w:b/>
          <w:noProof/>
          <w:spacing w:val="-2"/>
        </w:rPr>
        <w:t>International leadership and global cooperation</w:t>
      </w:r>
    </w:p>
    <w:p>
      <w:pPr>
        <w:pStyle w:val="ListParagraph"/>
        <w:numPr>
          <w:ilvl w:val="0"/>
          <w:numId w:val="96"/>
        </w:numPr>
        <w:pBdr>
          <w:top w:val="single" w:sz="4" w:space="1" w:color="auto"/>
          <w:left w:val="single" w:sz="4" w:space="4" w:color="auto"/>
          <w:bottom w:val="single" w:sz="4" w:space="1" w:color="auto"/>
          <w:right w:val="single" w:sz="4" w:space="4" w:color="auto"/>
        </w:pBdr>
        <w:shd w:val="clear" w:color="auto" w:fill="F2F2F2" w:themeFill="background1" w:themeFillShade="F2"/>
        <w:spacing w:after="60" w:line="240" w:lineRule="auto"/>
        <w:ind w:left="142" w:hanging="142"/>
        <w:rPr>
          <w:rFonts w:ascii="Times New Roman" w:hAnsi="Times New Roman"/>
          <w:noProof/>
          <w:spacing w:val="-2"/>
        </w:rPr>
      </w:pPr>
      <w:r>
        <w:rPr>
          <w:rFonts w:ascii="Times New Roman" w:hAnsi="Times New Roman"/>
          <w:noProof/>
          <w:spacing w:val="-2"/>
        </w:rPr>
        <w:t>They have demonstrated the potential to set global R&amp;I agendas and increase visibility of joint European efforts. Article185 initiatives on clinical trials (EDCTP2) or metrology (EMPIR) are perceived as internationally leading programmes;</w:t>
      </w:r>
    </w:p>
    <w:p>
      <w:pPr>
        <w:pStyle w:val="ListParagraph"/>
        <w:numPr>
          <w:ilvl w:val="0"/>
          <w:numId w:val="96"/>
        </w:numPr>
        <w:pBdr>
          <w:top w:val="single" w:sz="4" w:space="1" w:color="auto"/>
          <w:left w:val="single" w:sz="4" w:space="4" w:color="auto"/>
          <w:bottom w:val="single" w:sz="4" w:space="1" w:color="auto"/>
          <w:right w:val="single" w:sz="4" w:space="4" w:color="auto"/>
        </w:pBdr>
        <w:shd w:val="clear" w:color="auto" w:fill="F2F2F2" w:themeFill="background1" w:themeFillShade="F2"/>
        <w:spacing w:after="60" w:line="240" w:lineRule="auto"/>
        <w:ind w:left="142" w:hanging="142"/>
        <w:rPr>
          <w:rFonts w:ascii="Times New Roman" w:hAnsi="Times New Roman"/>
          <w:noProof/>
          <w:spacing w:val="-2"/>
        </w:rPr>
      </w:pPr>
      <w:r>
        <w:rPr>
          <w:rFonts w:ascii="Times New Roman" w:hAnsi="Times New Roman"/>
          <w:noProof/>
          <w:spacing w:val="-2"/>
        </w:rPr>
        <w:t>The joint partnership in the governance of EDCTP2 demonstrate the EU leadership in paving the way towards a new model for development cooperation;</w:t>
      </w:r>
    </w:p>
    <w:p>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both"/>
        <w:rPr>
          <w:rFonts w:ascii="Times New Roman" w:hAnsi="Times New Roman"/>
          <w:b/>
          <w:noProof/>
          <w:spacing w:val="-2"/>
        </w:rPr>
      </w:pPr>
      <w:r>
        <w:rPr>
          <w:rFonts w:ascii="Times New Roman" w:hAnsi="Times New Roman"/>
          <w:b/>
          <w:noProof/>
          <w:spacing w:val="-2"/>
        </w:rPr>
        <w:t>Implementation, budget and sound financial management</w:t>
      </w:r>
    </w:p>
    <w:p>
      <w:pPr>
        <w:pStyle w:val="ListParagraph"/>
        <w:numPr>
          <w:ilvl w:val="0"/>
          <w:numId w:val="96"/>
        </w:numPr>
        <w:pBdr>
          <w:top w:val="single" w:sz="4" w:space="1" w:color="auto"/>
          <w:left w:val="single" w:sz="4" w:space="4" w:color="auto"/>
          <w:bottom w:val="single" w:sz="4" w:space="1" w:color="auto"/>
          <w:right w:val="single" w:sz="4" w:space="4" w:color="auto"/>
        </w:pBdr>
        <w:shd w:val="clear" w:color="auto" w:fill="F2F2F2" w:themeFill="background1" w:themeFillShade="F2"/>
        <w:spacing w:after="60" w:line="240" w:lineRule="auto"/>
        <w:ind w:left="142" w:hanging="142"/>
        <w:rPr>
          <w:rFonts w:ascii="Times New Roman" w:hAnsi="Times New Roman"/>
          <w:noProof/>
          <w:spacing w:val="-2"/>
        </w:rPr>
      </w:pPr>
      <w:r>
        <w:rPr>
          <w:rFonts w:ascii="Times New Roman" w:hAnsi="Times New Roman"/>
          <w:noProof/>
          <w:spacing w:val="-2"/>
        </w:rPr>
        <w:t>The efforts for the preparation, set-up and implementation of Article185 initiatives are high and need to be justified in particular by the scale and scope of the initiatives;</w:t>
      </w:r>
    </w:p>
    <w:p>
      <w:pPr>
        <w:pStyle w:val="ListParagraph"/>
        <w:numPr>
          <w:ilvl w:val="0"/>
          <w:numId w:val="96"/>
        </w:numPr>
        <w:pBdr>
          <w:top w:val="single" w:sz="4" w:space="1" w:color="auto"/>
          <w:left w:val="single" w:sz="4" w:space="4" w:color="auto"/>
          <w:bottom w:val="single" w:sz="4" w:space="1" w:color="auto"/>
          <w:right w:val="single" w:sz="4" w:space="4" w:color="auto"/>
        </w:pBdr>
        <w:shd w:val="clear" w:color="auto" w:fill="F2F2F2" w:themeFill="background1" w:themeFillShade="F2"/>
        <w:spacing w:after="60" w:line="240" w:lineRule="auto"/>
        <w:ind w:left="142" w:hanging="142"/>
        <w:rPr>
          <w:rFonts w:ascii="Times New Roman" w:hAnsi="Times New Roman"/>
          <w:noProof/>
          <w:spacing w:val="-2"/>
        </w:rPr>
      </w:pPr>
      <w:r>
        <w:rPr>
          <w:rFonts w:ascii="Times New Roman" w:hAnsi="Times New Roman"/>
          <w:noProof/>
          <w:spacing w:val="-2"/>
        </w:rPr>
        <w:t>The implementation of Article185 initiatives is considered efficient and in line with the requirements of the financial regulation for indirect management of Union funds.</w:t>
      </w:r>
    </w:p>
    <w:p>
      <w:pPr>
        <w:pStyle w:val="ListParagraph"/>
        <w:numPr>
          <w:ilvl w:val="0"/>
          <w:numId w:val="96"/>
        </w:numPr>
        <w:pBdr>
          <w:top w:val="single" w:sz="4" w:space="1" w:color="auto"/>
          <w:left w:val="single" w:sz="4" w:space="4" w:color="auto"/>
          <w:bottom w:val="single" w:sz="4" w:space="1" w:color="auto"/>
          <w:right w:val="single" w:sz="4" w:space="4" w:color="auto"/>
        </w:pBdr>
        <w:shd w:val="clear" w:color="auto" w:fill="F2F2F2" w:themeFill="background1" w:themeFillShade="F2"/>
        <w:spacing w:after="60" w:line="240" w:lineRule="auto"/>
        <w:ind w:left="142" w:hanging="142"/>
        <w:rPr>
          <w:rFonts w:ascii="Times New Roman" w:eastAsia="Times New Roman" w:hAnsi="Times New Roman"/>
          <w:b/>
          <w:noProof/>
          <w:spacing w:val="-2"/>
          <w:lang w:eastAsia="en-GB"/>
        </w:rPr>
      </w:pPr>
      <w:r>
        <w:rPr>
          <w:rFonts w:ascii="Times New Roman" w:hAnsi="Times New Roman"/>
          <w:noProof/>
          <w:spacing w:val="-2"/>
        </w:rPr>
        <w:t>The frontloading of the commitments from the EU budget – with the actual fulfilment of matching commitments from Participating States being accounted for in later years – applies in principle to all Article185 initiatives. In the case of BONUS this expanded to the next MFF. This has not compromised the sound financial management of the Union contribution. In case the Participating States contribute less, the Union contribution will be reduced proportionally, with the recovery of any amount unduly paid.</w:t>
      </w:r>
    </w:p>
    <w:p>
      <w:pPr>
        <w:autoSpaceDE w:val="0"/>
        <w:autoSpaceDN w:val="0"/>
        <w:spacing w:after="120" w:line="240" w:lineRule="auto"/>
        <w:jc w:val="both"/>
        <w:rPr>
          <w:rFonts w:ascii="Times New Roman" w:hAnsi="Times New Roman"/>
          <w:b/>
          <w:noProof/>
          <w:sz w:val="24"/>
          <w:szCs w:val="24"/>
          <w:lang w:eastAsia="fr-BE"/>
        </w:rPr>
      </w:pPr>
      <w:r>
        <w:rPr>
          <w:rFonts w:ascii="Times New Roman" w:hAnsi="Times New Roman"/>
          <w:b/>
          <w:noProof/>
          <w:sz w:val="24"/>
          <w:szCs w:val="24"/>
          <w:lang w:eastAsia="fr-BE"/>
        </w:rPr>
        <w:t>Third country participation in Article 185 initiatives</w:t>
      </w:r>
    </w:p>
    <w:p>
      <w:pPr>
        <w:autoSpaceDE w:val="0"/>
        <w:autoSpaceDN w:val="0"/>
        <w:spacing w:after="120" w:line="240" w:lineRule="auto"/>
        <w:jc w:val="both"/>
        <w:rPr>
          <w:rFonts w:ascii="Times New Roman" w:hAnsi="Times New Roman"/>
          <w:noProof/>
          <w:sz w:val="24"/>
          <w:szCs w:val="24"/>
          <w:lang w:eastAsia="fr-BE"/>
        </w:rPr>
      </w:pPr>
      <w:r>
        <w:rPr>
          <w:rFonts w:ascii="Times New Roman" w:hAnsi="Times New Roman"/>
          <w:noProof/>
          <w:sz w:val="24"/>
          <w:szCs w:val="24"/>
          <w:lang w:eastAsia="fr-BE"/>
        </w:rPr>
        <w:t>In an Article 185 initiative, all Participating States (EU Member States and third countries) have the same rights (e.g. participation in governing structures with decision-making power) and obligations (e.g. financial contribution) under the relevant basic act. Even though Article 185 TFEU refers specifically to the participation of the EU in programmes undertaken by several EU Member States, it does not preclude the participation of third countries in the Programme. However, depending on the status of these third countries in relation to the EU (especially their legal ties), different requirements have to be met to guarantee involvement on an equal footing of all Participating States.</w:t>
      </w:r>
    </w:p>
    <w:p>
      <w:pPr>
        <w:autoSpaceDE w:val="0"/>
        <w:autoSpaceDN w:val="0"/>
        <w:spacing w:after="120" w:line="240" w:lineRule="auto"/>
        <w:jc w:val="both"/>
        <w:rPr>
          <w:rFonts w:ascii="Times New Roman" w:hAnsi="Times New Roman"/>
          <w:noProof/>
          <w:sz w:val="24"/>
          <w:szCs w:val="24"/>
          <w:lang w:eastAsia="fr-BE"/>
        </w:rPr>
      </w:pPr>
      <w:r>
        <w:rPr>
          <w:rFonts w:ascii="Times New Roman" w:hAnsi="Times New Roman"/>
          <w:noProof/>
          <w:sz w:val="24"/>
          <w:szCs w:val="24"/>
          <w:lang w:eastAsia="fr-BE"/>
        </w:rPr>
        <w:t>Third countries associated to Horizon 2020 are already allowed to participate in Article 185 initiatives. The text of the specific Horizon 2020 Association Agreement expressly foresees the possibility for an associated third country to participate in various Article 185 initiatives. For the participation of third countries not associated to Horizon 2020</w:t>
      </w:r>
      <w:r>
        <w:rPr>
          <w:rFonts w:ascii="Times New Roman" w:hAnsi="Times New Roman"/>
          <w:noProof/>
          <w:sz w:val="24"/>
          <w:szCs w:val="24"/>
          <w:vertAlign w:val="superscript"/>
          <w:lang w:eastAsia="fr-BE"/>
        </w:rPr>
        <w:footnoteReference w:id="55"/>
      </w:r>
      <w:r>
        <w:rPr>
          <w:rFonts w:ascii="Times New Roman" w:hAnsi="Times New Roman"/>
          <w:noProof/>
          <w:sz w:val="24"/>
          <w:szCs w:val="24"/>
          <w:lang w:eastAsia="fr-BE"/>
        </w:rPr>
        <w:t>, the following requirements must be fulfilled:</w:t>
      </w:r>
    </w:p>
    <w:p>
      <w:pPr>
        <w:pStyle w:val="ListParagraph"/>
        <w:numPr>
          <w:ilvl w:val="0"/>
          <w:numId w:val="106"/>
        </w:numPr>
        <w:autoSpaceDE w:val="0"/>
        <w:autoSpaceDN w:val="0"/>
        <w:spacing w:after="120" w:line="240" w:lineRule="auto"/>
        <w:rPr>
          <w:rFonts w:ascii="Times New Roman" w:hAnsi="Times New Roman"/>
          <w:noProof/>
          <w:sz w:val="24"/>
          <w:szCs w:val="24"/>
          <w:lang w:eastAsia="fr-BE"/>
        </w:rPr>
      </w:pPr>
      <w:r>
        <w:rPr>
          <w:rFonts w:ascii="Times New Roman" w:hAnsi="Times New Roman"/>
          <w:noProof/>
          <w:sz w:val="24"/>
          <w:szCs w:val="24"/>
          <w:lang w:eastAsia="fr-BE"/>
        </w:rPr>
        <w:t>The basic act must contain an opening clause for third countries;</w:t>
      </w:r>
    </w:p>
    <w:p>
      <w:pPr>
        <w:pStyle w:val="ListParagraph"/>
        <w:numPr>
          <w:ilvl w:val="0"/>
          <w:numId w:val="106"/>
        </w:numPr>
        <w:autoSpaceDE w:val="0"/>
        <w:autoSpaceDN w:val="0"/>
        <w:spacing w:after="120" w:line="240" w:lineRule="auto"/>
        <w:rPr>
          <w:noProof/>
          <w:lang w:eastAsia="fr-BE"/>
        </w:rPr>
      </w:pPr>
      <w:r>
        <w:rPr>
          <w:rFonts w:ascii="Times New Roman" w:hAnsi="Times New Roman"/>
          <w:noProof/>
          <w:sz w:val="24"/>
          <w:szCs w:val="24"/>
          <w:lang w:eastAsia="fr-BE"/>
        </w:rPr>
        <w:t>International agreements must be concluded with these countries to allow their participation.</w:t>
      </w:r>
    </w:p>
    <w:p>
      <w:pPr>
        <w:autoSpaceDE w:val="0"/>
        <w:autoSpaceDN w:val="0"/>
        <w:spacing w:after="120" w:line="240" w:lineRule="auto"/>
        <w:jc w:val="both"/>
        <w:rPr>
          <w:rFonts w:ascii="Times New Roman" w:hAnsi="Times New Roman"/>
          <w:noProof/>
          <w:sz w:val="24"/>
          <w:szCs w:val="24"/>
          <w:lang w:eastAsia="fr-BE"/>
        </w:rPr>
      </w:pPr>
      <w:r>
        <w:rPr>
          <w:rFonts w:ascii="Times New Roman" w:hAnsi="Times New Roman"/>
          <w:noProof/>
          <w:sz w:val="24"/>
          <w:szCs w:val="24"/>
          <w:lang w:eastAsia="fr-BE"/>
        </w:rPr>
        <w:t>The purpose of these international agreements is to extend the legal regime from the EU basic act to the third countries. Article 185 initiatives establish obligations that include financial contributions and financial control. Therefore, mutually agreed mechanisms that guarantee the effective enforcement of rights and obligations on each side are required. These international agreements would have a purely bilateral nature regulating the obligations of third countries vis-à-vis the EU, making direct reference to the basic act. As a consequence, no significant subsequent negotiation for the conclusion of these agreements would be needed.</w:t>
      </w:r>
    </w:p>
    <w:p>
      <w:pPr>
        <w:autoSpaceDE w:val="0"/>
        <w:autoSpaceDN w:val="0"/>
        <w:spacing w:after="120" w:line="240" w:lineRule="auto"/>
        <w:jc w:val="both"/>
        <w:rPr>
          <w:rFonts w:ascii="Times New Roman" w:hAnsi="Times New Roman"/>
          <w:b/>
          <w:noProof/>
          <w:sz w:val="24"/>
          <w:szCs w:val="24"/>
          <w:lang w:eastAsia="fr-BE"/>
        </w:rPr>
      </w:pPr>
    </w:p>
    <w:p>
      <w:pPr>
        <w:autoSpaceDE w:val="0"/>
        <w:autoSpaceDN w:val="0"/>
        <w:spacing w:after="120" w:line="240" w:lineRule="auto"/>
        <w:jc w:val="both"/>
        <w:rPr>
          <w:rFonts w:ascii="Times New Roman" w:hAnsi="Times New Roman"/>
          <w:b/>
          <w:noProof/>
          <w:sz w:val="24"/>
          <w:szCs w:val="24"/>
          <w:lang w:eastAsia="fr-BE"/>
        </w:rPr>
      </w:pPr>
      <w:r>
        <w:rPr>
          <w:rFonts w:ascii="Times New Roman" w:hAnsi="Times New Roman"/>
          <w:b/>
          <w:noProof/>
          <w:sz w:val="24"/>
          <w:szCs w:val="24"/>
          <w:lang w:eastAsia="fr-BE"/>
        </w:rPr>
        <w:t>Implementation and management of the PRIMA Joint Programme</w:t>
      </w:r>
    </w:p>
    <w:p>
      <w:pPr>
        <w:autoSpaceDE w:val="0"/>
        <w:autoSpaceDN w:val="0"/>
        <w:spacing w:after="120" w:line="240" w:lineRule="auto"/>
        <w:jc w:val="both"/>
        <w:rPr>
          <w:rFonts w:ascii="Times New Roman" w:hAnsi="Times New Roman"/>
          <w:noProof/>
          <w:sz w:val="24"/>
          <w:szCs w:val="24"/>
          <w:lang w:eastAsia="fr-BE"/>
        </w:rPr>
      </w:pPr>
      <w:r>
        <w:rPr>
          <w:rFonts w:ascii="Times New Roman" w:hAnsi="Times New Roman"/>
          <w:noProof/>
          <w:sz w:val="24"/>
          <w:szCs w:val="24"/>
          <w:lang w:eastAsia="fr-BE"/>
        </w:rPr>
        <w:t xml:space="preserve">For an Article 185 initiative, the Horizon 2020 Rules for Participation apply by default (Article 1). </w:t>
      </w:r>
      <w:r>
        <w:rPr>
          <w:rFonts w:ascii="Times New Roman" w:hAnsi="Times New Roman"/>
          <w:bCs/>
          <w:noProof/>
          <w:sz w:val="24"/>
          <w:szCs w:val="24"/>
          <w:lang w:eastAsia="fr-BE"/>
        </w:rPr>
        <w:t xml:space="preserve">Article 185 initiatives under Horizon 2020 are implemented in different ways as regards the management of the Union contribution and the way in which Participating States provide their contributions to the programme. </w:t>
      </w:r>
      <w:r>
        <w:rPr>
          <w:rFonts w:ascii="Times New Roman" w:hAnsi="Times New Roman"/>
          <w:noProof/>
          <w:sz w:val="24"/>
          <w:szCs w:val="24"/>
          <w:lang w:eastAsia="fr-BE"/>
        </w:rPr>
        <w:t xml:space="preserve">A PRIMA Joint Programme on the basis of Article 185 would be implemented taking full account of good practices in on-going initiatives, which have been analysed in detail in Box 4. </w:t>
      </w:r>
    </w:p>
    <w:p>
      <w:pPr>
        <w:autoSpaceDE w:val="0"/>
        <w:autoSpaceDN w:val="0"/>
        <w:spacing w:after="120" w:line="240" w:lineRule="auto"/>
        <w:jc w:val="both"/>
        <w:rPr>
          <w:rFonts w:ascii="Times New Roman" w:hAnsi="Times New Roman"/>
          <w:noProof/>
          <w:sz w:val="24"/>
          <w:szCs w:val="24"/>
          <w:lang w:eastAsia="fr-BE"/>
        </w:rPr>
      </w:pPr>
      <w:r>
        <w:rPr>
          <w:rFonts w:ascii="Times New Roman" w:hAnsi="Times New Roman"/>
          <w:noProof/>
          <w:sz w:val="24"/>
          <w:szCs w:val="24"/>
          <w:lang w:eastAsia="fr-BE"/>
        </w:rPr>
        <w:t>The implementation would involve a reinforced version of the approach followed in the case of the Article 185 "European &amp; Developing Countries Clinical Trials Partnership (EDCTP2)", involving the matching of Union and Participating State contributions at programme level. Building on the strong commitment of cash contributions from Participating States to the PRIMA Joint Programme, and on their commitment to increasing the integration of national programmes into transnational activities, the main elements of the implementation and management are described in the following paragraphs.</w:t>
      </w:r>
    </w:p>
    <w:p>
      <w:pPr>
        <w:spacing w:after="0" w:line="240" w:lineRule="auto"/>
        <w:rPr>
          <w:rFonts w:ascii="Times New Roman" w:hAnsi="Times New Roman"/>
          <w:noProof/>
          <w:sz w:val="24"/>
          <w:szCs w:val="24"/>
          <w:lang w:eastAsia="fr-BE"/>
        </w:rPr>
      </w:pPr>
      <w:r>
        <w:rPr>
          <w:rFonts w:ascii="Times New Roman" w:hAnsi="Times New Roman"/>
          <w:noProof/>
          <w:sz w:val="24"/>
          <w:szCs w:val="24"/>
          <w:lang w:eastAsia="fr-BE"/>
        </w:rPr>
        <w:br w:type="page"/>
      </w:r>
    </w:p>
    <w:p>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line="240" w:lineRule="auto"/>
        <w:rPr>
          <w:rFonts w:ascii="Times New Roman" w:hAnsi="Times New Roman"/>
          <w:b/>
          <w:noProof/>
          <w:u w:val="single"/>
        </w:rPr>
      </w:pPr>
      <w:r>
        <w:rPr>
          <w:rFonts w:ascii="Times New Roman" w:hAnsi="Times New Roman"/>
          <w:b/>
          <w:noProof/>
          <w:u w:val="single"/>
        </w:rPr>
        <w:t>BOX 4 – Implementation and management: Lessons learned from earlier Article 185 initiatives and applied to PRIMA</w:t>
      </w:r>
    </w:p>
    <w:p>
      <w:pPr>
        <w:pBdr>
          <w:top w:val="single" w:sz="4" w:space="1" w:color="auto"/>
          <w:left w:val="single" w:sz="4" w:space="1" w:color="auto"/>
          <w:bottom w:val="single" w:sz="4" w:space="1" w:color="auto"/>
          <w:right w:val="single" w:sz="4" w:space="1" w:color="auto"/>
        </w:pBdr>
        <w:shd w:val="clear" w:color="auto" w:fill="F2F2F2" w:themeFill="background1" w:themeFillShade="F2"/>
        <w:spacing w:before="40" w:after="0" w:line="240" w:lineRule="auto"/>
        <w:jc w:val="both"/>
        <w:rPr>
          <w:rFonts w:ascii="Times New Roman" w:hAnsi="Times New Roman"/>
          <w:b/>
          <w:noProof/>
          <w:u w:val="single"/>
        </w:rPr>
      </w:pPr>
      <w:r>
        <w:rPr>
          <w:rFonts w:ascii="Times New Roman" w:hAnsi="Times New Roman"/>
          <w:b/>
          <w:noProof/>
          <w:u w:val="single"/>
        </w:rPr>
        <w:t>Active and Assisted Living Programme (AAL2) and Eurostars2 (for R&amp;D performing SMEs)</w:t>
      </w:r>
    </w:p>
    <w:p>
      <w:pPr>
        <w:pBdr>
          <w:top w:val="single" w:sz="4" w:space="1" w:color="auto"/>
          <w:left w:val="single" w:sz="4" w:space="1" w:color="auto"/>
          <w:bottom w:val="single" w:sz="4" w:space="1" w:color="auto"/>
          <w:right w:val="single" w:sz="4" w:space="1" w:color="auto"/>
        </w:pBdr>
        <w:shd w:val="clear" w:color="auto" w:fill="F2F2F2" w:themeFill="background1" w:themeFillShade="F2"/>
        <w:spacing w:after="40" w:line="240" w:lineRule="auto"/>
        <w:jc w:val="both"/>
        <w:rPr>
          <w:rFonts w:ascii="Times New Roman" w:hAnsi="Times New Roman"/>
          <w:noProof/>
        </w:rPr>
      </w:pPr>
      <w:r>
        <w:rPr>
          <w:rFonts w:ascii="Times New Roman" w:hAnsi="Times New Roman"/>
          <w:noProof/>
        </w:rPr>
        <w:t xml:space="preserve">Both initiatives make use of </w:t>
      </w:r>
      <w:r>
        <w:rPr>
          <w:rFonts w:ascii="Times New Roman" w:hAnsi="Times New Roman"/>
          <w:noProof/>
          <w:u w:val="single"/>
        </w:rPr>
        <w:t>decentralised grant management</w:t>
      </w:r>
      <w:r>
        <w:rPr>
          <w:rFonts w:ascii="Times New Roman" w:hAnsi="Times New Roman"/>
          <w:noProof/>
        </w:rPr>
        <w:t xml:space="preserve"> on the basis of national funding rules, with national and Union contributions being paid to projects by National Funding Bodies through national grant agreements. The </w:t>
      </w:r>
      <w:r>
        <w:rPr>
          <w:rFonts w:ascii="Times New Roman" w:hAnsi="Times New Roman"/>
          <w:noProof/>
          <w:u w:val="single"/>
        </w:rPr>
        <w:t>matching of contributions takes place at project level</w:t>
      </w:r>
      <w:r>
        <w:rPr>
          <w:rFonts w:ascii="Times New Roman" w:hAnsi="Times New Roman"/>
          <w:noProof/>
        </w:rPr>
        <w:t xml:space="preserve"> (grant amount is split between national and Union contribution). While this approach works, it has certain drawbacks:</w:t>
      </w:r>
    </w:p>
    <w:p>
      <w:pPr>
        <w:pStyle w:val="ListParagraph"/>
        <w:numPr>
          <w:ilvl w:val="0"/>
          <w:numId w:val="75"/>
        </w:numPr>
        <w:pBdr>
          <w:top w:val="single" w:sz="4" w:space="1" w:color="auto"/>
          <w:left w:val="single" w:sz="4" w:space="1" w:color="auto"/>
          <w:bottom w:val="single" w:sz="4" w:space="1" w:color="auto"/>
          <w:right w:val="single" w:sz="4" w:space="1" w:color="auto"/>
        </w:pBdr>
        <w:shd w:val="clear" w:color="auto" w:fill="F2F2F2" w:themeFill="background1" w:themeFillShade="F2"/>
        <w:tabs>
          <w:tab w:val="left" w:pos="284"/>
        </w:tabs>
        <w:spacing w:after="40" w:line="240" w:lineRule="auto"/>
        <w:ind w:left="284" w:hanging="284"/>
        <w:rPr>
          <w:rFonts w:ascii="Times New Roman" w:hAnsi="Times New Roman"/>
          <w:noProof/>
        </w:rPr>
      </w:pPr>
      <w:r>
        <w:rPr>
          <w:rFonts w:ascii="Times New Roman" w:hAnsi="Times New Roman"/>
          <w:noProof/>
        </w:rPr>
        <w:t>It requires significant derogations from the Horizon 2020 Rules for Participation (e.g. Eurostars: funding rules; AAL: IPR and funding rules);</w:t>
      </w:r>
    </w:p>
    <w:p>
      <w:pPr>
        <w:pStyle w:val="ListParagraph"/>
        <w:numPr>
          <w:ilvl w:val="0"/>
          <w:numId w:val="75"/>
        </w:numPr>
        <w:pBdr>
          <w:top w:val="single" w:sz="4" w:space="1" w:color="auto"/>
          <w:left w:val="single" w:sz="4" w:space="1" w:color="auto"/>
          <w:bottom w:val="single" w:sz="4" w:space="1" w:color="auto"/>
          <w:right w:val="single" w:sz="4" w:space="1" w:color="auto"/>
        </w:pBdr>
        <w:shd w:val="clear" w:color="auto" w:fill="F2F2F2" w:themeFill="background1" w:themeFillShade="F2"/>
        <w:tabs>
          <w:tab w:val="left" w:pos="284"/>
        </w:tabs>
        <w:spacing w:after="40" w:line="240" w:lineRule="auto"/>
        <w:ind w:left="284" w:hanging="284"/>
        <w:rPr>
          <w:rFonts w:ascii="Times New Roman" w:hAnsi="Times New Roman"/>
          <w:noProof/>
        </w:rPr>
      </w:pPr>
      <w:r>
        <w:rPr>
          <w:rFonts w:ascii="Times New Roman" w:hAnsi="Times New Roman"/>
          <w:noProof/>
        </w:rPr>
        <w:t>The approach works well with national programmes marked by a high degree of similarity, which is not the case for PRIMA, thus not allowing for deploying a wide range of instruments to achieve objectives;</w:t>
      </w:r>
    </w:p>
    <w:p>
      <w:pPr>
        <w:pStyle w:val="ListParagraph"/>
        <w:numPr>
          <w:ilvl w:val="0"/>
          <w:numId w:val="75"/>
        </w:numPr>
        <w:pBdr>
          <w:top w:val="single" w:sz="4" w:space="1" w:color="auto"/>
          <w:left w:val="single" w:sz="4" w:space="1" w:color="auto"/>
          <w:bottom w:val="single" w:sz="4" w:space="1" w:color="auto"/>
          <w:right w:val="single" w:sz="4" w:space="1" w:color="auto"/>
        </w:pBdr>
        <w:shd w:val="clear" w:color="auto" w:fill="F2F2F2" w:themeFill="background1" w:themeFillShade="F2"/>
        <w:tabs>
          <w:tab w:val="left" w:pos="284"/>
        </w:tabs>
        <w:spacing w:after="40" w:line="240" w:lineRule="auto"/>
        <w:ind w:left="284" w:hanging="284"/>
        <w:rPr>
          <w:rFonts w:ascii="Times New Roman" w:hAnsi="Times New Roman"/>
          <w:noProof/>
        </w:rPr>
      </w:pPr>
      <w:r>
        <w:rPr>
          <w:rFonts w:ascii="Times New Roman" w:hAnsi="Times New Roman"/>
          <w:noProof/>
        </w:rPr>
        <w:t>Different national funding rules apply. Beneficiaries are familiar with their national rules (an advantage) but would not fully benefit from the simplification under Horizon 2020.</w:t>
      </w:r>
    </w:p>
    <w:p>
      <w:pPr>
        <w:pBdr>
          <w:top w:val="single" w:sz="4" w:space="1" w:color="auto"/>
          <w:left w:val="single" w:sz="4" w:space="1" w:color="auto"/>
          <w:bottom w:val="single" w:sz="4" w:space="1" w:color="auto"/>
          <w:right w:val="single" w:sz="4" w:space="1" w:color="auto"/>
        </w:pBdr>
        <w:shd w:val="clear" w:color="auto" w:fill="F2F2F2" w:themeFill="background1" w:themeFillShade="F2"/>
        <w:spacing w:before="40" w:after="0" w:line="240" w:lineRule="auto"/>
        <w:jc w:val="both"/>
        <w:rPr>
          <w:rFonts w:ascii="Times New Roman" w:hAnsi="Times New Roman"/>
          <w:b/>
          <w:noProof/>
          <w:u w:val="single"/>
        </w:rPr>
      </w:pPr>
      <w:r>
        <w:rPr>
          <w:rFonts w:ascii="Times New Roman" w:hAnsi="Times New Roman"/>
          <w:b/>
          <w:noProof/>
          <w:u w:val="single"/>
        </w:rPr>
        <w:t>EMPIR (European Metrology Programme for Research and Innovation)</w:t>
      </w:r>
    </w:p>
    <w:p>
      <w:pPr>
        <w:pBdr>
          <w:top w:val="single" w:sz="4" w:space="1" w:color="auto"/>
          <w:left w:val="single" w:sz="4" w:space="1" w:color="auto"/>
          <w:bottom w:val="single" w:sz="4" w:space="1" w:color="auto"/>
          <w:right w:val="single" w:sz="4" w:space="1" w:color="auto"/>
        </w:pBdr>
        <w:shd w:val="clear" w:color="auto" w:fill="F2F2F2" w:themeFill="background1" w:themeFillShade="F2"/>
        <w:spacing w:after="40" w:line="240" w:lineRule="auto"/>
        <w:jc w:val="both"/>
        <w:rPr>
          <w:rFonts w:ascii="Times New Roman" w:hAnsi="Times New Roman"/>
          <w:noProof/>
        </w:rPr>
      </w:pPr>
      <w:r>
        <w:rPr>
          <w:rFonts w:ascii="Times New Roman" w:hAnsi="Times New Roman"/>
          <w:noProof/>
        </w:rPr>
        <w:t xml:space="preserve">The initiative and its implementation are based on National Metrology Institutes (NMIs), which are the main beneficiaries of the programme. </w:t>
      </w:r>
      <w:r>
        <w:rPr>
          <w:rFonts w:ascii="Times New Roman" w:hAnsi="Times New Roman"/>
          <w:noProof/>
          <w:u w:val="single"/>
        </w:rPr>
        <w:t>Grant management is central</w:t>
      </w:r>
      <w:r>
        <w:rPr>
          <w:rFonts w:ascii="Times New Roman" w:hAnsi="Times New Roman"/>
          <w:noProof/>
        </w:rPr>
        <w:t xml:space="preserve">, on the basis of the Horizon 2020 Model Grant Agreement. The Union contribution is the only cash contribution to the resulting projects. Participating States contribute mainly in-kind. </w:t>
      </w:r>
      <w:r>
        <w:rPr>
          <w:rFonts w:ascii="Times New Roman" w:hAnsi="Times New Roman"/>
          <w:noProof/>
          <w:u w:val="single"/>
        </w:rPr>
        <w:t>The matching of contributions takes places at project level</w:t>
      </w:r>
      <w:r>
        <w:rPr>
          <w:rFonts w:ascii="Times New Roman" w:hAnsi="Times New Roman"/>
          <w:noProof/>
        </w:rPr>
        <w:t>, where the Participating States' contribution consists of those indirect costs that are not reimbursed by the DIS. The overall approach and central implementation including grant management work very well.</w:t>
      </w:r>
    </w:p>
    <w:p>
      <w:pPr>
        <w:pBdr>
          <w:top w:val="single" w:sz="4" w:space="1" w:color="auto"/>
          <w:left w:val="single" w:sz="4" w:space="1" w:color="auto"/>
          <w:bottom w:val="single" w:sz="4" w:space="1" w:color="auto"/>
          <w:right w:val="single" w:sz="4" w:space="1" w:color="auto"/>
        </w:pBdr>
        <w:shd w:val="clear" w:color="auto" w:fill="F2F2F2" w:themeFill="background1" w:themeFillShade="F2"/>
        <w:spacing w:after="40" w:line="240" w:lineRule="auto"/>
        <w:jc w:val="both"/>
        <w:rPr>
          <w:rFonts w:ascii="Times New Roman" w:hAnsi="Times New Roman"/>
          <w:noProof/>
        </w:rPr>
      </w:pPr>
      <w:r>
        <w:rPr>
          <w:rFonts w:ascii="Times New Roman" w:hAnsi="Times New Roman"/>
          <w:noProof/>
        </w:rPr>
        <w:t>The approach for the matching contributions relies on full-cost accounting (additional requirement compared to Horizon 2020). For PRIMA, this is not appropriate and this for the following reasons:</w:t>
      </w:r>
    </w:p>
    <w:p>
      <w:pPr>
        <w:pStyle w:val="ListParagraph"/>
        <w:numPr>
          <w:ilvl w:val="0"/>
          <w:numId w:val="75"/>
        </w:numPr>
        <w:pBdr>
          <w:top w:val="single" w:sz="4" w:space="1" w:color="auto"/>
          <w:left w:val="single" w:sz="4" w:space="1" w:color="auto"/>
          <w:bottom w:val="single" w:sz="4" w:space="1" w:color="auto"/>
          <w:right w:val="single" w:sz="4" w:space="1" w:color="auto"/>
        </w:pBdr>
        <w:shd w:val="clear" w:color="auto" w:fill="F2F2F2" w:themeFill="background1" w:themeFillShade="F2"/>
        <w:tabs>
          <w:tab w:val="left" w:pos="284"/>
        </w:tabs>
        <w:spacing w:after="40" w:line="240" w:lineRule="auto"/>
        <w:ind w:left="284" w:hanging="284"/>
        <w:rPr>
          <w:rFonts w:ascii="Times New Roman" w:hAnsi="Times New Roman"/>
          <w:noProof/>
        </w:rPr>
      </w:pPr>
      <w:r>
        <w:rPr>
          <w:rFonts w:ascii="Times New Roman" w:hAnsi="Times New Roman"/>
          <w:noProof/>
        </w:rPr>
        <w:t>The final beneficiaries will be very heterogeneous in terms of type and practices and it is likely that not all of them will have full cost accounting;</w:t>
      </w:r>
    </w:p>
    <w:p>
      <w:pPr>
        <w:pStyle w:val="ListParagraph"/>
        <w:numPr>
          <w:ilvl w:val="0"/>
          <w:numId w:val="75"/>
        </w:numPr>
        <w:pBdr>
          <w:top w:val="single" w:sz="4" w:space="1" w:color="auto"/>
          <w:left w:val="single" w:sz="4" w:space="1" w:color="auto"/>
          <w:bottom w:val="single" w:sz="4" w:space="1" w:color="auto"/>
          <w:right w:val="single" w:sz="4" w:space="1" w:color="auto"/>
        </w:pBdr>
        <w:shd w:val="clear" w:color="auto" w:fill="F2F2F2" w:themeFill="background1" w:themeFillShade="F2"/>
        <w:tabs>
          <w:tab w:val="left" w:pos="284"/>
        </w:tabs>
        <w:spacing w:after="40" w:line="240" w:lineRule="auto"/>
        <w:ind w:left="284" w:hanging="284"/>
        <w:rPr>
          <w:rFonts w:ascii="Times New Roman" w:hAnsi="Times New Roman"/>
          <w:noProof/>
        </w:rPr>
      </w:pPr>
      <w:r>
        <w:rPr>
          <w:rFonts w:ascii="Times New Roman" w:hAnsi="Times New Roman"/>
          <w:noProof/>
        </w:rPr>
        <w:t>The real indirect costs will only be established after some years of implementation of the initiative, which does not allow for establishing an indicative reimbursement rate. The use of the normal Horizon 2020 rates might lead to substantial recovery orders or drawing on guarantees from Participating States in case their contributions are lower.</w:t>
      </w:r>
    </w:p>
    <w:p>
      <w:pPr>
        <w:pStyle w:val="ListParagraph"/>
        <w:numPr>
          <w:ilvl w:val="0"/>
          <w:numId w:val="75"/>
        </w:numPr>
        <w:pBdr>
          <w:top w:val="single" w:sz="4" w:space="1" w:color="auto"/>
          <w:left w:val="single" w:sz="4" w:space="1" w:color="auto"/>
          <w:bottom w:val="single" w:sz="4" w:space="1" w:color="auto"/>
          <w:right w:val="single" w:sz="4" w:space="1" w:color="auto"/>
        </w:pBdr>
        <w:shd w:val="clear" w:color="auto" w:fill="F2F2F2" w:themeFill="background1" w:themeFillShade="F2"/>
        <w:tabs>
          <w:tab w:val="left" w:pos="284"/>
        </w:tabs>
        <w:spacing w:after="40" w:line="240" w:lineRule="auto"/>
        <w:ind w:left="284" w:hanging="284"/>
        <w:rPr>
          <w:rFonts w:ascii="Times New Roman" w:hAnsi="Times New Roman"/>
          <w:noProof/>
        </w:rPr>
      </w:pPr>
      <w:r>
        <w:rPr>
          <w:rFonts w:ascii="Times New Roman" w:hAnsi="Times New Roman"/>
          <w:noProof/>
        </w:rPr>
        <w:t>It would reduce the overall budget of the programme for the funding of new projects compared to the initial intention of Participating States to provide Euro 200 million in cash: the cash contribution would be from the Union and Participating States would contribute only in-kind at the level of projects.</w:t>
      </w:r>
    </w:p>
    <w:p>
      <w:pPr>
        <w:pBdr>
          <w:top w:val="single" w:sz="4" w:space="1" w:color="auto"/>
          <w:left w:val="single" w:sz="4" w:space="1" w:color="auto"/>
          <w:bottom w:val="single" w:sz="4" w:space="1" w:color="auto"/>
          <w:right w:val="single" w:sz="4" w:space="1" w:color="auto"/>
        </w:pBdr>
        <w:shd w:val="clear" w:color="auto" w:fill="F2F2F2" w:themeFill="background1" w:themeFillShade="F2"/>
        <w:spacing w:before="120" w:after="0" w:line="240" w:lineRule="auto"/>
        <w:jc w:val="both"/>
        <w:rPr>
          <w:rFonts w:ascii="Times New Roman" w:hAnsi="Times New Roman"/>
          <w:b/>
          <w:noProof/>
          <w:u w:val="single"/>
        </w:rPr>
      </w:pPr>
      <w:r>
        <w:rPr>
          <w:rFonts w:ascii="Times New Roman" w:hAnsi="Times New Roman"/>
          <w:b/>
          <w:noProof/>
          <w:u w:val="single"/>
        </w:rPr>
        <w:t>EDCTP2 (Article 185 European &amp; Developing Countries Clinical Trials Partnership)</w:t>
      </w:r>
    </w:p>
    <w:p>
      <w:pPr>
        <w:pBdr>
          <w:top w:val="single" w:sz="4" w:space="1" w:color="auto"/>
          <w:left w:val="single" w:sz="4" w:space="1" w:color="auto"/>
          <w:bottom w:val="single" w:sz="4" w:space="1" w:color="auto"/>
          <w:right w:val="single" w:sz="4" w:space="1" w:color="auto"/>
        </w:pBdr>
        <w:shd w:val="clear" w:color="auto" w:fill="F2F2F2" w:themeFill="background1" w:themeFillShade="F2"/>
        <w:spacing w:after="40" w:line="240" w:lineRule="auto"/>
        <w:jc w:val="both"/>
        <w:rPr>
          <w:rFonts w:ascii="Times New Roman" w:hAnsi="Times New Roman"/>
          <w:noProof/>
        </w:rPr>
      </w:pPr>
      <w:r>
        <w:rPr>
          <w:rFonts w:ascii="Times New Roman" w:hAnsi="Times New Roman"/>
          <w:noProof/>
        </w:rPr>
        <w:t xml:space="preserve">This is the only initiative where the </w:t>
      </w:r>
      <w:r>
        <w:rPr>
          <w:rFonts w:ascii="Times New Roman" w:hAnsi="Times New Roman"/>
          <w:noProof/>
          <w:u w:val="single"/>
        </w:rPr>
        <w:t>matching of contributions takes place at programme level:</w:t>
      </w:r>
    </w:p>
    <w:p>
      <w:pPr>
        <w:pStyle w:val="ListParagraph"/>
        <w:numPr>
          <w:ilvl w:val="0"/>
          <w:numId w:val="75"/>
        </w:numPr>
        <w:pBdr>
          <w:top w:val="single" w:sz="4" w:space="1" w:color="auto"/>
          <w:left w:val="single" w:sz="4" w:space="1" w:color="auto"/>
          <w:bottom w:val="single" w:sz="4" w:space="1" w:color="auto"/>
          <w:right w:val="single" w:sz="4" w:space="1" w:color="auto"/>
        </w:pBdr>
        <w:shd w:val="clear" w:color="auto" w:fill="F2F2F2" w:themeFill="background1" w:themeFillShade="F2"/>
        <w:tabs>
          <w:tab w:val="left" w:pos="284"/>
        </w:tabs>
        <w:spacing w:after="40" w:line="240" w:lineRule="auto"/>
        <w:ind w:left="284" w:hanging="284"/>
        <w:rPr>
          <w:rFonts w:ascii="Times New Roman" w:hAnsi="Times New Roman"/>
          <w:noProof/>
        </w:rPr>
      </w:pPr>
      <w:r>
        <w:rPr>
          <w:rFonts w:ascii="Times New Roman" w:hAnsi="Times New Roman"/>
          <w:noProof/>
        </w:rPr>
        <w:t xml:space="preserve">The </w:t>
      </w:r>
      <w:r>
        <w:rPr>
          <w:rFonts w:ascii="Times New Roman" w:hAnsi="Times New Roman"/>
          <w:noProof/>
          <w:u w:val="single"/>
        </w:rPr>
        <w:t>transnational calls for proposals are financed by the Union contribution</w:t>
      </w:r>
      <w:r>
        <w:rPr>
          <w:rFonts w:ascii="Times New Roman" w:hAnsi="Times New Roman"/>
          <w:noProof/>
        </w:rPr>
        <w:t xml:space="preserve">, with </w:t>
      </w:r>
      <w:r>
        <w:rPr>
          <w:rFonts w:ascii="Times New Roman" w:hAnsi="Times New Roman"/>
          <w:noProof/>
          <w:u w:val="single"/>
        </w:rPr>
        <w:t>central grant management on the basis of the H2020 MGA</w:t>
      </w:r>
      <w:r>
        <w:rPr>
          <w:rFonts w:ascii="Times New Roman" w:hAnsi="Times New Roman"/>
          <w:noProof/>
        </w:rPr>
        <w:t>;</w:t>
      </w:r>
    </w:p>
    <w:p>
      <w:pPr>
        <w:pStyle w:val="ListParagraph"/>
        <w:numPr>
          <w:ilvl w:val="0"/>
          <w:numId w:val="75"/>
        </w:numPr>
        <w:pBdr>
          <w:top w:val="single" w:sz="4" w:space="1" w:color="auto"/>
          <w:left w:val="single" w:sz="4" w:space="1" w:color="auto"/>
          <w:bottom w:val="single" w:sz="4" w:space="1" w:color="auto"/>
          <w:right w:val="single" w:sz="4" w:space="1" w:color="auto"/>
        </w:pBdr>
        <w:shd w:val="clear" w:color="auto" w:fill="F2F2F2" w:themeFill="background1" w:themeFillShade="F2"/>
        <w:tabs>
          <w:tab w:val="left" w:pos="284"/>
        </w:tabs>
        <w:spacing w:after="40" w:line="240" w:lineRule="auto"/>
        <w:ind w:left="284" w:hanging="284"/>
        <w:rPr>
          <w:rFonts w:ascii="Times New Roman" w:hAnsi="Times New Roman"/>
          <w:noProof/>
        </w:rPr>
      </w:pPr>
      <w:r>
        <w:rPr>
          <w:rFonts w:ascii="Times New Roman" w:hAnsi="Times New Roman"/>
          <w:noProof/>
          <w:u w:val="single"/>
        </w:rPr>
        <w:t>Participating States contribute mainly with in kind-contributions</w:t>
      </w:r>
      <w:r>
        <w:rPr>
          <w:rFonts w:ascii="Times New Roman" w:hAnsi="Times New Roman"/>
          <w:noProof/>
        </w:rPr>
        <w:t>, the so-called Participating States Initiated Activities (PSIAs). These are included in the Annual Work Plan under certain conditions and implemented in accordance with common principles agreed by the Participating States and the Commission. The Annual Work Plan is subject to approval by the Commission. PSIAs are purely national activities; no transnational collaboration at programme level takes place. The costs of these activities have to be determined in accordance with the usual accounting practices and accounting standards of the Participating States concerned and the applicable International Accounting Standards / International Financial Reporting Standards.</w:t>
      </w:r>
    </w:p>
    <w:p>
      <w:pPr>
        <w:pBdr>
          <w:top w:val="single" w:sz="4" w:space="1" w:color="auto"/>
          <w:left w:val="single" w:sz="4" w:space="1" w:color="auto"/>
          <w:bottom w:val="single" w:sz="4" w:space="1" w:color="auto"/>
          <w:right w:val="single" w:sz="4" w:space="1" w:color="auto"/>
        </w:pBdr>
        <w:shd w:val="clear" w:color="auto" w:fill="F2F2F2" w:themeFill="background1" w:themeFillShade="F2"/>
        <w:spacing w:after="40" w:line="240" w:lineRule="auto"/>
        <w:jc w:val="both"/>
        <w:rPr>
          <w:rFonts w:ascii="Times New Roman" w:hAnsi="Times New Roman"/>
          <w:noProof/>
        </w:rPr>
      </w:pPr>
      <w:r>
        <w:rPr>
          <w:rFonts w:ascii="Times New Roman" w:hAnsi="Times New Roman"/>
          <w:noProof/>
        </w:rPr>
        <w:t>Important to recall in comparison to PRIMA is that in EDCTP2 the African countries are not Participating States (third countries) in the basic act. They do, however, participate in the governance of the EDCTP association with the same voting rights. This approach works well, in particular concerning the central management of the Union contributions. There are clear advantages, in particular concerning Participating States' commitments:</w:t>
      </w:r>
    </w:p>
    <w:p>
      <w:pPr>
        <w:pStyle w:val="ListParagraph"/>
        <w:numPr>
          <w:ilvl w:val="0"/>
          <w:numId w:val="75"/>
        </w:numPr>
        <w:pBdr>
          <w:top w:val="single" w:sz="4" w:space="1" w:color="auto"/>
          <w:left w:val="single" w:sz="4" w:space="1" w:color="auto"/>
          <w:bottom w:val="single" w:sz="4" w:space="1" w:color="auto"/>
          <w:right w:val="single" w:sz="4" w:space="1" w:color="auto"/>
        </w:pBdr>
        <w:shd w:val="clear" w:color="auto" w:fill="F2F2F2" w:themeFill="background1" w:themeFillShade="F2"/>
        <w:tabs>
          <w:tab w:val="left" w:pos="284"/>
        </w:tabs>
        <w:spacing w:after="40" w:line="240" w:lineRule="auto"/>
        <w:ind w:left="284" w:hanging="284"/>
        <w:rPr>
          <w:rFonts w:ascii="Times New Roman" w:hAnsi="Times New Roman"/>
          <w:noProof/>
        </w:rPr>
      </w:pPr>
      <w:r>
        <w:rPr>
          <w:rFonts w:ascii="Times New Roman" w:hAnsi="Times New Roman"/>
          <w:noProof/>
        </w:rPr>
        <w:t xml:space="preserve">The Participating States' national activities are aligned with the strategic research agenda for EDCTP2 and all activities include collaboration between Participating States and Sub-Saharan countries. A number of calls or joint activities between several Participating States take place. </w:t>
      </w:r>
    </w:p>
    <w:p>
      <w:pPr>
        <w:pStyle w:val="ListParagraph"/>
        <w:numPr>
          <w:ilvl w:val="0"/>
          <w:numId w:val="75"/>
        </w:numPr>
        <w:pBdr>
          <w:top w:val="single" w:sz="4" w:space="1" w:color="auto"/>
          <w:left w:val="single" w:sz="4" w:space="1" w:color="auto"/>
          <w:bottom w:val="single" w:sz="4" w:space="1" w:color="auto"/>
          <w:right w:val="single" w:sz="4" w:space="1" w:color="auto"/>
        </w:pBdr>
        <w:shd w:val="clear" w:color="auto" w:fill="F2F2F2" w:themeFill="background1" w:themeFillShade="F2"/>
        <w:tabs>
          <w:tab w:val="left" w:pos="284"/>
        </w:tabs>
        <w:spacing w:after="40" w:line="240" w:lineRule="auto"/>
        <w:ind w:left="284" w:hanging="284"/>
        <w:rPr>
          <w:rFonts w:ascii="Times New Roman" w:hAnsi="Times New Roman"/>
          <w:noProof/>
        </w:rPr>
      </w:pPr>
      <w:r>
        <w:rPr>
          <w:rFonts w:ascii="Times New Roman" w:hAnsi="Times New Roman"/>
          <w:noProof/>
        </w:rPr>
        <w:t>The commitments expressed so far by the Participating States in the Annual Work Plans 2014-2016 are high and exceed by Euro 400 million the amounts that are necessary to justify the Union contribution.</w:t>
      </w:r>
    </w:p>
    <w:p>
      <w:pPr>
        <w:autoSpaceDE w:val="0"/>
        <w:autoSpaceDN w:val="0"/>
        <w:spacing w:after="120" w:line="240" w:lineRule="auto"/>
        <w:jc w:val="both"/>
        <w:rPr>
          <w:rFonts w:ascii="Times New Roman" w:hAnsi="Times New Roman"/>
          <w:b/>
          <w:noProof/>
          <w:sz w:val="24"/>
          <w:szCs w:val="24"/>
          <w:lang w:eastAsia="fr-BE"/>
        </w:rPr>
      </w:pPr>
      <w:r>
        <w:rPr>
          <w:rFonts w:ascii="Times New Roman" w:hAnsi="Times New Roman"/>
          <w:b/>
          <w:noProof/>
          <w:sz w:val="24"/>
          <w:szCs w:val="24"/>
          <w:lang w:eastAsia="fr-BE"/>
        </w:rPr>
        <w:t xml:space="preserve">Delivering innovative, integrated </w:t>
      </w:r>
      <w:r>
        <w:rPr>
          <w:rFonts w:ascii="Times New Roman" w:hAnsi="Times New Roman"/>
          <w:b/>
          <w:noProof/>
          <w:sz w:val="24"/>
          <w:szCs w:val="24"/>
        </w:rPr>
        <w:t>R&amp;I</w:t>
      </w:r>
      <w:r>
        <w:rPr>
          <w:rFonts w:ascii="Times New Roman" w:hAnsi="Times New Roman"/>
          <w:noProof/>
          <w:sz w:val="24"/>
          <w:szCs w:val="24"/>
        </w:rPr>
        <w:t xml:space="preserve"> </w:t>
      </w:r>
      <w:r>
        <w:rPr>
          <w:rFonts w:ascii="Times New Roman" w:hAnsi="Times New Roman"/>
          <w:b/>
          <w:noProof/>
          <w:sz w:val="24"/>
          <w:szCs w:val="24"/>
          <w:lang w:eastAsia="fr-BE"/>
        </w:rPr>
        <w:t>solutions through the PRIMA Joint Programme</w:t>
      </w:r>
    </w:p>
    <w:p>
      <w:pPr>
        <w:autoSpaceDE w:val="0"/>
        <w:autoSpaceDN w:val="0"/>
        <w:spacing w:after="120" w:line="240" w:lineRule="auto"/>
        <w:jc w:val="both"/>
        <w:rPr>
          <w:rFonts w:ascii="Times New Roman" w:hAnsi="Times New Roman"/>
          <w:noProof/>
          <w:sz w:val="24"/>
          <w:szCs w:val="24"/>
          <w:lang w:eastAsia="fr-BE"/>
        </w:rPr>
      </w:pPr>
      <w:r>
        <w:rPr>
          <w:rFonts w:ascii="Times New Roman" w:hAnsi="Times New Roman"/>
          <w:noProof/>
          <w:sz w:val="24"/>
          <w:szCs w:val="24"/>
          <w:lang w:eastAsia="fr-BE"/>
        </w:rPr>
        <w:t xml:space="preserve">The PRIMA Joint Programme will operate on the basis of a </w:t>
      </w:r>
      <w:r>
        <w:rPr>
          <w:rFonts w:ascii="Times New Roman" w:hAnsi="Times New Roman"/>
          <w:b/>
          <w:noProof/>
          <w:sz w:val="24"/>
          <w:szCs w:val="24"/>
          <w:lang w:eastAsia="fr-BE"/>
        </w:rPr>
        <w:t xml:space="preserve">jointly formulated strategic </w:t>
      </w:r>
      <w:r>
        <w:rPr>
          <w:rFonts w:ascii="Times New Roman" w:hAnsi="Times New Roman"/>
          <w:b/>
          <w:noProof/>
          <w:sz w:val="24"/>
          <w:szCs w:val="24"/>
        </w:rPr>
        <w:t>R&amp;I</w:t>
      </w:r>
      <w:r>
        <w:rPr>
          <w:rFonts w:ascii="Times New Roman" w:hAnsi="Times New Roman"/>
          <w:noProof/>
          <w:sz w:val="24"/>
          <w:szCs w:val="24"/>
        </w:rPr>
        <w:t xml:space="preserve"> </w:t>
      </w:r>
      <w:r>
        <w:rPr>
          <w:rFonts w:ascii="Times New Roman" w:hAnsi="Times New Roman"/>
          <w:b/>
          <w:noProof/>
          <w:sz w:val="24"/>
          <w:szCs w:val="24"/>
          <w:lang w:eastAsia="fr-BE"/>
        </w:rPr>
        <w:t>agenda</w:t>
      </w:r>
      <w:r>
        <w:rPr>
          <w:rFonts w:ascii="Times New Roman" w:hAnsi="Times New Roman"/>
          <w:noProof/>
          <w:sz w:val="24"/>
          <w:szCs w:val="24"/>
          <w:lang w:eastAsia="fr-BE"/>
        </w:rPr>
        <w:t xml:space="preserve"> comprising (1) operational objectives, (2) R&amp;I gaps identified, and (3) main expected R&amp;I results.</w:t>
      </w:r>
    </w:p>
    <w:p>
      <w:pPr>
        <w:autoSpaceDE w:val="0"/>
        <w:autoSpaceDN w:val="0"/>
        <w:spacing w:after="120" w:line="240" w:lineRule="auto"/>
        <w:jc w:val="both"/>
        <w:rPr>
          <w:rFonts w:ascii="Times New Roman" w:hAnsi="Times New Roman"/>
          <w:noProof/>
          <w:sz w:val="24"/>
          <w:szCs w:val="24"/>
          <w:lang w:eastAsia="fr-BE"/>
        </w:rPr>
      </w:pPr>
      <w:r>
        <w:rPr>
          <w:rFonts w:ascii="Times New Roman" w:hAnsi="Times New Roman"/>
          <w:noProof/>
          <w:sz w:val="24"/>
          <w:szCs w:val="24"/>
          <w:lang w:eastAsia="fr-BE"/>
        </w:rPr>
        <w:t>A substantial start has already been made with the formulation of this agenda, as reflected in Table 4.1.</w:t>
      </w:r>
    </w:p>
    <w:p>
      <w:pPr>
        <w:spacing w:after="0" w:line="240" w:lineRule="auto"/>
        <w:jc w:val="both"/>
        <w:rPr>
          <w:rFonts w:ascii="Times New Roman" w:hAnsi="Times New Roman"/>
          <w:noProof/>
          <w:sz w:val="24"/>
          <w:szCs w:val="24"/>
        </w:rPr>
      </w:pPr>
    </w:p>
    <w:tbl>
      <w:tblPr>
        <w:tblStyle w:val="TableGrid2"/>
        <w:tblW w:w="9730" w:type="dxa"/>
        <w:jc w:val="center"/>
        <w:tblLayout w:type="fixed"/>
        <w:tblCellMar>
          <w:left w:w="57" w:type="dxa"/>
          <w:right w:w="57" w:type="dxa"/>
        </w:tblCellMar>
        <w:tblLook w:val="04A0" w:firstRow="1" w:lastRow="0" w:firstColumn="1" w:lastColumn="0" w:noHBand="0" w:noVBand="1"/>
      </w:tblPr>
      <w:tblGrid>
        <w:gridCol w:w="1463"/>
        <w:gridCol w:w="2127"/>
        <w:gridCol w:w="6140"/>
      </w:tblGrid>
      <w:tr>
        <w:trPr>
          <w:cantSplit/>
          <w:jc w:val="center"/>
        </w:trPr>
        <w:tc>
          <w:tcPr>
            <w:tcW w:w="1463" w:type="dxa"/>
            <w:shd w:val="clear" w:color="auto" w:fill="D9D9D9" w:themeFill="background1" w:themeFillShade="D9"/>
            <w:vAlign w:val="center"/>
          </w:tcPr>
          <w:p>
            <w:pPr>
              <w:spacing w:after="0" w:line="240" w:lineRule="auto"/>
              <w:jc w:val="center"/>
              <w:rPr>
                <w:b/>
                <w:noProof/>
              </w:rPr>
            </w:pPr>
            <w:r>
              <w:rPr>
                <w:b/>
                <w:noProof/>
              </w:rPr>
              <w:t>Operational Objectives</w:t>
            </w:r>
          </w:p>
        </w:tc>
        <w:tc>
          <w:tcPr>
            <w:tcW w:w="2127" w:type="dxa"/>
            <w:shd w:val="clear" w:color="auto" w:fill="D9D9D9" w:themeFill="background1" w:themeFillShade="D9"/>
            <w:vAlign w:val="center"/>
          </w:tcPr>
          <w:p>
            <w:pPr>
              <w:spacing w:after="0" w:line="240" w:lineRule="auto"/>
              <w:jc w:val="center"/>
              <w:rPr>
                <w:b/>
                <w:noProof/>
              </w:rPr>
            </w:pPr>
            <w:r>
              <w:rPr>
                <w:b/>
                <w:noProof/>
              </w:rPr>
              <w:t>Gaps on R&amp;I</w:t>
            </w:r>
          </w:p>
        </w:tc>
        <w:tc>
          <w:tcPr>
            <w:tcW w:w="6140" w:type="dxa"/>
            <w:shd w:val="clear" w:color="auto" w:fill="D9D9D9" w:themeFill="background1" w:themeFillShade="D9"/>
            <w:vAlign w:val="center"/>
          </w:tcPr>
          <w:p>
            <w:pPr>
              <w:spacing w:after="0" w:line="240" w:lineRule="auto"/>
              <w:jc w:val="center"/>
              <w:rPr>
                <w:b/>
                <w:noProof/>
              </w:rPr>
            </w:pPr>
            <w:r>
              <w:rPr>
                <w:b/>
                <w:noProof/>
              </w:rPr>
              <w:t>Main Expected R&amp;I Results</w:t>
            </w:r>
          </w:p>
        </w:tc>
      </w:tr>
      <w:tr>
        <w:trPr>
          <w:cantSplit/>
          <w:jc w:val="center"/>
        </w:trPr>
        <w:tc>
          <w:tcPr>
            <w:tcW w:w="1463" w:type="dxa"/>
            <w:vAlign w:val="center"/>
          </w:tcPr>
          <w:p>
            <w:pPr>
              <w:spacing w:after="0" w:line="240" w:lineRule="auto"/>
              <w:jc w:val="left"/>
              <w:rPr>
                <w:noProof/>
              </w:rPr>
            </w:pPr>
            <w:r>
              <w:rPr>
                <w:noProof/>
              </w:rPr>
              <w:t xml:space="preserve">1. Smart and sustainable farming </w:t>
            </w:r>
          </w:p>
        </w:tc>
        <w:tc>
          <w:tcPr>
            <w:tcW w:w="2127" w:type="dxa"/>
            <w:vAlign w:val="center"/>
          </w:tcPr>
          <w:p>
            <w:pPr>
              <w:widowControl w:val="0"/>
              <w:autoSpaceDE w:val="0"/>
              <w:autoSpaceDN w:val="0"/>
              <w:adjustRightInd w:val="0"/>
              <w:spacing w:after="0" w:line="240" w:lineRule="auto"/>
              <w:rPr>
                <w:noProof/>
              </w:rPr>
            </w:pPr>
            <w:r>
              <w:rPr>
                <w:noProof/>
              </w:rPr>
              <w:t>Overexploitation of natural resources and unsustainable farming</w:t>
            </w:r>
          </w:p>
        </w:tc>
        <w:tc>
          <w:tcPr>
            <w:tcW w:w="6140" w:type="dxa"/>
            <w:vAlign w:val="center"/>
          </w:tcPr>
          <w:p>
            <w:pPr>
              <w:widowControl w:val="0"/>
              <w:numPr>
                <w:ilvl w:val="0"/>
                <w:numId w:val="61"/>
              </w:numPr>
              <w:autoSpaceDE w:val="0"/>
              <w:autoSpaceDN w:val="0"/>
              <w:adjustRightInd w:val="0"/>
              <w:spacing w:after="0" w:line="240" w:lineRule="auto"/>
              <w:ind w:left="227" w:hanging="219"/>
              <w:rPr>
                <w:noProof/>
              </w:rPr>
            </w:pPr>
            <w:r>
              <w:rPr>
                <w:noProof/>
              </w:rPr>
              <w:t>New plant genotypes</w:t>
            </w:r>
          </w:p>
          <w:p>
            <w:pPr>
              <w:widowControl w:val="0"/>
              <w:numPr>
                <w:ilvl w:val="0"/>
                <w:numId w:val="61"/>
              </w:numPr>
              <w:autoSpaceDE w:val="0"/>
              <w:autoSpaceDN w:val="0"/>
              <w:adjustRightInd w:val="0"/>
              <w:spacing w:after="0" w:line="240" w:lineRule="auto"/>
              <w:ind w:left="227" w:hanging="219"/>
              <w:rPr>
                <w:noProof/>
              </w:rPr>
            </w:pPr>
            <w:r>
              <w:rPr>
                <w:noProof/>
              </w:rPr>
              <w:t>New cropping systems</w:t>
            </w:r>
          </w:p>
          <w:p>
            <w:pPr>
              <w:widowControl w:val="0"/>
              <w:numPr>
                <w:ilvl w:val="0"/>
                <w:numId w:val="61"/>
              </w:numPr>
              <w:autoSpaceDE w:val="0"/>
              <w:autoSpaceDN w:val="0"/>
              <w:adjustRightInd w:val="0"/>
              <w:spacing w:after="0" w:line="240" w:lineRule="auto"/>
              <w:ind w:left="227" w:hanging="219"/>
              <w:rPr>
                <w:noProof/>
              </w:rPr>
            </w:pPr>
            <w:r>
              <w:rPr>
                <w:noProof/>
              </w:rPr>
              <w:t>New techniques</w:t>
            </w:r>
          </w:p>
          <w:p>
            <w:pPr>
              <w:widowControl w:val="0"/>
              <w:numPr>
                <w:ilvl w:val="0"/>
                <w:numId w:val="61"/>
              </w:numPr>
              <w:autoSpaceDE w:val="0"/>
              <w:autoSpaceDN w:val="0"/>
              <w:adjustRightInd w:val="0"/>
              <w:spacing w:after="0" w:line="240" w:lineRule="auto"/>
              <w:ind w:left="227" w:hanging="219"/>
              <w:rPr>
                <w:noProof/>
              </w:rPr>
            </w:pPr>
            <w:r>
              <w:rPr>
                <w:noProof/>
              </w:rPr>
              <w:t>New tools</w:t>
            </w:r>
          </w:p>
        </w:tc>
      </w:tr>
      <w:tr>
        <w:trPr>
          <w:cantSplit/>
          <w:jc w:val="center"/>
        </w:trPr>
        <w:tc>
          <w:tcPr>
            <w:tcW w:w="1463" w:type="dxa"/>
            <w:vAlign w:val="center"/>
          </w:tcPr>
          <w:p>
            <w:pPr>
              <w:widowControl w:val="0"/>
              <w:autoSpaceDE w:val="0"/>
              <w:autoSpaceDN w:val="0"/>
              <w:adjustRightInd w:val="0"/>
              <w:spacing w:after="0" w:line="240" w:lineRule="auto"/>
              <w:jc w:val="left"/>
              <w:rPr>
                <w:noProof/>
              </w:rPr>
            </w:pPr>
            <w:r>
              <w:rPr>
                <w:noProof/>
              </w:rPr>
              <w:t>2. Water-saving solutions</w:t>
            </w:r>
          </w:p>
        </w:tc>
        <w:tc>
          <w:tcPr>
            <w:tcW w:w="2127" w:type="dxa"/>
            <w:vAlign w:val="center"/>
          </w:tcPr>
          <w:p>
            <w:pPr>
              <w:widowControl w:val="0"/>
              <w:autoSpaceDE w:val="0"/>
              <w:autoSpaceDN w:val="0"/>
              <w:adjustRightInd w:val="0"/>
              <w:spacing w:after="0" w:line="240" w:lineRule="auto"/>
              <w:rPr>
                <w:noProof/>
              </w:rPr>
            </w:pPr>
            <w:r>
              <w:rPr>
                <w:noProof/>
              </w:rPr>
              <w:t>On-farm irrigation inefficiencies</w:t>
            </w:r>
          </w:p>
        </w:tc>
        <w:tc>
          <w:tcPr>
            <w:tcW w:w="6140" w:type="dxa"/>
            <w:vAlign w:val="center"/>
          </w:tcPr>
          <w:p>
            <w:pPr>
              <w:widowControl w:val="0"/>
              <w:numPr>
                <w:ilvl w:val="0"/>
                <w:numId w:val="61"/>
              </w:numPr>
              <w:autoSpaceDE w:val="0"/>
              <w:autoSpaceDN w:val="0"/>
              <w:adjustRightInd w:val="0"/>
              <w:spacing w:after="0" w:line="240" w:lineRule="auto"/>
              <w:ind w:left="227" w:hanging="219"/>
              <w:rPr>
                <w:noProof/>
              </w:rPr>
            </w:pPr>
            <w:r>
              <w:rPr>
                <w:noProof/>
              </w:rPr>
              <w:t>Improved irrigation strategies and methods</w:t>
            </w:r>
          </w:p>
        </w:tc>
      </w:tr>
      <w:tr>
        <w:trPr>
          <w:cantSplit/>
          <w:jc w:val="center"/>
        </w:trPr>
        <w:tc>
          <w:tcPr>
            <w:tcW w:w="1463" w:type="dxa"/>
            <w:vAlign w:val="center"/>
          </w:tcPr>
          <w:p>
            <w:pPr>
              <w:widowControl w:val="0"/>
              <w:autoSpaceDE w:val="0"/>
              <w:autoSpaceDN w:val="0"/>
              <w:adjustRightInd w:val="0"/>
              <w:spacing w:after="0" w:line="240" w:lineRule="auto"/>
              <w:jc w:val="left"/>
              <w:rPr>
                <w:noProof/>
              </w:rPr>
            </w:pPr>
            <w:r>
              <w:rPr>
                <w:noProof/>
              </w:rPr>
              <w:t xml:space="preserve">3. Mediterranean food products </w:t>
            </w:r>
          </w:p>
        </w:tc>
        <w:tc>
          <w:tcPr>
            <w:tcW w:w="2127" w:type="dxa"/>
            <w:vAlign w:val="center"/>
          </w:tcPr>
          <w:p>
            <w:pPr>
              <w:widowControl w:val="0"/>
              <w:autoSpaceDE w:val="0"/>
              <w:autoSpaceDN w:val="0"/>
              <w:adjustRightInd w:val="0"/>
              <w:spacing w:after="0" w:line="240" w:lineRule="auto"/>
              <w:rPr>
                <w:noProof/>
              </w:rPr>
            </w:pPr>
            <w:r>
              <w:rPr>
                <w:noProof/>
              </w:rPr>
              <w:t>Changes in food demand and consequences on food supply chains, nutrition and health</w:t>
            </w:r>
          </w:p>
        </w:tc>
        <w:tc>
          <w:tcPr>
            <w:tcW w:w="6140" w:type="dxa"/>
            <w:vAlign w:val="center"/>
          </w:tcPr>
          <w:p>
            <w:pPr>
              <w:widowControl w:val="0"/>
              <w:numPr>
                <w:ilvl w:val="0"/>
                <w:numId w:val="61"/>
              </w:numPr>
              <w:autoSpaceDE w:val="0"/>
              <w:autoSpaceDN w:val="0"/>
              <w:adjustRightInd w:val="0"/>
              <w:spacing w:after="0" w:line="240" w:lineRule="auto"/>
              <w:ind w:left="227" w:hanging="219"/>
              <w:rPr>
                <w:noProof/>
              </w:rPr>
            </w:pPr>
            <w:r>
              <w:rPr>
                <w:noProof/>
              </w:rPr>
              <w:t>Feed/food security and safety</w:t>
            </w:r>
          </w:p>
          <w:p>
            <w:pPr>
              <w:widowControl w:val="0"/>
              <w:numPr>
                <w:ilvl w:val="0"/>
                <w:numId w:val="61"/>
              </w:numPr>
              <w:autoSpaceDE w:val="0"/>
              <w:autoSpaceDN w:val="0"/>
              <w:adjustRightInd w:val="0"/>
              <w:spacing w:after="0" w:line="240" w:lineRule="auto"/>
              <w:ind w:left="227" w:hanging="219"/>
              <w:rPr>
                <w:noProof/>
              </w:rPr>
            </w:pPr>
            <w:r>
              <w:rPr>
                <w:noProof/>
              </w:rPr>
              <w:t>Innovation and functional foods</w:t>
            </w:r>
          </w:p>
          <w:p>
            <w:pPr>
              <w:widowControl w:val="0"/>
              <w:numPr>
                <w:ilvl w:val="0"/>
                <w:numId w:val="61"/>
              </w:numPr>
              <w:autoSpaceDE w:val="0"/>
              <w:autoSpaceDN w:val="0"/>
              <w:adjustRightInd w:val="0"/>
              <w:spacing w:after="0" w:line="240" w:lineRule="auto"/>
              <w:ind w:left="227" w:hanging="219"/>
              <w:rPr>
                <w:noProof/>
              </w:rPr>
            </w:pPr>
            <w:r>
              <w:rPr>
                <w:noProof/>
              </w:rPr>
              <w:t>Innovation in recipes and ingredients</w:t>
            </w:r>
          </w:p>
          <w:p>
            <w:pPr>
              <w:widowControl w:val="0"/>
              <w:numPr>
                <w:ilvl w:val="0"/>
                <w:numId w:val="61"/>
              </w:numPr>
              <w:autoSpaceDE w:val="0"/>
              <w:autoSpaceDN w:val="0"/>
              <w:adjustRightInd w:val="0"/>
              <w:spacing w:after="0" w:line="240" w:lineRule="auto"/>
              <w:ind w:left="227" w:hanging="219"/>
              <w:rPr>
                <w:noProof/>
              </w:rPr>
            </w:pPr>
            <w:r>
              <w:rPr>
                <w:noProof/>
              </w:rPr>
              <w:t>Environmentally friendly solutions</w:t>
            </w:r>
          </w:p>
        </w:tc>
      </w:tr>
      <w:tr>
        <w:trPr>
          <w:cantSplit/>
          <w:jc w:val="center"/>
        </w:trPr>
        <w:tc>
          <w:tcPr>
            <w:tcW w:w="1463" w:type="dxa"/>
            <w:vAlign w:val="center"/>
          </w:tcPr>
          <w:p>
            <w:pPr>
              <w:widowControl w:val="0"/>
              <w:autoSpaceDE w:val="0"/>
              <w:autoSpaceDN w:val="0"/>
              <w:adjustRightInd w:val="0"/>
              <w:spacing w:after="0" w:line="240" w:lineRule="auto"/>
              <w:jc w:val="left"/>
              <w:rPr>
                <w:noProof/>
              </w:rPr>
            </w:pPr>
            <w:r>
              <w:rPr>
                <w:noProof/>
              </w:rPr>
              <w:t>4. Food and water efficiency</w:t>
            </w:r>
          </w:p>
        </w:tc>
        <w:tc>
          <w:tcPr>
            <w:tcW w:w="2127" w:type="dxa"/>
            <w:vAlign w:val="center"/>
          </w:tcPr>
          <w:p>
            <w:pPr>
              <w:widowControl w:val="0"/>
              <w:autoSpaceDE w:val="0"/>
              <w:autoSpaceDN w:val="0"/>
              <w:adjustRightInd w:val="0"/>
              <w:spacing w:after="0" w:line="240" w:lineRule="auto"/>
              <w:rPr>
                <w:noProof/>
              </w:rPr>
            </w:pPr>
            <w:r>
              <w:rPr>
                <w:noProof/>
              </w:rPr>
              <w:t>Food and water losses and wastes</w:t>
            </w:r>
            <w:r>
              <w:rPr>
                <w:noProof/>
                <w:lang w:val="en-US"/>
              </w:rPr>
              <w:drawing>
                <wp:inline distT="0" distB="0" distL="0" distR="0">
                  <wp:extent cx="7620" cy="7620"/>
                  <wp:effectExtent l="0" t="0" r="0" b="0"/>
                  <wp:docPr id="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6140" w:type="dxa"/>
            <w:vAlign w:val="center"/>
          </w:tcPr>
          <w:p>
            <w:pPr>
              <w:widowControl w:val="0"/>
              <w:numPr>
                <w:ilvl w:val="0"/>
                <w:numId w:val="61"/>
              </w:numPr>
              <w:autoSpaceDE w:val="0"/>
              <w:autoSpaceDN w:val="0"/>
              <w:adjustRightInd w:val="0"/>
              <w:spacing w:after="0" w:line="240" w:lineRule="auto"/>
              <w:ind w:left="227" w:hanging="219"/>
              <w:rPr>
                <w:noProof/>
              </w:rPr>
            </w:pPr>
            <w:r>
              <w:rPr>
                <w:noProof/>
              </w:rPr>
              <w:t>Reusing and co-using biomass, by-products, waste, water processing</w:t>
            </w:r>
          </w:p>
          <w:p>
            <w:pPr>
              <w:widowControl w:val="0"/>
              <w:numPr>
                <w:ilvl w:val="0"/>
                <w:numId w:val="61"/>
              </w:numPr>
              <w:autoSpaceDE w:val="0"/>
              <w:autoSpaceDN w:val="0"/>
              <w:adjustRightInd w:val="0"/>
              <w:spacing w:after="0" w:line="240" w:lineRule="auto"/>
              <w:ind w:left="227" w:hanging="219"/>
              <w:rPr>
                <w:noProof/>
              </w:rPr>
            </w:pPr>
            <w:r>
              <w:rPr>
                <w:noProof/>
              </w:rPr>
              <w:t>Post-harvest processing</w:t>
            </w:r>
          </w:p>
          <w:p>
            <w:pPr>
              <w:widowControl w:val="0"/>
              <w:numPr>
                <w:ilvl w:val="0"/>
                <w:numId w:val="61"/>
              </w:numPr>
              <w:autoSpaceDE w:val="0"/>
              <w:autoSpaceDN w:val="0"/>
              <w:adjustRightInd w:val="0"/>
              <w:spacing w:after="0" w:line="240" w:lineRule="auto"/>
              <w:ind w:left="227" w:hanging="219"/>
              <w:rPr>
                <w:noProof/>
              </w:rPr>
            </w:pPr>
            <w:r>
              <w:rPr>
                <w:noProof/>
              </w:rPr>
              <w:t>Water and energy efficiency</w:t>
            </w:r>
          </w:p>
        </w:tc>
      </w:tr>
      <w:tr>
        <w:trPr>
          <w:cantSplit/>
          <w:jc w:val="center"/>
        </w:trPr>
        <w:tc>
          <w:tcPr>
            <w:tcW w:w="1463" w:type="dxa"/>
            <w:vAlign w:val="center"/>
          </w:tcPr>
          <w:p>
            <w:pPr>
              <w:widowControl w:val="0"/>
              <w:autoSpaceDE w:val="0"/>
              <w:autoSpaceDN w:val="0"/>
              <w:adjustRightInd w:val="0"/>
              <w:spacing w:after="0" w:line="240" w:lineRule="auto"/>
              <w:jc w:val="left"/>
              <w:rPr>
                <w:noProof/>
              </w:rPr>
            </w:pPr>
            <w:r>
              <w:rPr>
                <w:noProof/>
              </w:rPr>
              <w:t>5. Pests and pathogens in farming</w:t>
            </w:r>
          </w:p>
        </w:tc>
        <w:tc>
          <w:tcPr>
            <w:tcW w:w="2127" w:type="dxa"/>
            <w:vAlign w:val="center"/>
          </w:tcPr>
          <w:p>
            <w:pPr>
              <w:widowControl w:val="0"/>
              <w:autoSpaceDE w:val="0"/>
              <w:autoSpaceDN w:val="0"/>
              <w:adjustRightInd w:val="0"/>
              <w:spacing w:after="0" w:line="240" w:lineRule="auto"/>
              <w:rPr>
                <w:noProof/>
              </w:rPr>
            </w:pPr>
            <w:r>
              <w:rPr>
                <w:noProof/>
              </w:rPr>
              <w:t>Animal and plant diseases</w:t>
            </w:r>
          </w:p>
        </w:tc>
        <w:tc>
          <w:tcPr>
            <w:tcW w:w="6140" w:type="dxa"/>
            <w:vAlign w:val="center"/>
          </w:tcPr>
          <w:p>
            <w:pPr>
              <w:widowControl w:val="0"/>
              <w:numPr>
                <w:ilvl w:val="0"/>
                <w:numId w:val="61"/>
              </w:numPr>
              <w:autoSpaceDE w:val="0"/>
              <w:autoSpaceDN w:val="0"/>
              <w:adjustRightInd w:val="0"/>
              <w:spacing w:after="0" w:line="240" w:lineRule="auto"/>
              <w:ind w:left="227" w:hanging="219"/>
              <w:rPr>
                <w:noProof/>
              </w:rPr>
            </w:pPr>
            <w:r>
              <w:rPr>
                <w:noProof/>
              </w:rPr>
              <w:t>Better knowledge of pest and disease distribution and their drivers</w:t>
            </w:r>
          </w:p>
          <w:p>
            <w:pPr>
              <w:widowControl w:val="0"/>
              <w:numPr>
                <w:ilvl w:val="0"/>
                <w:numId w:val="61"/>
              </w:numPr>
              <w:autoSpaceDE w:val="0"/>
              <w:autoSpaceDN w:val="0"/>
              <w:adjustRightInd w:val="0"/>
              <w:spacing w:after="0" w:line="240" w:lineRule="auto"/>
              <w:ind w:left="227" w:hanging="219"/>
              <w:rPr>
                <w:noProof/>
              </w:rPr>
            </w:pPr>
            <w:r>
              <w:rPr>
                <w:noProof/>
              </w:rPr>
              <w:t>Better pest and disease surveillance methods and networks</w:t>
            </w:r>
          </w:p>
          <w:p>
            <w:pPr>
              <w:widowControl w:val="0"/>
              <w:numPr>
                <w:ilvl w:val="0"/>
                <w:numId w:val="61"/>
              </w:numPr>
              <w:autoSpaceDE w:val="0"/>
              <w:autoSpaceDN w:val="0"/>
              <w:adjustRightInd w:val="0"/>
              <w:spacing w:after="0" w:line="240" w:lineRule="auto"/>
              <w:ind w:left="227" w:hanging="219"/>
              <w:rPr>
                <w:noProof/>
              </w:rPr>
            </w:pPr>
            <w:r>
              <w:rPr>
                <w:noProof/>
              </w:rPr>
              <w:t>Pest and disease modelling</w:t>
            </w:r>
          </w:p>
          <w:p>
            <w:pPr>
              <w:widowControl w:val="0"/>
              <w:numPr>
                <w:ilvl w:val="0"/>
                <w:numId w:val="61"/>
              </w:numPr>
              <w:autoSpaceDE w:val="0"/>
              <w:autoSpaceDN w:val="0"/>
              <w:adjustRightInd w:val="0"/>
              <w:spacing w:after="0" w:line="240" w:lineRule="auto"/>
              <w:ind w:left="227" w:hanging="219"/>
              <w:rPr>
                <w:noProof/>
              </w:rPr>
            </w:pPr>
            <w:r>
              <w:rPr>
                <w:noProof/>
              </w:rPr>
              <w:t>Better preparedness at the national and regional levels to emerging trans-boundary pest and disease events</w:t>
            </w:r>
          </w:p>
        </w:tc>
      </w:tr>
      <w:tr>
        <w:trPr>
          <w:cantSplit/>
          <w:jc w:val="center"/>
        </w:trPr>
        <w:tc>
          <w:tcPr>
            <w:tcW w:w="1463" w:type="dxa"/>
            <w:vAlign w:val="center"/>
          </w:tcPr>
          <w:p>
            <w:pPr>
              <w:widowControl w:val="0"/>
              <w:autoSpaceDE w:val="0"/>
              <w:autoSpaceDN w:val="0"/>
              <w:adjustRightInd w:val="0"/>
              <w:spacing w:after="0" w:line="240" w:lineRule="auto"/>
              <w:jc w:val="left"/>
              <w:rPr>
                <w:noProof/>
              </w:rPr>
            </w:pPr>
            <w:r>
              <w:rPr>
                <w:noProof/>
              </w:rPr>
              <w:t>6. New agro-business models</w:t>
            </w:r>
          </w:p>
        </w:tc>
        <w:tc>
          <w:tcPr>
            <w:tcW w:w="2127" w:type="dxa"/>
            <w:vAlign w:val="center"/>
          </w:tcPr>
          <w:p>
            <w:pPr>
              <w:widowControl w:val="0"/>
              <w:autoSpaceDE w:val="0"/>
              <w:autoSpaceDN w:val="0"/>
              <w:adjustRightInd w:val="0"/>
              <w:spacing w:after="0" w:line="240" w:lineRule="auto"/>
              <w:rPr>
                <w:noProof/>
              </w:rPr>
            </w:pPr>
            <w:r>
              <w:rPr>
                <w:noProof/>
              </w:rPr>
              <w:t>Business food systems unable to create employment and economic growth</w:t>
            </w:r>
          </w:p>
        </w:tc>
        <w:tc>
          <w:tcPr>
            <w:tcW w:w="6140" w:type="dxa"/>
            <w:vAlign w:val="center"/>
          </w:tcPr>
          <w:p>
            <w:pPr>
              <w:widowControl w:val="0"/>
              <w:numPr>
                <w:ilvl w:val="0"/>
                <w:numId w:val="61"/>
              </w:numPr>
              <w:autoSpaceDE w:val="0"/>
              <w:autoSpaceDN w:val="0"/>
              <w:adjustRightInd w:val="0"/>
              <w:spacing w:after="0" w:line="240" w:lineRule="auto"/>
              <w:ind w:left="227" w:hanging="219"/>
              <w:rPr>
                <w:noProof/>
              </w:rPr>
            </w:pPr>
            <w:r>
              <w:rPr>
                <w:noProof/>
              </w:rPr>
              <w:t xml:space="preserve">Identification of best practices in sustainable business models </w:t>
            </w:r>
          </w:p>
          <w:p>
            <w:pPr>
              <w:widowControl w:val="0"/>
              <w:numPr>
                <w:ilvl w:val="0"/>
                <w:numId w:val="61"/>
              </w:numPr>
              <w:autoSpaceDE w:val="0"/>
              <w:autoSpaceDN w:val="0"/>
              <w:adjustRightInd w:val="0"/>
              <w:spacing w:after="0" w:line="240" w:lineRule="auto"/>
              <w:ind w:left="227" w:hanging="219"/>
              <w:rPr>
                <w:noProof/>
              </w:rPr>
            </w:pPr>
            <w:r>
              <w:rPr>
                <w:noProof/>
              </w:rPr>
              <w:t>Eco-friendly Mediterranean food industry, integrating safe and quality food production and ecosystem conservation</w:t>
            </w:r>
          </w:p>
          <w:p>
            <w:pPr>
              <w:widowControl w:val="0"/>
              <w:numPr>
                <w:ilvl w:val="0"/>
                <w:numId w:val="61"/>
              </w:numPr>
              <w:autoSpaceDE w:val="0"/>
              <w:autoSpaceDN w:val="0"/>
              <w:adjustRightInd w:val="0"/>
              <w:spacing w:after="0" w:line="240" w:lineRule="auto"/>
              <w:ind w:left="227" w:hanging="219"/>
              <w:rPr>
                <w:noProof/>
              </w:rPr>
            </w:pPr>
            <w:r>
              <w:rPr>
                <w:noProof/>
              </w:rPr>
              <w:t xml:space="preserve">Premium quality Mediterranean products </w:t>
            </w:r>
          </w:p>
        </w:tc>
      </w:tr>
      <w:tr>
        <w:trPr>
          <w:cantSplit/>
          <w:jc w:val="center"/>
        </w:trPr>
        <w:tc>
          <w:tcPr>
            <w:tcW w:w="1463" w:type="dxa"/>
            <w:vAlign w:val="center"/>
          </w:tcPr>
          <w:p>
            <w:pPr>
              <w:widowControl w:val="0"/>
              <w:autoSpaceDE w:val="0"/>
              <w:autoSpaceDN w:val="0"/>
              <w:adjustRightInd w:val="0"/>
              <w:spacing w:after="0" w:line="240" w:lineRule="auto"/>
              <w:jc w:val="left"/>
              <w:rPr>
                <w:noProof/>
              </w:rPr>
            </w:pPr>
            <w:r>
              <w:rPr>
                <w:noProof/>
              </w:rPr>
              <w:t xml:space="preserve">7. Land and water sustainability </w:t>
            </w:r>
          </w:p>
        </w:tc>
        <w:tc>
          <w:tcPr>
            <w:tcW w:w="2127" w:type="dxa"/>
            <w:vAlign w:val="center"/>
          </w:tcPr>
          <w:p>
            <w:pPr>
              <w:widowControl w:val="0"/>
              <w:autoSpaceDE w:val="0"/>
              <w:autoSpaceDN w:val="0"/>
              <w:adjustRightInd w:val="0"/>
              <w:spacing w:after="0" w:line="240" w:lineRule="auto"/>
              <w:rPr>
                <w:noProof/>
              </w:rPr>
            </w:pPr>
            <w:r>
              <w:rPr>
                <w:noProof/>
              </w:rPr>
              <w:t>Soil erosion and mismanagement of water cycle at the watershed level</w:t>
            </w:r>
            <w:r>
              <w:rPr>
                <w:noProof/>
                <w:lang w:val="en-US"/>
              </w:rPr>
              <w:drawing>
                <wp:inline distT="0" distB="0" distL="0" distR="0">
                  <wp:extent cx="7620" cy="7620"/>
                  <wp:effectExtent l="0" t="0" r="0" b="0"/>
                  <wp:docPr id="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6140" w:type="dxa"/>
            <w:vAlign w:val="center"/>
          </w:tcPr>
          <w:p>
            <w:pPr>
              <w:widowControl w:val="0"/>
              <w:numPr>
                <w:ilvl w:val="0"/>
                <w:numId w:val="61"/>
              </w:numPr>
              <w:autoSpaceDE w:val="0"/>
              <w:autoSpaceDN w:val="0"/>
              <w:adjustRightInd w:val="0"/>
              <w:spacing w:after="0" w:line="240" w:lineRule="auto"/>
              <w:ind w:left="227" w:hanging="219"/>
              <w:rPr>
                <w:noProof/>
              </w:rPr>
            </w:pPr>
            <w:r>
              <w:rPr>
                <w:noProof/>
              </w:rPr>
              <w:t>Anticipation of the impacts of future changes on resources and societies</w:t>
            </w:r>
          </w:p>
          <w:p>
            <w:pPr>
              <w:widowControl w:val="0"/>
              <w:numPr>
                <w:ilvl w:val="0"/>
                <w:numId w:val="61"/>
              </w:numPr>
              <w:autoSpaceDE w:val="0"/>
              <w:autoSpaceDN w:val="0"/>
              <w:adjustRightInd w:val="0"/>
              <w:spacing w:after="0" w:line="240" w:lineRule="auto"/>
              <w:ind w:left="227" w:hanging="219"/>
              <w:rPr>
                <w:noProof/>
              </w:rPr>
            </w:pPr>
            <w:r>
              <w:rPr>
                <w:noProof/>
              </w:rPr>
              <w:t>Test of resilience of natural socio-environmental systems to variability and long term trends impacting land and water</w:t>
            </w:r>
          </w:p>
          <w:p>
            <w:pPr>
              <w:widowControl w:val="0"/>
              <w:numPr>
                <w:ilvl w:val="0"/>
                <w:numId w:val="61"/>
              </w:numPr>
              <w:autoSpaceDE w:val="0"/>
              <w:autoSpaceDN w:val="0"/>
              <w:adjustRightInd w:val="0"/>
              <w:spacing w:after="0" w:line="240" w:lineRule="auto"/>
              <w:ind w:left="227" w:hanging="219"/>
              <w:rPr>
                <w:noProof/>
              </w:rPr>
            </w:pPr>
            <w:r>
              <w:rPr>
                <w:noProof/>
              </w:rPr>
              <w:t xml:space="preserve">New strategies for soil management to provide higher sustainable and productive use </w:t>
            </w:r>
          </w:p>
          <w:p>
            <w:pPr>
              <w:widowControl w:val="0"/>
              <w:numPr>
                <w:ilvl w:val="0"/>
                <w:numId w:val="61"/>
              </w:numPr>
              <w:autoSpaceDE w:val="0"/>
              <w:autoSpaceDN w:val="0"/>
              <w:adjustRightInd w:val="0"/>
              <w:spacing w:after="0" w:line="240" w:lineRule="auto"/>
              <w:ind w:left="227" w:hanging="219"/>
              <w:rPr>
                <w:noProof/>
              </w:rPr>
            </w:pPr>
            <w:r>
              <w:rPr>
                <w:noProof/>
              </w:rPr>
              <w:t>Mitigation of salinization processes by combining land conservation and efficient water desalinization and water use from farm to watershed scale</w:t>
            </w:r>
          </w:p>
          <w:p>
            <w:pPr>
              <w:widowControl w:val="0"/>
              <w:numPr>
                <w:ilvl w:val="0"/>
                <w:numId w:val="61"/>
              </w:numPr>
              <w:autoSpaceDE w:val="0"/>
              <w:autoSpaceDN w:val="0"/>
              <w:adjustRightInd w:val="0"/>
              <w:spacing w:after="0" w:line="240" w:lineRule="auto"/>
              <w:ind w:left="227" w:hanging="219"/>
              <w:rPr>
                <w:noProof/>
              </w:rPr>
            </w:pPr>
            <w:r>
              <w:rPr>
                <w:noProof/>
              </w:rPr>
              <w:t xml:space="preserve">New vision of the dynamic management of natural resources, considering simultaneously </w:t>
            </w:r>
            <w:r>
              <w:rPr>
                <w:rFonts w:ascii="MS Gothic" w:eastAsia="MS Gothic" w:hAnsi="MS Gothic" w:cs="MS Gothic"/>
                <w:noProof/>
              </w:rPr>
              <w:t> </w:t>
            </w:r>
            <w:r>
              <w:rPr>
                <w:noProof/>
              </w:rPr>
              <w:t>quantity and quality dimensions</w:t>
            </w:r>
          </w:p>
        </w:tc>
      </w:tr>
      <w:tr>
        <w:trPr>
          <w:cantSplit/>
          <w:jc w:val="center"/>
        </w:trPr>
        <w:tc>
          <w:tcPr>
            <w:tcW w:w="1463" w:type="dxa"/>
            <w:vAlign w:val="center"/>
          </w:tcPr>
          <w:p>
            <w:pPr>
              <w:widowControl w:val="0"/>
              <w:autoSpaceDE w:val="0"/>
              <w:autoSpaceDN w:val="0"/>
              <w:adjustRightInd w:val="0"/>
              <w:spacing w:after="0" w:line="240" w:lineRule="auto"/>
              <w:jc w:val="left"/>
              <w:rPr>
                <w:noProof/>
              </w:rPr>
            </w:pPr>
            <w:r>
              <w:rPr>
                <w:noProof/>
              </w:rPr>
              <w:t>8. Water governance systems</w:t>
            </w:r>
          </w:p>
        </w:tc>
        <w:tc>
          <w:tcPr>
            <w:tcW w:w="2127" w:type="dxa"/>
            <w:vAlign w:val="center"/>
          </w:tcPr>
          <w:p>
            <w:pPr>
              <w:widowControl w:val="0"/>
              <w:autoSpaceDE w:val="0"/>
              <w:autoSpaceDN w:val="0"/>
              <w:adjustRightInd w:val="0"/>
              <w:spacing w:after="0" w:line="240" w:lineRule="auto"/>
              <w:rPr>
                <w:noProof/>
              </w:rPr>
            </w:pPr>
            <w:r>
              <w:rPr>
                <w:noProof/>
              </w:rPr>
              <w:t>Inequitable water allocation and un- sustainable water management</w:t>
            </w:r>
          </w:p>
        </w:tc>
        <w:tc>
          <w:tcPr>
            <w:tcW w:w="6140" w:type="dxa"/>
            <w:vAlign w:val="center"/>
          </w:tcPr>
          <w:p>
            <w:pPr>
              <w:widowControl w:val="0"/>
              <w:numPr>
                <w:ilvl w:val="0"/>
                <w:numId w:val="61"/>
              </w:numPr>
              <w:autoSpaceDE w:val="0"/>
              <w:autoSpaceDN w:val="0"/>
              <w:adjustRightInd w:val="0"/>
              <w:spacing w:after="0" w:line="240" w:lineRule="auto"/>
              <w:ind w:left="227" w:hanging="219"/>
              <w:rPr>
                <w:noProof/>
              </w:rPr>
            </w:pPr>
            <w:r>
              <w:rPr>
                <w:noProof/>
              </w:rPr>
              <w:t>New models for the governance of water management systems, including: innovative tools/Decision Support Systems for planning, monitoring and forecasting systems, unconventional water resources</w:t>
            </w:r>
          </w:p>
          <w:p>
            <w:pPr>
              <w:widowControl w:val="0"/>
              <w:numPr>
                <w:ilvl w:val="0"/>
                <w:numId w:val="61"/>
              </w:numPr>
              <w:autoSpaceDE w:val="0"/>
              <w:autoSpaceDN w:val="0"/>
              <w:adjustRightInd w:val="0"/>
              <w:spacing w:after="0" w:line="240" w:lineRule="auto"/>
              <w:ind w:left="227" w:hanging="219"/>
              <w:rPr>
                <w:noProof/>
              </w:rPr>
            </w:pPr>
            <w:r>
              <w:rPr>
                <w:noProof/>
              </w:rPr>
              <w:t>New methodological approaches to enhance public and stakeholder involvement and the empowerment of civil society</w:t>
            </w:r>
          </w:p>
          <w:p>
            <w:pPr>
              <w:widowControl w:val="0"/>
              <w:numPr>
                <w:ilvl w:val="0"/>
                <w:numId w:val="61"/>
              </w:numPr>
              <w:autoSpaceDE w:val="0"/>
              <w:autoSpaceDN w:val="0"/>
              <w:adjustRightInd w:val="0"/>
              <w:spacing w:after="0" w:line="240" w:lineRule="auto"/>
              <w:ind w:left="227" w:hanging="219"/>
              <w:rPr>
                <w:noProof/>
              </w:rPr>
            </w:pPr>
            <w:r>
              <w:rPr>
                <w:noProof/>
              </w:rPr>
              <w:t>Water sanitation and detoxification in food production</w:t>
            </w:r>
          </w:p>
        </w:tc>
      </w:tr>
    </w:tbl>
    <w:p>
      <w:pPr>
        <w:spacing w:after="0" w:line="240" w:lineRule="auto"/>
        <w:rPr>
          <w:rFonts w:ascii="Times New Roman" w:hAnsi="Times New Roman"/>
          <w:b/>
          <w:noProof/>
          <w:color w:val="000000"/>
          <w:sz w:val="20"/>
          <w:szCs w:val="24"/>
        </w:rPr>
      </w:pPr>
      <w:r>
        <w:rPr>
          <w:rFonts w:ascii="Times New Roman" w:hAnsi="Times New Roman"/>
          <w:b/>
          <w:noProof/>
          <w:color w:val="000000"/>
          <w:sz w:val="20"/>
          <w:szCs w:val="24"/>
        </w:rPr>
        <w:t>Table 4.1: Main R&amp;I outcome of PRIMA Joint Programme</w:t>
      </w:r>
    </w:p>
    <w:p>
      <w:pPr>
        <w:spacing w:after="0" w:line="240" w:lineRule="auto"/>
        <w:rPr>
          <w:rFonts w:ascii="Times New Roman" w:hAnsi="Times New Roman"/>
          <w:b/>
          <w:noProof/>
          <w:sz w:val="20"/>
          <w:szCs w:val="24"/>
        </w:rPr>
      </w:pPr>
    </w:p>
    <w:p>
      <w:pPr>
        <w:widowControl w:val="0"/>
        <w:autoSpaceDE w:val="0"/>
        <w:autoSpaceDN w:val="0"/>
        <w:adjustRightInd w:val="0"/>
        <w:spacing w:after="120" w:line="240" w:lineRule="auto"/>
        <w:ind w:right="-6"/>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This strategic joint </w:t>
      </w:r>
      <w:r>
        <w:rPr>
          <w:rFonts w:ascii="Times New Roman" w:hAnsi="Times New Roman"/>
          <w:noProof/>
          <w:sz w:val="24"/>
          <w:szCs w:val="24"/>
        </w:rPr>
        <w:t xml:space="preserve">R&amp;I </w:t>
      </w:r>
      <w:r>
        <w:rPr>
          <w:rFonts w:ascii="Times New Roman" w:eastAsia="Times New Roman" w:hAnsi="Times New Roman"/>
          <w:noProof/>
          <w:sz w:val="24"/>
          <w:szCs w:val="24"/>
          <w:lang w:eastAsia="en-GB"/>
        </w:rPr>
        <w:t xml:space="preserve">agenda will be implemented through a succession of </w:t>
      </w:r>
      <w:r>
        <w:rPr>
          <w:rFonts w:ascii="Times New Roman" w:eastAsia="Times New Roman" w:hAnsi="Times New Roman"/>
          <w:b/>
          <w:noProof/>
          <w:sz w:val="24"/>
          <w:szCs w:val="24"/>
          <w:lang w:eastAsia="en-GB"/>
        </w:rPr>
        <w:t>Annual Work Programmes</w:t>
      </w:r>
      <w:r>
        <w:rPr>
          <w:rFonts w:ascii="Times New Roman" w:eastAsia="Times New Roman" w:hAnsi="Times New Roman"/>
          <w:noProof/>
          <w:sz w:val="24"/>
          <w:szCs w:val="24"/>
          <w:lang w:eastAsia="en-GB"/>
        </w:rPr>
        <w:t>.</w:t>
      </w:r>
    </w:p>
    <w:p>
      <w:pPr>
        <w:widowControl w:val="0"/>
        <w:autoSpaceDE w:val="0"/>
        <w:autoSpaceDN w:val="0"/>
        <w:adjustRightInd w:val="0"/>
        <w:spacing w:after="120" w:line="240" w:lineRule="auto"/>
        <w:ind w:right="-6"/>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A </w:t>
      </w:r>
      <w:r>
        <w:rPr>
          <w:rFonts w:ascii="Times New Roman" w:eastAsia="Times New Roman" w:hAnsi="Times New Roman"/>
          <w:b/>
          <w:noProof/>
          <w:sz w:val="24"/>
          <w:szCs w:val="24"/>
          <w:lang w:eastAsia="en-GB"/>
        </w:rPr>
        <w:t>clear division of labour</w:t>
      </w:r>
      <w:r>
        <w:rPr>
          <w:rFonts w:ascii="Times New Roman" w:eastAsia="Times New Roman" w:hAnsi="Times New Roman"/>
          <w:noProof/>
          <w:sz w:val="24"/>
          <w:szCs w:val="24"/>
          <w:lang w:eastAsia="en-GB"/>
        </w:rPr>
        <w:t xml:space="preserve"> will guide the formulation and implementation of these Annual Work Programmes. The EU financial contribution and the national financial contributions will essentially be used for different, but fully complementary, purposes.</w:t>
      </w:r>
    </w:p>
    <w:p>
      <w:pPr>
        <w:widowControl w:val="0"/>
        <w:autoSpaceDE w:val="0"/>
        <w:autoSpaceDN w:val="0"/>
        <w:adjustRightInd w:val="0"/>
        <w:spacing w:before="240" w:after="240" w:line="240" w:lineRule="auto"/>
        <w:ind w:right="-6"/>
        <w:jc w:val="both"/>
        <w:rPr>
          <w:rFonts w:ascii="Times New Roman" w:eastAsia="Times New Roman" w:hAnsi="Times New Roman"/>
          <w:noProof/>
          <w:sz w:val="24"/>
          <w:szCs w:val="24"/>
          <w:lang w:eastAsia="en-GB"/>
        </w:rPr>
      </w:pPr>
      <w:r>
        <w:rPr>
          <w:rFonts w:ascii="Times New Roman" w:eastAsia="Times New Roman" w:hAnsi="Times New Roman"/>
          <w:b/>
          <w:noProof/>
          <w:sz w:val="24"/>
          <w:szCs w:val="24"/>
          <w:lang w:eastAsia="en-GB"/>
        </w:rPr>
        <w:t>The EU financial contribution will be focused mainly on R&amp;I activities at higher TRLs</w:t>
      </w:r>
      <w:r>
        <w:rPr>
          <w:rFonts w:ascii="Times New Roman" w:eastAsia="Times New Roman" w:hAnsi="Times New Roman"/>
          <w:noProof/>
          <w:sz w:val="24"/>
          <w:szCs w:val="24"/>
          <w:lang w:eastAsia="en-GB"/>
        </w:rPr>
        <w:t xml:space="preserve">. </w:t>
      </w:r>
      <w:r>
        <w:rPr>
          <w:rFonts w:ascii="Times New Roman" w:hAnsi="Times New Roman"/>
          <w:noProof/>
          <w:sz w:val="24"/>
          <w:szCs w:val="24"/>
          <w:lang w:eastAsia="fr-BE"/>
        </w:rPr>
        <w:t xml:space="preserve">The EU Financial contribution will be managed exclusively by the DIS and used for transnational calls for proposals deploying Horizon 2020 instruments. However, not all Horizon 2020 instruments will be deployed. The EU financial contribution will be used in a highly focused manner. </w:t>
      </w:r>
      <w:r>
        <w:rPr>
          <w:rFonts w:ascii="Times New Roman" w:eastAsia="Times New Roman" w:hAnsi="Times New Roman"/>
          <w:noProof/>
          <w:sz w:val="24"/>
          <w:szCs w:val="24"/>
          <w:lang w:eastAsia="en-GB"/>
        </w:rPr>
        <w:t xml:space="preserve">As Table 4.2 shows, the achievement of a number of operational objectives included in the strategic joint R&amp;I agenda involves </w:t>
      </w:r>
      <w:r>
        <w:rPr>
          <w:rFonts w:ascii="Times New Roman" w:hAnsi="Times New Roman"/>
          <w:noProof/>
          <w:sz w:val="24"/>
          <w:szCs w:val="24"/>
        </w:rPr>
        <w:t xml:space="preserve">R&amp;I </w:t>
      </w:r>
      <w:r>
        <w:rPr>
          <w:rFonts w:ascii="Times New Roman" w:eastAsia="Times New Roman" w:hAnsi="Times New Roman"/>
          <w:noProof/>
          <w:sz w:val="24"/>
          <w:szCs w:val="24"/>
          <w:lang w:eastAsia="en-GB"/>
        </w:rPr>
        <w:t>activities at higher Technology Readiness Levels. These activities at higher Technology Readiness Levels are of crucial importance for the achievement of the PRIMA objectives since they are the most promising in terms of the quick delivery of the innovative, integrated and easily transferable solutions urgently needed to address the unsustainable management of water provision and food systems in the Mediterranean area. These activities are also the most demanding in financial terms and the most demanding in terms of complementary knowledge requirements and in terms of public-private stakeholder involvement needed for quick valorisation and dissemination of results. This is why there are most effectively and efficiently supported through the EU financial contribution.</w:t>
      </w:r>
    </w:p>
    <w:p>
      <w:pPr>
        <w:widowControl w:val="0"/>
        <w:autoSpaceDE w:val="0"/>
        <w:autoSpaceDN w:val="0"/>
        <w:adjustRightInd w:val="0"/>
        <w:spacing w:before="120" w:after="120" w:line="240" w:lineRule="auto"/>
        <w:ind w:right="-6"/>
        <w:jc w:val="center"/>
        <w:rPr>
          <w:noProof/>
          <w:sz w:val="24"/>
          <w:szCs w:val="24"/>
          <w:u w:val="single"/>
        </w:rPr>
      </w:pPr>
      <w:r>
        <w:rPr>
          <w:noProof/>
          <w:sz w:val="24"/>
          <w:szCs w:val="24"/>
          <w:lang w:val="en-US"/>
        </w:rPr>
        <w:drawing>
          <wp:inline distT="0" distB="0" distL="0" distR="0">
            <wp:extent cx="5276850" cy="20256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2955" cy="2031832"/>
                    </a:xfrm>
                    <a:prstGeom prst="rect">
                      <a:avLst/>
                    </a:prstGeom>
                    <a:noFill/>
                    <a:ln>
                      <a:noFill/>
                    </a:ln>
                  </pic:spPr>
                </pic:pic>
              </a:graphicData>
            </a:graphic>
          </wp:inline>
        </w:drawing>
      </w:r>
    </w:p>
    <w:p>
      <w:pPr>
        <w:spacing w:after="0" w:line="240" w:lineRule="auto"/>
        <w:rPr>
          <w:rFonts w:ascii="Times New Roman" w:hAnsi="Times New Roman"/>
          <w:b/>
          <w:noProof/>
          <w:color w:val="000000"/>
          <w:sz w:val="20"/>
          <w:szCs w:val="24"/>
        </w:rPr>
      </w:pPr>
      <w:r>
        <w:rPr>
          <w:rFonts w:ascii="Times New Roman" w:hAnsi="Times New Roman"/>
          <w:b/>
          <w:noProof/>
          <w:color w:val="000000"/>
          <w:sz w:val="20"/>
          <w:szCs w:val="24"/>
        </w:rPr>
        <w:t>Table 4.2: Technological Readiness Levels (TRLs)</w:t>
      </w:r>
    </w:p>
    <w:p>
      <w:pPr>
        <w:widowControl w:val="0"/>
        <w:autoSpaceDE w:val="0"/>
        <w:autoSpaceDN w:val="0"/>
        <w:adjustRightInd w:val="0"/>
        <w:spacing w:before="240" w:after="240" w:line="240" w:lineRule="auto"/>
        <w:ind w:right="-6"/>
        <w:jc w:val="both"/>
        <w:rPr>
          <w:rFonts w:ascii="Times New Roman" w:eastAsia="Times New Roman" w:hAnsi="Times New Roman"/>
          <w:noProof/>
          <w:sz w:val="24"/>
          <w:szCs w:val="24"/>
          <w:lang w:eastAsia="en-GB"/>
        </w:rPr>
      </w:pPr>
      <w:r>
        <w:rPr>
          <w:rFonts w:ascii="Times New Roman" w:eastAsia="Times New Roman" w:hAnsi="Times New Roman"/>
          <w:b/>
          <w:noProof/>
          <w:sz w:val="24"/>
          <w:szCs w:val="24"/>
          <w:lang w:eastAsia="en-GB"/>
        </w:rPr>
        <w:t>Concretely, the EU financial contribution will be mainly used to support pilots and</w:t>
      </w:r>
      <w:r>
        <w:rPr>
          <w:rFonts w:ascii="Times New Roman" w:hAnsi="Times New Roman"/>
          <w:b/>
          <w:noProof/>
          <w:sz w:val="24"/>
        </w:rPr>
        <w:t xml:space="preserve"> demonstrators</w:t>
      </w:r>
      <w:r>
        <w:rPr>
          <w:rFonts w:ascii="Times New Roman" w:eastAsia="Times New Roman" w:hAnsi="Times New Roman"/>
          <w:noProof/>
          <w:sz w:val="24"/>
          <w:szCs w:val="24"/>
          <w:lang w:eastAsia="en-GB"/>
        </w:rPr>
        <w:t>. R&amp;I activities at higher Technology Readiness Levels inevitably involve close-to-market pilots and demonstrators that can test adequately real life solutions. The EU financial contribution will therefore be focused on a limited number (5 to 10) of such pilots and demonstrators in strategically identified and carefully assessed areas.</w:t>
      </w:r>
    </w:p>
    <w:p>
      <w:pPr>
        <w:widowControl w:val="0"/>
        <w:autoSpaceDE w:val="0"/>
        <w:autoSpaceDN w:val="0"/>
        <w:adjustRightInd w:val="0"/>
        <w:spacing w:before="240" w:after="240" w:line="240" w:lineRule="auto"/>
        <w:ind w:right="-6"/>
        <w:jc w:val="both"/>
        <w:rPr>
          <w:rFonts w:ascii="Times New Roman" w:eastAsia="Times New Roman" w:hAnsi="Times New Roman"/>
          <w:b/>
          <w:noProof/>
          <w:sz w:val="24"/>
          <w:szCs w:val="24"/>
          <w:lang w:eastAsia="en-GB"/>
        </w:rPr>
      </w:pPr>
      <w:r>
        <w:rPr>
          <w:rFonts w:ascii="Times New Roman" w:eastAsia="Times New Roman" w:hAnsi="Times New Roman"/>
          <w:noProof/>
          <w:sz w:val="24"/>
          <w:szCs w:val="24"/>
          <w:lang w:eastAsia="en-GB"/>
        </w:rPr>
        <w:t>On the other hand,</w:t>
      </w:r>
      <w:r>
        <w:rPr>
          <w:rFonts w:ascii="Times New Roman" w:eastAsia="Times New Roman" w:hAnsi="Times New Roman"/>
          <w:b/>
          <w:noProof/>
          <w:sz w:val="24"/>
          <w:szCs w:val="24"/>
          <w:lang w:eastAsia="en-GB"/>
        </w:rPr>
        <w:t xml:space="preserve"> national financial contributions will be focused on R&amp;I activities at lower Technology Readiness Levels, on mobility and training actions, on networking activities, etc.</w:t>
      </w:r>
    </w:p>
    <w:p>
      <w:pPr>
        <w:widowControl w:val="0"/>
        <w:autoSpaceDE w:val="0"/>
        <w:autoSpaceDN w:val="0"/>
        <w:adjustRightInd w:val="0"/>
        <w:spacing w:before="240" w:after="240" w:line="240" w:lineRule="auto"/>
        <w:ind w:right="-6"/>
        <w:jc w:val="both"/>
        <w:rPr>
          <w:rFonts w:ascii="Times New Roman" w:hAnsi="Times New Roman"/>
          <w:noProof/>
          <w:sz w:val="24"/>
          <w:szCs w:val="24"/>
          <w:lang w:eastAsia="fr-BE"/>
        </w:rPr>
      </w:pPr>
      <w:r>
        <w:rPr>
          <w:rFonts w:ascii="Times New Roman" w:eastAsia="Times New Roman" w:hAnsi="Times New Roman"/>
          <w:b/>
          <w:noProof/>
          <w:sz w:val="24"/>
          <w:szCs w:val="24"/>
          <w:lang w:eastAsia="en-GB"/>
        </w:rPr>
        <w:t>The Annual Work Plans (AWP) will ensure the consistency between all activities and their orientation towards the achievement of the operational, specific and general objectives of PRIMA</w:t>
      </w:r>
      <w:r>
        <w:rPr>
          <w:rFonts w:ascii="Times New Roman" w:eastAsia="Times New Roman" w:hAnsi="Times New Roman"/>
          <w:noProof/>
          <w:sz w:val="24"/>
          <w:szCs w:val="24"/>
          <w:lang w:eastAsia="en-GB"/>
        </w:rPr>
        <w:t xml:space="preserve">. </w:t>
      </w:r>
      <w:r>
        <w:rPr>
          <w:rFonts w:ascii="Times New Roman" w:hAnsi="Times New Roman"/>
          <w:noProof/>
          <w:sz w:val="24"/>
          <w:szCs w:val="24"/>
          <w:lang w:eastAsia="fr-BE"/>
        </w:rPr>
        <w:t xml:space="preserve">The AWP, which is subject to approval by the Commission, will include: </w:t>
      </w:r>
    </w:p>
    <w:p>
      <w:pPr>
        <w:numPr>
          <w:ilvl w:val="2"/>
          <w:numId w:val="71"/>
        </w:numPr>
        <w:autoSpaceDE w:val="0"/>
        <w:autoSpaceDN w:val="0"/>
        <w:spacing w:after="120" w:line="240" w:lineRule="auto"/>
        <w:ind w:left="284" w:hanging="284"/>
        <w:contextualSpacing/>
        <w:jc w:val="both"/>
        <w:rPr>
          <w:rFonts w:ascii="Times New Roman" w:hAnsi="Times New Roman"/>
          <w:noProof/>
          <w:sz w:val="24"/>
          <w:szCs w:val="24"/>
          <w:lang w:eastAsia="fr-BE"/>
        </w:rPr>
      </w:pPr>
      <w:r>
        <w:rPr>
          <w:rFonts w:ascii="Times New Roman" w:hAnsi="Times New Roman"/>
          <w:noProof/>
          <w:sz w:val="24"/>
          <w:szCs w:val="24"/>
          <w:lang w:eastAsia="fr-BE"/>
        </w:rPr>
        <w:t>Transnational calls for proposals to be funded by the DIS with Union contribution, in accordance with the Horizon 2020 Rules for Participation;</w:t>
      </w:r>
    </w:p>
    <w:p>
      <w:pPr>
        <w:numPr>
          <w:ilvl w:val="2"/>
          <w:numId w:val="71"/>
        </w:numPr>
        <w:autoSpaceDE w:val="0"/>
        <w:autoSpaceDN w:val="0"/>
        <w:spacing w:after="120" w:line="240" w:lineRule="auto"/>
        <w:ind w:left="284" w:hanging="284"/>
        <w:contextualSpacing/>
        <w:jc w:val="both"/>
        <w:rPr>
          <w:rFonts w:ascii="Times New Roman" w:hAnsi="Times New Roman"/>
          <w:noProof/>
          <w:sz w:val="24"/>
          <w:szCs w:val="24"/>
          <w:lang w:eastAsia="fr-BE"/>
        </w:rPr>
      </w:pPr>
      <w:r>
        <w:rPr>
          <w:rFonts w:ascii="Times New Roman" w:hAnsi="Times New Roman"/>
          <w:noProof/>
          <w:sz w:val="24"/>
          <w:szCs w:val="24"/>
          <w:lang w:eastAsia="fr-BE"/>
        </w:rPr>
        <w:t>Activities only funded by the Participating States, and counting for the matching with the Union contribution under certain conditions. In particular, these activities will be included in the AWP after positive external evaluation by international peer review with regard to the objectives of the PRIMA Joint Programme. They will be implemented in compliance with common principles, to be agreed by the Participating States and the Commission. These activities will include joint calls between Participating States' programmes for transnational projects, organised by the DIS (including proposal evaluations).</w:t>
      </w:r>
    </w:p>
    <w:p>
      <w:pPr>
        <w:autoSpaceDE w:val="0"/>
        <w:autoSpaceDN w:val="0"/>
        <w:spacing w:after="120" w:line="240" w:lineRule="auto"/>
        <w:contextualSpacing/>
        <w:jc w:val="both"/>
        <w:rPr>
          <w:rFonts w:ascii="Times New Roman" w:hAnsi="Times New Roman"/>
          <w:b/>
          <w:noProof/>
          <w:sz w:val="24"/>
          <w:szCs w:val="24"/>
          <w:lang w:eastAsia="fr-BE"/>
        </w:rPr>
      </w:pPr>
      <w:r>
        <w:rPr>
          <w:rFonts w:ascii="Times New Roman" w:hAnsi="Times New Roman"/>
          <w:b/>
          <w:noProof/>
          <w:sz w:val="24"/>
          <w:szCs w:val="24"/>
          <w:lang w:eastAsia="fr-BE"/>
        </w:rPr>
        <w:t>PRIMA will be implemented with seven Annual Work Plans (2018 – 2024). It is expected that activities, including grant agreements for proposals selected for funding from calls of the last Annual Work Plan will be concluded still in 2024 and implemented until 2027-2028.</w:t>
      </w:r>
    </w:p>
    <w:p>
      <w:pPr>
        <w:autoSpaceDE w:val="0"/>
        <w:autoSpaceDN w:val="0"/>
        <w:spacing w:after="120" w:line="240" w:lineRule="auto"/>
        <w:jc w:val="both"/>
        <w:rPr>
          <w:rFonts w:ascii="Times New Roman" w:hAnsi="Times New Roman"/>
          <w:b/>
          <w:noProof/>
          <w:sz w:val="24"/>
          <w:szCs w:val="24"/>
          <w:lang w:eastAsia="fr-BE"/>
        </w:rPr>
      </w:pPr>
    </w:p>
    <w:p>
      <w:pPr>
        <w:autoSpaceDE w:val="0"/>
        <w:autoSpaceDN w:val="0"/>
        <w:spacing w:after="120" w:line="240" w:lineRule="auto"/>
        <w:jc w:val="both"/>
        <w:rPr>
          <w:rFonts w:ascii="Times New Roman" w:hAnsi="Times New Roman"/>
          <w:b/>
          <w:noProof/>
          <w:sz w:val="24"/>
          <w:szCs w:val="24"/>
          <w:lang w:eastAsia="fr-BE"/>
        </w:rPr>
      </w:pPr>
      <w:r>
        <w:rPr>
          <w:rFonts w:ascii="Times New Roman" w:hAnsi="Times New Roman"/>
          <w:b/>
          <w:noProof/>
          <w:sz w:val="24"/>
          <w:szCs w:val="24"/>
          <w:lang w:eastAsia="fr-BE"/>
        </w:rPr>
        <w:t>The budget of the PRIMA Joint Programme</w:t>
      </w:r>
    </w:p>
    <w:p>
      <w:pPr>
        <w:autoSpaceDE w:val="0"/>
        <w:autoSpaceDN w:val="0"/>
        <w:spacing w:after="120" w:line="240" w:lineRule="auto"/>
        <w:jc w:val="both"/>
        <w:rPr>
          <w:rFonts w:ascii="Times New Roman" w:hAnsi="Times New Roman"/>
          <w:noProof/>
          <w:sz w:val="24"/>
          <w:szCs w:val="24"/>
          <w:lang w:eastAsia="fr-BE"/>
        </w:rPr>
      </w:pPr>
      <w:r>
        <w:rPr>
          <w:rFonts w:ascii="Times New Roman" w:hAnsi="Times New Roman"/>
          <w:noProof/>
          <w:sz w:val="24"/>
          <w:szCs w:val="24"/>
          <w:lang w:eastAsia="fr-BE"/>
        </w:rPr>
        <w:t xml:space="preserve">The development of the joint strategic </w:t>
      </w:r>
      <w:r>
        <w:rPr>
          <w:rFonts w:ascii="Times New Roman" w:hAnsi="Times New Roman"/>
          <w:noProof/>
          <w:sz w:val="24"/>
          <w:szCs w:val="24"/>
        </w:rPr>
        <w:t xml:space="preserve">R&amp;I </w:t>
      </w:r>
      <w:r>
        <w:rPr>
          <w:rFonts w:ascii="Times New Roman" w:hAnsi="Times New Roman"/>
          <w:noProof/>
          <w:sz w:val="24"/>
          <w:szCs w:val="24"/>
          <w:lang w:eastAsia="fr-BE"/>
        </w:rPr>
        <w:t xml:space="preserve">agenda has been accompanied by a careful financial estimation of the costs involved in its implementation. It has been concluded that at least €400 million is required to implement fully all required </w:t>
      </w:r>
      <w:r>
        <w:rPr>
          <w:rFonts w:ascii="Times New Roman" w:hAnsi="Times New Roman"/>
          <w:noProof/>
          <w:sz w:val="24"/>
          <w:szCs w:val="24"/>
        </w:rPr>
        <w:t xml:space="preserve">R&amp;I </w:t>
      </w:r>
      <w:r>
        <w:rPr>
          <w:rFonts w:ascii="Times New Roman" w:hAnsi="Times New Roman"/>
          <w:noProof/>
          <w:sz w:val="24"/>
          <w:szCs w:val="24"/>
          <w:lang w:eastAsia="fr-BE"/>
        </w:rPr>
        <w:t>activities and reach the operational, specific and general objectives of PRIMA.</w:t>
      </w:r>
    </w:p>
    <w:p>
      <w:pPr>
        <w:autoSpaceDE w:val="0"/>
        <w:autoSpaceDN w:val="0"/>
        <w:spacing w:after="120" w:line="240" w:lineRule="auto"/>
        <w:jc w:val="both"/>
        <w:rPr>
          <w:rFonts w:ascii="Times New Roman" w:hAnsi="Times New Roman"/>
          <w:noProof/>
          <w:sz w:val="24"/>
          <w:szCs w:val="24"/>
          <w:lang w:eastAsia="fr-BE"/>
        </w:rPr>
      </w:pPr>
      <w:r>
        <w:rPr>
          <w:rFonts w:ascii="Times New Roman" w:hAnsi="Times New Roman"/>
          <w:b/>
          <w:noProof/>
          <w:sz w:val="24"/>
          <w:szCs w:val="24"/>
          <w:lang w:eastAsia="fr-BE"/>
        </w:rPr>
        <w:t>The Participating States have already committed to providing at least €200 million in cash</w:t>
      </w:r>
      <w:r>
        <w:rPr>
          <w:rFonts w:ascii="Times New Roman" w:hAnsi="Times New Roman"/>
          <w:noProof/>
          <w:sz w:val="24"/>
          <w:szCs w:val="24"/>
          <w:lang w:eastAsia="fr-BE"/>
        </w:rPr>
        <w:t xml:space="preserve">. In fact, the current commitment of cash plus in-kind contributions exceeds €300 million of public funding for </w:t>
      </w:r>
      <w:r>
        <w:rPr>
          <w:rFonts w:ascii="Times New Roman" w:hAnsi="Times New Roman"/>
          <w:noProof/>
          <w:sz w:val="24"/>
          <w:szCs w:val="24"/>
        </w:rPr>
        <w:t xml:space="preserve">R&amp;I </w:t>
      </w:r>
      <w:r>
        <w:rPr>
          <w:rFonts w:ascii="Times New Roman" w:hAnsi="Times New Roman"/>
          <w:noProof/>
          <w:sz w:val="24"/>
          <w:szCs w:val="24"/>
          <w:lang w:eastAsia="fr-BE"/>
        </w:rPr>
        <w:t>activities towards achieving the objectives of the PRIMA Joint Programme. The Participating States would also contribute any administrative expenditure beyond the 5% contributed by the Union.</w:t>
      </w:r>
    </w:p>
    <w:p>
      <w:pPr>
        <w:autoSpaceDE w:val="0"/>
        <w:autoSpaceDN w:val="0"/>
        <w:spacing w:after="120" w:line="240" w:lineRule="auto"/>
        <w:jc w:val="both"/>
        <w:rPr>
          <w:rFonts w:ascii="Times New Roman" w:hAnsi="Times New Roman"/>
          <w:noProof/>
          <w:sz w:val="24"/>
          <w:szCs w:val="24"/>
          <w:lang w:eastAsia="fr-BE"/>
        </w:rPr>
      </w:pPr>
      <w:r>
        <w:rPr>
          <w:rFonts w:ascii="Times New Roman" w:hAnsi="Times New Roman"/>
          <w:b/>
          <w:noProof/>
          <w:sz w:val="24"/>
          <w:szCs w:val="24"/>
          <w:lang w:eastAsia="fr-BE"/>
        </w:rPr>
        <w:t>The EU financial contribution would not exceed €200 million</w:t>
      </w:r>
      <w:r>
        <w:rPr>
          <w:rFonts w:ascii="Times New Roman" w:hAnsi="Times New Roman"/>
          <w:noProof/>
          <w:sz w:val="24"/>
          <w:szCs w:val="24"/>
          <w:lang w:eastAsia="fr-BE"/>
        </w:rPr>
        <w:t>. 95% of these funds would be used for operational purposes. As set out above, this EU operational contribution would be used to support a limited number of critical pilots and demonstrators in strategically identified and carefully assessed areas. The Union would also contribute to the administrative expenditure of the PRIMA Joint Programme implementation, with a maximum of 5%.</w:t>
      </w:r>
    </w:p>
    <w:p>
      <w:pPr>
        <w:autoSpaceDE w:val="0"/>
        <w:autoSpaceDN w:val="0"/>
        <w:spacing w:after="120" w:line="240" w:lineRule="auto"/>
        <w:jc w:val="both"/>
        <w:rPr>
          <w:rFonts w:ascii="Times New Roman" w:hAnsi="Times New Roman"/>
          <w:noProof/>
          <w:sz w:val="24"/>
          <w:szCs w:val="24"/>
          <w:lang w:eastAsia="fr-BE"/>
        </w:rPr>
      </w:pPr>
    </w:p>
    <w:p>
      <w:pPr>
        <w:autoSpaceDE w:val="0"/>
        <w:autoSpaceDN w:val="0"/>
        <w:spacing w:after="120" w:line="240" w:lineRule="auto"/>
        <w:jc w:val="both"/>
        <w:rPr>
          <w:rFonts w:ascii="Times New Roman" w:hAnsi="Times New Roman"/>
          <w:b/>
          <w:noProof/>
          <w:sz w:val="24"/>
          <w:szCs w:val="24"/>
          <w:lang w:eastAsia="fr-BE"/>
        </w:rPr>
      </w:pPr>
      <w:r>
        <w:rPr>
          <w:rFonts w:ascii="Times New Roman" w:hAnsi="Times New Roman"/>
          <w:b/>
          <w:noProof/>
          <w:sz w:val="24"/>
          <w:szCs w:val="24"/>
          <w:lang w:eastAsia="fr-BE"/>
        </w:rPr>
        <w:t>The governance of the PRIMA Joint Programme</w:t>
      </w:r>
    </w:p>
    <w:p>
      <w:pPr>
        <w:autoSpaceDE w:val="0"/>
        <w:autoSpaceDN w:val="0"/>
        <w:spacing w:after="120" w:line="240" w:lineRule="auto"/>
        <w:jc w:val="both"/>
        <w:rPr>
          <w:rFonts w:ascii="Times New Roman" w:hAnsi="Times New Roman"/>
          <w:noProof/>
          <w:sz w:val="24"/>
          <w:szCs w:val="24"/>
          <w:lang w:eastAsia="fr-BE"/>
        </w:rPr>
      </w:pPr>
      <w:r>
        <w:rPr>
          <w:rFonts w:ascii="Times New Roman" w:hAnsi="Times New Roman"/>
          <w:noProof/>
          <w:sz w:val="24"/>
          <w:szCs w:val="24"/>
          <w:lang w:eastAsia="fr-BE"/>
        </w:rPr>
        <w:t xml:space="preserve">The PRIMA Participating States intend to designate as </w:t>
      </w:r>
      <w:r>
        <w:rPr>
          <w:rFonts w:ascii="Times New Roman" w:hAnsi="Times New Roman"/>
          <w:noProof/>
          <w:sz w:val="24"/>
        </w:rPr>
        <w:t>Implementing Structure</w:t>
      </w:r>
      <w:r>
        <w:rPr>
          <w:rFonts w:ascii="Times New Roman" w:hAnsi="Times New Roman"/>
          <w:noProof/>
          <w:sz w:val="24"/>
          <w:szCs w:val="24"/>
          <w:lang w:eastAsia="fr-BE"/>
        </w:rPr>
        <w:t xml:space="preserve"> a newly created legal entity that will implement the PRIMA Joint Programme, as body governed by private law with a public service mission, under Spanish law that will be hosted in the same premises as the Union for the Mediterranean (UfM) Secretariat. This approach is in line with the one chosen in the context of ongoing Article 185 initiatives and is considered to be appropriate in principle for a potential PRIMA Joint Programme. </w:t>
      </w:r>
    </w:p>
    <w:p>
      <w:pPr>
        <w:autoSpaceDE w:val="0"/>
        <w:autoSpaceDN w:val="0"/>
        <w:spacing w:after="120" w:line="240" w:lineRule="auto"/>
        <w:jc w:val="both"/>
        <w:rPr>
          <w:rFonts w:ascii="Times New Roman" w:hAnsi="Times New Roman"/>
          <w:noProof/>
          <w:sz w:val="24"/>
          <w:szCs w:val="24"/>
          <w:lang w:eastAsia="fr-BE"/>
        </w:rPr>
      </w:pPr>
      <w:r>
        <w:rPr>
          <w:rFonts w:ascii="Times New Roman" w:hAnsi="Times New Roman"/>
          <w:b/>
          <w:noProof/>
          <w:sz w:val="24"/>
          <w:szCs w:val="24"/>
          <w:lang w:eastAsia="fr-BE"/>
        </w:rPr>
        <w:t>The DIS will be subject to an ex-ante assessment (audit) before the European Commission delegates budget implementation tasks to it</w:t>
      </w:r>
      <w:r>
        <w:rPr>
          <w:rFonts w:ascii="Times New Roman" w:hAnsi="Times New Roman"/>
          <w:noProof/>
          <w:sz w:val="24"/>
          <w:szCs w:val="24"/>
          <w:lang w:eastAsia="fr-BE"/>
        </w:rPr>
        <w:t xml:space="preserve">. PRIMA Participating States have declared that they will provide adequate financial guarantees, as required for indirect management under the Financial Regulation. </w:t>
      </w:r>
    </w:p>
    <w:p>
      <w:pPr>
        <w:autoSpaceDE w:val="0"/>
        <w:autoSpaceDN w:val="0"/>
        <w:spacing w:after="120" w:line="240" w:lineRule="auto"/>
        <w:jc w:val="both"/>
        <w:rPr>
          <w:rFonts w:ascii="Times New Roman" w:hAnsi="Times New Roman"/>
          <w:noProof/>
          <w:sz w:val="24"/>
          <w:szCs w:val="24"/>
          <w:lang w:eastAsia="fr-BE"/>
        </w:rPr>
      </w:pPr>
      <w:r>
        <w:rPr>
          <w:rFonts w:ascii="Times New Roman" w:hAnsi="Times New Roman"/>
          <w:noProof/>
          <w:sz w:val="24"/>
          <w:szCs w:val="24"/>
          <w:lang w:eastAsia="fr-BE"/>
        </w:rPr>
        <w:t xml:space="preserve">The main bodies taking part in the </w:t>
      </w:r>
      <w:r>
        <w:rPr>
          <w:rFonts w:ascii="Times New Roman" w:hAnsi="Times New Roman"/>
          <w:noProof/>
          <w:sz w:val="24"/>
        </w:rPr>
        <w:t>Governance of the PRIMA Joint Programme</w:t>
      </w:r>
      <w:r>
        <w:rPr>
          <w:rFonts w:ascii="Times New Roman" w:hAnsi="Times New Roman"/>
          <w:noProof/>
          <w:sz w:val="24"/>
          <w:szCs w:val="24"/>
          <w:lang w:eastAsia="fr-BE"/>
        </w:rPr>
        <w:t>, and their respective tasks, are described below.</w:t>
      </w:r>
    </w:p>
    <w:p>
      <w:pPr>
        <w:pStyle w:val="ListParagraph"/>
        <w:numPr>
          <w:ilvl w:val="0"/>
          <w:numId w:val="90"/>
        </w:numPr>
        <w:autoSpaceDE w:val="0"/>
        <w:autoSpaceDN w:val="0"/>
        <w:spacing w:after="120" w:line="240" w:lineRule="auto"/>
        <w:ind w:left="426"/>
        <w:rPr>
          <w:rFonts w:ascii="Times New Roman" w:hAnsi="Times New Roman"/>
          <w:noProof/>
          <w:sz w:val="24"/>
          <w:szCs w:val="24"/>
          <w:lang w:eastAsia="fr-BE"/>
        </w:rPr>
      </w:pPr>
      <w:r>
        <w:rPr>
          <w:rFonts w:ascii="Times New Roman" w:hAnsi="Times New Roman"/>
          <w:noProof/>
          <w:sz w:val="24"/>
        </w:rPr>
        <w:t>PRIMA General Assembly:</w:t>
      </w:r>
      <w:r>
        <w:rPr>
          <w:rFonts w:ascii="Times New Roman" w:hAnsi="Times New Roman"/>
          <w:noProof/>
          <w:sz w:val="24"/>
          <w:szCs w:val="24"/>
          <w:lang w:eastAsia="fr-BE"/>
        </w:rPr>
        <w:t xml:space="preserve"> The General Assembly will be the decision-making body of the PRIMA Joint Programme and will include all Participating States – whether EU Member States, Horizon 2020 associated third countries, or Southern-Eastern Mediterranean third countries – on an equal footing. The European Commission will have the role of Observer in the PRIMA General Assembly.</w:t>
      </w:r>
    </w:p>
    <w:p>
      <w:pPr>
        <w:pStyle w:val="ListParagraph"/>
        <w:numPr>
          <w:ilvl w:val="0"/>
          <w:numId w:val="90"/>
        </w:numPr>
        <w:autoSpaceDE w:val="0"/>
        <w:autoSpaceDN w:val="0"/>
        <w:spacing w:after="120" w:line="240" w:lineRule="auto"/>
        <w:ind w:left="426"/>
        <w:rPr>
          <w:rFonts w:ascii="Times New Roman" w:hAnsi="Times New Roman"/>
          <w:noProof/>
          <w:sz w:val="24"/>
          <w:szCs w:val="24"/>
          <w:lang w:eastAsia="fr-BE"/>
        </w:rPr>
      </w:pPr>
      <w:r>
        <w:rPr>
          <w:rFonts w:ascii="Times New Roman" w:hAnsi="Times New Roman"/>
          <w:noProof/>
          <w:sz w:val="24"/>
        </w:rPr>
        <w:t>PRIMA Chair and Co-Chair:</w:t>
      </w:r>
      <w:r>
        <w:rPr>
          <w:rFonts w:ascii="Times New Roman" w:hAnsi="Times New Roman"/>
          <w:noProof/>
          <w:sz w:val="24"/>
          <w:szCs w:val="24"/>
          <w:lang w:eastAsia="fr-BE"/>
        </w:rPr>
        <w:t xml:space="preserve"> These will come from the EU Member States and the Southern-Eastern Mediterranean third countries and will act as legal representatives of the DIS.</w:t>
      </w:r>
    </w:p>
    <w:p>
      <w:pPr>
        <w:pStyle w:val="ListParagraph"/>
        <w:numPr>
          <w:ilvl w:val="0"/>
          <w:numId w:val="90"/>
        </w:numPr>
        <w:autoSpaceDE w:val="0"/>
        <w:autoSpaceDN w:val="0"/>
        <w:spacing w:after="120" w:line="240" w:lineRule="auto"/>
        <w:ind w:left="426"/>
        <w:rPr>
          <w:rFonts w:ascii="Times New Roman" w:hAnsi="Times New Roman"/>
          <w:noProof/>
          <w:sz w:val="24"/>
          <w:szCs w:val="24"/>
          <w:lang w:eastAsia="fr-BE"/>
        </w:rPr>
      </w:pPr>
      <w:r>
        <w:rPr>
          <w:rFonts w:ascii="Times New Roman" w:hAnsi="Times New Roman"/>
          <w:noProof/>
          <w:sz w:val="24"/>
        </w:rPr>
        <w:t>PRIMA Executive Board:</w:t>
      </w:r>
      <w:r>
        <w:rPr>
          <w:rFonts w:ascii="Times New Roman" w:hAnsi="Times New Roman"/>
          <w:noProof/>
          <w:sz w:val="24"/>
          <w:szCs w:val="24"/>
          <w:lang w:eastAsia="fr-BE"/>
        </w:rPr>
        <w:t xml:space="preserve"> Appointed by the PRIMA General Assembly, it will include a selected number of Participating States and the Chair and Co-Chair. It will take decisions on all issues related to the administration of the PRIMA Joint Programme.</w:t>
      </w:r>
    </w:p>
    <w:p>
      <w:pPr>
        <w:pStyle w:val="ListParagraph"/>
        <w:numPr>
          <w:ilvl w:val="0"/>
          <w:numId w:val="90"/>
        </w:numPr>
        <w:autoSpaceDE w:val="0"/>
        <w:autoSpaceDN w:val="0"/>
        <w:spacing w:after="120" w:line="240" w:lineRule="auto"/>
        <w:ind w:left="426"/>
        <w:rPr>
          <w:rFonts w:ascii="Times New Roman" w:hAnsi="Times New Roman"/>
          <w:noProof/>
          <w:sz w:val="24"/>
          <w:szCs w:val="24"/>
          <w:lang w:eastAsia="fr-BE"/>
        </w:rPr>
      </w:pPr>
      <w:r>
        <w:rPr>
          <w:rFonts w:ascii="Times New Roman" w:hAnsi="Times New Roman"/>
          <w:noProof/>
          <w:sz w:val="24"/>
        </w:rPr>
        <w:t>PRIMA Scientific Advisory Board:</w:t>
      </w:r>
      <w:r>
        <w:rPr>
          <w:rFonts w:ascii="Times New Roman" w:hAnsi="Times New Roman"/>
          <w:noProof/>
          <w:sz w:val="24"/>
          <w:szCs w:val="24"/>
          <w:lang w:eastAsia="fr-BE"/>
        </w:rPr>
        <w:t xml:space="preserve"> Composed of experts in the scientific fields of the PRIMA Joint Programme, it will provide strategic advice for the PRIMA Joint Programme and will be consulted as part of the decision-making process for the implementation of the Programme. It will provide recommendations for priorities and topics to be addressed in the calls for proposals and other actions of the PRIMA Annual Work Programme (AWP).</w:t>
      </w:r>
    </w:p>
    <w:p>
      <w:pPr>
        <w:pStyle w:val="ListParagraph"/>
        <w:numPr>
          <w:ilvl w:val="0"/>
          <w:numId w:val="90"/>
        </w:numPr>
        <w:autoSpaceDE w:val="0"/>
        <w:autoSpaceDN w:val="0"/>
        <w:spacing w:after="120" w:line="240" w:lineRule="auto"/>
        <w:ind w:left="426"/>
        <w:rPr>
          <w:rFonts w:ascii="Times New Roman" w:hAnsi="Times New Roman"/>
          <w:noProof/>
          <w:sz w:val="24"/>
          <w:szCs w:val="24"/>
          <w:lang w:eastAsia="fr-BE"/>
        </w:rPr>
      </w:pPr>
      <w:r>
        <w:rPr>
          <w:rFonts w:ascii="Times New Roman" w:hAnsi="Times New Roman"/>
          <w:noProof/>
          <w:sz w:val="24"/>
        </w:rPr>
        <w:t>PRIMA Secretariat:</w:t>
      </w:r>
      <w:r>
        <w:rPr>
          <w:rFonts w:ascii="Times New Roman" w:hAnsi="Times New Roman"/>
          <w:noProof/>
          <w:sz w:val="24"/>
          <w:szCs w:val="24"/>
          <w:lang w:eastAsia="fr-BE"/>
        </w:rPr>
        <w:t xml:space="preserve"> This will be the Operational Management Unit, as the DIS shall be responsible for the management of the PRIMA Joint Programme.</w:t>
      </w:r>
    </w:p>
    <w:p>
      <w:pPr>
        <w:autoSpaceDE w:val="0"/>
        <w:autoSpaceDN w:val="0"/>
        <w:spacing w:after="120" w:line="240" w:lineRule="auto"/>
        <w:rPr>
          <w:rFonts w:ascii="Times New Roman" w:hAnsi="Times New Roman"/>
          <w:noProof/>
          <w:sz w:val="24"/>
          <w:szCs w:val="24"/>
          <w:lang w:eastAsia="fr-BE"/>
        </w:rPr>
      </w:pPr>
    </w:p>
    <w:p>
      <w:pPr>
        <w:autoSpaceDE w:val="0"/>
        <w:autoSpaceDN w:val="0"/>
        <w:spacing w:after="120" w:line="240" w:lineRule="auto"/>
        <w:jc w:val="both"/>
        <w:rPr>
          <w:rFonts w:ascii="Times New Roman" w:hAnsi="Times New Roman"/>
          <w:b/>
          <w:noProof/>
          <w:sz w:val="24"/>
          <w:szCs w:val="24"/>
          <w:lang w:eastAsia="fr-BE"/>
        </w:rPr>
      </w:pPr>
      <w:r>
        <w:rPr>
          <w:rFonts w:ascii="Times New Roman" w:hAnsi="Times New Roman"/>
          <w:b/>
          <w:noProof/>
          <w:sz w:val="24"/>
          <w:szCs w:val="24"/>
          <w:lang w:eastAsia="fr-BE"/>
        </w:rPr>
        <w:t>Ensuring the sound financial management of PRIMA Joint Programme: monitoring and audit mechanisms, protecting the financial interest of the EU</w:t>
      </w:r>
    </w:p>
    <w:p>
      <w:pPr>
        <w:autoSpaceDE w:val="0"/>
        <w:autoSpaceDN w:val="0"/>
        <w:spacing w:after="120" w:line="240" w:lineRule="auto"/>
        <w:jc w:val="both"/>
        <w:rPr>
          <w:rFonts w:ascii="Times New Roman" w:hAnsi="Times New Roman"/>
          <w:noProof/>
          <w:sz w:val="24"/>
          <w:szCs w:val="24"/>
          <w:lang w:eastAsia="fr-BE"/>
        </w:rPr>
      </w:pPr>
      <w:r>
        <w:rPr>
          <w:rFonts w:ascii="Times New Roman" w:hAnsi="Times New Roman"/>
          <w:noProof/>
          <w:sz w:val="24"/>
          <w:szCs w:val="24"/>
          <w:lang w:eastAsia="fr-BE"/>
        </w:rPr>
        <w:t>DG RTD has adopted standard supervision arrangements for initiatives pursuant to Article 185 TFEU that will apply equally to the PRIMA Joint Programme. The details of monitoring and audit mechanisms are described in paragraph 7.2 of this report.</w:t>
      </w:r>
    </w:p>
    <w:p>
      <w:pPr>
        <w:autoSpaceDE w:val="0"/>
        <w:autoSpaceDN w:val="0"/>
        <w:spacing w:after="120" w:line="240" w:lineRule="auto"/>
        <w:jc w:val="both"/>
        <w:rPr>
          <w:rFonts w:ascii="Times New Roman" w:hAnsi="Times New Roman"/>
          <w:noProof/>
          <w:sz w:val="24"/>
          <w:szCs w:val="24"/>
          <w:lang w:eastAsia="fr-BE"/>
        </w:rPr>
      </w:pPr>
    </w:p>
    <w:p>
      <w:pPr>
        <w:autoSpaceDE w:val="0"/>
        <w:autoSpaceDN w:val="0"/>
        <w:spacing w:after="120" w:line="240" w:lineRule="auto"/>
        <w:jc w:val="both"/>
        <w:rPr>
          <w:rFonts w:ascii="Times New Roman" w:hAnsi="Times New Roman"/>
          <w:b/>
          <w:noProof/>
          <w:sz w:val="24"/>
          <w:szCs w:val="24"/>
          <w:lang w:eastAsia="fr-BE"/>
        </w:rPr>
      </w:pPr>
      <w:r>
        <w:rPr>
          <w:rFonts w:ascii="Times New Roman" w:hAnsi="Times New Roman"/>
          <w:b/>
          <w:noProof/>
          <w:sz w:val="24"/>
          <w:szCs w:val="24"/>
          <w:lang w:eastAsia="fr-BE"/>
        </w:rPr>
        <w:t>Stakeholder support for an Article 185 initiative</w:t>
      </w:r>
    </w:p>
    <w:p>
      <w:pPr>
        <w:autoSpaceDE w:val="0"/>
        <w:autoSpaceDN w:val="0"/>
        <w:spacing w:after="120" w:line="240" w:lineRule="auto"/>
        <w:jc w:val="both"/>
        <w:rPr>
          <w:rFonts w:ascii="Times New Roman" w:hAnsi="Times New Roman"/>
          <w:noProof/>
          <w:sz w:val="24"/>
          <w:szCs w:val="24"/>
          <w:lang w:eastAsia="fr-BE"/>
        </w:rPr>
      </w:pPr>
      <w:r>
        <w:rPr>
          <w:rFonts w:ascii="Times New Roman" w:hAnsi="Times New Roman"/>
          <w:noProof/>
          <w:sz w:val="24"/>
          <w:szCs w:val="24"/>
          <w:lang w:eastAsia="fr-BE"/>
        </w:rPr>
        <w:t xml:space="preserve">The </w:t>
      </w:r>
      <w:r>
        <w:rPr>
          <w:rFonts w:ascii="Times New Roman" w:hAnsi="Times New Roman"/>
          <w:b/>
          <w:noProof/>
          <w:sz w:val="24"/>
          <w:szCs w:val="24"/>
          <w:lang w:eastAsia="fr-BE"/>
        </w:rPr>
        <w:t>on-line public consultation</w:t>
      </w:r>
      <w:r>
        <w:rPr>
          <w:rFonts w:ascii="Times New Roman" w:hAnsi="Times New Roman"/>
          <w:noProof/>
          <w:sz w:val="24"/>
          <w:szCs w:val="24"/>
          <w:lang w:eastAsia="fr-BE"/>
        </w:rPr>
        <w:t xml:space="preserve"> launched in the frame of the present impact assessment highlighted that 55% of respondents (58% of EU and 35.5% of Non-EU) believe that existing national and EU-level R&amp;I actions in the field of water provisions and food systems in the Mediterranean Area do not adequately address the identified problem. As an alternative to the current scenario, 69.3% suggest to create a permanent dedicated structure (Article 185 TFEU); 29.1% would opt for a Cofund action; 1.6% (all from EU countries) selected "Other policy option" but did not provide any alternative policy option, except for one suggestion to launch a series of small grants, which can be likely associated to a specific implementation of the baseline scenario.</w:t>
      </w:r>
    </w:p>
    <w:p>
      <w:pPr>
        <w:autoSpaceDE w:val="0"/>
        <w:autoSpaceDN w:val="0"/>
        <w:adjustRightInd w:val="0"/>
        <w:spacing w:after="120" w:line="240" w:lineRule="auto"/>
        <w:jc w:val="both"/>
        <w:rPr>
          <w:rFonts w:ascii="Times New Roman" w:hAnsi="Times New Roman"/>
          <w:noProof/>
          <w:sz w:val="24"/>
          <w:szCs w:val="24"/>
        </w:rPr>
      </w:pPr>
      <w:bookmarkStart w:id="117" w:name="_Toc452823900"/>
      <w:bookmarkStart w:id="118" w:name="_Toc452824070"/>
      <w:bookmarkStart w:id="119" w:name="_Toc452824239"/>
      <w:bookmarkStart w:id="120" w:name="_Toc452823901"/>
      <w:bookmarkStart w:id="121" w:name="_Toc452824071"/>
      <w:bookmarkStart w:id="122" w:name="_Toc452824240"/>
      <w:bookmarkStart w:id="123" w:name="_Toc452823902"/>
      <w:bookmarkStart w:id="124" w:name="_Toc452824072"/>
      <w:bookmarkStart w:id="125" w:name="_Toc452824241"/>
      <w:bookmarkStart w:id="126" w:name="_Toc452823903"/>
      <w:bookmarkStart w:id="127" w:name="_Toc452824073"/>
      <w:bookmarkStart w:id="128" w:name="_Toc452824242"/>
      <w:bookmarkStart w:id="129" w:name="_Toc452823904"/>
      <w:bookmarkStart w:id="130" w:name="_Toc452824074"/>
      <w:bookmarkStart w:id="131" w:name="_Toc452824243"/>
      <w:bookmarkStart w:id="132" w:name="_Toc452823905"/>
      <w:bookmarkStart w:id="133" w:name="_Toc452824075"/>
      <w:bookmarkStart w:id="134" w:name="_Toc452824244"/>
      <w:bookmarkStart w:id="135" w:name="_Toc452823906"/>
      <w:bookmarkStart w:id="136" w:name="_Toc452824076"/>
      <w:bookmarkStart w:id="137" w:name="_Toc452824245"/>
      <w:bookmarkStart w:id="138" w:name="_Toc452823907"/>
      <w:bookmarkStart w:id="139" w:name="_Toc452824077"/>
      <w:bookmarkStart w:id="140" w:name="_Toc452824246"/>
      <w:bookmarkStart w:id="141" w:name="_Toc452823919"/>
      <w:bookmarkStart w:id="142" w:name="_Toc452824089"/>
      <w:bookmarkStart w:id="143" w:name="_Toc452824258"/>
      <w:bookmarkStart w:id="144" w:name="_Toc452823920"/>
      <w:bookmarkStart w:id="145" w:name="_Toc452824090"/>
      <w:bookmarkStart w:id="146" w:name="_Toc452824259"/>
      <w:bookmarkStart w:id="147" w:name="_Toc452823971"/>
      <w:bookmarkStart w:id="148" w:name="_Toc452824141"/>
      <w:bookmarkStart w:id="149" w:name="_Toc452824310"/>
      <w:bookmarkStart w:id="150" w:name="_Toc452823972"/>
      <w:bookmarkStart w:id="151" w:name="_Toc452824142"/>
      <w:bookmarkStart w:id="152" w:name="_Toc452824311"/>
      <w:bookmarkStart w:id="153" w:name="_Toc452823973"/>
      <w:bookmarkStart w:id="154" w:name="_Toc452824143"/>
      <w:bookmarkStart w:id="155" w:name="_Toc452824312"/>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pPr>
        <w:pStyle w:val="Heading1"/>
        <w:numPr>
          <w:ilvl w:val="1"/>
          <w:numId w:val="7"/>
        </w:numPr>
        <w:spacing w:before="120" w:after="120" w:line="240" w:lineRule="auto"/>
        <w:rPr>
          <w:rFonts w:ascii="Times New Roman" w:hAnsi="Times New Roman"/>
          <w:noProof/>
          <w:color w:val="auto"/>
          <w:sz w:val="24"/>
          <w:szCs w:val="24"/>
        </w:rPr>
      </w:pPr>
      <w:bookmarkStart w:id="156" w:name="_Toc455682274"/>
      <w:bookmarkStart w:id="157" w:name="_Toc451955145"/>
      <w:bookmarkStart w:id="158" w:name="_Toc455731807"/>
      <w:bookmarkStart w:id="159" w:name="_Toc457466047"/>
      <w:r>
        <w:rPr>
          <w:rFonts w:ascii="Times New Roman" w:hAnsi="Times New Roman"/>
          <w:noProof/>
          <w:color w:val="auto"/>
          <w:sz w:val="24"/>
          <w:szCs w:val="24"/>
        </w:rPr>
        <w:t>Stakeholder</w:t>
      </w:r>
      <w:bookmarkEnd w:id="156"/>
      <w:bookmarkEnd w:id="157"/>
      <w:bookmarkEnd w:id="158"/>
      <w:r>
        <w:rPr>
          <w:rFonts w:ascii="Times New Roman" w:hAnsi="Times New Roman"/>
          <w:noProof/>
          <w:color w:val="auto"/>
          <w:sz w:val="24"/>
          <w:szCs w:val="24"/>
        </w:rPr>
        <w:t>s targeted by the different policy options</w:t>
      </w:r>
      <w:bookmarkEnd w:id="159"/>
    </w:p>
    <w:p>
      <w:pPr>
        <w:spacing w:after="120" w:line="240" w:lineRule="auto"/>
        <w:jc w:val="both"/>
        <w:rPr>
          <w:rFonts w:ascii="Times New Roman" w:hAnsi="Times New Roman"/>
          <w:noProof/>
          <w:sz w:val="24"/>
          <w:szCs w:val="24"/>
          <w:lang w:eastAsia="fr-BE"/>
        </w:rPr>
      </w:pPr>
      <w:r>
        <w:rPr>
          <w:rFonts w:ascii="Times New Roman" w:hAnsi="Times New Roman"/>
          <w:noProof/>
          <w:sz w:val="24"/>
          <w:szCs w:val="24"/>
          <w:lang w:eastAsia="fr-BE"/>
        </w:rPr>
        <w:t xml:space="preserve">Policy </w:t>
      </w:r>
      <w:r>
        <w:rPr>
          <w:rFonts w:ascii="Times New Roman" w:hAnsi="Times New Roman"/>
          <w:b/>
          <w:noProof/>
          <w:sz w:val="24"/>
          <w:szCs w:val="24"/>
          <w:lang w:eastAsia="fr-BE"/>
        </w:rPr>
        <w:t>Option 0</w:t>
      </w:r>
      <w:r>
        <w:rPr>
          <w:rFonts w:ascii="Times New Roman" w:hAnsi="Times New Roman"/>
          <w:noProof/>
          <w:sz w:val="24"/>
          <w:szCs w:val="24"/>
          <w:lang w:eastAsia="fr-BE"/>
        </w:rPr>
        <w:t xml:space="preserve"> would not target any specific stakeholder, since it would rely on a bottom-up participation of stakeholders concerned in proposals submitted to Horizon 2020 calls that are relevant for food and water. </w:t>
      </w:r>
    </w:p>
    <w:p>
      <w:pPr>
        <w:spacing w:after="120" w:line="240" w:lineRule="auto"/>
        <w:jc w:val="both"/>
        <w:rPr>
          <w:rFonts w:ascii="Times New Roman" w:hAnsi="Times New Roman"/>
          <w:noProof/>
          <w:sz w:val="24"/>
          <w:szCs w:val="24"/>
          <w:lang w:eastAsia="fr-BE"/>
        </w:rPr>
      </w:pPr>
      <w:r>
        <w:rPr>
          <w:rFonts w:ascii="Times New Roman" w:hAnsi="Times New Roman"/>
          <w:noProof/>
          <w:sz w:val="24"/>
          <w:szCs w:val="24"/>
          <w:lang w:eastAsia="fr-BE"/>
        </w:rPr>
        <w:t xml:space="preserve">Policy </w:t>
      </w:r>
      <w:r>
        <w:rPr>
          <w:rFonts w:ascii="Times New Roman" w:hAnsi="Times New Roman"/>
          <w:b/>
          <w:noProof/>
          <w:sz w:val="24"/>
          <w:szCs w:val="24"/>
          <w:lang w:eastAsia="fr-BE"/>
        </w:rPr>
        <w:t>Option 1</w:t>
      </w:r>
      <w:r>
        <w:rPr>
          <w:rFonts w:ascii="Times New Roman" w:hAnsi="Times New Roman"/>
          <w:noProof/>
          <w:sz w:val="24"/>
          <w:szCs w:val="24"/>
          <w:lang w:eastAsia="fr-BE"/>
        </w:rPr>
        <w:t xml:space="preserve">, all ERA-NETs would directly target research funders, and to a lesser extend the ministries that allocate the funding to their programmes. The final target audience is the one that is invited to apply to the calls launched under ERA-NETs, for the relevant programmes of the Mediterranean Countries mostly researchers in public research organisations. </w:t>
      </w:r>
    </w:p>
    <w:p>
      <w:pPr>
        <w:spacing w:after="120" w:line="240" w:lineRule="auto"/>
        <w:jc w:val="both"/>
        <w:rPr>
          <w:rFonts w:ascii="Times New Roman" w:hAnsi="Times New Roman"/>
          <w:noProof/>
          <w:sz w:val="24"/>
          <w:szCs w:val="24"/>
          <w:lang w:eastAsia="fr-BE"/>
        </w:rPr>
      </w:pPr>
      <w:r>
        <w:rPr>
          <w:rFonts w:ascii="Times New Roman" w:hAnsi="Times New Roman"/>
          <w:noProof/>
          <w:sz w:val="24"/>
          <w:szCs w:val="24"/>
          <w:lang w:eastAsia="fr-BE"/>
        </w:rPr>
        <w:t xml:space="preserve">Policy </w:t>
      </w:r>
      <w:r>
        <w:rPr>
          <w:rFonts w:ascii="Times New Roman" w:hAnsi="Times New Roman"/>
          <w:b/>
          <w:noProof/>
          <w:sz w:val="24"/>
          <w:szCs w:val="24"/>
          <w:lang w:eastAsia="fr-BE"/>
        </w:rPr>
        <w:t>Option 2</w:t>
      </w:r>
      <w:r>
        <w:rPr>
          <w:rFonts w:ascii="Times New Roman" w:hAnsi="Times New Roman"/>
          <w:noProof/>
          <w:sz w:val="24"/>
          <w:szCs w:val="24"/>
          <w:lang w:eastAsia="fr-BE"/>
        </w:rPr>
        <w:t xml:space="preserve">, the PRIMA Joint Programme based on Article 185 TFEU would allow, for the calls implemented by the DIS, </w:t>
      </w:r>
      <w:r>
        <w:rPr>
          <w:rFonts w:ascii="Times New Roman" w:hAnsi="Times New Roman"/>
          <w:b/>
          <w:noProof/>
          <w:sz w:val="24"/>
          <w:szCs w:val="24"/>
          <w:lang w:eastAsia="fr-BE"/>
        </w:rPr>
        <w:t>the participation of all relevant R&amp;I actors, in particular industry and other end-users</w:t>
      </w:r>
      <w:r>
        <w:rPr>
          <w:rFonts w:ascii="Times New Roman" w:hAnsi="Times New Roman"/>
          <w:noProof/>
          <w:sz w:val="24"/>
          <w:szCs w:val="24"/>
          <w:lang w:eastAsia="fr-BE"/>
        </w:rPr>
        <w:t xml:space="preserve">. The activities of the Participating States would target mainly public research organisations. Option 2 would furthermore target the different ministries and other governmental authorities involved on the side of the Participating States. </w:t>
      </w:r>
    </w:p>
    <w:p>
      <w:pPr>
        <w:spacing w:after="120" w:line="240" w:lineRule="auto"/>
        <w:jc w:val="both"/>
        <w:rPr>
          <w:rFonts w:ascii="Times New Roman" w:hAnsi="Times New Roman"/>
          <w:noProof/>
          <w:sz w:val="24"/>
          <w:szCs w:val="24"/>
          <w:lang w:eastAsia="fr-BE"/>
        </w:rPr>
      </w:pPr>
      <w:r>
        <w:rPr>
          <w:rFonts w:ascii="Times New Roman" w:hAnsi="Times New Roman"/>
          <w:noProof/>
          <w:sz w:val="24"/>
          <w:szCs w:val="24"/>
          <w:lang w:eastAsia="fr-BE"/>
        </w:rPr>
        <w:t>In Annex 7 a detailed analysis of the actors affected by the three policy options is reported.</w:t>
      </w:r>
    </w:p>
    <w:p>
      <w:pPr>
        <w:spacing w:after="120" w:line="240" w:lineRule="auto"/>
        <w:jc w:val="both"/>
        <w:rPr>
          <w:rFonts w:ascii="Times New Roman" w:hAnsi="Times New Roman"/>
          <w:noProof/>
          <w:sz w:val="24"/>
          <w:szCs w:val="24"/>
          <w:lang w:eastAsia="fr-BE"/>
        </w:rPr>
      </w:pPr>
      <w:r>
        <w:rPr>
          <w:rFonts w:ascii="Times New Roman" w:hAnsi="Times New Roman"/>
          <w:noProof/>
          <w:sz w:val="24"/>
          <w:szCs w:val="24"/>
          <w:lang w:eastAsia="fr-BE"/>
        </w:rPr>
        <w:t xml:space="preserve">No different </w:t>
      </w:r>
      <w:r>
        <w:rPr>
          <w:rFonts w:ascii="Times New Roman" w:hAnsi="Times New Roman"/>
          <w:b/>
          <w:noProof/>
          <w:sz w:val="24"/>
          <w:szCs w:val="24"/>
          <w:lang w:eastAsia="fr-BE"/>
        </w:rPr>
        <w:t>digital solution</w:t>
      </w:r>
      <w:r>
        <w:rPr>
          <w:rFonts w:ascii="Times New Roman" w:hAnsi="Times New Roman"/>
          <w:noProof/>
          <w:sz w:val="24"/>
          <w:szCs w:val="24"/>
          <w:lang w:eastAsia="fr-BE"/>
        </w:rPr>
        <w:t xml:space="preserve"> subject to assessment has been identified as relevant to the problem at stake.</w:t>
      </w:r>
      <w:bookmarkStart w:id="160" w:name="_Toc452026189"/>
    </w:p>
    <w:p>
      <w:pPr>
        <w:spacing w:after="120" w:line="240" w:lineRule="auto"/>
        <w:jc w:val="both"/>
        <w:rPr>
          <w:noProof/>
        </w:rPr>
      </w:pPr>
      <w:r>
        <w:rPr>
          <w:noProof/>
        </w:rPr>
        <w:br w:type="page"/>
      </w:r>
    </w:p>
    <w:tbl>
      <w:tblPr>
        <w:tblW w:w="9889" w:type="dxa"/>
        <w:shd w:val="clear" w:color="auto" w:fill="F2F2F2" w:themeFill="background1" w:themeFillShade="F2"/>
        <w:tblLook w:val="04A0" w:firstRow="1" w:lastRow="0" w:firstColumn="1" w:lastColumn="0" w:noHBand="0" w:noVBand="1"/>
      </w:tblPr>
      <w:tblGrid>
        <w:gridCol w:w="9889"/>
      </w:tblGrid>
      <w:tr>
        <w:tc>
          <w:tcPr>
            <w:tcW w:w="9889" w:type="dxa"/>
            <w:shd w:val="clear" w:color="auto" w:fill="F2F2F2" w:themeFill="background1" w:themeFillShade="F2"/>
          </w:tcPr>
          <w:p>
            <w:pPr>
              <w:keepNext/>
              <w:keepLines/>
              <w:numPr>
                <w:ilvl w:val="0"/>
                <w:numId w:val="7"/>
              </w:numPr>
              <w:spacing w:before="120" w:after="120" w:line="240" w:lineRule="auto"/>
              <w:outlineLvl w:val="0"/>
              <w:rPr>
                <w:rFonts w:ascii="Times New Roman" w:hAnsi="Times New Roman"/>
                <w:b/>
                <w:noProof/>
                <w:sz w:val="24"/>
                <w:szCs w:val="24"/>
              </w:rPr>
            </w:pPr>
            <w:bookmarkStart w:id="161" w:name="_Toc455682275"/>
            <w:bookmarkStart w:id="162" w:name="_Toc455731808"/>
            <w:bookmarkStart w:id="163" w:name="_Toc457466048"/>
            <w:r>
              <w:rPr>
                <w:rFonts w:ascii="Times New Roman" w:hAnsi="Times New Roman"/>
                <w:b/>
                <w:noProof/>
                <w:sz w:val="24"/>
                <w:szCs w:val="24"/>
              </w:rPr>
              <w:t>Section 5. What are the impacts of the different policy options and who will be affected?</w:t>
            </w:r>
            <w:bookmarkEnd w:id="160"/>
            <w:bookmarkEnd w:id="161"/>
            <w:bookmarkEnd w:id="162"/>
            <w:bookmarkEnd w:id="163"/>
          </w:p>
        </w:tc>
      </w:tr>
    </w:tbl>
    <w:p>
      <w:pPr>
        <w:pStyle w:val="Heading1"/>
        <w:numPr>
          <w:ilvl w:val="1"/>
          <w:numId w:val="7"/>
        </w:numPr>
        <w:spacing w:before="0" w:after="120" w:line="240" w:lineRule="auto"/>
        <w:jc w:val="both"/>
        <w:rPr>
          <w:rFonts w:ascii="Times New Roman" w:hAnsi="Times New Roman"/>
          <w:noProof/>
          <w:color w:val="auto"/>
          <w:sz w:val="24"/>
          <w:szCs w:val="24"/>
        </w:rPr>
      </w:pPr>
      <w:bookmarkStart w:id="164" w:name="_Toc455745645"/>
      <w:bookmarkStart w:id="165" w:name="_Toc455746186"/>
      <w:bookmarkStart w:id="166" w:name="_Toc455746432"/>
      <w:bookmarkStart w:id="167" w:name="_Toc455748120"/>
      <w:bookmarkStart w:id="168" w:name="_Toc455651167"/>
      <w:bookmarkStart w:id="169" w:name="_Toc457466049"/>
      <w:bookmarkStart w:id="170" w:name="_Toc455682276"/>
      <w:bookmarkStart w:id="171" w:name="_Toc455731809"/>
      <w:bookmarkStart w:id="172" w:name="_Toc452026190"/>
      <w:bookmarkEnd w:id="164"/>
      <w:bookmarkEnd w:id="165"/>
      <w:bookmarkEnd w:id="166"/>
      <w:bookmarkEnd w:id="167"/>
      <w:r>
        <w:rPr>
          <w:rFonts w:ascii="Times New Roman" w:hAnsi="Times New Roman"/>
          <w:noProof/>
          <w:color w:val="auto"/>
          <w:sz w:val="24"/>
          <w:szCs w:val="24"/>
        </w:rPr>
        <w:t>Likely economic, social and environmental impacts of each of the short-listed options</w:t>
      </w:r>
      <w:bookmarkEnd w:id="168"/>
      <w:bookmarkEnd w:id="169"/>
    </w:p>
    <w:p>
      <w:pPr>
        <w:spacing w:after="120" w:line="240" w:lineRule="auto"/>
        <w:rPr>
          <w:rFonts w:ascii="Times New Roman" w:hAnsi="Times New Roman"/>
          <w:noProof/>
          <w:sz w:val="24"/>
          <w:lang w:eastAsia="en-GB"/>
        </w:rPr>
      </w:pPr>
      <w:r>
        <w:rPr>
          <w:rFonts w:ascii="Times New Roman" w:hAnsi="Times New Roman"/>
          <w:noProof/>
          <w:sz w:val="24"/>
          <w:lang w:eastAsia="en-GB"/>
        </w:rPr>
        <w:t>Taking account of the identified problem, problem drivers and objectives, this section assesses the retained options of section 4.3 according to their direct and indirect impacts.</w:t>
      </w:r>
    </w:p>
    <w:p>
      <w:pPr>
        <w:spacing w:after="120" w:line="240" w:lineRule="auto"/>
        <w:rPr>
          <w:rFonts w:ascii="Times New Roman" w:hAnsi="Times New Roman"/>
          <w:noProof/>
          <w:sz w:val="24"/>
        </w:rPr>
      </w:pPr>
      <w:r>
        <w:rPr>
          <w:rFonts w:ascii="Times New Roman" w:hAnsi="Times New Roman"/>
          <w:noProof/>
          <w:sz w:val="24"/>
        </w:rPr>
        <w:t>In particular, the following most significant impacts have been identified:</w:t>
      </w:r>
    </w:p>
    <w:p>
      <w:pPr>
        <w:pStyle w:val="ListParagraph"/>
        <w:numPr>
          <w:ilvl w:val="1"/>
          <w:numId w:val="97"/>
        </w:numPr>
        <w:spacing w:after="120" w:line="240" w:lineRule="auto"/>
        <w:ind w:left="426"/>
        <w:rPr>
          <w:rFonts w:ascii="Times New Roman" w:hAnsi="Times New Roman"/>
          <w:noProof/>
          <w:sz w:val="24"/>
          <w:szCs w:val="24"/>
        </w:rPr>
      </w:pPr>
      <w:bookmarkStart w:id="173" w:name="_Toc452026191"/>
      <w:bookmarkStart w:id="174" w:name="_Toc455651168"/>
      <w:r>
        <w:rPr>
          <w:rFonts w:ascii="Times New Roman" w:hAnsi="Times New Roman"/>
          <w:noProof/>
          <w:sz w:val="24"/>
          <w:szCs w:val="24"/>
        </w:rPr>
        <w:t>Direct impacts</w:t>
      </w:r>
      <w:bookmarkEnd w:id="173"/>
      <w:bookmarkEnd w:id="174"/>
      <w:r>
        <w:rPr>
          <w:rFonts w:ascii="Times New Roman" w:hAnsi="Times New Roman"/>
          <w:noProof/>
          <w:sz w:val="24"/>
          <w:szCs w:val="24"/>
        </w:rPr>
        <w:t xml:space="preserve"> of </w:t>
      </w:r>
      <w:r>
        <w:rPr>
          <w:rFonts w:ascii="Times New Roman" w:hAnsi="Times New Roman"/>
          <w:b/>
          <w:noProof/>
          <w:sz w:val="24"/>
          <w:szCs w:val="24"/>
        </w:rPr>
        <w:t>economic</w:t>
      </w:r>
      <w:r>
        <w:rPr>
          <w:rFonts w:ascii="Times New Roman" w:hAnsi="Times New Roman"/>
          <w:noProof/>
          <w:sz w:val="24"/>
          <w:szCs w:val="24"/>
        </w:rPr>
        <w:t xml:space="preserve"> nature:</w:t>
      </w:r>
    </w:p>
    <w:p>
      <w:pPr>
        <w:pStyle w:val="ListParagraph"/>
        <w:numPr>
          <w:ilvl w:val="1"/>
          <w:numId w:val="99"/>
        </w:numPr>
        <w:spacing w:after="120" w:line="240" w:lineRule="auto"/>
        <w:ind w:left="709"/>
        <w:rPr>
          <w:rFonts w:ascii="Times New Roman" w:hAnsi="Times New Roman"/>
          <w:noProof/>
          <w:sz w:val="24"/>
          <w:szCs w:val="24"/>
        </w:rPr>
      </w:pPr>
      <w:r>
        <w:rPr>
          <w:rFonts w:ascii="Times New Roman" w:hAnsi="Times New Roman"/>
          <w:noProof/>
          <w:sz w:val="24"/>
          <w:szCs w:val="24"/>
        </w:rPr>
        <w:t>Increased innovation and research</w:t>
      </w:r>
    </w:p>
    <w:p>
      <w:pPr>
        <w:pStyle w:val="ListParagraph"/>
        <w:numPr>
          <w:ilvl w:val="2"/>
          <w:numId w:val="99"/>
        </w:numPr>
        <w:spacing w:after="120" w:line="240" w:lineRule="auto"/>
        <w:ind w:left="1134"/>
        <w:rPr>
          <w:rFonts w:ascii="Times New Roman" w:hAnsi="Times New Roman"/>
          <w:noProof/>
          <w:sz w:val="24"/>
          <w:szCs w:val="24"/>
        </w:rPr>
      </w:pPr>
      <w:r>
        <w:rPr>
          <w:rFonts w:ascii="Times New Roman" w:hAnsi="Times New Roman"/>
          <w:noProof/>
          <w:sz w:val="24"/>
          <w:szCs w:val="24"/>
        </w:rPr>
        <w:t xml:space="preserve">Integration of national R&amp;I programmes and activities </w:t>
      </w:r>
    </w:p>
    <w:p>
      <w:pPr>
        <w:pStyle w:val="ListParagraph"/>
        <w:numPr>
          <w:ilvl w:val="1"/>
          <w:numId w:val="99"/>
        </w:numPr>
        <w:spacing w:after="120" w:line="240" w:lineRule="auto"/>
        <w:ind w:left="709"/>
        <w:rPr>
          <w:rFonts w:ascii="Times New Roman" w:hAnsi="Times New Roman"/>
          <w:noProof/>
          <w:sz w:val="24"/>
          <w:szCs w:val="24"/>
        </w:rPr>
      </w:pPr>
      <w:r>
        <w:rPr>
          <w:rFonts w:ascii="Times New Roman" w:hAnsi="Times New Roman"/>
          <w:noProof/>
          <w:sz w:val="24"/>
          <w:szCs w:val="24"/>
        </w:rPr>
        <w:t>Technological development</w:t>
      </w:r>
    </w:p>
    <w:p>
      <w:pPr>
        <w:pStyle w:val="ListParagraph"/>
        <w:numPr>
          <w:ilvl w:val="2"/>
          <w:numId w:val="99"/>
        </w:numPr>
        <w:spacing w:after="120" w:line="240" w:lineRule="auto"/>
        <w:ind w:left="1134"/>
        <w:rPr>
          <w:rFonts w:ascii="Times New Roman" w:hAnsi="Times New Roman"/>
          <w:noProof/>
          <w:sz w:val="24"/>
          <w:szCs w:val="24"/>
        </w:rPr>
      </w:pPr>
      <w:r>
        <w:rPr>
          <w:rFonts w:ascii="Times New Roman" w:hAnsi="Times New Roman"/>
          <w:noProof/>
          <w:sz w:val="24"/>
          <w:szCs w:val="24"/>
        </w:rPr>
        <w:t xml:space="preserve">Delivery of fully piloted and demonstrated, common innovative, integrated solutions for the sustainable management of water provision and food systems </w:t>
      </w:r>
    </w:p>
    <w:p>
      <w:pPr>
        <w:pStyle w:val="ListParagraph"/>
        <w:numPr>
          <w:ilvl w:val="1"/>
          <w:numId w:val="99"/>
        </w:numPr>
        <w:spacing w:after="120" w:line="240" w:lineRule="auto"/>
        <w:ind w:left="709"/>
        <w:rPr>
          <w:rFonts w:ascii="Times New Roman" w:hAnsi="Times New Roman"/>
          <w:noProof/>
          <w:sz w:val="24"/>
          <w:szCs w:val="24"/>
        </w:rPr>
      </w:pPr>
      <w:r>
        <w:rPr>
          <w:rFonts w:ascii="Times New Roman" w:hAnsi="Times New Roman"/>
          <w:noProof/>
          <w:sz w:val="24"/>
          <w:szCs w:val="24"/>
        </w:rPr>
        <w:t>Growth and investment</w:t>
      </w:r>
    </w:p>
    <w:p>
      <w:pPr>
        <w:pStyle w:val="ListParagraph"/>
        <w:numPr>
          <w:ilvl w:val="2"/>
          <w:numId w:val="99"/>
        </w:numPr>
        <w:spacing w:after="120" w:line="240" w:lineRule="auto"/>
        <w:ind w:left="1134"/>
        <w:rPr>
          <w:rFonts w:ascii="Times New Roman" w:hAnsi="Times New Roman"/>
          <w:noProof/>
          <w:sz w:val="24"/>
          <w:szCs w:val="24"/>
        </w:rPr>
      </w:pPr>
      <w:r>
        <w:rPr>
          <w:rFonts w:ascii="Times New Roman" w:hAnsi="Times New Roman"/>
          <w:noProof/>
          <w:sz w:val="24"/>
          <w:szCs w:val="24"/>
        </w:rPr>
        <w:t>Opportunities for agro-food industry and other SMEs and other companies</w:t>
      </w:r>
    </w:p>
    <w:p>
      <w:pPr>
        <w:pStyle w:val="ListParagraph"/>
        <w:numPr>
          <w:ilvl w:val="1"/>
          <w:numId w:val="97"/>
        </w:numPr>
        <w:spacing w:after="120" w:line="240" w:lineRule="auto"/>
        <w:ind w:left="426"/>
        <w:rPr>
          <w:rFonts w:ascii="Times New Roman" w:hAnsi="Times New Roman"/>
          <w:noProof/>
          <w:sz w:val="24"/>
          <w:szCs w:val="24"/>
        </w:rPr>
      </w:pPr>
      <w:r>
        <w:rPr>
          <w:rFonts w:ascii="Times New Roman" w:hAnsi="Times New Roman"/>
          <w:noProof/>
          <w:sz w:val="24"/>
          <w:szCs w:val="24"/>
        </w:rPr>
        <w:t xml:space="preserve">Indirect impacts of </w:t>
      </w:r>
      <w:r>
        <w:rPr>
          <w:rFonts w:ascii="Times New Roman" w:hAnsi="Times New Roman"/>
          <w:b/>
          <w:noProof/>
          <w:sz w:val="24"/>
          <w:szCs w:val="24"/>
        </w:rPr>
        <w:t>economic</w:t>
      </w:r>
      <w:r>
        <w:rPr>
          <w:rFonts w:ascii="Times New Roman" w:hAnsi="Times New Roman"/>
          <w:noProof/>
          <w:sz w:val="24"/>
          <w:szCs w:val="24"/>
        </w:rPr>
        <w:t xml:space="preserve"> nature</w:t>
      </w:r>
    </w:p>
    <w:p>
      <w:pPr>
        <w:pStyle w:val="ListParagraph"/>
        <w:numPr>
          <w:ilvl w:val="1"/>
          <w:numId w:val="99"/>
        </w:numPr>
        <w:spacing w:after="120" w:line="240" w:lineRule="auto"/>
        <w:ind w:left="709"/>
        <w:rPr>
          <w:rFonts w:ascii="Times New Roman" w:hAnsi="Times New Roman"/>
          <w:noProof/>
          <w:sz w:val="24"/>
          <w:szCs w:val="24"/>
        </w:rPr>
      </w:pPr>
      <w:r>
        <w:rPr>
          <w:rFonts w:ascii="Times New Roman" w:hAnsi="Times New Roman"/>
          <w:noProof/>
          <w:sz w:val="24"/>
          <w:szCs w:val="24"/>
        </w:rPr>
        <w:t>Growth and investment</w:t>
      </w:r>
    </w:p>
    <w:p>
      <w:pPr>
        <w:pStyle w:val="ListParagraph"/>
        <w:numPr>
          <w:ilvl w:val="2"/>
          <w:numId w:val="99"/>
        </w:numPr>
        <w:spacing w:after="120" w:line="240" w:lineRule="auto"/>
        <w:ind w:left="1134"/>
        <w:rPr>
          <w:rFonts w:ascii="Times New Roman" w:hAnsi="Times New Roman"/>
          <w:noProof/>
          <w:sz w:val="24"/>
          <w:szCs w:val="24"/>
        </w:rPr>
      </w:pPr>
      <w:r>
        <w:rPr>
          <w:rFonts w:ascii="Times New Roman" w:hAnsi="Times New Roman"/>
          <w:noProof/>
          <w:sz w:val="24"/>
          <w:szCs w:val="24"/>
        </w:rPr>
        <w:t>Large-scale aggregate economic impacts</w:t>
      </w:r>
    </w:p>
    <w:p>
      <w:pPr>
        <w:pStyle w:val="ListParagraph"/>
        <w:numPr>
          <w:ilvl w:val="1"/>
          <w:numId w:val="97"/>
        </w:numPr>
        <w:spacing w:after="120" w:line="240" w:lineRule="auto"/>
        <w:ind w:left="426"/>
        <w:rPr>
          <w:rFonts w:ascii="Times New Roman" w:hAnsi="Times New Roman"/>
          <w:noProof/>
          <w:sz w:val="24"/>
          <w:szCs w:val="24"/>
        </w:rPr>
      </w:pPr>
      <w:r>
        <w:rPr>
          <w:rFonts w:ascii="Times New Roman" w:hAnsi="Times New Roman"/>
          <w:noProof/>
          <w:sz w:val="24"/>
          <w:szCs w:val="24"/>
        </w:rPr>
        <w:t xml:space="preserve">Indirect impacts of </w:t>
      </w:r>
      <w:r>
        <w:rPr>
          <w:rFonts w:ascii="Times New Roman" w:hAnsi="Times New Roman"/>
          <w:b/>
          <w:noProof/>
          <w:sz w:val="24"/>
          <w:szCs w:val="24"/>
        </w:rPr>
        <w:t>social</w:t>
      </w:r>
      <w:r>
        <w:rPr>
          <w:rFonts w:ascii="Times New Roman" w:hAnsi="Times New Roman"/>
          <w:noProof/>
          <w:sz w:val="24"/>
          <w:szCs w:val="24"/>
        </w:rPr>
        <w:t xml:space="preserve"> nature</w:t>
      </w:r>
    </w:p>
    <w:p>
      <w:pPr>
        <w:pStyle w:val="ListParagraph"/>
        <w:numPr>
          <w:ilvl w:val="1"/>
          <w:numId w:val="99"/>
        </w:numPr>
        <w:spacing w:after="120" w:line="240" w:lineRule="auto"/>
        <w:ind w:left="709"/>
        <w:rPr>
          <w:rFonts w:ascii="Times New Roman" w:hAnsi="Times New Roman"/>
          <w:noProof/>
          <w:sz w:val="24"/>
          <w:szCs w:val="24"/>
        </w:rPr>
      </w:pPr>
      <w:r>
        <w:rPr>
          <w:rFonts w:ascii="Times New Roman" w:hAnsi="Times New Roman"/>
          <w:noProof/>
          <w:sz w:val="24"/>
          <w:szCs w:val="24"/>
        </w:rPr>
        <w:t>Working conditions</w:t>
      </w:r>
    </w:p>
    <w:p>
      <w:pPr>
        <w:pStyle w:val="ListParagraph"/>
        <w:numPr>
          <w:ilvl w:val="2"/>
          <w:numId w:val="99"/>
        </w:numPr>
        <w:spacing w:after="120" w:line="240" w:lineRule="auto"/>
        <w:ind w:left="1134"/>
        <w:rPr>
          <w:rFonts w:ascii="Times New Roman" w:hAnsi="Times New Roman"/>
          <w:noProof/>
          <w:sz w:val="24"/>
          <w:szCs w:val="24"/>
        </w:rPr>
      </w:pPr>
      <w:r>
        <w:rPr>
          <w:rFonts w:ascii="Times New Roman" w:hAnsi="Times New Roman"/>
          <w:noProof/>
          <w:sz w:val="24"/>
          <w:szCs w:val="24"/>
        </w:rPr>
        <w:t>Improved livelihoods for farmers</w:t>
      </w:r>
    </w:p>
    <w:p>
      <w:pPr>
        <w:pStyle w:val="ListParagraph"/>
        <w:numPr>
          <w:ilvl w:val="1"/>
          <w:numId w:val="99"/>
        </w:numPr>
        <w:spacing w:after="120" w:line="240" w:lineRule="auto"/>
        <w:ind w:left="709"/>
        <w:rPr>
          <w:rFonts w:ascii="Times New Roman" w:hAnsi="Times New Roman"/>
          <w:noProof/>
          <w:sz w:val="24"/>
          <w:szCs w:val="24"/>
        </w:rPr>
      </w:pPr>
      <w:r>
        <w:rPr>
          <w:rFonts w:ascii="Times New Roman" w:hAnsi="Times New Roman"/>
          <w:noProof/>
          <w:sz w:val="24"/>
          <w:szCs w:val="24"/>
        </w:rPr>
        <w:t>Public health and safety</w:t>
      </w:r>
    </w:p>
    <w:p>
      <w:pPr>
        <w:pStyle w:val="ListParagraph"/>
        <w:numPr>
          <w:ilvl w:val="2"/>
          <w:numId w:val="99"/>
        </w:numPr>
        <w:spacing w:after="120" w:line="240" w:lineRule="auto"/>
        <w:ind w:left="1134"/>
        <w:rPr>
          <w:rFonts w:ascii="Times New Roman" w:hAnsi="Times New Roman"/>
          <w:noProof/>
          <w:sz w:val="24"/>
          <w:szCs w:val="24"/>
        </w:rPr>
      </w:pPr>
      <w:r>
        <w:rPr>
          <w:rFonts w:ascii="Times New Roman" w:hAnsi="Times New Roman"/>
          <w:noProof/>
          <w:sz w:val="24"/>
          <w:szCs w:val="24"/>
        </w:rPr>
        <w:t>Improved nutrition and health</w:t>
      </w:r>
    </w:p>
    <w:p>
      <w:pPr>
        <w:pStyle w:val="ListParagraph"/>
        <w:numPr>
          <w:ilvl w:val="1"/>
          <w:numId w:val="99"/>
        </w:numPr>
        <w:spacing w:after="120" w:line="240" w:lineRule="auto"/>
        <w:ind w:left="709"/>
        <w:rPr>
          <w:rFonts w:ascii="Times New Roman" w:hAnsi="Times New Roman"/>
          <w:noProof/>
          <w:sz w:val="24"/>
          <w:szCs w:val="24"/>
        </w:rPr>
      </w:pPr>
      <w:r>
        <w:rPr>
          <w:rFonts w:ascii="Times New Roman" w:hAnsi="Times New Roman"/>
          <w:noProof/>
          <w:sz w:val="24"/>
          <w:szCs w:val="24"/>
        </w:rPr>
        <w:t>Social impact in third countries</w:t>
      </w:r>
    </w:p>
    <w:p>
      <w:pPr>
        <w:pStyle w:val="ListParagraph"/>
        <w:numPr>
          <w:ilvl w:val="2"/>
          <w:numId w:val="99"/>
        </w:numPr>
        <w:spacing w:after="120" w:line="240" w:lineRule="auto"/>
        <w:ind w:left="1134"/>
        <w:rPr>
          <w:rFonts w:ascii="Times New Roman" w:hAnsi="Times New Roman"/>
          <w:noProof/>
          <w:sz w:val="24"/>
          <w:szCs w:val="24"/>
        </w:rPr>
      </w:pPr>
      <w:r>
        <w:rPr>
          <w:rFonts w:ascii="Times New Roman" w:hAnsi="Times New Roman"/>
          <w:noProof/>
          <w:sz w:val="24"/>
          <w:szCs w:val="24"/>
        </w:rPr>
        <w:t>Political stability and reduced migration</w:t>
      </w:r>
    </w:p>
    <w:p>
      <w:pPr>
        <w:pStyle w:val="ListParagraph"/>
        <w:numPr>
          <w:ilvl w:val="1"/>
          <w:numId w:val="97"/>
        </w:numPr>
        <w:spacing w:after="120" w:line="240" w:lineRule="auto"/>
        <w:ind w:left="426"/>
        <w:rPr>
          <w:rFonts w:ascii="Times New Roman" w:hAnsi="Times New Roman"/>
          <w:noProof/>
          <w:sz w:val="24"/>
          <w:szCs w:val="24"/>
        </w:rPr>
      </w:pPr>
      <w:r>
        <w:rPr>
          <w:rFonts w:ascii="Times New Roman" w:hAnsi="Times New Roman"/>
          <w:noProof/>
          <w:sz w:val="24"/>
          <w:szCs w:val="24"/>
        </w:rPr>
        <w:t xml:space="preserve">Indirect impacts of </w:t>
      </w:r>
      <w:r>
        <w:rPr>
          <w:rFonts w:ascii="Times New Roman" w:hAnsi="Times New Roman"/>
          <w:b/>
          <w:noProof/>
          <w:sz w:val="24"/>
          <w:szCs w:val="24"/>
        </w:rPr>
        <w:t>environmental</w:t>
      </w:r>
      <w:r>
        <w:rPr>
          <w:rFonts w:ascii="Times New Roman" w:hAnsi="Times New Roman"/>
          <w:noProof/>
          <w:sz w:val="24"/>
          <w:szCs w:val="24"/>
        </w:rPr>
        <w:t xml:space="preserve"> nature</w:t>
      </w:r>
    </w:p>
    <w:p>
      <w:pPr>
        <w:pStyle w:val="ListParagraph"/>
        <w:numPr>
          <w:ilvl w:val="1"/>
          <w:numId w:val="99"/>
        </w:numPr>
        <w:spacing w:after="120" w:line="240" w:lineRule="auto"/>
        <w:ind w:left="709"/>
        <w:rPr>
          <w:rFonts w:ascii="Times New Roman" w:hAnsi="Times New Roman"/>
          <w:noProof/>
          <w:sz w:val="24"/>
          <w:szCs w:val="24"/>
        </w:rPr>
      </w:pPr>
      <w:r>
        <w:rPr>
          <w:rFonts w:ascii="Times New Roman" w:hAnsi="Times New Roman"/>
          <w:noProof/>
          <w:sz w:val="24"/>
          <w:szCs w:val="24"/>
        </w:rPr>
        <w:t>Fostering the efficient use of resources and fighting climate change</w:t>
      </w:r>
    </w:p>
    <w:p>
      <w:pPr>
        <w:pStyle w:val="ListParagraph"/>
        <w:numPr>
          <w:ilvl w:val="2"/>
          <w:numId w:val="99"/>
        </w:numPr>
        <w:spacing w:after="120" w:line="240" w:lineRule="auto"/>
        <w:ind w:left="1134"/>
        <w:rPr>
          <w:rFonts w:ascii="Times New Roman" w:hAnsi="Times New Roman"/>
          <w:noProof/>
          <w:sz w:val="24"/>
          <w:szCs w:val="24"/>
        </w:rPr>
      </w:pPr>
      <w:r>
        <w:rPr>
          <w:rFonts w:ascii="Times New Roman" w:hAnsi="Times New Roman"/>
          <w:noProof/>
          <w:sz w:val="24"/>
          <w:szCs w:val="24"/>
        </w:rPr>
        <w:t xml:space="preserve">Large-scale environmental impacts </w:t>
      </w:r>
    </w:p>
    <w:p>
      <w:pPr>
        <w:pStyle w:val="ListParagraph"/>
        <w:spacing w:after="120" w:line="240" w:lineRule="auto"/>
        <w:ind w:left="0"/>
        <w:rPr>
          <w:rFonts w:ascii="Times New Roman" w:hAnsi="Times New Roman"/>
          <w:noProof/>
          <w:sz w:val="24"/>
          <w:szCs w:val="24"/>
        </w:rPr>
      </w:pPr>
    </w:p>
    <w:p>
      <w:pPr>
        <w:pStyle w:val="Heading1"/>
        <w:numPr>
          <w:ilvl w:val="1"/>
          <w:numId w:val="7"/>
        </w:numPr>
        <w:spacing w:before="0" w:after="120" w:line="240" w:lineRule="auto"/>
        <w:jc w:val="both"/>
        <w:rPr>
          <w:rFonts w:ascii="Times New Roman" w:hAnsi="Times New Roman"/>
          <w:noProof/>
          <w:color w:val="auto"/>
          <w:sz w:val="24"/>
          <w:szCs w:val="24"/>
        </w:rPr>
      </w:pPr>
      <w:bookmarkStart w:id="175" w:name="_Toc457466050"/>
      <w:r>
        <w:rPr>
          <w:rFonts w:ascii="Times New Roman" w:hAnsi="Times New Roman"/>
          <w:noProof/>
          <w:color w:val="auto"/>
          <w:sz w:val="24"/>
          <w:szCs w:val="24"/>
        </w:rPr>
        <w:t>Direct impacts</w:t>
      </w:r>
      <w:bookmarkEnd w:id="175"/>
      <w:r>
        <w:rPr>
          <w:rFonts w:ascii="Times New Roman" w:hAnsi="Times New Roman"/>
          <w:noProof/>
          <w:color w:val="auto"/>
          <w:sz w:val="24"/>
          <w:szCs w:val="24"/>
        </w:rPr>
        <w:t xml:space="preserve"> </w:t>
      </w:r>
    </w:p>
    <w:p>
      <w:pPr>
        <w:spacing w:after="120" w:line="240" w:lineRule="auto"/>
        <w:jc w:val="both"/>
        <w:rPr>
          <w:rFonts w:ascii="Times New Roman" w:hAnsi="Times New Roman"/>
          <w:noProof/>
          <w:sz w:val="24"/>
          <w:szCs w:val="24"/>
        </w:rPr>
      </w:pPr>
      <w:r>
        <w:rPr>
          <w:rFonts w:ascii="Times New Roman" w:eastAsia="Times New Roman" w:hAnsi="Times New Roman"/>
          <w:bCs/>
          <w:noProof/>
          <w:sz w:val="24"/>
          <w:szCs w:val="24"/>
        </w:rPr>
        <w:t>The identified likely direct impacts of the Article 185 option are of economic nature, according to the impacts category of Tool #16 of the Better Regulation Toolbox. Article 185 option is expected to have relevant positive impacts on innovation and research, technological development and growth and investment, as described in the following paragraphs.</w:t>
      </w:r>
    </w:p>
    <w:p>
      <w:pPr>
        <w:spacing w:after="120" w:line="240" w:lineRule="auto"/>
        <w:jc w:val="both"/>
        <w:rPr>
          <w:rFonts w:ascii="Times New Roman" w:hAnsi="Times New Roman"/>
          <w:noProof/>
          <w:sz w:val="24"/>
          <w:szCs w:val="24"/>
        </w:rPr>
      </w:pPr>
    </w:p>
    <w:p>
      <w:pPr>
        <w:pStyle w:val="Heading1"/>
        <w:numPr>
          <w:ilvl w:val="2"/>
          <w:numId w:val="7"/>
        </w:numPr>
        <w:spacing w:before="120" w:after="120" w:line="240" w:lineRule="auto"/>
        <w:rPr>
          <w:rFonts w:ascii="Times New Roman" w:hAnsi="Times New Roman"/>
          <w:noProof/>
          <w:color w:val="auto"/>
          <w:sz w:val="24"/>
          <w:szCs w:val="24"/>
        </w:rPr>
      </w:pPr>
      <w:bookmarkStart w:id="176" w:name="_Toc457466051"/>
      <w:r>
        <w:rPr>
          <w:rFonts w:ascii="Times New Roman" w:hAnsi="Times New Roman"/>
          <w:noProof/>
          <w:color w:val="auto"/>
          <w:sz w:val="24"/>
          <w:szCs w:val="24"/>
        </w:rPr>
        <w:t>Rapid integration of national R&amp;I programmes and activities in the Mediterranean area</w:t>
      </w:r>
      <w:bookmarkEnd w:id="176"/>
    </w:p>
    <w:p>
      <w:pPr>
        <w:spacing w:after="120" w:line="240" w:lineRule="auto"/>
        <w:jc w:val="both"/>
        <w:rPr>
          <w:rFonts w:ascii="Times New Roman" w:eastAsia="Times New Roman" w:hAnsi="Times New Roman"/>
          <w:bCs/>
          <w:noProof/>
          <w:sz w:val="24"/>
          <w:szCs w:val="24"/>
        </w:rPr>
      </w:pPr>
      <w:r>
        <w:rPr>
          <w:rFonts w:ascii="Times New Roman" w:eastAsia="Times New Roman" w:hAnsi="Times New Roman"/>
          <w:bCs/>
          <w:noProof/>
          <w:sz w:val="24"/>
          <w:szCs w:val="24"/>
        </w:rPr>
        <w:t xml:space="preserve">The </w:t>
      </w:r>
      <w:r>
        <w:rPr>
          <w:rFonts w:ascii="Times New Roman" w:eastAsia="Times New Roman" w:hAnsi="Times New Roman"/>
          <w:b/>
          <w:bCs/>
          <w:noProof/>
          <w:sz w:val="24"/>
          <w:szCs w:val="24"/>
        </w:rPr>
        <w:t>most immediate direct impact of the Article 185 option, and an impact that no other option can achieve</w:t>
      </w:r>
      <w:r>
        <w:rPr>
          <w:rFonts w:ascii="Times New Roman" w:eastAsia="Times New Roman" w:hAnsi="Times New Roman"/>
          <w:bCs/>
          <w:noProof/>
          <w:sz w:val="24"/>
          <w:szCs w:val="24"/>
        </w:rPr>
        <w:t xml:space="preserve">, is the rapid integration of the R&amp;I programmes and activities of the Participating States within the context of </w:t>
      </w:r>
      <w:r>
        <w:rPr>
          <w:rFonts w:ascii="Times New Roman" w:eastAsia="Times New Roman" w:hAnsi="Times New Roman"/>
          <w:b/>
          <w:bCs/>
          <w:noProof/>
          <w:sz w:val="24"/>
          <w:szCs w:val="24"/>
        </w:rPr>
        <w:t>a jointly formulated strategic R&amp;I agenda focused on addressing the challenge of unsustainable managed water provision and food systems</w:t>
      </w:r>
      <w:r>
        <w:rPr>
          <w:rFonts w:ascii="Times New Roman" w:eastAsia="Times New Roman" w:hAnsi="Times New Roman"/>
          <w:bCs/>
          <w:noProof/>
          <w:sz w:val="24"/>
          <w:szCs w:val="24"/>
        </w:rPr>
        <w:t xml:space="preserve">. This will provide a comprehensive, long-term stable and predictable framework for all relevant stakeholders to collaborate towards the achievement of the operational, specific and general objectives of the PRIMA Joint Programme. </w:t>
      </w:r>
    </w:p>
    <w:p>
      <w:pPr>
        <w:spacing w:after="120" w:line="240" w:lineRule="auto"/>
        <w:jc w:val="both"/>
        <w:rPr>
          <w:rFonts w:ascii="Times New Roman" w:eastAsia="Times New Roman" w:hAnsi="Times New Roman"/>
          <w:bCs/>
          <w:noProof/>
          <w:sz w:val="24"/>
          <w:szCs w:val="24"/>
        </w:rPr>
      </w:pPr>
      <w:r>
        <w:rPr>
          <w:rFonts w:ascii="Times New Roman" w:eastAsia="Times New Roman" w:hAnsi="Times New Roman"/>
          <w:bCs/>
          <w:noProof/>
          <w:sz w:val="24"/>
          <w:szCs w:val="24"/>
        </w:rPr>
        <w:t xml:space="preserve">Considering the strategic and specific objectives described in Section 3, and based on Tool #16 of the Better Regulation Toolbox, the direct impacts on the </w:t>
      </w:r>
      <w:r>
        <w:rPr>
          <w:rFonts w:ascii="Times New Roman" w:hAnsi="Times New Roman"/>
          <w:noProof/>
          <w:sz w:val="24"/>
          <w:szCs w:val="24"/>
        </w:rPr>
        <w:t xml:space="preserve">integration of national R&amp;I programmes and activities are </w:t>
      </w:r>
      <w:r>
        <w:rPr>
          <w:rFonts w:ascii="Times New Roman" w:eastAsia="Times New Roman" w:hAnsi="Times New Roman"/>
          <w:bCs/>
          <w:noProof/>
          <w:sz w:val="24"/>
          <w:szCs w:val="24"/>
        </w:rPr>
        <w:t>summarised in Table 5.1.</w:t>
      </w:r>
    </w:p>
    <w:tbl>
      <w:tblPr>
        <w:tblStyle w:val="LightList-Accent1"/>
        <w:tblW w:w="0" w:type="auto"/>
        <w:tblBorders>
          <w:insideH w:val="single" w:sz="8" w:space="0" w:color="4F81BD" w:themeColor="accent1"/>
          <w:insideV w:val="single" w:sz="8" w:space="0" w:color="4F81BD" w:themeColor="accent1"/>
        </w:tblBorders>
        <w:tblLook w:val="04A0" w:firstRow="1" w:lastRow="0" w:firstColumn="1" w:lastColumn="0" w:noHBand="0" w:noVBand="1"/>
      </w:tblPr>
      <w:tblGrid>
        <w:gridCol w:w="2222"/>
        <w:gridCol w:w="2250"/>
        <w:gridCol w:w="2542"/>
        <w:gridCol w:w="2755"/>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Mar>
              <w:left w:w="68" w:type="dxa"/>
              <w:right w:w="68" w:type="dxa"/>
            </w:tcMar>
          </w:tcPr>
          <w:p>
            <w:pPr>
              <w:spacing w:after="0" w:line="240" w:lineRule="auto"/>
              <w:rPr>
                <w:rFonts w:ascii="Times New Roman" w:hAnsi="Times New Roman"/>
                <w:noProof/>
                <w:spacing w:val="-6"/>
                <w:sz w:val="20"/>
                <w:szCs w:val="20"/>
              </w:rPr>
            </w:pPr>
            <w:r>
              <w:rPr>
                <w:rFonts w:ascii="Times New Roman" w:hAnsi="Times New Roman"/>
                <w:noProof/>
                <w:spacing w:val="-6"/>
                <w:sz w:val="20"/>
                <w:szCs w:val="20"/>
              </w:rPr>
              <w:t>Direct impact category</w:t>
            </w:r>
          </w:p>
        </w:tc>
        <w:tc>
          <w:tcPr>
            <w:tcW w:w="2250" w:type="dxa"/>
            <w:tcMar>
              <w:left w:w="68" w:type="dxa"/>
              <w:right w:w="68" w:type="dxa"/>
            </w:tcMar>
          </w:tcPr>
          <w:p>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noProof/>
                <w:spacing w:val="-6"/>
                <w:sz w:val="20"/>
                <w:szCs w:val="20"/>
              </w:rPr>
            </w:pPr>
            <w:r>
              <w:rPr>
                <w:rFonts w:ascii="Times New Roman" w:hAnsi="Times New Roman"/>
                <w:noProof/>
                <w:spacing w:val="-6"/>
                <w:sz w:val="20"/>
                <w:szCs w:val="20"/>
              </w:rPr>
              <w:t>Baseline scenario: No dedicated EU action</w:t>
            </w:r>
          </w:p>
        </w:tc>
        <w:tc>
          <w:tcPr>
            <w:tcW w:w="2542" w:type="dxa"/>
            <w:tcMar>
              <w:left w:w="68" w:type="dxa"/>
              <w:right w:w="68" w:type="dxa"/>
            </w:tcMar>
          </w:tcPr>
          <w:p>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noProof/>
                <w:spacing w:val="-6"/>
                <w:sz w:val="20"/>
                <w:szCs w:val="20"/>
              </w:rPr>
            </w:pPr>
            <w:r>
              <w:rPr>
                <w:rFonts w:ascii="Times New Roman" w:hAnsi="Times New Roman"/>
                <w:noProof/>
                <w:spacing w:val="-6"/>
                <w:sz w:val="20"/>
                <w:szCs w:val="20"/>
              </w:rPr>
              <w:t>Option 1: ERA-NET Cofund actions</w:t>
            </w:r>
          </w:p>
        </w:tc>
        <w:tc>
          <w:tcPr>
            <w:tcW w:w="2755" w:type="dxa"/>
            <w:tcMar>
              <w:left w:w="68" w:type="dxa"/>
              <w:right w:w="68" w:type="dxa"/>
            </w:tcMar>
          </w:tcPr>
          <w:p>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noProof/>
                <w:spacing w:val="-6"/>
                <w:sz w:val="20"/>
                <w:szCs w:val="20"/>
              </w:rPr>
            </w:pPr>
            <w:r>
              <w:rPr>
                <w:rFonts w:ascii="Times New Roman" w:hAnsi="Times New Roman"/>
                <w:noProof/>
                <w:spacing w:val="-6"/>
                <w:sz w:val="20"/>
                <w:szCs w:val="20"/>
              </w:rPr>
              <w:t>Option 2: PRIMA Joint Programme based on Article 185 TFEU</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Mar>
              <w:left w:w="68" w:type="dxa"/>
              <w:right w:w="68" w:type="dxa"/>
            </w:tcMar>
          </w:tcPr>
          <w:p>
            <w:pPr>
              <w:spacing w:after="0" w:line="240" w:lineRule="auto"/>
              <w:rPr>
                <w:rFonts w:ascii="Times New Roman" w:hAnsi="Times New Roman"/>
                <w:noProof/>
                <w:spacing w:val="-6"/>
                <w:sz w:val="20"/>
                <w:szCs w:val="20"/>
              </w:rPr>
            </w:pPr>
            <w:r>
              <w:rPr>
                <w:rFonts w:ascii="Times New Roman" w:hAnsi="Times New Roman"/>
                <w:noProof/>
                <w:spacing w:val="-6"/>
                <w:sz w:val="20"/>
                <w:szCs w:val="20"/>
              </w:rPr>
              <w:t>Mobilisation of additional resources in R&amp;I in the field of water provision and food systems</w:t>
            </w:r>
          </w:p>
        </w:tc>
        <w:tc>
          <w:tcPr>
            <w:tcW w:w="2250" w:type="dxa"/>
            <w:tcMar>
              <w:left w:w="68" w:type="dxa"/>
              <w:right w:w="68" w:type="dxa"/>
            </w:tcMar>
          </w:tcPr>
          <w:p>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pacing w:val="-6"/>
                <w:sz w:val="20"/>
                <w:szCs w:val="20"/>
              </w:rPr>
            </w:pPr>
            <w:r>
              <w:rPr>
                <w:rFonts w:ascii="Times New Roman" w:hAnsi="Times New Roman"/>
                <w:noProof/>
                <w:spacing w:val="-6"/>
                <w:sz w:val="20"/>
                <w:szCs w:val="20"/>
              </w:rPr>
              <w:t>Baseline scenario would not specifically address additional resources. The instruments available under Option 0 are not specifically designed to directly leverage R&amp;I resources.</w:t>
            </w:r>
          </w:p>
        </w:tc>
        <w:tc>
          <w:tcPr>
            <w:tcW w:w="2542" w:type="dxa"/>
            <w:tcMar>
              <w:left w:w="68" w:type="dxa"/>
              <w:right w:w="68" w:type="dxa"/>
            </w:tcMar>
          </w:tcPr>
          <w:p>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pacing w:val="-6"/>
                <w:sz w:val="20"/>
                <w:szCs w:val="20"/>
              </w:rPr>
            </w:pPr>
            <w:r>
              <w:rPr>
                <w:rFonts w:ascii="Times New Roman" w:hAnsi="Times New Roman"/>
                <w:noProof/>
                <w:spacing w:val="-6"/>
                <w:sz w:val="20"/>
                <w:szCs w:val="20"/>
              </w:rPr>
              <w:t>ERA-NET Cofund actions would be able to attract further public funding, but it would likely more difficult to mobilise private investment. In fact, in ERA-NETs predominantly public research organisations are participating in the call.</w:t>
            </w:r>
          </w:p>
        </w:tc>
        <w:tc>
          <w:tcPr>
            <w:tcW w:w="2755" w:type="dxa"/>
            <w:tcMar>
              <w:left w:w="68" w:type="dxa"/>
              <w:right w:w="68" w:type="dxa"/>
            </w:tcMar>
          </w:tcPr>
          <w:p>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pacing w:val="-6"/>
                <w:sz w:val="20"/>
                <w:szCs w:val="20"/>
              </w:rPr>
            </w:pPr>
            <w:r>
              <w:rPr>
                <w:rFonts w:ascii="Times New Roman" w:hAnsi="Times New Roman"/>
                <w:noProof/>
                <w:spacing w:val="-6"/>
                <w:sz w:val="20"/>
                <w:szCs w:val="20"/>
              </w:rPr>
              <w:t>Article 185 option presents a longer-term engagement towards common R&amp;I investment over a period that generally lasts 10 or more years  would enable the structural involvement of different types of stakeholders, both public and private, bringing together and leveraging their respective knowledge and financial resources.</w:t>
            </w:r>
          </w:p>
        </w:tc>
      </w:tr>
      <w:tr>
        <w:tc>
          <w:tcPr>
            <w:cnfStyle w:val="001000000000" w:firstRow="0" w:lastRow="0" w:firstColumn="1" w:lastColumn="0" w:oddVBand="0" w:evenVBand="0" w:oddHBand="0" w:evenHBand="0" w:firstRowFirstColumn="0" w:firstRowLastColumn="0" w:lastRowFirstColumn="0" w:lastRowLastColumn="0"/>
            <w:tcW w:w="2222" w:type="dxa"/>
            <w:tcMar>
              <w:left w:w="68" w:type="dxa"/>
              <w:right w:w="68" w:type="dxa"/>
            </w:tcMar>
          </w:tcPr>
          <w:p>
            <w:pPr>
              <w:spacing w:after="0" w:line="240" w:lineRule="auto"/>
              <w:rPr>
                <w:rFonts w:ascii="Times New Roman" w:hAnsi="Times New Roman"/>
                <w:noProof/>
                <w:spacing w:val="-6"/>
                <w:sz w:val="20"/>
                <w:szCs w:val="20"/>
              </w:rPr>
            </w:pPr>
            <w:r>
              <w:rPr>
                <w:rFonts w:ascii="Times New Roman" w:hAnsi="Times New Roman"/>
                <w:noProof/>
                <w:spacing w:val="-6"/>
                <w:sz w:val="20"/>
                <w:szCs w:val="20"/>
              </w:rPr>
              <w:t>Uptake of innovative solutions</w:t>
            </w:r>
          </w:p>
        </w:tc>
        <w:tc>
          <w:tcPr>
            <w:tcW w:w="2250" w:type="dxa"/>
            <w:tcMar>
              <w:left w:w="68" w:type="dxa"/>
              <w:right w:w="68" w:type="dxa"/>
            </w:tcMar>
          </w:tcPr>
          <w:p>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pacing w:val="-6"/>
                <w:sz w:val="20"/>
                <w:szCs w:val="20"/>
              </w:rPr>
            </w:pPr>
            <w:r>
              <w:rPr>
                <w:rFonts w:ascii="Times New Roman" w:hAnsi="Times New Roman"/>
                <w:noProof/>
                <w:spacing w:val="-6"/>
                <w:sz w:val="20"/>
                <w:szCs w:val="20"/>
              </w:rPr>
              <w:t>Baseline scenario would be able to address directly the innovative solutions, through dedicated calls. However, it does not present the necessary scope and scale for addressing the challenges of water provisions and food systems in the Mediterranean area.</w:t>
            </w:r>
          </w:p>
        </w:tc>
        <w:tc>
          <w:tcPr>
            <w:tcW w:w="2542" w:type="dxa"/>
            <w:tcMar>
              <w:left w:w="68" w:type="dxa"/>
              <w:right w:w="68" w:type="dxa"/>
            </w:tcMar>
          </w:tcPr>
          <w:p>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pacing w:val="-6"/>
                <w:sz w:val="20"/>
                <w:szCs w:val="20"/>
              </w:rPr>
            </w:pPr>
            <w:r>
              <w:rPr>
                <w:rFonts w:ascii="Times New Roman" w:hAnsi="Times New Roman"/>
                <w:noProof/>
                <w:spacing w:val="-6"/>
                <w:sz w:val="20"/>
                <w:szCs w:val="20"/>
              </w:rPr>
              <w:t>ERA-NET Cofund actions are likely to address research activities, but have limited capacity to address the innovation dimension.</w:t>
            </w:r>
          </w:p>
        </w:tc>
        <w:tc>
          <w:tcPr>
            <w:tcW w:w="2755" w:type="dxa"/>
            <w:tcMar>
              <w:left w:w="68" w:type="dxa"/>
              <w:right w:w="68" w:type="dxa"/>
            </w:tcMar>
          </w:tcPr>
          <w:p>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pacing w:val="-6"/>
                <w:sz w:val="20"/>
                <w:szCs w:val="20"/>
              </w:rPr>
            </w:pPr>
            <w:r>
              <w:rPr>
                <w:rFonts w:ascii="Times New Roman" w:hAnsi="Times New Roman"/>
                <w:noProof/>
                <w:spacing w:val="-6"/>
                <w:sz w:val="20"/>
                <w:szCs w:val="20"/>
              </w:rPr>
              <w:t>Article 185 would likely result in the development of innovative solutions with high TRL by implementing large scale demonstration project in the Mediterranean area.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Mar>
              <w:left w:w="68" w:type="dxa"/>
              <w:right w:w="68" w:type="dxa"/>
            </w:tcMar>
          </w:tcPr>
          <w:p>
            <w:pPr>
              <w:spacing w:after="0" w:line="240" w:lineRule="auto"/>
              <w:rPr>
                <w:rFonts w:ascii="Times New Roman" w:hAnsi="Times New Roman"/>
                <w:noProof/>
                <w:spacing w:val="-6"/>
                <w:sz w:val="20"/>
                <w:szCs w:val="20"/>
              </w:rPr>
            </w:pPr>
            <w:r>
              <w:rPr>
                <w:rFonts w:ascii="Times New Roman" w:hAnsi="Times New Roman"/>
                <w:noProof/>
                <w:spacing w:val="-6"/>
                <w:sz w:val="20"/>
                <w:szCs w:val="20"/>
              </w:rPr>
              <w:t>Knowledge transfer and skill creation</w:t>
            </w:r>
          </w:p>
        </w:tc>
        <w:tc>
          <w:tcPr>
            <w:tcW w:w="4792" w:type="dxa"/>
            <w:gridSpan w:val="2"/>
            <w:tcMar>
              <w:left w:w="68" w:type="dxa"/>
              <w:right w:w="68" w:type="dxa"/>
            </w:tcMar>
          </w:tcPr>
          <w:p>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pacing w:val="-6"/>
                <w:sz w:val="20"/>
                <w:szCs w:val="20"/>
              </w:rPr>
            </w:pPr>
            <w:r>
              <w:rPr>
                <w:rFonts w:ascii="Times New Roman" w:hAnsi="Times New Roman"/>
                <w:noProof/>
                <w:spacing w:val="-6"/>
                <w:sz w:val="20"/>
                <w:szCs w:val="20"/>
              </w:rPr>
              <w:t>Baseline scenario and ERA-NET Cofund actions are expected to have a positive impact on knowledge transfer and skill creation. However, given the need to develop innovative integrated solutions for the sustainable management of water provision and food systems and to ensure sufficient geographical coverage, they are likely to have only a limited impact. These options, in fact, don't have the necessary long term spam and cooperation capacity to cope with societal challenges, such as the ones addressed by the identified objects, that are of scale and complexity, requiring different types of knowledge and skills from different sectors and disciplines to resolve them.</w:t>
            </w:r>
          </w:p>
        </w:tc>
        <w:tc>
          <w:tcPr>
            <w:tcW w:w="2755" w:type="dxa"/>
            <w:tcMar>
              <w:left w:w="68" w:type="dxa"/>
              <w:right w:w="68" w:type="dxa"/>
            </w:tcMar>
          </w:tcPr>
          <w:p>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pacing w:val="-6"/>
                <w:sz w:val="20"/>
                <w:szCs w:val="20"/>
              </w:rPr>
            </w:pPr>
            <w:r>
              <w:rPr>
                <w:rFonts w:ascii="Times New Roman" w:hAnsi="Times New Roman"/>
                <w:noProof/>
                <w:spacing w:val="-6"/>
                <w:sz w:val="20"/>
                <w:szCs w:val="20"/>
              </w:rPr>
              <w:t>Article 185 ensures long-time commitment on specific objectives of EU and third countries on equal footing. The long term cooperation could lead to the generation of new knowledge to be valorised in the form of new products, processes, services and economic, social and environmental impacts.</w:t>
            </w:r>
          </w:p>
        </w:tc>
      </w:tr>
      <w:tr>
        <w:tblPrEx>
          <w:tblBorders>
            <w:insideH w:val="none" w:sz="0" w:space="0" w:color="auto"/>
            <w:insideV w:val="none" w:sz="0" w:space="0" w:color="auto"/>
          </w:tblBorders>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9769" w:type="dxa"/>
            <w:gridSpan w:val="4"/>
            <w:shd w:val="clear" w:color="auto" w:fill="4F81BD" w:themeFill="accent1"/>
            <w:tcMar>
              <w:left w:w="68" w:type="dxa"/>
              <w:right w:w="68" w:type="dxa"/>
            </w:tcMar>
          </w:tcPr>
          <w:p>
            <w:pPr>
              <w:spacing w:after="0" w:line="240" w:lineRule="auto"/>
              <w:jc w:val="center"/>
              <w:rPr>
                <w:rFonts w:ascii="Times New Roman" w:hAnsi="Times New Roman"/>
                <w:noProof/>
                <w:spacing w:val="-6"/>
                <w:sz w:val="20"/>
                <w:szCs w:val="20"/>
              </w:rPr>
            </w:pPr>
            <w:r>
              <w:rPr>
                <w:rFonts w:ascii="Times New Roman" w:hAnsi="Times New Roman"/>
                <w:noProof/>
                <w:color w:val="FFFFFF" w:themeColor="background1"/>
                <w:spacing w:val="-6"/>
                <w:sz w:val="20"/>
                <w:szCs w:val="20"/>
              </w:rPr>
              <w:t>Main features concerning R&amp;I activities and their coordination</w:t>
            </w:r>
          </w:p>
        </w:tc>
      </w:tr>
      <w:tr>
        <w:tblPrEx>
          <w:tblBorders>
            <w:insideH w:val="none" w:sz="0" w:space="0" w:color="auto"/>
            <w:insideV w:val="none" w:sz="0" w:space="0" w:color="auto"/>
          </w:tblBorders>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Mar>
              <w:left w:w="68" w:type="dxa"/>
              <w:right w:w="68" w:type="dxa"/>
            </w:tcMar>
          </w:tcPr>
          <w:p>
            <w:pPr>
              <w:spacing w:after="0" w:line="240" w:lineRule="auto"/>
              <w:rPr>
                <w:rFonts w:ascii="Times New Roman" w:eastAsia="Times New Roman" w:hAnsi="Times New Roman"/>
                <w:b w:val="0"/>
                <w:noProof/>
                <w:spacing w:val="-6"/>
                <w:sz w:val="20"/>
                <w:szCs w:val="20"/>
              </w:rPr>
            </w:pPr>
            <w:r>
              <w:rPr>
                <w:rFonts w:ascii="Times New Roman" w:eastAsia="Times New Roman" w:hAnsi="Times New Roman"/>
                <w:noProof/>
                <w:spacing w:val="-6"/>
                <w:sz w:val="20"/>
                <w:szCs w:val="20"/>
              </w:rPr>
              <w:t>Priority setting</w:t>
            </w:r>
          </w:p>
        </w:tc>
        <w:tc>
          <w:tcPr>
            <w:cnfStyle w:val="000010000000" w:firstRow="0" w:lastRow="0" w:firstColumn="0" w:lastColumn="0" w:oddVBand="1" w:evenVBand="0" w:oddHBand="0" w:evenHBand="0" w:firstRowFirstColumn="0" w:firstRowLastColumn="0" w:lastRowFirstColumn="0" w:lastRowLastColumn="0"/>
            <w:tcW w:w="2250" w:type="dxa"/>
            <w:tcMar>
              <w:left w:w="68" w:type="dxa"/>
              <w:right w:w="68" w:type="dxa"/>
            </w:tcMar>
          </w:tcPr>
          <w:p>
            <w:pPr>
              <w:spacing w:after="0" w:line="240" w:lineRule="auto"/>
              <w:jc w:val="both"/>
              <w:rPr>
                <w:rFonts w:ascii="Times New Roman" w:hAnsi="Times New Roman"/>
                <w:noProof/>
                <w:spacing w:val="-6"/>
                <w:sz w:val="20"/>
                <w:szCs w:val="20"/>
              </w:rPr>
            </w:pPr>
            <w:r>
              <w:rPr>
                <w:rFonts w:ascii="Times New Roman" w:hAnsi="Times New Roman"/>
                <w:noProof/>
                <w:spacing w:val="-6"/>
                <w:sz w:val="20"/>
                <w:szCs w:val="20"/>
              </w:rPr>
              <w:t>Ad-hoc, bottom-up</w:t>
            </w:r>
          </w:p>
        </w:tc>
        <w:tc>
          <w:tcPr>
            <w:tcW w:w="2542" w:type="dxa"/>
            <w:tcMar>
              <w:left w:w="68" w:type="dxa"/>
              <w:right w:w="68" w:type="dxa"/>
            </w:tcMar>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pacing w:val="-6"/>
                <w:sz w:val="20"/>
                <w:szCs w:val="20"/>
              </w:rPr>
            </w:pPr>
            <w:r>
              <w:rPr>
                <w:rFonts w:ascii="Times New Roman" w:hAnsi="Times New Roman"/>
                <w:noProof/>
                <w:spacing w:val="-6"/>
                <w:sz w:val="20"/>
                <w:szCs w:val="20"/>
              </w:rPr>
              <w:t>Commission Driven</w:t>
            </w:r>
          </w:p>
        </w:tc>
        <w:tc>
          <w:tcPr>
            <w:cnfStyle w:val="000010000000" w:firstRow="0" w:lastRow="0" w:firstColumn="0" w:lastColumn="0" w:oddVBand="1" w:evenVBand="0" w:oddHBand="0" w:evenHBand="0" w:firstRowFirstColumn="0" w:firstRowLastColumn="0" w:lastRowFirstColumn="0" w:lastRowLastColumn="0"/>
            <w:tcW w:w="2755" w:type="dxa"/>
            <w:tcMar>
              <w:left w:w="68" w:type="dxa"/>
              <w:right w:w="68" w:type="dxa"/>
            </w:tcMar>
          </w:tcPr>
          <w:p>
            <w:pPr>
              <w:spacing w:after="0" w:line="240" w:lineRule="auto"/>
              <w:rPr>
                <w:rFonts w:ascii="Times New Roman" w:hAnsi="Times New Roman"/>
                <w:noProof/>
                <w:spacing w:val="-6"/>
                <w:sz w:val="20"/>
                <w:szCs w:val="20"/>
              </w:rPr>
            </w:pPr>
            <w:r>
              <w:rPr>
                <w:rFonts w:ascii="Times New Roman" w:hAnsi="Times New Roman"/>
                <w:noProof/>
                <w:spacing w:val="-6"/>
                <w:sz w:val="20"/>
                <w:szCs w:val="20"/>
              </w:rPr>
              <w:t>Joint decision</w:t>
            </w:r>
          </w:p>
        </w:tc>
      </w:tr>
      <w:tr>
        <w:tblPrEx>
          <w:tblBorders>
            <w:insideH w:val="none" w:sz="0" w:space="0" w:color="auto"/>
            <w:insideV w:val="none" w:sz="0" w:space="0" w:color="auto"/>
          </w:tblBorders>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2222" w:type="dxa"/>
            <w:tcMar>
              <w:left w:w="68" w:type="dxa"/>
              <w:right w:w="68" w:type="dxa"/>
            </w:tcMar>
          </w:tcPr>
          <w:p>
            <w:pPr>
              <w:spacing w:after="0" w:line="240" w:lineRule="auto"/>
              <w:rPr>
                <w:rFonts w:ascii="Times New Roman" w:eastAsia="Times New Roman" w:hAnsi="Times New Roman"/>
                <w:b w:val="0"/>
                <w:noProof/>
                <w:spacing w:val="-6"/>
                <w:sz w:val="20"/>
                <w:szCs w:val="20"/>
              </w:rPr>
            </w:pPr>
            <w:r>
              <w:rPr>
                <w:rFonts w:ascii="Times New Roman" w:eastAsia="Times New Roman" w:hAnsi="Times New Roman"/>
                <w:noProof/>
                <w:spacing w:val="-6"/>
                <w:sz w:val="20"/>
                <w:szCs w:val="20"/>
              </w:rPr>
              <w:t>Coordination framework</w:t>
            </w:r>
          </w:p>
        </w:tc>
        <w:tc>
          <w:tcPr>
            <w:cnfStyle w:val="000010000000" w:firstRow="0" w:lastRow="0" w:firstColumn="0" w:lastColumn="0" w:oddVBand="1" w:evenVBand="0" w:oddHBand="0" w:evenHBand="0" w:firstRowFirstColumn="0" w:firstRowLastColumn="0" w:lastRowFirstColumn="0" w:lastRowLastColumn="0"/>
            <w:tcW w:w="2250" w:type="dxa"/>
            <w:tcMar>
              <w:left w:w="68" w:type="dxa"/>
              <w:right w:w="68" w:type="dxa"/>
            </w:tcMar>
          </w:tcPr>
          <w:p>
            <w:pPr>
              <w:spacing w:after="0" w:line="240" w:lineRule="auto"/>
              <w:jc w:val="both"/>
              <w:rPr>
                <w:rFonts w:ascii="Times New Roman" w:hAnsi="Times New Roman"/>
                <w:noProof/>
                <w:spacing w:val="-6"/>
                <w:sz w:val="20"/>
                <w:szCs w:val="20"/>
              </w:rPr>
            </w:pPr>
            <w:r>
              <w:rPr>
                <w:rFonts w:ascii="Times New Roman" w:hAnsi="Times New Roman"/>
                <w:noProof/>
                <w:spacing w:val="-6"/>
                <w:sz w:val="20"/>
                <w:szCs w:val="20"/>
              </w:rPr>
              <w:t>None</w:t>
            </w:r>
          </w:p>
        </w:tc>
        <w:tc>
          <w:tcPr>
            <w:tcW w:w="2542" w:type="dxa"/>
            <w:tcMar>
              <w:left w:w="68" w:type="dxa"/>
              <w:right w:w="68" w:type="dxa"/>
            </w:tcMar>
          </w:tcPr>
          <w:p>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spacing w:val="-6"/>
                <w:sz w:val="20"/>
                <w:szCs w:val="20"/>
              </w:rPr>
            </w:pPr>
            <w:r>
              <w:rPr>
                <w:rFonts w:ascii="Times New Roman" w:hAnsi="Times New Roman"/>
                <w:noProof/>
                <w:spacing w:val="-6"/>
                <w:sz w:val="20"/>
                <w:szCs w:val="20"/>
              </w:rPr>
              <w:t>ERA-NET, variable geometry for countries participating</w:t>
            </w:r>
          </w:p>
        </w:tc>
        <w:tc>
          <w:tcPr>
            <w:cnfStyle w:val="000010000000" w:firstRow="0" w:lastRow="0" w:firstColumn="0" w:lastColumn="0" w:oddVBand="1" w:evenVBand="0" w:oddHBand="0" w:evenHBand="0" w:firstRowFirstColumn="0" w:firstRowLastColumn="0" w:lastRowFirstColumn="0" w:lastRowLastColumn="0"/>
            <w:tcW w:w="2755" w:type="dxa"/>
            <w:tcMar>
              <w:left w:w="68" w:type="dxa"/>
              <w:right w:w="68" w:type="dxa"/>
            </w:tcMar>
          </w:tcPr>
          <w:p>
            <w:pPr>
              <w:spacing w:after="0" w:line="240" w:lineRule="auto"/>
              <w:rPr>
                <w:rFonts w:ascii="Times New Roman" w:hAnsi="Times New Roman"/>
                <w:noProof/>
                <w:spacing w:val="-6"/>
                <w:sz w:val="20"/>
                <w:szCs w:val="20"/>
              </w:rPr>
            </w:pPr>
            <w:r>
              <w:rPr>
                <w:rFonts w:ascii="Times New Roman" w:hAnsi="Times New Roman"/>
                <w:noProof/>
                <w:spacing w:val="-6"/>
                <w:sz w:val="20"/>
                <w:szCs w:val="20"/>
              </w:rPr>
              <w:t>Article 185</w:t>
            </w:r>
            <w:r>
              <w:rPr>
                <w:rFonts w:ascii="Times New Roman" w:hAnsi="Times New Roman"/>
                <w:noProof/>
                <w:spacing w:val="-6"/>
                <w:sz w:val="20"/>
                <w:szCs w:val="20"/>
              </w:rPr>
              <w:br/>
              <w:t>(14 countries</w:t>
            </w:r>
            <w:r>
              <w:rPr>
                <w:rFonts w:ascii="Times New Roman" w:hAnsi="Times New Roman"/>
                <w:noProof/>
                <w:spacing w:val="-6"/>
                <w:sz w:val="20"/>
                <w:szCs w:val="20"/>
                <w:vertAlign w:val="superscript"/>
              </w:rPr>
              <w:footnoteReference w:id="56"/>
            </w:r>
            <w:r>
              <w:rPr>
                <w:rFonts w:ascii="Times New Roman" w:hAnsi="Times New Roman"/>
                <w:noProof/>
                <w:spacing w:val="-6"/>
                <w:sz w:val="20"/>
                <w:szCs w:val="20"/>
              </w:rPr>
              <w:t>)</w:t>
            </w:r>
          </w:p>
        </w:tc>
      </w:tr>
      <w:tr>
        <w:tblPrEx>
          <w:tblBorders>
            <w:insideH w:val="none" w:sz="0" w:space="0" w:color="auto"/>
            <w:insideV w:val="none" w:sz="0" w:space="0" w:color="auto"/>
          </w:tblBorders>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Mar>
              <w:left w:w="68" w:type="dxa"/>
              <w:right w:w="68" w:type="dxa"/>
            </w:tcMar>
          </w:tcPr>
          <w:p>
            <w:pPr>
              <w:spacing w:after="0" w:line="240" w:lineRule="auto"/>
              <w:rPr>
                <w:rFonts w:ascii="Times New Roman" w:eastAsia="Times New Roman" w:hAnsi="Times New Roman"/>
                <w:b w:val="0"/>
                <w:noProof/>
                <w:spacing w:val="-6"/>
                <w:sz w:val="20"/>
                <w:szCs w:val="20"/>
              </w:rPr>
            </w:pPr>
            <w:r>
              <w:rPr>
                <w:rFonts w:ascii="Times New Roman" w:eastAsia="Times New Roman" w:hAnsi="Times New Roman"/>
                <w:noProof/>
                <w:spacing w:val="-6"/>
                <w:sz w:val="20"/>
                <w:szCs w:val="20"/>
              </w:rPr>
              <w:t>Coordination entity / governance</w:t>
            </w:r>
          </w:p>
        </w:tc>
        <w:tc>
          <w:tcPr>
            <w:cnfStyle w:val="000010000000" w:firstRow="0" w:lastRow="0" w:firstColumn="0" w:lastColumn="0" w:oddVBand="1" w:evenVBand="0" w:oddHBand="0" w:evenHBand="0" w:firstRowFirstColumn="0" w:firstRowLastColumn="0" w:lastRowFirstColumn="0" w:lastRowLastColumn="0"/>
            <w:tcW w:w="2250" w:type="dxa"/>
            <w:tcMar>
              <w:left w:w="68" w:type="dxa"/>
              <w:right w:w="68" w:type="dxa"/>
            </w:tcMar>
          </w:tcPr>
          <w:p>
            <w:pPr>
              <w:spacing w:after="0" w:line="240" w:lineRule="auto"/>
              <w:jc w:val="both"/>
              <w:rPr>
                <w:rFonts w:ascii="Times New Roman" w:hAnsi="Times New Roman"/>
                <w:noProof/>
                <w:spacing w:val="-6"/>
                <w:sz w:val="20"/>
                <w:szCs w:val="20"/>
              </w:rPr>
            </w:pPr>
            <w:r>
              <w:rPr>
                <w:rFonts w:ascii="Times New Roman" w:hAnsi="Times New Roman"/>
                <w:noProof/>
                <w:spacing w:val="-6"/>
                <w:sz w:val="20"/>
                <w:szCs w:val="20"/>
              </w:rPr>
              <w:t>none</w:t>
            </w:r>
          </w:p>
        </w:tc>
        <w:tc>
          <w:tcPr>
            <w:tcW w:w="2542" w:type="dxa"/>
            <w:tcMar>
              <w:left w:w="68" w:type="dxa"/>
              <w:right w:w="68" w:type="dxa"/>
            </w:tcMar>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pacing w:val="-6"/>
                <w:sz w:val="20"/>
                <w:szCs w:val="20"/>
              </w:rPr>
            </w:pPr>
            <w:r>
              <w:rPr>
                <w:rFonts w:ascii="Times New Roman" w:hAnsi="Times New Roman"/>
                <w:noProof/>
                <w:spacing w:val="-6"/>
                <w:sz w:val="20"/>
                <w:szCs w:val="20"/>
              </w:rPr>
              <w:t>ERA-NET consortia of research funders</w:t>
            </w:r>
          </w:p>
        </w:tc>
        <w:tc>
          <w:tcPr>
            <w:cnfStyle w:val="000010000000" w:firstRow="0" w:lastRow="0" w:firstColumn="0" w:lastColumn="0" w:oddVBand="1" w:evenVBand="0" w:oddHBand="0" w:evenHBand="0" w:firstRowFirstColumn="0" w:firstRowLastColumn="0" w:lastRowFirstColumn="0" w:lastRowLastColumn="0"/>
            <w:tcW w:w="2755" w:type="dxa"/>
            <w:tcMar>
              <w:left w:w="68" w:type="dxa"/>
              <w:right w:w="68" w:type="dxa"/>
            </w:tcMar>
          </w:tcPr>
          <w:p>
            <w:pPr>
              <w:spacing w:after="0" w:line="240" w:lineRule="auto"/>
              <w:rPr>
                <w:rFonts w:ascii="Times New Roman" w:hAnsi="Times New Roman"/>
                <w:noProof/>
                <w:spacing w:val="-6"/>
                <w:sz w:val="20"/>
                <w:szCs w:val="20"/>
              </w:rPr>
            </w:pPr>
            <w:r>
              <w:rPr>
                <w:rFonts w:ascii="Times New Roman" w:hAnsi="Times New Roman"/>
                <w:noProof/>
                <w:spacing w:val="-6"/>
                <w:sz w:val="20"/>
                <w:szCs w:val="20"/>
              </w:rPr>
              <w:t>PRIMA DIS and PRIMA General Assembly with Participating States representatives</w:t>
            </w:r>
          </w:p>
        </w:tc>
      </w:tr>
      <w:tr>
        <w:tblPrEx>
          <w:tblBorders>
            <w:insideH w:val="none" w:sz="0" w:space="0" w:color="auto"/>
            <w:insideV w:val="none" w:sz="0" w:space="0" w:color="auto"/>
          </w:tblBorders>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2222" w:type="dxa"/>
            <w:tcMar>
              <w:left w:w="68" w:type="dxa"/>
              <w:right w:w="68" w:type="dxa"/>
            </w:tcMar>
          </w:tcPr>
          <w:p>
            <w:pPr>
              <w:spacing w:after="0" w:line="240" w:lineRule="auto"/>
              <w:rPr>
                <w:rFonts w:ascii="Times New Roman" w:eastAsia="Times New Roman" w:hAnsi="Times New Roman"/>
                <w:b w:val="0"/>
                <w:noProof/>
                <w:spacing w:val="-6"/>
                <w:sz w:val="20"/>
                <w:szCs w:val="20"/>
              </w:rPr>
            </w:pPr>
            <w:r>
              <w:rPr>
                <w:rFonts w:ascii="Times New Roman" w:eastAsia="Times New Roman" w:hAnsi="Times New Roman"/>
                <w:noProof/>
                <w:spacing w:val="-6"/>
                <w:sz w:val="20"/>
                <w:szCs w:val="20"/>
              </w:rPr>
              <w:t>Research on water and food</w:t>
            </w:r>
          </w:p>
        </w:tc>
        <w:tc>
          <w:tcPr>
            <w:cnfStyle w:val="000010000000" w:firstRow="0" w:lastRow="0" w:firstColumn="0" w:lastColumn="0" w:oddVBand="1" w:evenVBand="0" w:oddHBand="0" w:evenHBand="0" w:firstRowFirstColumn="0" w:firstRowLastColumn="0" w:lastRowFirstColumn="0" w:lastRowLastColumn="0"/>
            <w:tcW w:w="2250" w:type="dxa"/>
            <w:tcMar>
              <w:left w:w="68" w:type="dxa"/>
              <w:right w:w="68" w:type="dxa"/>
            </w:tcMar>
          </w:tcPr>
          <w:p>
            <w:pPr>
              <w:spacing w:after="0" w:line="240" w:lineRule="auto"/>
              <w:jc w:val="both"/>
              <w:rPr>
                <w:rFonts w:ascii="Times New Roman" w:hAnsi="Times New Roman"/>
                <w:noProof/>
                <w:spacing w:val="-6"/>
                <w:sz w:val="20"/>
                <w:szCs w:val="20"/>
              </w:rPr>
            </w:pPr>
            <w:r>
              <w:rPr>
                <w:rFonts w:ascii="Times New Roman" w:hAnsi="Times New Roman"/>
                <w:noProof/>
                <w:spacing w:val="-6"/>
                <w:sz w:val="20"/>
                <w:szCs w:val="20"/>
              </w:rPr>
              <w:t>Ad hoc, bottom up</w:t>
            </w:r>
          </w:p>
        </w:tc>
        <w:tc>
          <w:tcPr>
            <w:tcW w:w="2542" w:type="dxa"/>
            <w:tcMar>
              <w:left w:w="68" w:type="dxa"/>
              <w:right w:w="68" w:type="dxa"/>
            </w:tcMar>
          </w:tcPr>
          <w:p>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spacing w:val="-6"/>
                <w:sz w:val="20"/>
                <w:szCs w:val="20"/>
                <w:lang w:eastAsia="de-DE"/>
              </w:rPr>
            </w:pPr>
            <w:r>
              <w:rPr>
                <w:rFonts w:ascii="Times New Roman" w:hAnsi="Times New Roman"/>
                <w:noProof/>
                <w:spacing w:val="-6"/>
                <w:sz w:val="20"/>
                <w:szCs w:val="20"/>
              </w:rPr>
              <w:t>Coordinated</w:t>
            </w:r>
          </w:p>
        </w:tc>
        <w:tc>
          <w:tcPr>
            <w:cnfStyle w:val="000010000000" w:firstRow="0" w:lastRow="0" w:firstColumn="0" w:lastColumn="0" w:oddVBand="1" w:evenVBand="0" w:oddHBand="0" w:evenHBand="0" w:firstRowFirstColumn="0" w:firstRowLastColumn="0" w:lastRowFirstColumn="0" w:lastRowLastColumn="0"/>
            <w:tcW w:w="2755" w:type="dxa"/>
            <w:tcMar>
              <w:left w:w="68" w:type="dxa"/>
              <w:right w:w="68" w:type="dxa"/>
            </w:tcMar>
          </w:tcPr>
          <w:p>
            <w:pPr>
              <w:spacing w:after="0" w:line="240" w:lineRule="auto"/>
              <w:rPr>
                <w:rFonts w:ascii="Times New Roman" w:hAnsi="Times New Roman"/>
                <w:noProof/>
                <w:spacing w:val="-6"/>
                <w:sz w:val="20"/>
                <w:szCs w:val="20"/>
                <w:lang w:eastAsia="de-DE"/>
              </w:rPr>
            </w:pPr>
            <w:r>
              <w:rPr>
                <w:rFonts w:ascii="Times New Roman" w:hAnsi="Times New Roman"/>
                <w:noProof/>
                <w:spacing w:val="-6"/>
                <w:sz w:val="20"/>
                <w:szCs w:val="20"/>
              </w:rPr>
              <w:t xml:space="preserve">Integrated, based on common R&amp;I agenda </w:t>
            </w:r>
          </w:p>
        </w:tc>
      </w:tr>
      <w:tr>
        <w:tblPrEx>
          <w:tblBorders>
            <w:insideH w:val="none" w:sz="0" w:space="0" w:color="auto"/>
            <w:insideV w:val="none" w:sz="0" w:space="0" w:color="auto"/>
          </w:tblBorders>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Mar>
              <w:left w:w="68" w:type="dxa"/>
              <w:right w:w="68" w:type="dxa"/>
            </w:tcMar>
          </w:tcPr>
          <w:p>
            <w:pPr>
              <w:spacing w:after="0" w:line="240" w:lineRule="auto"/>
              <w:rPr>
                <w:rFonts w:ascii="Times New Roman" w:eastAsia="Times New Roman" w:hAnsi="Times New Roman"/>
                <w:b w:val="0"/>
                <w:noProof/>
                <w:spacing w:val="-6"/>
                <w:sz w:val="20"/>
                <w:szCs w:val="20"/>
              </w:rPr>
            </w:pPr>
            <w:r>
              <w:rPr>
                <w:rFonts w:ascii="Times New Roman" w:eastAsia="Times New Roman" w:hAnsi="Times New Roman"/>
                <w:noProof/>
                <w:spacing w:val="-6"/>
                <w:sz w:val="20"/>
                <w:szCs w:val="20"/>
              </w:rPr>
              <w:t>Innovation activities incl. demonstrators and industrial research</w:t>
            </w:r>
          </w:p>
        </w:tc>
        <w:tc>
          <w:tcPr>
            <w:cnfStyle w:val="000010000000" w:firstRow="0" w:lastRow="0" w:firstColumn="0" w:lastColumn="0" w:oddVBand="1" w:evenVBand="0" w:oddHBand="0" w:evenHBand="0" w:firstRowFirstColumn="0" w:firstRowLastColumn="0" w:lastRowFirstColumn="0" w:lastRowLastColumn="0"/>
            <w:tcW w:w="2250" w:type="dxa"/>
            <w:tcMar>
              <w:left w:w="68" w:type="dxa"/>
              <w:right w:w="68" w:type="dxa"/>
            </w:tcMar>
          </w:tcPr>
          <w:p>
            <w:pPr>
              <w:spacing w:after="0" w:line="240" w:lineRule="auto"/>
              <w:jc w:val="both"/>
              <w:rPr>
                <w:rFonts w:ascii="Times New Roman" w:hAnsi="Times New Roman"/>
                <w:noProof/>
                <w:spacing w:val="-6"/>
                <w:sz w:val="20"/>
                <w:szCs w:val="20"/>
              </w:rPr>
            </w:pPr>
            <w:r>
              <w:rPr>
                <w:rFonts w:ascii="Times New Roman" w:hAnsi="Times New Roman"/>
                <w:noProof/>
                <w:spacing w:val="-6"/>
                <w:sz w:val="20"/>
                <w:szCs w:val="20"/>
              </w:rPr>
              <w:t>Ad hoc, bottom-up</w:t>
            </w:r>
          </w:p>
        </w:tc>
        <w:tc>
          <w:tcPr>
            <w:tcW w:w="2542" w:type="dxa"/>
            <w:tcMar>
              <w:left w:w="68" w:type="dxa"/>
              <w:right w:w="68" w:type="dxa"/>
            </w:tcMar>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pacing w:val="-6"/>
                <w:sz w:val="20"/>
                <w:szCs w:val="20"/>
                <w:lang w:eastAsia="de-DE"/>
              </w:rPr>
            </w:pPr>
            <w:r>
              <w:rPr>
                <w:rFonts w:ascii="Times New Roman" w:hAnsi="Times New Roman"/>
                <w:noProof/>
                <w:spacing w:val="-6"/>
                <w:sz w:val="20"/>
                <w:szCs w:val="20"/>
              </w:rPr>
              <w:t>No</w:t>
            </w:r>
          </w:p>
        </w:tc>
        <w:tc>
          <w:tcPr>
            <w:cnfStyle w:val="000010000000" w:firstRow="0" w:lastRow="0" w:firstColumn="0" w:lastColumn="0" w:oddVBand="1" w:evenVBand="0" w:oddHBand="0" w:evenHBand="0" w:firstRowFirstColumn="0" w:firstRowLastColumn="0" w:lastRowFirstColumn="0" w:lastRowLastColumn="0"/>
            <w:tcW w:w="2755" w:type="dxa"/>
            <w:tcMar>
              <w:left w:w="68" w:type="dxa"/>
              <w:right w:w="68" w:type="dxa"/>
            </w:tcMar>
          </w:tcPr>
          <w:p>
            <w:pPr>
              <w:spacing w:after="0" w:line="240" w:lineRule="auto"/>
              <w:rPr>
                <w:rFonts w:ascii="Times New Roman" w:hAnsi="Times New Roman"/>
                <w:noProof/>
                <w:spacing w:val="-6"/>
                <w:sz w:val="20"/>
                <w:szCs w:val="20"/>
                <w:lang w:eastAsia="de-DE"/>
              </w:rPr>
            </w:pPr>
            <w:r>
              <w:rPr>
                <w:rFonts w:ascii="Times New Roman" w:hAnsi="Times New Roman"/>
                <w:noProof/>
                <w:spacing w:val="-6"/>
                <w:sz w:val="20"/>
                <w:szCs w:val="20"/>
              </w:rPr>
              <w:t>Integrated, based on common R&amp;I agenda</w:t>
            </w:r>
          </w:p>
        </w:tc>
      </w:tr>
      <w:tr>
        <w:tblPrEx>
          <w:tblBorders>
            <w:insideH w:val="none" w:sz="0" w:space="0" w:color="auto"/>
            <w:insideV w:val="none" w:sz="0" w:space="0" w:color="auto"/>
          </w:tblBorders>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2222" w:type="dxa"/>
            <w:tcMar>
              <w:left w:w="68" w:type="dxa"/>
              <w:right w:w="68" w:type="dxa"/>
            </w:tcMar>
          </w:tcPr>
          <w:p>
            <w:pPr>
              <w:spacing w:after="0" w:line="240" w:lineRule="auto"/>
              <w:rPr>
                <w:rFonts w:ascii="Times New Roman" w:eastAsia="Times New Roman" w:hAnsi="Times New Roman"/>
                <w:b w:val="0"/>
                <w:noProof/>
                <w:spacing w:val="-6"/>
                <w:sz w:val="20"/>
                <w:szCs w:val="20"/>
              </w:rPr>
            </w:pPr>
            <w:r>
              <w:rPr>
                <w:rFonts w:ascii="Times New Roman" w:eastAsia="Times New Roman" w:hAnsi="Times New Roman"/>
                <w:noProof/>
                <w:spacing w:val="-6"/>
                <w:sz w:val="20"/>
                <w:szCs w:val="20"/>
              </w:rPr>
              <w:t>Policy/normative research</w:t>
            </w:r>
          </w:p>
        </w:tc>
        <w:tc>
          <w:tcPr>
            <w:cnfStyle w:val="000010000000" w:firstRow="0" w:lastRow="0" w:firstColumn="0" w:lastColumn="0" w:oddVBand="1" w:evenVBand="0" w:oddHBand="0" w:evenHBand="0" w:firstRowFirstColumn="0" w:firstRowLastColumn="0" w:lastRowFirstColumn="0" w:lastRowLastColumn="0"/>
            <w:tcW w:w="2250" w:type="dxa"/>
            <w:tcMar>
              <w:left w:w="68" w:type="dxa"/>
              <w:right w:w="68" w:type="dxa"/>
            </w:tcMar>
          </w:tcPr>
          <w:p>
            <w:pPr>
              <w:spacing w:after="0" w:line="240" w:lineRule="auto"/>
              <w:jc w:val="both"/>
              <w:rPr>
                <w:rFonts w:ascii="Times New Roman" w:hAnsi="Times New Roman"/>
                <w:noProof/>
                <w:spacing w:val="-6"/>
                <w:sz w:val="20"/>
                <w:szCs w:val="20"/>
              </w:rPr>
            </w:pPr>
            <w:r>
              <w:rPr>
                <w:rFonts w:ascii="Times New Roman" w:hAnsi="Times New Roman"/>
                <w:noProof/>
                <w:spacing w:val="-6"/>
                <w:sz w:val="20"/>
                <w:szCs w:val="20"/>
              </w:rPr>
              <w:t>No</w:t>
            </w:r>
          </w:p>
        </w:tc>
        <w:tc>
          <w:tcPr>
            <w:tcW w:w="2542" w:type="dxa"/>
            <w:tcMar>
              <w:left w:w="68" w:type="dxa"/>
              <w:right w:w="68" w:type="dxa"/>
            </w:tcMar>
          </w:tcPr>
          <w:p>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spacing w:val="-6"/>
                <w:sz w:val="20"/>
                <w:szCs w:val="20"/>
              </w:rPr>
            </w:pPr>
            <w:r>
              <w:rPr>
                <w:rFonts w:ascii="Times New Roman" w:hAnsi="Times New Roman"/>
                <w:noProof/>
                <w:spacing w:val="-6"/>
                <w:sz w:val="20"/>
                <w:szCs w:val="20"/>
              </w:rPr>
              <w:t>No</w:t>
            </w:r>
          </w:p>
        </w:tc>
        <w:tc>
          <w:tcPr>
            <w:cnfStyle w:val="000010000000" w:firstRow="0" w:lastRow="0" w:firstColumn="0" w:lastColumn="0" w:oddVBand="1" w:evenVBand="0" w:oddHBand="0" w:evenHBand="0" w:firstRowFirstColumn="0" w:firstRowLastColumn="0" w:lastRowFirstColumn="0" w:lastRowLastColumn="0"/>
            <w:tcW w:w="2755" w:type="dxa"/>
            <w:tcMar>
              <w:left w:w="68" w:type="dxa"/>
              <w:right w:w="68" w:type="dxa"/>
            </w:tcMar>
          </w:tcPr>
          <w:p>
            <w:pPr>
              <w:spacing w:after="0" w:line="240" w:lineRule="auto"/>
              <w:rPr>
                <w:rFonts w:ascii="Times New Roman" w:hAnsi="Times New Roman"/>
                <w:noProof/>
                <w:spacing w:val="-6"/>
                <w:sz w:val="20"/>
                <w:szCs w:val="20"/>
              </w:rPr>
            </w:pPr>
            <w:r>
              <w:rPr>
                <w:rFonts w:ascii="Times New Roman" w:hAnsi="Times New Roman"/>
                <w:noProof/>
                <w:spacing w:val="-6"/>
                <w:sz w:val="20"/>
                <w:szCs w:val="20"/>
              </w:rPr>
              <w:t>Integrated, based on common R&amp;I agenda</w:t>
            </w:r>
          </w:p>
        </w:tc>
      </w:tr>
      <w:tr>
        <w:tblPrEx>
          <w:tblBorders>
            <w:insideH w:val="none" w:sz="0" w:space="0" w:color="auto"/>
            <w:insideV w:val="none" w:sz="0" w:space="0" w:color="auto"/>
          </w:tblBorders>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Mar>
              <w:left w:w="68" w:type="dxa"/>
              <w:right w:w="68" w:type="dxa"/>
            </w:tcMar>
          </w:tcPr>
          <w:p>
            <w:pPr>
              <w:spacing w:after="0" w:line="240" w:lineRule="auto"/>
              <w:rPr>
                <w:rFonts w:ascii="Times New Roman" w:eastAsia="Times New Roman" w:hAnsi="Times New Roman"/>
                <w:b w:val="0"/>
                <w:noProof/>
                <w:spacing w:val="-6"/>
                <w:sz w:val="20"/>
                <w:szCs w:val="20"/>
              </w:rPr>
            </w:pPr>
            <w:r>
              <w:rPr>
                <w:rFonts w:ascii="Times New Roman" w:eastAsia="Times New Roman" w:hAnsi="Times New Roman"/>
                <w:noProof/>
                <w:spacing w:val="-6"/>
                <w:sz w:val="20"/>
                <w:szCs w:val="20"/>
              </w:rPr>
              <w:t>Support for capacity building and skills</w:t>
            </w:r>
          </w:p>
        </w:tc>
        <w:tc>
          <w:tcPr>
            <w:cnfStyle w:val="000010000000" w:firstRow="0" w:lastRow="0" w:firstColumn="0" w:lastColumn="0" w:oddVBand="1" w:evenVBand="0" w:oddHBand="0" w:evenHBand="0" w:firstRowFirstColumn="0" w:firstRowLastColumn="0" w:lastRowFirstColumn="0" w:lastRowLastColumn="0"/>
            <w:tcW w:w="2250" w:type="dxa"/>
            <w:tcMar>
              <w:left w:w="68" w:type="dxa"/>
              <w:right w:w="68" w:type="dxa"/>
            </w:tcMar>
          </w:tcPr>
          <w:p>
            <w:pPr>
              <w:spacing w:after="0" w:line="240" w:lineRule="auto"/>
              <w:jc w:val="both"/>
              <w:rPr>
                <w:rFonts w:ascii="Times New Roman" w:hAnsi="Times New Roman"/>
                <w:noProof/>
                <w:spacing w:val="-6"/>
                <w:sz w:val="20"/>
                <w:szCs w:val="20"/>
              </w:rPr>
            </w:pPr>
            <w:r>
              <w:rPr>
                <w:rFonts w:ascii="Times New Roman" w:hAnsi="Times New Roman"/>
                <w:noProof/>
                <w:spacing w:val="-6"/>
                <w:sz w:val="20"/>
                <w:szCs w:val="20"/>
              </w:rPr>
              <w:t>No</w:t>
            </w:r>
          </w:p>
        </w:tc>
        <w:tc>
          <w:tcPr>
            <w:tcW w:w="2542" w:type="dxa"/>
            <w:tcMar>
              <w:left w:w="68" w:type="dxa"/>
              <w:right w:w="68" w:type="dxa"/>
            </w:tcMar>
          </w:tcPr>
          <w:p>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pacing w:val="-6"/>
                <w:sz w:val="20"/>
                <w:szCs w:val="20"/>
              </w:rPr>
            </w:pPr>
            <w:r>
              <w:rPr>
                <w:rFonts w:ascii="Times New Roman" w:hAnsi="Times New Roman"/>
                <w:noProof/>
                <w:spacing w:val="-6"/>
                <w:sz w:val="20"/>
                <w:szCs w:val="20"/>
              </w:rPr>
              <w:t>No</w:t>
            </w:r>
          </w:p>
        </w:tc>
        <w:tc>
          <w:tcPr>
            <w:cnfStyle w:val="000010000000" w:firstRow="0" w:lastRow="0" w:firstColumn="0" w:lastColumn="0" w:oddVBand="1" w:evenVBand="0" w:oddHBand="0" w:evenHBand="0" w:firstRowFirstColumn="0" w:firstRowLastColumn="0" w:lastRowFirstColumn="0" w:lastRowLastColumn="0"/>
            <w:tcW w:w="2755" w:type="dxa"/>
            <w:tcMar>
              <w:left w:w="68" w:type="dxa"/>
              <w:right w:w="68" w:type="dxa"/>
            </w:tcMar>
          </w:tcPr>
          <w:p>
            <w:pPr>
              <w:spacing w:after="0" w:line="240" w:lineRule="auto"/>
              <w:rPr>
                <w:rFonts w:ascii="Times New Roman" w:hAnsi="Times New Roman"/>
                <w:noProof/>
                <w:spacing w:val="-6"/>
                <w:sz w:val="20"/>
                <w:szCs w:val="20"/>
              </w:rPr>
            </w:pPr>
            <w:r>
              <w:rPr>
                <w:rFonts w:ascii="Times New Roman" w:hAnsi="Times New Roman"/>
                <w:noProof/>
                <w:spacing w:val="-6"/>
                <w:sz w:val="20"/>
                <w:szCs w:val="20"/>
              </w:rPr>
              <w:t>Integrated, based on common R&amp;I agenda</w:t>
            </w:r>
          </w:p>
        </w:tc>
      </w:tr>
      <w:tr>
        <w:tblPrEx>
          <w:tblBorders>
            <w:insideH w:val="none" w:sz="0" w:space="0" w:color="auto"/>
            <w:insideV w:val="none" w:sz="0" w:space="0" w:color="auto"/>
          </w:tblBorders>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2222" w:type="dxa"/>
            <w:tcMar>
              <w:left w:w="68" w:type="dxa"/>
              <w:right w:w="68" w:type="dxa"/>
            </w:tcMar>
          </w:tcPr>
          <w:p>
            <w:pPr>
              <w:spacing w:after="0" w:line="240" w:lineRule="auto"/>
              <w:rPr>
                <w:rFonts w:ascii="Times New Roman" w:eastAsia="Times New Roman" w:hAnsi="Times New Roman"/>
                <w:b w:val="0"/>
                <w:noProof/>
                <w:spacing w:val="-6"/>
                <w:sz w:val="20"/>
                <w:szCs w:val="20"/>
              </w:rPr>
            </w:pPr>
            <w:r>
              <w:rPr>
                <w:rFonts w:ascii="Times New Roman" w:eastAsia="Times New Roman" w:hAnsi="Times New Roman"/>
                <w:noProof/>
                <w:spacing w:val="-6"/>
                <w:sz w:val="20"/>
                <w:szCs w:val="20"/>
              </w:rPr>
              <w:t>Time frame for resulting R&amp;I activities</w:t>
            </w:r>
          </w:p>
        </w:tc>
        <w:tc>
          <w:tcPr>
            <w:cnfStyle w:val="000010000000" w:firstRow="0" w:lastRow="0" w:firstColumn="0" w:lastColumn="0" w:oddVBand="1" w:evenVBand="0" w:oddHBand="0" w:evenHBand="0" w:firstRowFirstColumn="0" w:firstRowLastColumn="0" w:lastRowFirstColumn="0" w:lastRowLastColumn="0"/>
            <w:tcW w:w="2250" w:type="dxa"/>
            <w:tcMar>
              <w:left w:w="68" w:type="dxa"/>
              <w:right w:w="68" w:type="dxa"/>
            </w:tcMar>
          </w:tcPr>
          <w:p>
            <w:pPr>
              <w:spacing w:after="0" w:line="240" w:lineRule="auto"/>
              <w:jc w:val="both"/>
              <w:rPr>
                <w:rFonts w:ascii="Times New Roman" w:hAnsi="Times New Roman"/>
                <w:noProof/>
                <w:spacing w:val="-6"/>
                <w:sz w:val="20"/>
                <w:szCs w:val="20"/>
              </w:rPr>
            </w:pPr>
            <w:r>
              <w:rPr>
                <w:rFonts w:ascii="Times New Roman" w:hAnsi="Times New Roman"/>
                <w:noProof/>
                <w:spacing w:val="-6"/>
                <w:sz w:val="20"/>
                <w:szCs w:val="20"/>
              </w:rPr>
              <w:t>2018 – 2023</w:t>
            </w:r>
          </w:p>
        </w:tc>
        <w:tc>
          <w:tcPr>
            <w:tcW w:w="2542" w:type="dxa"/>
            <w:tcMar>
              <w:left w:w="68" w:type="dxa"/>
              <w:right w:w="68" w:type="dxa"/>
            </w:tcMar>
          </w:tcPr>
          <w:p>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spacing w:val="-6"/>
                <w:sz w:val="20"/>
                <w:szCs w:val="20"/>
              </w:rPr>
            </w:pPr>
            <w:r>
              <w:rPr>
                <w:rFonts w:ascii="Times New Roman" w:hAnsi="Times New Roman"/>
                <w:noProof/>
                <w:spacing w:val="-6"/>
                <w:sz w:val="20"/>
                <w:szCs w:val="20"/>
              </w:rPr>
              <w:t>2018 – 2023</w:t>
            </w:r>
          </w:p>
        </w:tc>
        <w:tc>
          <w:tcPr>
            <w:cnfStyle w:val="000010000000" w:firstRow="0" w:lastRow="0" w:firstColumn="0" w:lastColumn="0" w:oddVBand="1" w:evenVBand="0" w:oddHBand="0" w:evenHBand="0" w:firstRowFirstColumn="0" w:firstRowLastColumn="0" w:lastRowFirstColumn="0" w:lastRowLastColumn="0"/>
            <w:tcW w:w="2755" w:type="dxa"/>
            <w:tcMar>
              <w:left w:w="68" w:type="dxa"/>
              <w:right w:w="68" w:type="dxa"/>
            </w:tcMar>
          </w:tcPr>
          <w:p>
            <w:pPr>
              <w:spacing w:after="0" w:line="240" w:lineRule="auto"/>
              <w:rPr>
                <w:rFonts w:ascii="Times New Roman" w:hAnsi="Times New Roman"/>
                <w:noProof/>
                <w:spacing w:val="-6"/>
                <w:sz w:val="20"/>
                <w:szCs w:val="20"/>
              </w:rPr>
            </w:pPr>
            <w:r>
              <w:rPr>
                <w:rFonts w:ascii="Times New Roman" w:hAnsi="Times New Roman"/>
                <w:noProof/>
                <w:spacing w:val="-6"/>
                <w:sz w:val="20"/>
                <w:szCs w:val="20"/>
              </w:rPr>
              <w:t>2018 - 2027</w:t>
            </w:r>
          </w:p>
        </w:tc>
      </w:tr>
    </w:tbl>
    <w:p>
      <w:pPr>
        <w:rPr>
          <w:rFonts w:ascii="Times New Roman" w:hAnsi="Times New Roman"/>
          <w:b/>
          <w:noProof/>
        </w:rPr>
      </w:pPr>
      <w:r>
        <w:rPr>
          <w:rFonts w:ascii="Times New Roman" w:hAnsi="Times New Roman"/>
          <w:b/>
          <w:noProof/>
        </w:rPr>
        <w:t>Table 5.1: Direct impacts on the integration of national R&amp;I programmes and activities</w:t>
      </w:r>
    </w:p>
    <w:p>
      <w:pPr>
        <w:pStyle w:val="Heading1"/>
        <w:numPr>
          <w:ilvl w:val="2"/>
          <w:numId w:val="7"/>
        </w:numPr>
        <w:spacing w:before="120" w:after="120" w:line="240" w:lineRule="auto"/>
        <w:rPr>
          <w:rFonts w:ascii="Times New Roman" w:hAnsi="Times New Roman"/>
          <w:noProof/>
          <w:color w:val="auto"/>
          <w:sz w:val="24"/>
          <w:szCs w:val="24"/>
        </w:rPr>
      </w:pPr>
      <w:bookmarkStart w:id="177" w:name="_Toc457466052"/>
      <w:r>
        <w:rPr>
          <w:rFonts w:ascii="Times New Roman" w:hAnsi="Times New Roman"/>
          <w:noProof/>
          <w:color w:val="auto"/>
          <w:sz w:val="24"/>
          <w:szCs w:val="24"/>
        </w:rPr>
        <w:t>Efficient and effective delivery of fully piloted and demonstrated, common innovative, integrated solutions for the sustainable management of water provision and food systems</w:t>
      </w:r>
      <w:bookmarkEnd w:id="177"/>
    </w:p>
    <w:p>
      <w:pPr>
        <w:spacing w:after="120" w:line="240" w:lineRule="auto"/>
        <w:jc w:val="both"/>
        <w:rPr>
          <w:rFonts w:ascii="Times New Roman" w:eastAsia="Times New Roman" w:hAnsi="Times New Roman"/>
          <w:bCs/>
          <w:noProof/>
          <w:sz w:val="24"/>
          <w:szCs w:val="24"/>
        </w:rPr>
      </w:pPr>
      <w:r>
        <w:rPr>
          <w:rFonts w:ascii="Times New Roman" w:eastAsia="Times New Roman" w:hAnsi="Times New Roman"/>
          <w:bCs/>
          <w:noProof/>
          <w:sz w:val="24"/>
          <w:szCs w:val="24"/>
        </w:rPr>
        <w:t>The aforementioned stable, focused, comprehensive framework provided by the Article 185 option, which involves all relevant stakeholders and establishes a clear division of labour between the use of the EU financial contribution (pilots, demonstrators, higher TRL levels) and the use of the national financial contributions (training, networking, lower TRL levels), will ensure the best delivery of the intended scientific and technological outcomes, whether on the input side (higher levels of R&amp;I investment, skill creation) or on the output side (actual development, piloting and demonstration of innovative integrated solutions for the sustainable management of water provision and food systems, uptake of those solutions).</w:t>
      </w:r>
    </w:p>
    <w:p>
      <w:pPr>
        <w:spacing w:after="120" w:line="240" w:lineRule="auto"/>
        <w:jc w:val="both"/>
        <w:rPr>
          <w:rFonts w:ascii="Times New Roman" w:hAnsi="Times New Roman"/>
          <w:noProof/>
          <w:sz w:val="24"/>
          <w:szCs w:val="24"/>
          <w:lang w:eastAsia="fr-BE"/>
        </w:rPr>
      </w:pPr>
      <w:r>
        <w:rPr>
          <w:rFonts w:ascii="Times New Roman" w:eastAsia="Times New Roman" w:hAnsi="Times New Roman"/>
          <w:bCs/>
          <w:noProof/>
          <w:sz w:val="24"/>
          <w:szCs w:val="24"/>
        </w:rPr>
        <w:t xml:space="preserve">Due to the features of R&amp;I activities linked to the policy options, only </w:t>
      </w:r>
      <w:r>
        <w:rPr>
          <w:rFonts w:ascii="Times New Roman" w:eastAsia="Times New Roman" w:hAnsi="Times New Roman"/>
          <w:b/>
          <w:bCs/>
          <w:noProof/>
          <w:sz w:val="24"/>
          <w:szCs w:val="24"/>
        </w:rPr>
        <w:t>Option 2</w:t>
      </w:r>
      <w:r>
        <w:rPr>
          <w:rFonts w:ascii="Times New Roman" w:eastAsia="Times New Roman" w:hAnsi="Times New Roman"/>
          <w:bCs/>
          <w:noProof/>
          <w:sz w:val="24"/>
          <w:szCs w:val="24"/>
        </w:rPr>
        <w:t xml:space="preserve"> is likely to have significant impacts in terms of delivery of fully piloted and demonstrated and integrated solutions. </w:t>
      </w:r>
      <w:r>
        <w:rPr>
          <w:rFonts w:ascii="Times New Roman" w:eastAsia="Times New Roman" w:hAnsi="Times New Roman"/>
          <w:b/>
          <w:bCs/>
          <w:noProof/>
          <w:sz w:val="24"/>
          <w:szCs w:val="24"/>
        </w:rPr>
        <w:t>Option 1</w:t>
      </w:r>
      <w:r>
        <w:rPr>
          <w:rFonts w:ascii="Times New Roman" w:eastAsia="Times New Roman" w:hAnsi="Times New Roman"/>
          <w:bCs/>
          <w:noProof/>
          <w:sz w:val="24"/>
          <w:szCs w:val="24"/>
        </w:rPr>
        <w:t xml:space="preserve"> usually addresses lower TRL projects with very low involvement of industry. </w:t>
      </w:r>
      <w:r>
        <w:rPr>
          <w:rFonts w:ascii="Times New Roman" w:eastAsia="Times New Roman" w:hAnsi="Times New Roman"/>
          <w:b/>
          <w:bCs/>
          <w:noProof/>
          <w:sz w:val="24"/>
          <w:szCs w:val="24"/>
        </w:rPr>
        <w:t>Option 0</w:t>
      </w:r>
      <w:r>
        <w:rPr>
          <w:rFonts w:ascii="Times New Roman" w:eastAsia="Times New Roman" w:hAnsi="Times New Roman"/>
          <w:bCs/>
          <w:noProof/>
          <w:sz w:val="24"/>
          <w:szCs w:val="24"/>
        </w:rPr>
        <w:t xml:space="preserve"> would require specific and ad-hoc actions under Horizon 2020 Work Programmes that are not likely to achieve the adequate level of integration and involvement of all relevant stakeholders in the Mediterranean area.</w:t>
      </w:r>
    </w:p>
    <w:p>
      <w:pPr>
        <w:rPr>
          <w:rFonts w:ascii="Times New Roman" w:hAnsi="Times New Roman"/>
          <w:b/>
          <w:noProof/>
        </w:rPr>
      </w:pPr>
    </w:p>
    <w:p>
      <w:pPr>
        <w:pStyle w:val="Heading1"/>
        <w:numPr>
          <w:ilvl w:val="2"/>
          <w:numId w:val="7"/>
        </w:numPr>
        <w:spacing w:before="120" w:after="120" w:line="240" w:lineRule="auto"/>
        <w:rPr>
          <w:rFonts w:ascii="Times New Roman" w:hAnsi="Times New Roman"/>
          <w:noProof/>
          <w:color w:val="auto"/>
          <w:sz w:val="24"/>
          <w:szCs w:val="24"/>
        </w:rPr>
      </w:pPr>
      <w:bookmarkStart w:id="178" w:name="_Toc457466053"/>
      <w:r>
        <w:rPr>
          <w:rFonts w:ascii="Times New Roman" w:hAnsi="Times New Roman"/>
          <w:noProof/>
          <w:color w:val="auto"/>
          <w:sz w:val="24"/>
          <w:szCs w:val="24"/>
        </w:rPr>
        <w:t>Greater opportunities for food industry and other SMEs and other companies</w:t>
      </w:r>
      <w:bookmarkEnd w:id="178"/>
    </w:p>
    <w:p>
      <w:pPr>
        <w:spacing w:after="120" w:line="240" w:lineRule="auto"/>
        <w:jc w:val="both"/>
        <w:rPr>
          <w:rFonts w:ascii="Times New Roman" w:hAnsi="Times New Roman"/>
          <w:noProof/>
          <w:sz w:val="24"/>
          <w:szCs w:val="24"/>
          <w:lang w:eastAsia="en-GB"/>
        </w:rPr>
      </w:pPr>
      <w:r>
        <w:rPr>
          <w:rFonts w:ascii="Times New Roman" w:hAnsi="Times New Roman"/>
          <w:noProof/>
          <w:sz w:val="24"/>
          <w:szCs w:val="24"/>
          <w:lang w:eastAsia="en-GB"/>
        </w:rPr>
        <w:t>In the Mediterranean area, Micro, Small and Medium Enterprises constitute a key economic and employment driver, accounting for about 70% of the total workforce and 99% of overall enterprises in the region</w:t>
      </w:r>
      <w:r>
        <w:rPr>
          <w:rFonts w:ascii="Times New Roman" w:eastAsia="Times New Roman" w:hAnsi="Times New Roman"/>
          <w:noProof/>
          <w:sz w:val="24"/>
          <w:szCs w:val="24"/>
          <w:vertAlign w:val="superscript"/>
          <w:lang w:eastAsia="en-GB"/>
        </w:rPr>
        <w:footnoteReference w:id="57"/>
      </w:r>
      <w:r>
        <w:rPr>
          <w:rFonts w:ascii="Times New Roman" w:hAnsi="Times New Roman"/>
          <w:noProof/>
          <w:sz w:val="24"/>
          <w:szCs w:val="24"/>
          <w:lang w:eastAsia="en-GB"/>
        </w:rPr>
        <w:t>.</w:t>
      </w:r>
    </w:p>
    <w:p>
      <w:pPr>
        <w:spacing w:after="120" w:line="240" w:lineRule="auto"/>
        <w:jc w:val="both"/>
        <w:rPr>
          <w:rFonts w:ascii="Times New Roman" w:hAnsi="Times New Roman"/>
          <w:noProof/>
          <w:sz w:val="24"/>
          <w:szCs w:val="24"/>
          <w:lang w:eastAsia="en-GB"/>
        </w:rPr>
      </w:pPr>
      <w:r>
        <w:rPr>
          <w:rFonts w:ascii="Times New Roman" w:hAnsi="Times New Roman"/>
          <w:b/>
          <w:noProof/>
          <w:sz w:val="24"/>
          <w:szCs w:val="24"/>
          <w:lang w:eastAsia="en-GB"/>
        </w:rPr>
        <w:t>Food industry SMEs account for a large share of the total number of SMEs and have much innovation potential</w:t>
      </w:r>
      <w:r>
        <w:rPr>
          <w:rFonts w:ascii="Times New Roman" w:hAnsi="Times New Roman"/>
          <w:noProof/>
          <w:sz w:val="24"/>
          <w:szCs w:val="24"/>
          <w:lang w:eastAsia="en-GB"/>
        </w:rPr>
        <w:t>. Dedicated statistics show, for instance, that about half of Spanish food SMEs carry out either product or process innovations. The figures for Italy are similar: 54% of all Italian food SMEs carry out product or process innovations, and 28% develop their own R&amp;I activities. According to the PRIMA Expert Group, extrapolating the abovementioned figures to the Mediterranean region would mean that around half of the food SMEs would be able to perform innovation activities. This percentage might be lower in Southern-Eastern Mediterranean countries due to the predominantly micro-character of the local food producing and processing companies, with restricted or no market access.</w:t>
      </w:r>
      <w:r>
        <w:rPr>
          <w:rFonts w:ascii="Times New Roman" w:hAnsi="Times New Roman"/>
          <w:noProof/>
          <w:sz w:val="24"/>
          <w:szCs w:val="24"/>
          <w:vertAlign w:val="superscript"/>
        </w:rPr>
        <w:footnoteReference w:id="58"/>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The current position of the fragmented Mediterranean food industry is not competitive, however, in a market dominated by large food multinationals (even if food chains of Mediterranean products are characterised by the strong presence of SMEs in food production and food processing) because of low levels of innovation. Regarding organisational innovations, only part of the food and agricultural SME sector of the Mediterranean will be able to develop and implement it to be competitive (e.g. improved cost structures, better market access, increasing sales figures or profit margins). </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All Policy Options are expected to affect the food value chain, farming and related services and water management sectors, from firms in the process industry to retailers. </w:t>
      </w:r>
    </w:p>
    <w:p>
      <w:pPr>
        <w:spacing w:after="120" w:line="240" w:lineRule="auto"/>
        <w:jc w:val="both"/>
        <w:rPr>
          <w:rFonts w:ascii="Times New Roman" w:hAnsi="Times New Roman"/>
          <w:noProof/>
          <w:sz w:val="24"/>
          <w:szCs w:val="24"/>
        </w:rPr>
      </w:pPr>
      <w:r>
        <w:rPr>
          <w:rFonts w:ascii="Times New Roman" w:hAnsi="Times New Roman"/>
          <w:b/>
          <w:noProof/>
          <w:sz w:val="24"/>
          <w:szCs w:val="24"/>
        </w:rPr>
        <w:t>Option 0</w:t>
      </w:r>
      <w:r>
        <w:rPr>
          <w:rFonts w:ascii="Times New Roman" w:hAnsi="Times New Roman"/>
          <w:noProof/>
          <w:sz w:val="24"/>
          <w:szCs w:val="24"/>
        </w:rPr>
        <w:t xml:space="preserve"> is expected to produce low impacts on SMEs and competitiveness because of the limited capacity of single (and not continued over time) Horizon 2020 actions to produce innovations to be brought to the market.</w:t>
      </w:r>
    </w:p>
    <w:p>
      <w:pPr>
        <w:spacing w:after="120" w:line="240" w:lineRule="auto"/>
        <w:jc w:val="both"/>
        <w:rPr>
          <w:rFonts w:ascii="Times New Roman" w:hAnsi="Times New Roman"/>
          <w:noProof/>
          <w:sz w:val="24"/>
          <w:szCs w:val="24"/>
        </w:rPr>
      </w:pPr>
      <w:r>
        <w:rPr>
          <w:rFonts w:ascii="Times New Roman" w:hAnsi="Times New Roman"/>
          <w:b/>
          <w:noProof/>
          <w:sz w:val="24"/>
          <w:szCs w:val="24"/>
        </w:rPr>
        <w:t>Option 1</w:t>
      </w:r>
      <w:r>
        <w:rPr>
          <w:rFonts w:ascii="Times New Roman" w:hAnsi="Times New Roman"/>
          <w:noProof/>
          <w:sz w:val="24"/>
          <w:szCs w:val="24"/>
        </w:rPr>
        <w:t xml:space="preserve"> is expected to provide a moderate positive impact on SMEs and competitiveness, because of the larger cooperation among a specific set of Mediterranean Countries and because of the leverage effect on investments they make.</w:t>
      </w:r>
    </w:p>
    <w:p>
      <w:pPr>
        <w:spacing w:after="120" w:line="240" w:lineRule="auto"/>
        <w:jc w:val="both"/>
        <w:rPr>
          <w:rFonts w:ascii="Times New Roman" w:hAnsi="Times New Roman"/>
          <w:noProof/>
          <w:sz w:val="24"/>
          <w:szCs w:val="24"/>
        </w:rPr>
      </w:pPr>
      <w:r>
        <w:rPr>
          <w:rFonts w:ascii="Times New Roman" w:hAnsi="Times New Roman"/>
          <w:b/>
          <w:noProof/>
          <w:sz w:val="24"/>
          <w:szCs w:val="24"/>
        </w:rPr>
        <w:t>Option 2</w:t>
      </w:r>
      <w:r>
        <w:rPr>
          <w:rFonts w:ascii="Times New Roman" w:hAnsi="Times New Roman"/>
          <w:noProof/>
          <w:sz w:val="24"/>
          <w:szCs w:val="24"/>
        </w:rPr>
        <w:t xml:space="preserve"> is expected to produce much more positive impacts on SMEs and competitiveness due to the long-lasting commitment period and to the common strategy for the a</w:t>
      </w:r>
      <w:r>
        <w:rPr>
          <w:rFonts w:ascii="Times New Roman" w:eastAsia="Times New Roman" w:hAnsi="Times New Roman"/>
          <w:noProof/>
          <w:sz w:val="24"/>
          <w:szCs w:val="24"/>
          <w:lang w:eastAsia="en-GB"/>
        </w:rPr>
        <w:t xml:space="preserve">doption of eco-innovation and sustainable business models, together with the set-up of more sustainable marketing chains. </w:t>
      </w:r>
      <w:r>
        <w:rPr>
          <w:rFonts w:ascii="Times New Roman" w:hAnsi="Times New Roman"/>
          <w:noProof/>
          <w:sz w:val="24"/>
          <w:szCs w:val="24"/>
        </w:rPr>
        <w:t xml:space="preserve">The wide scientific and stakeholder base achievable within </w:t>
      </w:r>
      <w:r>
        <w:rPr>
          <w:rFonts w:ascii="Times New Roman" w:hAnsi="Times New Roman"/>
          <w:b/>
          <w:noProof/>
          <w:sz w:val="24"/>
          <w:szCs w:val="24"/>
        </w:rPr>
        <w:t>Option 2</w:t>
      </w:r>
      <w:r>
        <w:rPr>
          <w:rFonts w:ascii="Times New Roman" w:hAnsi="Times New Roman"/>
          <w:noProof/>
          <w:sz w:val="24"/>
          <w:szCs w:val="24"/>
        </w:rPr>
        <w:t>, the strong economic commitment, the closeness to regional policy-making and the long timeframe are likely to bring positive impacts on SMEs and competitiveness.</w:t>
      </w:r>
    </w:p>
    <w:p>
      <w:pPr>
        <w:tabs>
          <w:tab w:val="left" w:pos="2968"/>
        </w:tabs>
        <w:spacing w:after="120" w:line="240" w:lineRule="auto"/>
        <w:jc w:val="both"/>
        <w:rPr>
          <w:rFonts w:ascii="Times New Roman" w:hAnsi="Times New Roman"/>
          <w:noProof/>
          <w:sz w:val="24"/>
          <w:szCs w:val="24"/>
        </w:rPr>
      </w:pPr>
    </w:p>
    <w:p>
      <w:pPr>
        <w:pStyle w:val="Heading1"/>
        <w:numPr>
          <w:ilvl w:val="1"/>
          <w:numId w:val="7"/>
        </w:numPr>
        <w:spacing w:before="0" w:after="120" w:line="240" w:lineRule="auto"/>
        <w:jc w:val="both"/>
        <w:rPr>
          <w:rFonts w:ascii="Times New Roman" w:hAnsi="Times New Roman"/>
          <w:noProof/>
          <w:color w:val="auto"/>
          <w:sz w:val="24"/>
          <w:szCs w:val="24"/>
        </w:rPr>
      </w:pPr>
      <w:bookmarkStart w:id="179" w:name="_Toc457466054"/>
      <w:r>
        <w:rPr>
          <w:rFonts w:ascii="Times New Roman" w:hAnsi="Times New Roman"/>
          <w:noProof/>
          <w:color w:val="auto"/>
          <w:sz w:val="24"/>
          <w:szCs w:val="24"/>
        </w:rPr>
        <w:t>Indirect impact</w:t>
      </w:r>
      <w:bookmarkEnd w:id="179"/>
      <w:r>
        <w:rPr>
          <w:rFonts w:ascii="Times New Roman" w:hAnsi="Times New Roman"/>
          <w:noProof/>
          <w:color w:val="auto"/>
          <w:sz w:val="24"/>
          <w:szCs w:val="24"/>
        </w:rPr>
        <w:t xml:space="preserve"> </w:t>
      </w:r>
    </w:p>
    <w:p>
      <w:pPr>
        <w:spacing w:after="120" w:line="240" w:lineRule="auto"/>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The identified likely indirect impacts of the Article 185 option are of economic, social and environmental nature, according to the impacts category of Tool #16 of the Better Regulation Toolbox. Article 185 option is expected to indirectly generate relevant positive impacts on </w:t>
      </w:r>
      <w:r>
        <w:rPr>
          <w:rFonts w:ascii="Times New Roman" w:eastAsia="Times New Roman" w:hAnsi="Times New Roman"/>
          <w:bCs/>
          <w:noProof/>
          <w:sz w:val="24"/>
          <w:szCs w:val="24"/>
        </w:rPr>
        <w:t>growth and investment, working conditions, public health and safety, social impact in third countries, efficient use of resources and fighting climate change. The expected significance of the identified likely indirect impacts is assessed in the following paragraphs.</w:t>
      </w:r>
    </w:p>
    <w:p>
      <w:pPr>
        <w:spacing w:after="120" w:line="240" w:lineRule="auto"/>
        <w:jc w:val="both"/>
        <w:rPr>
          <w:rFonts w:ascii="Times New Roman" w:hAnsi="Times New Roman"/>
          <w:noProof/>
          <w:sz w:val="24"/>
          <w:szCs w:val="24"/>
        </w:rPr>
      </w:pPr>
    </w:p>
    <w:p>
      <w:pPr>
        <w:pStyle w:val="Heading1"/>
        <w:numPr>
          <w:ilvl w:val="2"/>
          <w:numId w:val="7"/>
        </w:numPr>
        <w:spacing w:before="120" w:after="120" w:line="240" w:lineRule="auto"/>
        <w:rPr>
          <w:rFonts w:ascii="Times New Roman" w:hAnsi="Times New Roman"/>
          <w:noProof/>
          <w:color w:val="auto"/>
          <w:sz w:val="24"/>
          <w:szCs w:val="24"/>
        </w:rPr>
      </w:pPr>
      <w:bookmarkStart w:id="180" w:name="_Toc455850964"/>
      <w:bookmarkStart w:id="181" w:name="_Toc455851063"/>
      <w:bookmarkStart w:id="182" w:name="_Toc455850965"/>
      <w:bookmarkStart w:id="183" w:name="_Toc455851064"/>
      <w:bookmarkStart w:id="184" w:name="_Toc457466055"/>
      <w:bookmarkEnd w:id="180"/>
      <w:bookmarkEnd w:id="181"/>
      <w:bookmarkEnd w:id="182"/>
      <w:bookmarkEnd w:id="183"/>
      <w:r>
        <w:rPr>
          <w:rFonts w:ascii="Times New Roman" w:hAnsi="Times New Roman"/>
          <w:noProof/>
          <w:color w:val="auto"/>
          <w:sz w:val="24"/>
          <w:szCs w:val="24"/>
        </w:rPr>
        <w:t>Large-scale aggregate economic impacts</w:t>
      </w:r>
      <w:bookmarkEnd w:id="184"/>
    </w:p>
    <w:p>
      <w:pPr>
        <w:spacing w:after="120" w:line="240" w:lineRule="auto"/>
        <w:jc w:val="both"/>
        <w:rPr>
          <w:rFonts w:ascii="Times New Roman" w:hAnsi="Times New Roman"/>
          <w:noProof/>
          <w:sz w:val="24"/>
          <w:szCs w:val="24"/>
        </w:rPr>
      </w:pPr>
      <w:r>
        <w:rPr>
          <w:rFonts w:ascii="Times New Roman" w:hAnsi="Times New Roman"/>
          <w:noProof/>
          <w:sz w:val="24"/>
          <w:szCs w:val="24"/>
        </w:rPr>
        <w:t>To assess the economic impact of the different options it is crucial to address the nexus 'climate change, water availability/variability/predictability, and food systems, and the role the R&amp;I can play within this nexus.</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Climate change already has, and will increasingly have in the coming years and decades, large-scale effects on water quality and availability. As a recent World Bank report (2016) argues, the impacts of climate change will be channelled primarily through the water cycle. Water will become scarcer, more variable and less predictable. The World Bank argues that this will have large-scale economic effects. Water-related climate risks cascade through food, energy, urban, and environmental systems. Water is a vital factor of production, so diminishing water supplies can jeopardise growth and economic prospects. </w:t>
      </w:r>
      <w:r>
        <w:rPr>
          <w:rFonts w:ascii="Times New Roman" w:hAnsi="Times New Roman"/>
          <w:b/>
          <w:noProof/>
          <w:sz w:val="24"/>
          <w:szCs w:val="24"/>
        </w:rPr>
        <w:t>Some regions could see their growth rates decline by as much as 6% of GPD by 2050 as a result of water-related losses in agriculture, health, income, and property</w:t>
      </w:r>
      <w:r>
        <w:rPr>
          <w:rFonts w:ascii="Times New Roman" w:hAnsi="Times New Roman"/>
          <w:noProof/>
          <w:sz w:val="24"/>
          <w:szCs w:val="24"/>
        </w:rPr>
        <w:t>. As the World Bank argues, the impacts of water mismanagement are felt disproportionately by the poor, who are more likely to rely on rain-fed agriculture to feed their families, live on the most marginal lands, which are more prone to floods, and are most at risk from contaminated water and inadequate sanitation. Changes in water availability and variability can also induce migration and ignite civil conflict according to the World Bank. Where economic growth is impacted by rainfall, episodes of droughts and floods have generated waves of migration and statistical spikes in violence within countries. In a globalised and connected world, such problems are impossible to quarantine. Furthermore, where large inequities prevail, people move from regions of poverty to regions of prosperity, which can lead with increased social tensions.</w:t>
      </w:r>
    </w:p>
    <w:p>
      <w:pPr>
        <w:spacing w:after="120" w:line="240" w:lineRule="auto"/>
        <w:jc w:val="both"/>
        <w:rPr>
          <w:rFonts w:ascii="Times New Roman" w:hAnsi="Times New Roman"/>
          <w:noProof/>
          <w:sz w:val="24"/>
          <w:szCs w:val="24"/>
        </w:rPr>
      </w:pPr>
      <w:r>
        <w:rPr>
          <w:rFonts w:ascii="Times New Roman" w:hAnsi="Times New Roman"/>
          <w:noProof/>
          <w:sz w:val="24"/>
          <w:szCs w:val="24"/>
        </w:rPr>
        <w:t>While ineffective water management policies can exacerbate the adverse growth impacts of climate change, forward-looking policies can go a long way towards neutralising them, according to the World Bank. In the Middle East, for instance, business-as-usual water management policies can lead to GDP being smaller by 14% by 2050 while efficient water management policies can reduce the effect to minus 6.02%. And in the Sahel, the business-as-usual scenario leads to minus 11.7% of GDP while good policies can reduce it to minus 0.82%.</w:t>
      </w:r>
    </w:p>
    <w:p>
      <w:pPr>
        <w:spacing w:after="120" w:line="240" w:lineRule="auto"/>
        <w:jc w:val="both"/>
        <w:rPr>
          <w:rFonts w:ascii="Times New Roman" w:hAnsi="Times New Roman"/>
          <w:noProof/>
          <w:sz w:val="24"/>
          <w:szCs w:val="24"/>
        </w:rPr>
      </w:pPr>
      <w:r>
        <w:rPr>
          <w:rFonts w:ascii="Times New Roman" w:hAnsi="Times New Roman"/>
          <w:noProof/>
          <w:sz w:val="24"/>
          <w:szCs w:val="24"/>
        </w:rPr>
        <w:t>In the Mediterranean region, water supply and food supply are inter-related. Irrigation accounts for 70% of total water use in the region and in some Southern and Eastern Mediterranean countries even for 80%. As a consequence of climate change, in order to sustain agriculture and meet the growing need for food (by 2050, the population will exceed the 600 millions), the Mediterranean area as a whole may face an increase of between 4% and 18% in gross irrigation requirements (if irrigation systems and conveyance are not improved). At present, the Mediterranean region could save 35% of water by implementing more efficient irrigation and conveyance systems.</w:t>
      </w:r>
    </w:p>
    <w:p>
      <w:pPr>
        <w:spacing w:after="120" w:line="240" w:lineRule="auto"/>
        <w:jc w:val="both"/>
        <w:rPr>
          <w:rFonts w:ascii="Times New Roman" w:hAnsi="Times New Roman"/>
          <w:noProof/>
          <w:sz w:val="24"/>
          <w:szCs w:val="24"/>
        </w:rPr>
      </w:pPr>
      <w:r>
        <w:rPr>
          <w:rFonts w:ascii="Times New Roman" w:hAnsi="Times New Roman"/>
          <w:b/>
          <w:noProof/>
          <w:sz w:val="24"/>
          <w:szCs w:val="24"/>
        </w:rPr>
        <w:t>According to the McKinsey report "Pursuing the global opportunity in food and agribusiness, Chemicals &amp; Agriculture June 2015", fruits and vegetables in the Middle East and North Africa are one of the 24 most attractive global hotspots for investors in the period 2011-2020</w:t>
      </w:r>
      <w:r>
        <w:rPr>
          <w:rFonts w:ascii="Times New Roman" w:hAnsi="Times New Roman"/>
          <w:noProof/>
          <w:sz w:val="24"/>
          <w:szCs w:val="24"/>
        </w:rPr>
        <w:t>.</w:t>
      </w:r>
    </w:p>
    <w:p>
      <w:pPr>
        <w:spacing w:after="120" w:line="240" w:lineRule="auto"/>
        <w:jc w:val="both"/>
        <w:rPr>
          <w:rFonts w:ascii="Times New Roman" w:hAnsi="Times New Roman"/>
          <w:noProof/>
          <w:sz w:val="24"/>
          <w:szCs w:val="24"/>
        </w:rPr>
      </w:pPr>
      <w:r>
        <w:rPr>
          <w:rFonts w:ascii="Times New Roman" w:hAnsi="Times New Roman"/>
          <w:b/>
          <w:noProof/>
          <w:sz w:val="24"/>
          <w:szCs w:val="24"/>
        </w:rPr>
        <w:t>R&amp;I are absolutely key for bringing about better water management policies and thus have, against the abovementioned background, huge potential economic and socio-political impacts</w:t>
      </w:r>
      <w:r>
        <w:rPr>
          <w:rFonts w:ascii="Times New Roman" w:hAnsi="Times New Roman"/>
          <w:noProof/>
          <w:sz w:val="24"/>
          <w:szCs w:val="24"/>
        </w:rPr>
        <w:t xml:space="preserve">. The aforementioned World Bank report explicitly calls attention to the opportunities offered by advancing technologies for water supply expansion and water resource recovery and calls for greater research </w:t>
      </w:r>
      <w:r>
        <w:rPr>
          <w:rFonts w:ascii="Times New Roman" w:hAnsi="Times New Roman"/>
          <w:i/>
          <w:noProof/>
          <w:sz w:val="24"/>
          <w:szCs w:val="24"/>
        </w:rPr>
        <w:t>inter alia</w:t>
      </w:r>
      <w:r>
        <w:rPr>
          <w:rFonts w:ascii="Times New Roman" w:hAnsi="Times New Roman"/>
          <w:noProof/>
          <w:sz w:val="24"/>
          <w:szCs w:val="24"/>
        </w:rPr>
        <w:t xml:space="preserve"> to determine the commercial viability and opportunities to scale up new technologies. It also calls for carefully researching investments in technologies to reduce the impact of extremes, variability and uncertainty.</w:t>
      </w:r>
    </w:p>
    <w:p>
      <w:pPr>
        <w:spacing w:after="120" w:line="240" w:lineRule="auto"/>
        <w:jc w:val="both"/>
        <w:rPr>
          <w:rFonts w:ascii="Times New Roman" w:hAnsi="Times New Roman"/>
          <w:noProof/>
          <w:sz w:val="24"/>
          <w:szCs w:val="24"/>
        </w:rPr>
      </w:pPr>
      <w:r>
        <w:rPr>
          <w:rFonts w:ascii="Times New Roman" w:hAnsi="Times New Roman"/>
          <w:noProof/>
          <w:sz w:val="24"/>
          <w:szCs w:val="24"/>
        </w:rPr>
        <w:t>In general terms, the returns on total R&amp;D expenditure are high. For instance, a 0.1 percentage point increase in R&amp;D could boost output per capita growth by some 0.3–0.4%. The returns specifically on public R&amp;D expenditure are also high. For instance, the rate of return on publicly funded R&amp;D usually exceeds 30% while each extra 1% in public R&amp;D generates an extra 0.17% in productivity growth. The returns specifically on private R&amp;D are equally high. Firms' returns on their own investment in research usually range from 20% to 30% while societal returns on firms’ investment in research usually range from 30% to 40%. Each extra 1% in business R&amp;D also generates an extra 0.13% in productivity growth.</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These overall figures are confirmed by empirical evidence on returns to water and agricultural R&amp;I. </w:t>
      </w:r>
      <w:r>
        <w:rPr>
          <w:rFonts w:ascii="Times New Roman" w:hAnsi="Times New Roman"/>
          <w:b/>
          <w:noProof/>
          <w:sz w:val="24"/>
          <w:szCs w:val="24"/>
        </w:rPr>
        <w:t>For instance, a recent study on the rates of return to water management research estimated returns between 11% and 20% per year</w:t>
      </w:r>
      <w:r>
        <w:rPr>
          <w:rFonts w:ascii="Times New Roman" w:hAnsi="Times New Roman"/>
          <w:noProof/>
          <w:sz w:val="24"/>
          <w:szCs w:val="24"/>
        </w:rPr>
        <w:t>. A recent study re-examining the reported rates of return to food and agricultural research and development estimated a median of 9.8% per year and a mean of 13.6% per year.</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According to the PRIMA Expert Group, closing the gap between supply and demand by deploying water productivity improvements across regions and sectors around the world could cost about $50 billion to $60 billion annually over the next two decades. Private-sector companies will account for about half of this spending. </w:t>
      </w:r>
      <w:r>
        <w:rPr>
          <w:rFonts w:ascii="Times New Roman" w:hAnsi="Times New Roman"/>
          <w:b/>
          <w:noProof/>
          <w:sz w:val="24"/>
          <w:szCs w:val="24"/>
        </w:rPr>
        <w:t>Many of these investments yield positive returns in just three years</w:t>
      </w:r>
      <w:r>
        <w:rPr>
          <w:rFonts w:ascii="Times New Roman" w:hAnsi="Times New Roman"/>
          <w:noProof/>
          <w:sz w:val="24"/>
          <w:szCs w:val="24"/>
        </w:rPr>
        <w:t>.</w:t>
      </w:r>
    </w:p>
    <w:p>
      <w:pPr>
        <w:spacing w:after="120" w:line="240" w:lineRule="auto"/>
        <w:jc w:val="both"/>
        <w:rPr>
          <w:rFonts w:ascii="Times New Roman" w:hAnsi="Times New Roman"/>
          <w:noProof/>
          <w:sz w:val="24"/>
          <w:szCs w:val="24"/>
        </w:rPr>
      </w:pPr>
      <w:r>
        <w:rPr>
          <w:rFonts w:ascii="Times New Roman" w:hAnsi="Times New Roman"/>
          <w:noProof/>
          <w:sz w:val="24"/>
          <w:szCs w:val="24"/>
        </w:rPr>
        <w:t>R&amp;I make their greatest contribution if governments support it. This is because of the existence of market failures. Firms often find it difficult to finance risky R&amp;D projects, especially during recessions. R&amp;D investment also has beneficial effects for the wider economy as a result of knowledge spill-overs but firms do not take these effects into account in their decisions. The IMF (2016) therefore calls for promoting private R&amp;D by providing subsidies and tax incentives.</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The large-scale returns on public support for R&amp;I are demonstrated by evidence from the ex-post evaluation of the FP7. According to the High Level Expert Group (HLEG) that carried out the ex-post evaluation of FP7, the programme will directly create 130,000 research jobs over a period of 10 years and indirectly 160,000 additional jobs over 25 years. The HLEG also estimated an indirect economic effect of €500 billion over 25 years, or approximately €20 billion annually in additional GDP. According to the external evaluation of the HLEG, through short-term leverage and long-term multiplier effects, </w:t>
      </w:r>
      <w:r>
        <w:rPr>
          <w:rFonts w:ascii="Times New Roman" w:hAnsi="Times New Roman"/>
          <w:b/>
          <w:noProof/>
          <w:sz w:val="24"/>
          <w:szCs w:val="24"/>
        </w:rPr>
        <w:t>each euro spent by FP7 generated approximately €11 of estimated direct and indirect economic effects through innovations, new technologies and products</w:t>
      </w:r>
      <w:r>
        <w:rPr>
          <w:rFonts w:ascii="Times New Roman" w:hAnsi="Times New Roman"/>
          <w:noProof/>
          <w:sz w:val="24"/>
          <w:szCs w:val="24"/>
        </w:rPr>
        <w:t>.</w:t>
      </w:r>
    </w:p>
    <w:p>
      <w:pPr>
        <w:spacing w:after="120" w:line="240" w:lineRule="auto"/>
        <w:jc w:val="both"/>
        <w:rPr>
          <w:rFonts w:ascii="Times New Roman" w:hAnsi="Times New Roman"/>
          <w:noProof/>
          <w:sz w:val="24"/>
          <w:szCs w:val="24"/>
        </w:rPr>
      </w:pPr>
      <w:r>
        <w:rPr>
          <w:rFonts w:ascii="Times New Roman" w:hAnsi="Times New Roman"/>
          <w:noProof/>
          <w:sz w:val="24"/>
          <w:szCs w:val="24"/>
        </w:rPr>
        <w:t>In the specific case of the Mediterranean area, strong efforts are needed in product, processing and marketing innovation to succeed in competitive food markets (both locally and internationally). Many companies, and mostly SMEs, are developing products and services that can help business customers raise their water productivity. In agriculture, improved irrigation technologies and plant-management techniques are yielding “more crops per drop”.</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Developing innovative solutions for water provision and food systems in the Mediterranean could also contribute to generating employment opportunities. A number of EU Mediterranean countries show high unemployment rates, while non-EU Mediterranean countries offer unattractive, unspecialised jobs incentivising migrations. The implementation of innovations in (traditional) food products can contribute to job opportunities. Product innovation in food SMEs is positively linked to employment, and process innovations do not necessarily reduce employment in the food industry. Additional market opportunities will be created for agricultural producers of raw materials for traditional food products. </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Enhanced investment in R&amp;I are likely to achieve the aforementioned broad economic indirect impacts if the effects of a more sustainable management of water provision and food systems would be beneficial also to other sectors, e.g. more availability of water in urban area and non-food industrial sector. </w:t>
      </w:r>
    </w:p>
    <w:p>
      <w:pPr>
        <w:spacing w:after="120" w:line="240" w:lineRule="auto"/>
        <w:jc w:val="both"/>
        <w:rPr>
          <w:rFonts w:ascii="Times New Roman" w:hAnsi="Times New Roman"/>
          <w:noProof/>
          <w:sz w:val="24"/>
          <w:szCs w:val="24"/>
        </w:rPr>
      </w:pPr>
      <w:r>
        <w:rPr>
          <w:rFonts w:ascii="Times New Roman" w:hAnsi="Times New Roman"/>
          <w:b/>
          <w:noProof/>
          <w:sz w:val="24"/>
          <w:szCs w:val="24"/>
        </w:rPr>
        <w:t>Policy Option 0 and Option 1</w:t>
      </w:r>
      <w:r>
        <w:rPr>
          <w:rFonts w:ascii="Times New Roman" w:hAnsi="Times New Roman"/>
          <w:noProof/>
          <w:sz w:val="24"/>
          <w:szCs w:val="24"/>
        </w:rPr>
        <w:t xml:space="preserve"> have a limited capability of achieving an appropriate scale of resources as to have cross-sectoral impacts thorough the Mediterranean area, for their low level of integration and short time frame.  </w:t>
      </w:r>
    </w:p>
    <w:p>
      <w:pPr>
        <w:spacing w:after="120" w:line="240" w:lineRule="auto"/>
        <w:jc w:val="both"/>
        <w:rPr>
          <w:rFonts w:ascii="Times New Roman" w:hAnsi="Times New Roman"/>
          <w:noProof/>
          <w:sz w:val="24"/>
          <w:szCs w:val="24"/>
        </w:rPr>
      </w:pPr>
      <w:r>
        <w:rPr>
          <w:rFonts w:ascii="Times New Roman" w:hAnsi="Times New Roman"/>
          <w:b/>
          <w:noProof/>
          <w:sz w:val="24"/>
          <w:szCs w:val="24"/>
        </w:rPr>
        <w:t>Policy Option 2</w:t>
      </w:r>
      <w:r>
        <w:rPr>
          <w:rFonts w:ascii="Times New Roman" w:hAnsi="Times New Roman"/>
          <w:noProof/>
          <w:sz w:val="24"/>
          <w:szCs w:val="24"/>
        </w:rPr>
        <w:t>, due to the long time-frames associated with innovation development and adoption and the integrated approach, has the capacity to address regional strategies and policies to transfer positive impacts in the broader regional economy.</w:t>
      </w:r>
    </w:p>
    <w:p>
      <w:pPr>
        <w:spacing w:after="120" w:line="240" w:lineRule="auto"/>
        <w:jc w:val="both"/>
        <w:rPr>
          <w:rFonts w:ascii="Times New Roman" w:hAnsi="Times New Roman"/>
          <w:noProof/>
          <w:sz w:val="24"/>
          <w:szCs w:val="24"/>
        </w:rPr>
      </w:pPr>
    </w:p>
    <w:p>
      <w:pPr>
        <w:pStyle w:val="Heading1"/>
        <w:numPr>
          <w:ilvl w:val="2"/>
          <w:numId w:val="7"/>
        </w:numPr>
        <w:spacing w:before="120" w:after="120" w:line="240" w:lineRule="auto"/>
        <w:rPr>
          <w:rFonts w:ascii="Times New Roman" w:hAnsi="Times New Roman"/>
          <w:noProof/>
          <w:color w:val="auto"/>
          <w:sz w:val="24"/>
          <w:szCs w:val="24"/>
        </w:rPr>
      </w:pPr>
      <w:bookmarkStart w:id="185" w:name="_Toc457466056"/>
      <w:r>
        <w:rPr>
          <w:rFonts w:ascii="Times New Roman" w:hAnsi="Times New Roman"/>
          <w:noProof/>
          <w:color w:val="auto"/>
          <w:sz w:val="24"/>
          <w:szCs w:val="24"/>
        </w:rPr>
        <w:t>Improved livelihoods for farmers</w:t>
      </w:r>
      <w:bookmarkEnd w:id="185"/>
    </w:p>
    <w:p>
      <w:pPr>
        <w:spacing w:after="120" w:line="240" w:lineRule="auto"/>
        <w:jc w:val="both"/>
        <w:rPr>
          <w:rFonts w:ascii="Times New Roman" w:eastAsia="Times New Roman" w:hAnsi="Times New Roman"/>
          <w:bCs/>
          <w:noProof/>
          <w:sz w:val="24"/>
          <w:szCs w:val="24"/>
        </w:rPr>
      </w:pPr>
      <w:r>
        <w:rPr>
          <w:rFonts w:ascii="Times New Roman" w:eastAsia="Times New Roman" w:hAnsi="Times New Roman"/>
          <w:bCs/>
          <w:noProof/>
          <w:sz w:val="24"/>
          <w:szCs w:val="24"/>
        </w:rPr>
        <w:t>Farmers would be amongst the most immediate beneficiaries of improved water provision and food systems. Productivity enhancements increasing farmers' resilience in the face of climate change pressures can alleviate poverty, create jobs and lower food prices</w:t>
      </w:r>
      <w:r>
        <w:rPr>
          <w:rStyle w:val="FootnoteReference"/>
          <w:rFonts w:ascii="Times New Roman" w:eastAsia="Times New Roman" w:hAnsi="Times New Roman"/>
          <w:bCs/>
          <w:noProof/>
          <w:sz w:val="24"/>
          <w:szCs w:val="24"/>
        </w:rPr>
        <w:footnoteReference w:id="59"/>
      </w:r>
      <w:r>
        <w:rPr>
          <w:rFonts w:ascii="Times New Roman" w:eastAsia="Times New Roman" w:hAnsi="Times New Roman"/>
          <w:bCs/>
          <w:noProof/>
          <w:sz w:val="24"/>
          <w:szCs w:val="24"/>
        </w:rPr>
        <w:t xml:space="preserve">. The analysis suggests that while all policy options can be expected to have some impacts (in proportion to the resources invested), </w:t>
      </w:r>
      <w:r>
        <w:rPr>
          <w:rFonts w:ascii="Times New Roman" w:eastAsia="Times New Roman" w:hAnsi="Times New Roman"/>
          <w:b/>
          <w:bCs/>
          <w:noProof/>
          <w:sz w:val="24"/>
          <w:szCs w:val="24"/>
        </w:rPr>
        <w:t>Option 2 is likely to be the most fit for purpose</w:t>
      </w:r>
      <w:r>
        <w:rPr>
          <w:rFonts w:ascii="Times New Roman" w:eastAsia="Times New Roman" w:hAnsi="Times New Roman"/>
          <w:bCs/>
          <w:noProof/>
          <w:sz w:val="24"/>
          <w:szCs w:val="24"/>
        </w:rPr>
        <w:t xml:space="preserve"> due to its wide scope, mobilisation of resources and integrated nature able to stimulate co-fertilisation among Mediterranean countries and economic sectors. In addition, R&amp;I on sustainable agricultural practices will provide incentives for young people to invest in becoming farmers</w:t>
      </w:r>
      <w:r>
        <w:rPr>
          <w:rStyle w:val="FootnoteReference"/>
          <w:rFonts w:ascii="Times New Roman" w:eastAsia="Times New Roman" w:hAnsi="Times New Roman"/>
          <w:bCs/>
          <w:noProof/>
          <w:sz w:val="24"/>
          <w:szCs w:val="24"/>
        </w:rPr>
        <w:footnoteReference w:id="60"/>
      </w:r>
      <w:r>
        <w:rPr>
          <w:rFonts w:ascii="Times New Roman" w:eastAsia="Times New Roman" w:hAnsi="Times New Roman"/>
          <w:bCs/>
          <w:noProof/>
          <w:sz w:val="24"/>
          <w:szCs w:val="24"/>
          <w:vertAlign w:val="superscript"/>
        </w:rPr>
        <w:t>,</w:t>
      </w:r>
      <w:r>
        <w:rPr>
          <w:rStyle w:val="FootnoteReference"/>
          <w:rFonts w:ascii="Times New Roman" w:eastAsia="Times New Roman" w:hAnsi="Times New Roman"/>
          <w:bCs/>
          <w:noProof/>
          <w:sz w:val="24"/>
          <w:szCs w:val="24"/>
        </w:rPr>
        <w:footnoteReference w:id="61"/>
      </w:r>
      <w:r>
        <w:rPr>
          <w:rFonts w:ascii="Times New Roman" w:eastAsia="Times New Roman" w:hAnsi="Times New Roman"/>
          <w:bCs/>
          <w:noProof/>
          <w:sz w:val="24"/>
          <w:szCs w:val="24"/>
        </w:rPr>
        <w:t xml:space="preserve">. Large, long-term R&amp;I programmes could develop or enhance instruments to attract young farmers through: a) education and increased awareness with regard to sustainable agriculture practices; b) capacity-building with regard to implementation of relevant education; and 3) financial schemes enabling access to land and credit for relevant investments and insurance coverage. </w:t>
      </w:r>
    </w:p>
    <w:p>
      <w:pPr>
        <w:spacing w:after="120" w:line="240" w:lineRule="auto"/>
        <w:jc w:val="both"/>
        <w:rPr>
          <w:rFonts w:ascii="Times New Roman" w:eastAsia="Times New Roman" w:hAnsi="Times New Roman"/>
          <w:b/>
          <w:bCs/>
          <w:noProof/>
          <w:sz w:val="24"/>
          <w:szCs w:val="24"/>
        </w:rPr>
      </w:pPr>
      <w:r>
        <w:rPr>
          <w:rFonts w:ascii="Times New Roman" w:eastAsia="Times New Roman" w:hAnsi="Times New Roman"/>
          <w:b/>
          <w:bCs/>
          <w:noProof/>
          <w:sz w:val="24"/>
          <w:szCs w:val="24"/>
        </w:rPr>
        <w:t>A new generation of educated young farmers, able to use advanced technologies and innovation-ready, will require an array of new services in rural areas</w:t>
      </w:r>
      <w:r>
        <w:rPr>
          <w:rFonts w:ascii="Times New Roman" w:eastAsia="Times New Roman" w:hAnsi="Times New Roman"/>
          <w:bCs/>
          <w:noProof/>
          <w:sz w:val="24"/>
          <w:szCs w:val="24"/>
        </w:rPr>
        <w:t xml:space="preserve">. Young farmers also have a longer-term stake in their farmland and need to be able to rely on its continued productivity for decades to come, and then for future generations, too. Young farmers are particularly conscious of soil health and sustainability, and therefore it is crucial that they are supported by R&amp;I programmes to protect fertile but fragile Mediterranean natural resources (as well as the services these soils provide). </w:t>
      </w:r>
    </w:p>
    <w:p>
      <w:pPr>
        <w:spacing w:after="0" w:line="240" w:lineRule="auto"/>
        <w:rPr>
          <w:rFonts w:ascii="Times New Roman" w:hAnsi="Times New Roman"/>
          <w:noProof/>
          <w:sz w:val="24"/>
          <w:szCs w:val="24"/>
        </w:rPr>
      </w:pPr>
    </w:p>
    <w:p>
      <w:pPr>
        <w:pStyle w:val="Heading1"/>
        <w:numPr>
          <w:ilvl w:val="2"/>
          <w:numId w:val="7"/>
        </w:numPr>
        <w:spacing w:before="120" w:after="120" w:line="240" w:lineRule="auto"/>
        <w:rPr>
          <w:rFonts w:ascii="Times New Roman" w:hAnsi="Times New Roman"/>
          <w:noProof/>
          <w:color w:val="auto"/>
          <w:sz w:val="24"/>
          <w:szCs w:val="24"/>
        </w:rPr>
      </w:pPr>
      <w:bookmarkStart w:id="186" w:name="_Toc457466057"/>
      <w:r>
        <w:rPr>
          <w:rFonts w:ascii="Times New Roman" w:hAnsi="Times New Roman"/>
          <w:noProof/>
          <w:color w:val="auto"/>
          <w:sz w:val="24"/>
          <w:szCs w:val="24"/>
        </w:rPr>
        <w:t>Improved nutrition and health for the people of the Mediterranean area</w:t>
      </w:r>
      <w:bookmarkEnd w:id="186"/>
    </w:p>
    <w:p>
      <w:pPr>
        <w:spacing w:after="120" w:line="240" w:lineRule="auto"/>
        <w:jc w:val="both"/>
        <w:rPr>
          <w:rFonts w:ascii="Times New Roman" w:eastAsia="Times New Roman" w:hAnsi="Times New Roman"/>
          <w:bCs/>
          <w:noProof/>
          <w:sz w:val="24"/>
          <w:szCs w:val="24"/>
        </w:rPr>
      </w:pPr>
      <w:r>
        <w:rPr>
          <w:rFonts w:ascii="Times New Roman" w:eastAsia="Times New Roman" w:hAnsi="Times New Roman"/>
          <w:bCs/>
          <w:noProof/>
          <w:sz w:val="24"/>
          <w:szCs w:val="24"/>
        </w:rPr>
        <w:t xml:space="preserve">The activities identified by the PRIMA initiative are likely to have positive indirect impacts with respect to achieving the SDGs. In particular, developing and implementing innovative solutions for sustainable management would likely lead to reduced unsustainable water use and agricultural practices, thus significantly contributing to SDG 2 and 6. The analysis suggests that </w:t>
      </w:r>
      <w:r>
        <w:rPr>
          <w:rFonts w:ascii="Times New Roman" w:hAnsi="Times New Roman"/>
          <w:b/>
          <w:noProof/>
          <w:sz w:val="24"/>
        </w:rPr>
        <w:t>Option 2</w:t>
      </w:r>
      <w:r>
        <w:rPr>
          <w:rFonts w:ascii="Times New Roman" w:hAnsi="Times New Roman"/>
          <w:noProof/>
          <w:sz w:val="24"/>
        </w:rPr>
        <w:t xml:space="preserve"> </w:t>
      </w:r>
      <w:r>
        <w:rPr>
          <w:rFonts w:ascii="Times New Roman" w:eastAsia="Times New Roman" w:hAnsi="Times New Roman"/>
          <w:bCs/>
          <w:noProof/>
          <w:sz w:val="24"/>
          <w:szCs w:val="24"/>
        </w:rPr>
        <w:t xml:space="preserve">and, to a lesser extent, </w:t>
      </w:r>
      <w:r>
        <w:rPr>
          <w:rFonts w:ascii="Times New Roman" w:hAnsi="Times New Roman"/>
          <w:b/>
          <w:noProof/>
          <w:sz w:val="24"/>
        </w:rPr>
        <w:t>Option 1</w:t>
      </w:r>
      <w:r>
        <w:rPr>
          <w:rFonts w:ascii="Times New Roman" w:eastAsia="Times New Roman" w:hAnsi="Times New Roman"/>
          <w:bCs/>
          <w:noProof/>
          <w:sz w:val="24"/>
          <w:szCs w:val="24"/>
        </w:rPr>
        <w:t xml:space="preserve"> would both be aligned with and complement high-level EU goals related to the attainment of the Sustainable Development Goals.</w:t>
      </w:r>
    </w:p>
    <w:p>
      <w:pPr>
        <w:spacing w:after="120" w:line="240" w:lineRule="auto"/>
        <w:jc w:val="both"/>
        <w:rPr>
          <w:rFonts w:ascii="Times New Roman" w:eastAsia="Times New Roman" w:hAnsi="Times New Roman"/>
          <w:bCs/>
          <w:noProof/>
          <w:sz w:val="24"/>
          <w:szCs w:val="24"/>
        </w:rPr>
      </w:pPr>
      <w:r>
        <w:rPr>
          <w:rFonts w:ascii="Times New Roman" w:eastAsia="Times New Roman" w:hAnsi="Times New Roman"/>
          <w:b/>
          <w:bCs/>
          <w:noProof/>
          <w:sz w:val="24"/>
          <w:szCs w:val="24"/>
        </w:rPr>
        <w:t>Sustainably managed water provision and food systems will not only improve the livelihoods of farmers and create large-scale economic opportunities in the food industry and other sectors, they will also directly improve the nutrition and health status of the people of the Mediterranean area</w:t>
      </w:r>
      <w:r>
        <w:rPr>
          <w:rFonts w:ascii="Times New Roman" w:eastAsia="Times New Roman" w:hAnsi="Times New Roman"/>
          <w:bCs/>
          <w:noProof/>
          <w:sz w:val="24"/>
          <w:szCs w:val="24"/>
        </w:rPr>
        <w:t xml:space="preserve">. </w:t>
      </w:r>
    </w:p>
    <w:p>
      <w:pPr>
        <w:spacing w:after="120" w:line="240" w:lineRule="auto"/>
        <w:jc w:val="both"/>
        <w:rPr>
          <w:rFonts w:ascii="Times New Roman" w:eastAsia="Times New Roman" w:hAnsi="Times New Roman"/>
          <w:bCs/>
          <w:noProof/>
          <w:sz w:val="24"/>
          <w:szCs w:val="24"/>
        </w:rPr>
      </w:pPr>
      <w:r>
        <w:rPr>
          <w:rFonts w:ascii="Times New Roman" w:eastAsia="Times New Roman" w:hAnsi="Times New Roman"/>
          <w:bCs/>
          <w:noProof/>
          <w:sz w:val="24"/>
          <w:szCs w:val="24"/>
        </w:rPr>
        <w:t>According to a study by the World Bank (2016)</w:t>
      </w:r>
      <w:r>
        <w:rPr>
          <w:rStyle w:val="FootnoteReference"/>
          <w:rFonts w:ascii="Times New Roman" w:eastAsia="Times New Roman" w:hAnsi="Times New Roman"/>
          <w:bCs/>
          <w:noProof/>
          <w:sz w:val="24"/>
          <w:szCs w:val="24"/>
        </w:rPr>
        <w:footnoteReference w:id="62"/>
      </w:r>
      <w:r>
        <w:rPr>
          <w:rFonts w:ascii="Times New Roman" w:eastAsia="Times New Roman" w:hAnsi="Times New Roman"/>
          <w:bCs/>
          <w:noProof/>
          <w:sz w:val="24"/>
          <w:szCs w:val="24"/>
        </w:rPr>
        <w:t>, there is growing evidence that water shocks, due water scarcity and variability, and climate change, may have much longer-term effects. This is particularly true when water shocks cause nutritional deficits or health impacts in young children, or income shocks which prevent families from investing in their children.</w:t>
      </w:r>
    </w:p>
    <w:p>
      <w:pPr>
        <w:spacing w:after="120" w:line="240" w:lineRule="auto"/>
        <w:jc w:val="both"/>
        <w:rPr>
          <w:rFonts w:ascii="Times New Roman" w:eastAsia="Times New Roman" w:hAnsi="Times New Roman"/>
          <w:bCs/>
          <w:noProof/>
          <w:sz w:val="24"/>
          <w:szCs w:val="24"/>
        </w:rPr>
      </w:pPr>
      <w:r>
        <w:rPr>
          <w:rFonts w:ascii="Times New Roman" w:eastAsia="Times New Roman" w:hAnsi="Times New Roman"/>
          <w:bCs/>
          <w:noProof/>
          <w:sz w:val="24"/>
          <w:szCs w:val="24"/>
        </w:rPr>
        <w:t xml:space="preserve">The establishment of clear links between food, nutrition and health in the Mediterranean is an extremely complex issue requiring a very long-term time perspective, that can exceed even the time frame of all three policy options. It would anyway be possible to influence the diet of the population in the Mediterranean region towards health-promoting nutrition and reorganising the agro-food value chain accordingly. This approach requires multidisciplinarity (agriculture, food technology, nutrition science, social sciences, economics, psychology, sociology, IT experts), and the involvement of a wide range of societal and value chain actors. Additionally a significant increase in Mediterranean scientific knowledge is required in the areas of food, nutrition and health and the interactions between them. </w:t>
      </w:r>
    </w:p>
    <w:p>
      <w:pPr>
        <w:spacing w:after="120" w:line="240" w:lineRule="auto"/>
        <w:jc w:val="both"/>
        <w:rPr>
          <w:rFonts w:ascii="Times New Roman" w:eastAsia="Times New Roman" w:hAnsi="Times New Roman"/>
          <w:b/>
          <w:bCs/>
          <w:noProof/>
          <w:sz w:val="24"/>
          <w:szCs w:val="24"/>
        </w:rPr>
      </w:pPr>
    </w:p>
    <w:p>
      <w:pPr>
        <w:pStyle w:val="Heading1"/>
        <w:numPr>
          <w:ilvl w:val="2"/>
          <w:numId w:val="7"/>
        </w:numPr>
        <w:spacing w:before="120" w:after="120" w:line="240" w:lineRule="auto"/>
        <w:rPr>
          <w:rFonts w:ascii="Times New Roman" w:hAnsi="Times New Roman"/>
          <w:noProof/>
          <w:color w:val="auto"/>
          <w:sz w:val="24"/>
          <w:szCs w:val="24"/>
        </w:rPr>
      </w:pPr>
      <w:bookmarkStart w:id="187" w:name="_Toc457466058"/>
      <w:r>
        <w:rPr>
          <w:rFonts w:ascii="Times New Roman" w:hAnsi="Times New Roman"/>
          <w:noProof/>
          <w:color w:val="auto"/>
          <w:sz w:val="24"/>
          <w:szCs w:val="24"/>
        </w:rPr>
        <w:t>Greater political stability and reduced internal and external migration</w:t>
      </w:r>
      <w:bookmarkEnd w:id="187"/>
    </w:p>
    <w:p>
      <w:pPr>
        <w:spacing w:after="120" w:line="240" w:lineRule="auto"/>
        <w:jc w:val="both"/>
        <w:rPr>
          <w:rFonts w:ascii="Times New Roman" w:eastAsia="Times New Roman" w:hAnsi="Times New Roman"/>
          <w:bCs/>
          <w:noProof/>
          <w:sz w:val="24"/>
          <w:szCs w:val="24"/>
        </w:rPr>
      </w:pPr>
      <w:r>
        <w:rPr>
          <w:rFonts w:ascii="Times New Roman" w:eastAsia="Times New Roman" w:hAnsi="Times New Roman"/>
          <w:bCs/>
          <w:noProof/>
          <w:sz w:val="24"/>
          <w:szCs w:val="24"/>
        </w:rPr>
        <w:t xml:space="preserve">It is now widely recognised that climate changes, increased frequency and severity of droughts and storms, changes in rainfall patterns and losses of agricultural productivity are likely to increase migration in the coming decades. </w:t>
      </w:r>
      <w:r>
        <w:rPr>
          <w:rFonts w:ascii="Times New Roman" w:eastAsia="Times New Roman" w:hAnsi="Times New Roman"/>
          <w:b/>
          <w:bCs/>
          <w:noProof/>
          <w:sz w:val="24"/>
          <w:szCs w:val="24"/>
        </w:rPr>
        <w:t>Building resilience to the more extreme precipitation events of climate change will become a more urgent priority especially in rainfall vulnerable areas</w:t>
      </w:r>
      <w:r>
        <w:rPr>
          <w:rFonts w:ascii="Times New Roman" w:eastAsia="Times New Roman" w:hAnsi="Times New Roman"/>
          <w:bCs/>
          <w:noProof/>
          <w:sz w:val="24"/>
          <w:szCs w:val="24"/>
        </w:rPr>
        <w:t>. Migration within and between countries tends to increase in areas facing water shocks (World Bank 2016).</w:t>
      </w:r>
    </w:p>
    <w:p>
      <w:pPr>
        <w:spacing w:after="120" w:line="240" w:lineRule="auto"/>
        <w:jc w:val="both"/>
        <w:rPr>
          <w:rFonts w:ascii="Times New Roman" w:eastAsia="Times New Roman" w:hAnsi="Times New Roman"/>
          <w:bCs/>
          <w:noProof/>
          <w:sz w:val="24"/>
          <w:szCs w:val="24"/>
        </w:rPr>
      </w:pPr>
      <w:r>
        <w:rPr>
          <w:rFonts w:ascii="Times New Roman" w:eastAsia="Times New Roman" w:hAnsi="Times New Roman"/>
          <w:bCs/>
          <w:noProof/>
          <w:sz w:val="24"/>
          <w:szCs w:val="24"/>
        </w:rPr>
        <w:t xml:space="preserve">A R&amp;I strategy addressing water provision and food systems by deploying innovative solutions to tackle the adverse effects of climate change in the Mediterranean area can have positive impact on nutrition and health status for the people of the Mediterranean region, and more economic opportunities for them, as explained in the above paragraphs. </w:t>
      </w:r>
      <w:r>
        <w:rPr>
          <w:rFonts w:ascii="Times New Roman" w:eastAsia="Times New Roman" w:hAnsi="Times New Roman"/>
          <w:b/>
          <w:bCs/>
          <w:noProof/>
          <w:sz w:val="24"/>
          <w:szCs w:val="24"/>
        </w:rPr>
        <w:t>These improved conditions will contribute to greater political stability, which in return will reduce internal and external migration</w:t>
      </w:r>
      <w:r>
        <w:rPr>
          <w:rFonts w:ascii="Times New Roman" w:eastAsia="Times New Roman" w:hAnsi="Times New Roman"/>
          <w:bCs/>
          <w:noProof/>
          <w:sz w:val="24"/>
          <w:szCs w:val="24"/>
        </w:rPr>
        <w:t>. In fact, water scarcity and unsustainable farming can destroy agriculture, causing many farm families to migrate to cities. In Sub-Saharan Africa a 1 percent reduction in precipitation is associated with a 0.59 percent increase in the urbanization rate</w:t>
      </w:r>
      <w:r>
        <w:rPr>
          <w:rStyle w:val="FootnoteReference"/>
          <w:rFonts w:ascii="Times New Roman" w:eastAsia="Times New Roman" w:hAnsi="Times New Roman"/>
          <w:bCs/>
          <w:noProof/>
          <w:sz w:val="24"/>
          <w:szCs w:val="24"/>
        </w:rPr>
        <w:footnoteReference w:id="63"/>
      </w:r>
      <w:r>
        <w:rPr>
          <w:rFonts w:ascii="Times New Roman" w:eastAsia="Times New Roman" w:hAnsi="Times New Roman"/>
          <w:bCs/>
          <w:noProof/>
          <w:sz w:val="24"/>
          <w:szCs w:val="24"/>
        </w:rPr>
        <w:t xml:space="preserve">. </w:t>
      </w:r>
    </w:p>
    <w:p>
      <w:pPr>
        <w:autoSpaceDE w:val="0"/>
        <w:autoSpaceDN w:val="0"/>
        <w:spacing w:after="120" w:line="240" w:lineRule="auto"/>
        <w:jc w:val="both"/>
        <w:rPr>
          <w:rFonts w:ascii="Times New Roman" w:hAnsi="Times New Roman"/>
          <w:noProof/>
          <w:sz w:val="24"/>
          <w:szCs w:val="24"/>
          <w:lang w:eastAsia="en-GB"/>
        </w:rPr>
      </w:pPr>
      <w:r>
        <w:rPr>
          <w:rFonts w:ascii="Times New Roman" w:hAnsi="Times New Roman"/>
          <w:noProof/>
          <w:sz w:val="24"/>
          <w:szCs w:val="24"/>
          <w:lang w:eastAsia="en-GB"/>
        </w:rPr>
        <w:t xml:space="preserve">The 2030 Agenda for Sustainable Development included migration in the SDG </w:t>
      </w:r>
      <w:r>
        <w:rPr>
          <w:rFonts w:ascii="Times New Roman" w:hAnsi="Times New Roman"/>
          <w:noProof/>
          <w:color w:val="000000"/>
          <w:sz w:val="24"/>
          <w:szCs w:val="24"/>
        </w:rPr>
        <w:t>#</w:t>
      </w:r>
      <w:r>
        <w:rPr>
          <w:rFonts w:ascii="Times New Roman" w:hAnsi="Times New Roman"/>
          <w:noProof/>
          <w:sz w:val="24"/>
          <w:szCs w:val="24"/>
          <w:lang w:eastAsia="en-GB"/>
        </w:rPr>
        <w:t xml:space="preserve">10 on reduced inequalities within and between countries. PRIMA is likely to contribute to SDG </w:t>
      </w:r>
      <w:r>
        <w:rPr>
          <w:rFonts w:ascii="Times New Roman" w:hAnsi="Times New Roman"/>
          <w:noProof/>
          <w:color w:val="000000"/>
          <w:sz w:val="24"/>
          <w:szCs w:val="24"/>
        </w:rPr>
        <w:t>#</w:t>
      </w:r>
      <w:r>
        <w:rPr>
          <w:rFonts w:ascii="Times New Roman" w:hAnsi="Times New Roman"/>
          <w:noProof/>
          <w:sz w:val="24"/>
          <w:szCs w:val="24"/>
          <w:lang w:eastAsia="en-GB"/>
        </w:rPr>
        <w:t>10 reduce the transaction costs of migrant remittances and eliminate remittance corridors among Mediterranean countries.</w:t>
      </w:r>
    </w:p>
    <w:p>
      <w:pPr>
        <w:spacing w:after="120" w:line="240" w:lineRule="auto"/>
        <w:jc w:val="both"/>
        <w:rPr>
          <w:rFonts w:ascii="Times New Roman" w:eastAsia="Times New Roman" w:hAnsi="Times New Roman"/>
          <w:bCs/>
          <w:noProof/>
          <w:sz w:val="24"/>
          <w:szCs w:val="24"/>
        </w:rPr>
      </w:pPr>
      <w:r>
        <w:rPr>
          <w:rFonts w:ascii="Times New Roman" w:eastAsia="Times New Roman" w:hAnsi="Times New Roman"/>
          <w:bCs/>
          <w:noProof/>
          <w:sz w:val="24"/>
          <w:szCs w:val="24"/>
        </w:rPr>
        <w:t>The analysis suggests that Option 2 is likely to be the only one that can achieve significant impact in this regard, thanks to its wide scope, mobilisation of resources and integrated nature.</w:t>
      </w:r>
    </w:p>
    <w:p>
      <w:pPr>
        <w:spacing w:after="120" w:line="240" w:lineRule="auto"/>
        <w:jc w:val="both"/>
        <w:rPr>
          <w:rFonts w:ascii="Times New Roman" w:eastAsia="Times New Roman" w:hAnsi="Times New Roman"/>
          <w:bCs/>
          <w:noProof/>
          <w:sz w:val="24"/>
          <w:szCs w:val="24"/>
        </w:rPr>
      </w:pPr>
    </w:p>
    <w:p>
      <w:pPr>
        <w:pStyle w:val="Heading1"/>
        <w:numPr>
          <w:ilvl w:val="2"/>
          <w:numId w:val="7"/>
        </w:numPr>
        <w:spacing w:before="120" w:after="120" w:line="240" w:lineRule="auto"/>
        <w:rPr>
          <w:rFonts w:ascii="Times New Roman" w:hAnsi="Times New Roman"/>
          <w:noProof/>
          <w:color w:val="auto"/>
          <w:sz w:val="24"/>
          <w:szCs w:val="24"/>
        </w:rPr>
      </w:pPr>
      <w:bookmarkStart w:id="188" w:name="_Toc457466059"/>
      <w:r>
        <w:rPr>
          <w:rFonts w:ascii="Times New Roman" w:hAnsi="Times New Roman"/>
          <w:noProof/>
          <w:color w:val="auto"/>
          <w:sz w:val="24"/>
          <w:szCs w:val="24"/>
        </w:rPr>
        <w:t>Large-scale environmental impacts</w:t>
      </w:r>
      <w:bookmarkEnd w:id="188"/>
    </w:p>
    <w:p>
      <w:pPr>
        <w:spacing w:after="120" w:line="240" w:lineRule="auto"/>
        <w:jc w:val="both"/>
        <w:rPr>
          <w:rFonts w:ascii="Times New Roman" w:hAnsi="Times New Roman"/>
          <w:noProof/>
          <w:sz w:val="24"/>
        </w:rPr>
      </w:pPr>
      <w:r>
        <w:rPr>
          <w:rFonts w:ascii="Times New Roman" w:hAnsi="Times New Roman"/>
          <w:b/>
          <w:noProof/>
          <w:sz w:val="24"/>
        </w:rPr>
        <w:t>All Options</w:t>
      </w:r>
      <w:r>
        <w:rPr>
          <w:rFonts w:ascii="Times New Roman" w:hAnsi="Times New Roman"/>
          <w:noProof/>
          <w:sz w:val="24"/>
        </w:rPr>
        <w:t xml:space="preserve"> are likely to have positive indirect impacts - though clearly with different intensity - on the environment in terms of improving the resource-efficient management of water provision and food systems.</w:t>
      </w:r>
    </w:p>
    <w:p>
      <w:pPr>
        <w:spacing w:after="120" w:line="240" w:lineRule="auto"/>
        <w:jc w:val="both"/>
        <w:rPr>
          <w:rFonts w:ascii="Times New Roman" w:hAnsi="Times New Roman"/>
          <w:noProof/>
          <w:sz w:val="24"/>
          <w:szCs w:val="24"/>
          <w:lang w:eastAsia="fr-BE"/>
        </w:rPr>
      </w:pPr>
      <w:r>
        <w:rPr>
          <w:rFonts w:ascii="Times New Roman" w:hAnsi="Times New Roman"/>
          <w:noProof/>
          <w:sz w:val="24"/>
          <w:szCs w:val="24"/>
          <w:lang w:eastAsia="fr-BE"/>
        </w:rPr>
        <w:t xml:space="preserve">The three options would, in fact, support R&amp;I activities aiming at the development of solutions able to address the wide societal challenges of "Climate action, Environment, Resource Efficiency and Raw Materials" and "Food security, sustainable agriculture and forestry, marine, maritime and inland water research, and the bioeconomy". Under </w:t>
      </w:r>
      <w:r>
        <w:rPr>
          <w:rFonts w:ascii="Times New Roman" w:hAnsi="Times New Roman"/>
          <w:b/>
          <w:noProof/>
          <w:sz w:val="24"/>
          <w:szCs w:val="24"/>
          <w:lang w:eastAsia="fr-BE"/>
        </w:rPr>
        <w:t>Option 0 and Option 1</w:t>
      </w:r>
      <w:r>
        <w:rPr>
          <w:rFonts w:ascii="Times New Roman" w:hAnsi="Times New Roman"/>
          <w:noProof/>
          <w:sz w:val="24"/>
          <w:szCs w:val="24"/>
          <w:lang w:eastAsia="fr-BE"/>
        </w:rPr>
        <w:t>, the focus of the topics of future calls for proposal would depend on the Work Programmes of Horizon 2020 and future Framework Programmes. Water provision and food systems represent, therefore, potential topics that could be addressed in specific calls and/or topics.</w:t>
      </w:r>
    </w:p>
    <w:p>
      <w:pPr>
        <w:spacing w:after="120" w:line="240" w:lineRule="auto"/>
        <w:jc w:val="both"/>
        <w:rPr>
          <w:rFonts w:ascii="Times New Roman" w:hAnsi="Times New Roman"/>
          <w:noProof/>
          <w:sz w:val="24"/>
          <w:szCs w:val="24"/>
        </w:rPr>
      </w:pPr>
      <w:r>
        <w:rPr>
          <w:rFonts w:ascii="Times New Roman" w:hAnsi="Times New Roman"/>
          <w:b/>
          <w:noProof/>
          <w:sz w:val="24"/>
          <w:szCs w:val="24"/>
        </w:rPr>
        <w:t>Under Option 2, the increasing investment in and cooperation on R&amp;I with a long term perspective</w:t>
      </w:r>
      <w:r>
        <w:rPr>
          <w:rFonts w:ascii="Times New Roman" w:hAnsi="Times New Roman"/>
          <w:noProof/>
          <w:sz w:val="24"/>
          <w:szCs w:val="24"/>
        </w:rPr>
        <w:t>, in line with a common defined strategic R&amp;I agenda, focusing on water provision and food systems would create the appropriate conditions to develop and implement resource-efficient and cost-effective solutions in the Mediterranean area. If successful, these solutions would bring benefits to the environment, reducing resource use and waste generation.</w:t>
      </w:r>
    </w:p>
    <w:p>
      <w:pPr>
        <w:spacing w:after="120" w:line="240" w:lineRule="auto"/>
        <w:jc w:val="both"/>
        <w:rPr>
          <w:rFonts w:ascii="Times New Roman" w:hAnsi="Times New Roman"/>
          <w:noProof/>
          <w:sz w:val="24"/>
          <w:szCs w:val="24"/>
        </w:rPr>
      </w:pPr>
      <w:r>
        <w:rPr>
          <w:rFonts w:ascii="Times New Roman" w:hAnsi="Times New Roman"/>
          <w:noProof/>
          <w:sz w:val="24"/>
          <w:szCs w:val="24"/>
        </w:rPr>
        <w:t>In particular, positive environmental effects will be achieved more effectively if innovative solutions could be developed and demonstrated in the frame of an increased collaboration and exchange of knowledge and expertise among Mediterranean countries, which are facing the same challenges due to the climate change, increasing population and social instability.</w:t>
      </w:r>
    </w:p>
    <w:p>
      <w:pPr>
        <w:spacing w:after="120" w:line="240" w:lineRule="auto"/>
        <w:jc w:val="both"/>
        <w:rPr>
          <w:rFonts w:ascii="Times New Roman" w:hAnsi="Times New Roman"/>
          <w:noProof/>
          <w:sz w:val="24"/>
          <w:szCs w:val="24"/>
        </w:rPr>
      </w:pPr>
      <w:r>
        <w:rPr>
          <w:rFonts w:ascii="Times New Roman" w:hAnsi="Times New Roman"/>
          <w:noProof/>
          <w:sz w:val="24"/>
          <w:szCs w:val="24"/>
        </w:rPr>
        <w:t>As illustrated in the previous sections, the PRIMA Joint Programme based on Article 185 could make use of the Union contribution to fund large-scale demonstration projects by transnational calls, thus reducing the time needed to implement innovative solutions.</w:t>
      </w:r>
    </w:p>
    <w:p>
      <w:pPr>
        <w:spacing w:after="120" w:line="240" w:lineRule="auto"/>
        <w:jc w:val="both"/>
        <w:rPr>
          <w:rFonts w:ascii="Times New Roman" w:hAnsi="Times New Roman"/>
          <w:noProof/>
          <w:sz w:val="24"/>
          <w:szCs w:val="24"/>
        </w:rPr>
      </w:pPr>
      <w:r>
        <w:rPr>
          <w:rFonts w:ascii="Times New Roman" w:hAnsi="Times New Roman"/>
          <w:noProof/>
          <w:sz w:val="24"/>
          <w:szCs w:val="24"/>
        </w:rPr>
        <w:t>Based on the analysis of the PRIMA Expert Group, below are reported examples of areas where Option 2 could help achieving more effectively large-scale environmental impacts:</w:t>
      </w:r>
    </w:p>
    <w:p>
      <w:pPr>
        <w:pStyle w:val="ListParagraph"/>
        <w:numPr>
          <w:ilvl w:val="0"/>
          <w:numId w:val="100"/>
        </w:numPr>
        <w:autoSpaceDE w:val="0"/>
        <w:autoSpaceDN w:val="0"/>
        <w:adjustRightInd w:val="0"/>
        <w:spacing w:after="120" w:line="240" w:lineRule="auto"/>
        <w:ind w:left="426" w:hanging="349"/>
        <w:rPr>
          <w:rFonts w:ascii="Times New Roman" w:hAnsi="Times New Roman"/>
          <w:noProof/>
          <w:sz w:val="24"/>
          <w:szCs w:val="24"/>
        </w:rPr>
      </w:pPr>
      <w:r>
        <w:rPr>
          <w:rFonts w:ascii="Times New Roman" w:hAnsi="Times New Roman"/>
          <w:noProof/>
          <w:sz w:val="24"/>
          <w:szCs w:val="24"/>
          <w:u w:val="single"/>
        </w:rPr>
        <w:t>Improved water conservation</w:t>
      </w:r>
      <w:r>
        <w:rPr>
          <w:rFonts w:ascii="Times New Roman" w:hAnsi="Times New Roman"/>
          <w:noProof/>
          <w:sz w:val="24"/>
          <w:szCs w:val="24"/>
        </w:rPr>
        <w:t xml:space="preserve"> by developing: (i) novel plant varieties for irrigated and dry farming conditions; (ii) innovative irrigation technologies and user-centred water conservation processes; efficient water allocation between different economic sectors; (iii) user-centred water-saving processes and programmes; (iv) improved water governance, management and coherence between agriculture, water and energy policies;</w:t>
      </w:r>
    </w:p>
    <w:p>
      <w:pPr>
        <w:pStyle w:val="ListParagraph"/>
        <w:numPr>
          <w:ilvl w:val="0"/>
          <w:numId w:val="100"/>
        </w:numPr>
        <w:autoSpaceDE w:val="0"/>
        <w:autoSpaceDN w:val="0"/>
        <w:adjustRightInd w:val="0"/>
        <w:spacing w:after="120" w:line="240" w:lineRule="auto"/>
        <w:ind w:left="426" w:hanging="349"/>
        <w:rPr>
          <w:rFonts w:ascii="Times New Roman" w:hAnsi="Times New Roman"/>
          <w:noProof/>
          <w:sz w:val="24"/>
          <w:szCs w:val="24"/>
        </w:rPr>
      </w:pPr>
      <w:r>
        <w:rPr>
          <w:rFonts w:ascii="Times New Roman" w:hAnsi="Times New Roman"/>
          <w:noProof/>
          <w:sz w:val="24"/>
          <w:szCs w:val="24"/>
          <w:u w:val="single"/>
        </w:rPr>
        <w:t xml:space="preserve">Sustainable farming practices </w:t>
      </w:r>
      <w:r>
        <w:rPr>
          <w:rFonts w:ascii="Times New Roman" w:hAnsi="Times New Roman"/>
          <w:noProof/>
          <w:sz w:val="24"/>
          <w:szCs w:val="24"/>
        </w:rPr>
        <w:t>by implementing innovative solutions for: (i) reducing land conversion and habitat loss, (ii) improving water-use efficiency for irrigation, (iii) reducing soil erosion and degradation; (iv) producing and using safer fertilisers; (v) increasing productivity of local crops and farm animals;</w:t>
      </w:r>
    </w:p>
    <w:p>
      <w:pPr>
        <w:pStyle w:val="ListParagraph"/>
        <w:numPr>
          <w:ilvl w:val="0"/>
          <w:numId w:val="100"/>
        </w:numPr>
        <w:autoSpaceDE w:val="0"/>
        <w:autoSpaceDN w:val="0"/>
        <w:adjustRightInd w:val="0"/>
        <w:spacing w:after="120" w:line="240" w:lineRule="auto"/>
        <w:ind w:left="426" w:hanging="349"/>
        <w:rPr>
          <w:rFonts w:ascii="Times New Roman" w:hAnsi="Times New Roman"/>
          <w:noProof/>
          <w:sz w:val="24"/>
          <w:szCs w:val="24"/>
        </w:rPr>
      </w:pPr>
      <w:r>
        <w:rPr>
          <w:rFonts w:ascii="Times New Roman" w:hAnsi="Times New Roman"/>
          <w:noProof/>
          <w:sz w:val="24"/>
          <w:szCs w:val="24"/>
          <w:u w:val="single"/>
        </w:rPr>
        <w:t xml:space="preserve">Recovery of water and nutrients from wastewater for agricultural use </w:t>
      </w:r>
      <w:r>
        <w:rPr>
          <w:rFonts w:ascii="Times New Roman" w:hAnsi="Times New Roman"/>
          <w:noProof/>
          <w:sz w:val="24"/>
          <w:szCs w:val="24"/>
        </w:rPr>
        <w:t>by developing: (i) new site-specific policies, (ii) user acceptance strategies, (iii) and innovative wastewater treatment and reuse technologies;</w:t>
      </w:r>
    </w:p>
    <w:p>
      <w:pPr>
        <w:pStyle w:val="ListParagraph"/>
        <w:numPr>
          <w:ilvl w:val="0"/>
          <w:numId w:val="100"/>
        </w:numPr>
        <w:autoSpaceDE w:val="0"/>
        <w:autoSpaceDN w:val="0"/>
        <w:adjustRightInd w:val="0"/>
        <w:spacing w:after="120" w:line="240" w:lineRule="auto"/>
        <w:ind w:left="426" w:hanging="349"/>
        <w:rPr>
          <w:rFonts w:ascii="Times New Roman" w:hAnsi="Times New Roman"/>
          <w:noProof/>
          <w:sz w:val="24"/>
          <w:szCs w:val="24"/>
        </w:rPr>
      </w:pPr>
      <w:r>
        <w:rPr>
          <w:rFonts w:ascii="Times New Roman" w:hAnsi="Times New Roman"/>
          <w:noProof/>
          <w:sz w:val="24"/>
          <w:szCs w:val="24"/>
          <w:u w:val="single"/>
        </w:rPr>
        <w:t xml:space="preserve">Water desalination </w:t>
      </w:r>
      <w:r>
        <w:rPr>
          <w:rFonts w:ascii="Times New Roman" w:hAnsi="Times New Roman"/>
          <w:noProof/>
          <w:sz w:val="24"/>
          <w:szCs w:val="24"/>
        </w:rPr>
        <w:t>by developing : (i) technological breakthroughs in energy consumption and desalinated water quality, (ii) brine disposal, (iii) integration into energy networks and local water management strategies, (iv) coordinated strategies  for water reuse solutions and desalination as to close water loops;</w:t>
      </w:r>
    </w:p>
    <w:p>
      <w:pPr>
        <w:pStyle w:val="ListParagraph"/>
        <w:autoSpaceDE w:val="0"/>
        <w:autoSpaceDN w:val="0"/>
        <w:adjustRightInd w:val="0"/>
        <w:spacing w:after="120" w:line="240" w:lineRule="auto"/>
        <w:rPr>
          <w:rFonts w:ascii="Times New Roman" w:hAnsi="Times New Roman"/>
          <w:noProof/>
          <w:sz w:val="24"/>
          <w:szCs w:val="24"/>
        </w:rPr>
      </w:pPr>
    </w:p>
    <w:p>
      <w:pPr>
        <w:spacing w:after="120" w:line="240" w:lineRule="auto"/>
        <w:jc w:val="both"/>
        <w:rPr>
          <w:rFonts w:ascii="Times New Roman" w:hAnsi="Times New Roman"/>
          <w:noProof/>
          <w:sz w:val="24"/>
          <w:szCs w:val="24"/>
        </w:rPr>
      </w:pPr>
      <w:r>
        <w:rPr>
          <w:rFonts w:ascii="Times New Roman" w:hAnsi="Times New Roman"/>
          <w:noProof/>
          <w:sz w:val="24"/>
          <w:szCs w:val="24"/>
        </w:rPr>
        <w:t>Implementing integrated innovative solutions in these areas can result in reducing greenhouse gases (GHG) emissions, harvest shocks due to droughts, heat waves and floods, and build resilience and adaptation capacity in the Mediterranean area.</w:t>
      </w:r>
    </w:p>
    <w:p>
      <w:pPr>
        <w:spacing w:after="120" w:line="240" w:lineRule="auto"/>
        <w:jc w:val="both"/>
        <w:rPr>
          <w:rFonts w:ascii="Times New Roman" w:hAnsi="Times New Roman"/>
          <w:noProof/>
          <w:sz w:val="24"/>
          <w:szCs w:val="24"/>
        </w:rPr>
      </w:pPr>
    </w:p>
    <w:p>
      <w:pPr>
        <w:pStyle w:val="Heading1"/>
        <w:numPr>
          <w:ilvl w:val="1"/>
          <w:numId w:val="7"/>
        </w:numPr>
        <w:spacing w:before="120" w:after="120" w:line="240" w:lineRule="auto"/>
        <w:rPr>
          <w:rFonts w:ascii="Times New Roman" w:hAnsi="Times New Roman"/>
          <w:noProof/>
          <w:color w:val="auto"/>
          <w:sz w:val="24"/>
          <w:szCs w:val="24"/>
        </w:rPr>
      </w:pPr>
      <w:bookmarkStart w:id="189" w:name="_Toc457466060"/>
      <w:r>
        <w:rPr>
          <w:rFonts w:ascii="Times New Roman" w:hAnsi="Times New Roman"/>
          <w:noProof/>
          <w:color w:val="auto"/>
          <w:sz w:val="24"/>
          <w:szCs w:val="24"/>
        </w:rPr>
        <w:t>Budgetary impacts</w:t>
      </w:r>
      <w:bookmarkEnd w:id="189"/>
    </w:p>
    <w:bookmarkEnd w:id="170"/>
    <w:bookmarkEnd w:id="171"/>
    <w:bookmarkEnd w:id="172"/>
    <w:p>
      <w:pPr>
        <w:spacing w:after="240" w:line="240" w:lineRule="auto"/>
        <w:jc w:val="both"/>
        <w:rPr>
          <w:noProof/>
        </w:rPr>
      </w:pPr>
      <w:r>
        <w:rPr>
          <w:rFonts w:ascii="Times New Roman" w:hAnsi="Times New Roman"/>
          <w:noProof/>
          <w:sz w:val="24"/>
          <w:szCs w:val="24"/>
        </w:rPr>
        <w:t>As it regards the impact on the costs and budgetary implications of the different policy options, a detailed analysis is reported in Table 5.2.</w:t>
      </w:r>
    </w:p>
    <w:tbl>
      <w:tblPr>
        <w:tblStyle w:val="LightList-Accent1"/>
        <w:tblW w:w="9747" w:type="dxa"/>
        <w:tblBorders>
          <w:insideH w:val="single" w:sz="8" w:space="0" w:color="4F81BD" w:themeColor="accent1"/>
          <w:insideV w:val="single" w:sz="8" w:space="0" w:color="4F81BD" w:themeColor="accent1"/>
        </w:tblBorders>
        <w:tblLook w:val="04A0" w:firstRow="1" w:lastRow="0" w:firstColumn="1" w:lastColumn="0" w:noHBand="0" w:noVBand="1"/>
      </w:tblPr>
      <w:tblGrid>
        <w:gridCol w:w="2746"/>
        <w:gridCol w:w="2280"/>
        <w:gridCol w:w="2171"/>
        <w:gridCol w:w="2550"/>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6" w:type="dxa"/>
          </w:tcPr>
          <w:p>
            <w:pPr>
              <w:spacing w:after="0" w:line="240" w:lineRule="auto"/>
              <w:rPr>
                <w:rFonts w:ascii="Times New Roman" w:eastAsia="Times New Roman" w:hAnsi="Times New Roman"/>
                <w:noProof/>
                <w:sz w:val="20"/>
                <w:szCs w:val="20"/>
                <w:lang w:eastAsia="en-GB"/>
              </w:rPr>
            </w:pPr>
          </w:p>
        </w:tc>
        <w:tc>
          <w:tcPr>
            <w:tcW w:w="2280" w:type="dxa"/>
          </w:tcPr>
          <w:p>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val="en-US" w:eastAsia="en-GB"/>
              </w:rPr>
              <w:t>Baseline scenario: No dedicated EU action</w:t>
            </w:r>
          </w:p>
        </w:tc>
        <w:tc>
          <w:tcPr>
            <w:tcW w:w="2171" w:type="dxa"/>
          </w:tcPr>
          <w:p>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val="en-US"/>
              </w:rPr>
              <w:t xml:space="preserve">Option 1: </w:t>
            </w:r>
            <w:r>
              <w:rPr>
                <w:rFonts w:ascii="Times New Roman" w:eastAsia="Times New Roman" w:hAnsi="Times New Roman"/>
                <w:noProof/>
                <w:sz w:val="20"/>
                <w:szCs w:val="20"/>
                <w:lang w:val="en-US" w:eastAsia="en-GB"/>
              </w:rPr>
              <w:t>ERA-NET Cofund actions</w:t>
            </w:r>
          </w:p>
        </w:tc>
        <w:tc>
          <w:tcPr>
            <w:tcW w:w="2550" w:type="dxa"/>
          </w:tcPr>
          <w:p>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val="en-US"/>
              </w:rPr>
              <w:t>PRIMA Joint Programme based on Article 185 TFEU</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6" w:type="dxa"/>
          </w:tcPr>
          <w:p>
            <w:pPr>
              <w:spacing w:after="0" w:line="240" w:lineRule="auto"/>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 xml:space="preserve">Union contribution </w:t>
            </w:r>
            <w:r>
              <w:rPr>
                <w:rFonts w:ascii="Times New Roman" w:eastAsia="Times New Roman" w:hAnsi="Times New Roman"/>
                <w:noProof/>
                <w:sz w:val="20"/>
                <w:szCs w:val="20"/>
                <w:lang w:eastAsia="en-GB"/>
              </w:rPr>
              <w:br/>
              <w:t>(commitments)</w:t>
            </w:r>
          </w:p>
        </w:tc>
        <w:tc>
          <w:tcPr>
            <w:tcW w:w="2280" w:type="dxa"/>
          </w:tcPr>
          <w:p>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 € 30 million</w:t>
            </w:r>
            <w:r>
              <w:rPr>
                <w:rFonts w:ascii="Times New Roman" w:eastAsia="Times New Roman" w:hAnsi="Times New Roman"/>
                <w:noProof/>
                <w:sz w:val="20"/>
                <w:szCs w:val="20"/>
                <w:lang w:eastAsia="en-GB"/>
              </w:rPr>
              <w:br/>
              <w:t>2018 - 2020</w:t>
            </w:r>
          </w:p>
        </w:tc>
        <w:tc>
          <w:tcPr>
            <w:tcW w:w="2171" w:type="dxa"/>
          </w:tcPr>
          <w:p>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 € 30 million</w:t>
            </w:r>
            <w:r>
              <w:rPr>
                <w:rFonts w:ascii="Times New Roman" w:eastAsia="Times New Roman" w:hAnsi="Times New Roman"/>
                <w:noProof/>
                <w:sz w:val="20"/>
                <w:szCs w:val="20"/>
                <w:lang w:eastAsia="en-GB"/>
              </w:rPr>
              <w:br/>
              <w:t>2018 - 2020</w:t>
            </w:r>
          </w:p>
        </w:tc>
        <w:tc>
          <w:tcPr>
            <w:tcW w:w="2550" w:type="dxa"/>
          </w:tcPr>
          <w:p>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€ 200 million</w:t>
            </w:r>
            <w:r>
              <w:rPr>
                <w:rFonts w:ascii="Times New Roman" w:eastAsia="Times New Roman" w:hAnsi="Times New Roman"/>
                <w:noProof/>
                <w:sz w:val="20"/>
                <w:szCs w:val="20"/>
                <w:lang w:eastAsia="en-GB"/>
              </w:rPr>
              <w:br/>
              <w:t>2018 - 2020</w:t>
            </w:r>
          </w:p>
        </w:tc>
      </w:tr>
      <w:tr>
        <w:tc>
          <w:tcPr>
            <w:cnfStyle w:val="001000000000" w:firstRow="0" w:lastRow="0" w:firstColumn="1" w:lastColumn="0" w:oddVBand="0" w:evenVBand="0" w:oddHBand="0" w:evenHBand="0" w:firstRowFirstColumn="0" w:firstRowLastColumn="0" w:lastRowFirstColumn="0" w:lastRowLastColumn="0"/>
            <w:tcW w:w="2746" w:type="dxa"/>
          </w:tcPr>
          <w:p>
            <w:pPr>
              <w:spacing w:after="0" w:line="240" w:lineRule="auto"/>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Crowding in public funding</w:t>
            </w:r>
            <w:r>
              <w:rPr>
                <w:rFonts w:ascii="Times New Roman" w:eastAsia="Times New Roman" w:hAnsi="Times New Roman"/>
                <w:noProof/>
                <w:sz w:val="20"/>
                <w:szCs w:val="20"/>
                <w:lang w:eastAsia="en-GB"/>
              </w:rPr>
              <w:br/>
              <w:t>(Direct contribution from Participating States)</w:t>
            </w:r>
          </w:p>
        </w:tc>
        <w:tc>
          <w:tcPr>
            <w:tcW w:w="2280" w:type="dxa"/>
          </w:tcPr>
          <w:p>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13%</w:t>
            </w:r>
          </w:p>
        </w:tc>
        <w:tc>
          <w:tcPr>
            <w:tcW w:w="2171" w:type="dxa"/>
          </w:tcPr>
          <w:p>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200%</w:t>
            </w:r>
            <w:r>
              <w:rPr>
                <w:rFonts w:ascii="Times New Roman" w:eastAsia="Times New Roman" w:hAnsi="Times New Roman"/>
                <w:noProof/>
                <w:sz w:val="20"/>
                <w:szCs w:val="20"/>
                <w:lang w:eastAsia="en-GB"/>
              </w:rPr>
              <w:br/>
            </w:r>
            <w:r>
              <w:rPr>
                <w:rFonts w:ascii="Times New Roman" w:eastAsia="Times New Roman" w:hAnsi="Times New Roman"/>
                <w:noProof/>
                <w:sz w:val="20"/>
                <w:szCs w:val="20"/>
                <w:lang w:eastAsia="en-GB"/>
              </w:rPr>
              <w:br/>
              <w:t>≈ € 60 million</w:t>
            </w:r>
            <w:r>
              <w:rPr>
                <w:rFonts w:ascii="Times New Roman" w:eastAsia="Times New Roman" w:hAnsi="Times New Roman"/>
                <w:noProof/>
                <w:sz w:val="20"/>
                <w:szCs w:val="20"/>
                <w:lang w:eastAsia="en-GB"/>
              </w:rPr>
              <w:br/>
              <w:t>2018 - 2023</w:t>
            </w:r>
          </w:p>
        </w:tc>
        <w:tc>
          <w:tcPr>
            <w:tcW w:w="2550" w:type="dxa"/>
          </w:tcPr>
          <w:p>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 150 – 300%</w:t>
            </w:r>
            <w:r>
              <w:rPr>
                <w:rFonts w:ascii="Times New Roman" w:eastAsia="Times New Roman" w:hAnsi="Times New Roman"/>
                <w:noProof/>
                <w:sz w:val="20"/>
                <w:szCs w:val="20"/>
                <w:lang w:eastAsia="en-GB"/>
              </w:rPr>
              <w:br/>
            </w:r>
            <w:r>
              <w:rPr>
                <w:rFonts w:ascii="Times New Roman" w:eastAsia="Times New Roman" w:hAnsi="Times New Roman"/>
                <w:noProof/>
                <w:sz w:val="20"/>
                <w:szCs w:val="20"/>
                <w:lang w:eastAsia="en-GB"/>
              </w:rPr>
              <w:br/>
              <w:t>€ 300 – 600 million</w:t>
            </w:r>
            <w:r>
              <w:rPr>
                <w:rFonts w:ascii="Times New Roman" w:eastAsia="Times New Roman" w:hAnsi="Times New Roman"/>
                <w:noProof/>
                <w:sz w:val="20"/>
                <w:szCs w:val="20"/>
                <w:lang w:eastAsia="en-GB"/>
              </w:rPr>
              <w:br/>
              <w:t>2018 - 2028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6" w:type="dxa"/>
          </w:tcPr>
          <w:p>
            <w:pPr>
              <w:spacing w:after="0" w:line="240" w:lineRule="auto"/>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Crowding in private</w:t>
            </w:r>
          </w:p>
        </w:tc>
        <w:tc>
          <w:tcPr>
            <w:tcW w:w="2280" w:type="dxa"/>
          </w:tcPr>
          <w:p>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39%</w:t>
            </w:r>
          </w:p>
        </w:tc>
        <w:tc>
          <w:tcPr>
            <w:tcW w:w="2171" w:type="dxa"/>
          </w:tcPr>
          <w:p>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0%</w:t>
            </w:r>
          </w:p>
        </w:tc>
        <w:tc>
          <w:tcPr>
            <w:tcW w:w="2550" w:type="dxa"/>
          </w:tcPr>
          <w:p>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39%</w:t>
            </w:r>
          </w:p>
        </w:tc>
      </w:tr>
      <w:tr>
        <w:tc>
          <w:tcPr>
            <w:cnfStyle w:val="001000000000" w:firstRow="0" w:lastRow="0" w:firstColumn="1" w:lastColumn="0" w:oddVBand="0" w:evenVBand="0" w:oddHBand="0" w:evenHBand="0" w:firstRowFirstColumn="0" w:firstRowLastColumn="0" w:lastRowFirstColumn="0" w:lastRowLastColumn="0"/>
            <w:tcW w:w="2746" w:type="dxa"/>
          </w:tcPr>
          <w:p>
            <w:pPr>
              <w:spacing w:after="0" w:line="240" w:lineRule="auto"/>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Total funding</w:t>
            </w:r>
          </w:p>
        </w:tc>
        <w:tc>
          <w:tcPr>
            <w:tcW w:w="2280" w:type="dxa"/>
          </w:tcPr>
          <w:p>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 € 45.6 million</w:t>
            </w:r>
            <w:r>
              <w:rPr>
                <w:rFonts w:ascii="Times New Roman" w:eastAsia="Times New Roman" w:hAnsi="Times New Roman"/>
                <w:noProof/>
                <w:sz w:val="20"/>
                <w:szCs w:val="20"/>
                <w:lang w:eastAsia="en-GB"/>
              </w:rPr>
              <w:br/>
              <w:t>2018 - 2020</w:t>
            </w:r>
          </w:p>
        </w:tc>
        <w:tc>
          <w:tcPr>
            <w:tcW w:w="2171" w:type="dxa"/>
          </w:tcPr>
          <w:p>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 € 90 million</w:t>
            </w:r>
            <w:r>
              <w:rPr>
                <w:rFonts w:ascii="Times New Roman" w:eastAsia="Times New Roman" w:hAnsi="Times New Roman"/>
                <w:noProof/>
                <w:sz w:val="20"/>
                <w:szCs w:val="20"/>
                <w:lang w:eastAsia="en-GB"/>
              </w:rPr>
              <w:br/>
              <w:t>2018 - 2020</w:t>
            </w:r>
          </w:p>
        </w:tc>
        <w:tc>
          <w:tcPr>
            <w:tcW w:w="2550" w:type="dxa"/>
          </w:tcPr>
          <w:p>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 € 695 - 1112 million</w:t>
            </w:r>
            <w:r>
              <w:rPr>
                <w:rFonts w:ascii="Times New Roman" w:eastAsia="Times New Roman" w:hAnsi="Times New Roman"/>
                <w:noProof/>
                <w:sz w:val="20"/>
                <w:szCs w:val="20"/>
                <w:lang w:eastAsia="en-GB"/>
              </w:rPr>
              <w:br/>
              <w:t>2018 - 2028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6" w:type="dxa"/>
          </w:tcPr>
          <w:p>
            <w:pPr>
              <w:spacing w:after="0" w:line="240" w:lineRule="auto"/>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Total leverage on Union contribution</w:t>
            </w:r>
          </w:p>
        </w:tc>
        <w:tc>
          <w:tcPr>
            <w:tcW w:w="2280" w:type="dxa"/>
          </w:tcPr>
          <w:p>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0.52</w:t>
            </w:r>
          </w:p>
        </w:tc>
        <w:tc>
          <w:tcPr>
            <w:tcW w:w="2171" w:type="dxa"/>
          </w:tcPr>
          <w:p>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2</w:t>
            </w:r>
          </w:p>
        </w:tc>
        <w:tc>
          <w:tcPr>
            <w:tcW w:w="2550" w:type="dxa"/>
          </w:tcPr>
          <w:p>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3.48 – 5.56</w:t>
            </w:r>
          </w:p>
        </w:tc>
      </w:tr>
      <w:tr>
        <w:tc>
          <w:tcPr>
            <w:cnfStyle w:val="001000000000" w:firstRow="0" w:lastRow="0" w:firstColumn="1" w:lastColumn="0" w:oddVBand="0" w:evenVBand="0" w:oddHBand="0" w:evenHBand="0" w:firstRowFirstColumn="0" w:firstRowLastColumn="0" w:lastRowFirstColumn="0" w:lastRowLastColumn="0"/>
            <w:tcW w:w="2746" w:type="dxa"/>
          </w:tcPr>
          <w:p>
            <w:pPr>
              <w:spacing w:after="0" w:line="240" w:lineRule="auto"/>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Additional administrative expenditure (Commission/Participating States)</w:t>
            </w:r>
          </w:p>
        </w:tc>
        <w:tc>
          <w:tcPr>
            <w:tcW w:w="2280" w:type="dxa"/>
          </w:tcPr>
          <w:p>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None/none</w:t>
            </w:r>
          </w:p>
        </w:tc>
        <w:tc>
          <w:tcPr>
            <w:tcW w:w="2171" w:type="dxa"/>
          </w:tcPr>
          <w:p>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None/5%</w:t>
            </w:r>
            <w:r>
              <w:rPr>
                <w:rFonts w:ascii="Times New Roman" w:eastAsia="Times New Roman" w:hAnsi="Times New Roman"/>
                <w:noProof/>
                <w:sz w:val="20"/>
                <w:szCs w:val="20"/>
                <w:lang w:eastAsia="en-GB"/>
              </w:rPr>
              <w:br/>
              <w:t>Participating States have additional costs for the transnational calls</w:t>
            </w:r>
          </w:p>
        </w:tc>
        <w:tc>
          <w:tcPr>
            <w:tcW w:w="2550" w:type="dxa"/>
          </w:tcPr>
          <w:p>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None/5-7%</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6" w:type="dxa"/>
          </w:tcPr>
          <w:p>
            <w:pPr>
              <w:spacing w:after="0" w:line="240" w:lineRule="auto"/>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Monitoring</w:t>
            </w:r>
          </w:p>
        </w:tc>
        <w:tc>
          <w:tcPr>
            <w:tcW w:w="2280" w:type="dxa"/>
          </w:tcPr>
          <w:p>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Project based</w:t>
            </w:r>
          </w:p>
        </w:tc>
        <w:tc>
          <w:tcPr>
            <w:tcW w:w="2171" w:type="dxa"/>
          </w:tcPr>
          <w:p>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Project based</w:t>
            </w:r>
          </w:p>
        </w:tc>
        <w:tc>
          <w:tcPr>
            <w:tcW w:w="2550" w:type="dxa"/>
          </w:tcPr>
          <w:p>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 xml:space="preserve">Programme based </w:t>
            </w:r>
          </w:p>
        </w:tc>
      </w:tr>
      <w:tr>
        <w:tc>
          <w:tcPr>
            <w:cnfStyle w:val="001000000000" w:firstRow="0" w:lastRow="0" w:firstColumn="1" w:lastColumn="0" w:oddVBand="0" w:evenVBand="0" w:oddHBand="0" w:evenHBand="0" w:firstRowFirstColumn="0" w:firstRowLastColumn="0" w:lastRowFirstColumn="0" w:lastRowLastColumn="0"/>
            <w:tcW w:w="2746" w:type="dxa"/>
          </w:tcPr>
          <w:p>
            <w:pPr>
              <w:spacing w:after="0" w:line="240" w:lineRule="auto"/>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Evaluation</w:t>
            </w:r>
          </w:p>
        </w:tc>
        <w:tc>
          <w:tcPr>
            <w:tcW w:w="2280" w:type="dxa"/>
          </w:tcPr>
          <w:p>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Part of overall H2020 evaluation</w:t>
            </w:r>
          </w:p>
        </w:tc>
        <w:tc>
          <w:tcPr>
            <w:tcW w:w="2171" w:type="dxa"/>
          </w:tcPr>
          <w:p>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Part of overall H2020 evaluation</w:t>
            </w:r>
          </w:p>
        </w:tc>
        <w:tc>
          <w:tcPr>
            <w:tcW w:w="2550" w:type="dxa"/>
          </w:tcPr>
          <w:p>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Dedicated interim and final evaluation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6" w:type="dxa"/>
          </w:tcPr>
          <w:p>
            <w:pPr>
              <w:spacing w:after="0" w:line="240" w:lineRule="auto"/>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 xml:space="preserve">Administrative effort Commission </w:t>
            </w:r>
          </w:p>
        </w:tc>
        <w:tc>
          <w:tcPr>
            <w:tcW w:w="2280" w:type="dxa"/>
          </w:tcPr>
          <w:p>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Project based - low</w:t>
            </w:r>
          </w:p>
        </w:tc>
        <w:tc>
          <w:tcPr>
            <w:tcW w:w="2171" w:type="dxa"/>
          </w:tcPr>
          <w:p>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Project based - low</w:t>
            </w:r>
          </w:p>
        </w:tc>
        <w:tc>
          <w:tcPr>
            <w:tcW w:w="2550" w:type="dxa"/>
          </w:tcPr>
          <w:p>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Programme based - medium</w:t>
            </w:r>
          </w:p>
        </w:tc>
      </w:tr>
      <w:tr>
        <w:tc>
          <w:tcPr>
            <w:cnfStyle w:val="001000000000" w:firstRow="0" w:lastRow="0" w:firstColumn="1" w:lastColumn="0" w:oddVBand="0" w:evenVBand="0" w:oddHBand="0" w:evenHBand="0" w:firstRowFirstColumn="0" w:firstRowLastColumn="0" w:lastRowFirstColumn="0" w:lastRowLastColumn="0"/>
            <w:tcW w:w="2746" w:type="dxa"/>
          </w:tcPr>
          <w:p>
            <w:pPr>
              <w:spacing w:after="0" w:line="240" w:lineRule="auto"/>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Prevention of errors, irregularities or fraud</w:t>
            </w:r>
          </w:p>
        </w:tc>
        <w:tc>
          <w:tcPr>
            <w:tcW w:w="2280" w:type="dxa"/>
          </w:tcPr>
          <w:p>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Project based</w:t>
            </w:r>
          </w:p>
        </w:tc>
        <w:tc>
          <w:tcPr>
            <w:tcW w:w="2171" w:type="dxa"/>
          </w:tcPr>
          <w:p>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Project based</w:t>
            </w:r>
          </w:p>
        </w:tc>
        <w:tc>
          <w:tcPr>
            <w:tcW w:w="2550" w:type="dxa"/>
          </w:tcPr>
          <w:p>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Programme based (indirect management by the DIS)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6" w:type="dxa"/>
          </w:tcPr>
          <w:p>
            <w:pPr>
              <w:spacing w:after="0" w:line="240" w:lineRule="auto"/>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Financial risks for Union contribution</w:t>
            </w:r>
          </w:p>
        </w:tc>
        <w:tc>
          <w:tcPr>
            <w:tcW w:w="2280" w:type="dxa"/>
          </w:tcPr>
          <w:p>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Low</w:t>
            </w:r>
          </w:p>
        </w:tc>
        <w:tc>
          <w:tcPr>
            <w:tcW w:w="2171" w:type="dxa"/>
          </w:tcPr>
          <w:p>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Low</w:t>
            </w:r>
          </w:p>
        </w:tc>
        <w:tc>
          <w:tcPr>
            <w:tcW w:w="2550" w:type="dxa"/>
          </w:tcPr>
          <w:p>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Low</w:t>
            </w:r>
          </w:p>
        </w:tc>
      </w:tr>
      <w:tr>
        <w:tc>
          <w:tcPr>
            <w:cnfStyle w:val="001000000000" w:firstRow="0" w:lastRow="0" w:firstColumn="1" w:lastColumn="0" w:oddVBand="0" w:evenVBand="0" w:oddHBand="0" w:evenHBand="0" w:firstRowFirstColumn="0" w:firstRowLastColumn="0" w:lastRowFirstColumn="0" w:lastRowLastColumn="0"/>
            <w:tcW w:w="2746" w:type="dxa"/>
          </w:tcPr>
          <w:p>
            <w:pPr>
              <w:spacing w:after="0" w:line="240" w:lineRule="auto"/>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Operational risks</w:t>
            </w:r>
          </w:p>
        </w:tc>
        <w:tc>
          <w:tcPr>
            <w:tcW w:w="2280" w:type="dxa"/>
          </w:tcPr>
          <w:p>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Low</w:t>
            </w:r>
          </w:p>
        </w:tc>
        <w:tc>
          <w:tcPr>
            <w:tcW w:w="2171" w:type="dxa"/>
          </w:tcPr>
          <w:p>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Medium</w:t>
            </w:r>
          </w:p>
        </w:tc>
        <w:tc>
          <w:tcPr>
            <w:tcW w:w="2550" w:type="dxa"/>
          </w:tcPr>
          <w:p>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Medium</w:t>
            </w:r>
          </w:p>
        </w:tc>
      </w:tr>
    </w:tbl>
    <w:p>
      <w:pPr>
        <w:autoSpaceDE w:val="0"/>
        <w:autoSpaceDN w:val="0"/>
        <w:adjustRightInd w:val="0"/>
        <w:spacing w:after="0" w:line="240" w:lineRule="auto"/>
        <w:jc w:val="both"/>
        <w:rPr>
          <w:rFonts w:ascii="Verdana" w:eastAsia="Times New Roman" w:hAnsi="Verdana" w:cs="Verdana"/>
          <w:noProof/>
          <w:color w:val="000000"/>
          <w:sz w:val="20"/>
          <w:szCs w:val="24"/>
          <w:lang w:eastAsia="en-GB"/>
        </w:rPr>
      </w:pPr>
      <w:r>
        <w:rPr>
          <w:rFonts w:ascii="Times New Roman" w:eastAsia="Times New Roman" w:hAnsi="Times New Roman" w:cs="Verdana"/>
          <w:b/>
          <w:noProof/>
          <w:color w:val="000000"/>
          <w:sz w:val="20"/>
          <w:szCs w:val="24"/>
          <w:lang w:eastAsia="en-GB"/>
        </w:rPr>
        <w:t>Table 5.2: Budgetary and financial impacts, including risks</w:t>
      </w:r>
    </w:p>
    <w:p>
      <w:pPr>
        <w:autoSpaceDE w:val="0"/>
        <w:autoSpaceDN w:val="0"/>
        <w:adjustRightInd w:val="0"/>
        <w:spacing w:after="120" w:line="240" w:lineRule="auto"/>
        <w:jc w:val="both"/>
        <w:rPr>
          <w:rFonts w:ascii="Times New Roman" w:hAnsi="Times New Roman"/>
          <w:b/>
          <w:noProof/>
          <w:sz w:val="24"/>
          <w:szCs w:val="24"/>
        </w:rPr>
      </w:pPr>
    </w:p>
    <w:p>
      <w:pPr>
        <w:spacing w:after="120" w:line="240" w:lineRule="auto"/>
        <w:rPr>
          <w:rFonts w:ascii="Times New Roman" w:hAnsi="Times New Roman"/>
          <w:noProof/>
          <w:sz w:val="24"/>
          <w:szCs w:val="24"/>
          <w:lang w:eastAsia="en-GB"/>
        </w:rPr>
      </w:pPr>
      <w:r>
        <w:rPr>
          <w:rFonts w:ascii="Times New Roman" w:hAnsi="Times New Roman"/>
          <w:noProof/>
          <w:sz w:val="24"/>
          <w:szCs w:val="24"/>
          <w:lang w:eastAsia="en-GB"/>
        </w:rPr>
        <w:t>Concerning the financial and operational risks associated with the different options the assessments is based on the requirements and specificities in place described below.</w:t>
      </w:r>
    </w:p>
    <w:p>
      <w:pPr>
        <w:pStyle w:val="ListParagraph"/>
        <w:numPr>
          <w:ilvl w:val="0"/>
          <w:numId w:val="122"/>
        </w:numPr>
        <w:spacing w:after="120" w:line="240" w:lineRule="auto"/>
        <w:ind w:left="426"/>
        <w:rPr>
          <w:rFonts w:ascii="Times New Roman" w:hAnsi="Times New Roman"/>
          <w:noProof/>
          <w:sz w:val="24"/>
          <w:szCs w:val="24"/>
          <w:lang w:eastAsia="en-GB"/>
        </w:rPr>
      </w:pPr>
      <w:r>
        <w:rPr>
          <w:rFonts w:ascii="Times New Roman" w:hAnsi="Times New Roman"/>
          <w:noProof/>
          <w:sz w:val="24"/>
          <w:szCs w:val="24"/>
          <w:lang w:eastAsia="en-GB"/>
        </w:rPr>
        <w:t xml:space="preserve">For </w:t>
      </w:r>
      <w:r>
        <w:rPr>
          <w:rFonts w:ascii="Times New Roman" w:hAnsi="Times New Roman"/>
          <w:b/>
          <w:noProof/>
          <w:sz w:val="24"/>
          <w:szCs w:val="24"/>
          <w:lang w:eastAsia="en-GB"/>
        </w:rPr>
        <w:t>Option 0 (baseline scenario)</w:t>
      </w:r>
      <w:r>
        <w:rPr>
          <w:rFonts w:ascii="Times New Roman" w:hAnsi="Times New Roman"/>
          <w:noProof/>
          <w:sz w:val="24"/>
          <w:szCs w:val="24"/>
          <w:lang w:eastAsia="en-GB"/>
        </w:rPr>
        <w:t xml:space="preserve"> the operational and financial risks are comparable to those that apply to Horizon 2020 funding of indirect actions in general. Risks of non-recovery are covered by the Participant Guarantee Fund. Beneficiaries report on the basis of standard Horizon 2020 reporting, including where appropriate provision of certificates of financial statements. Supervision of the actions is done by the Commission services or its Executive Agencies. </w:t>
      </w:r>
    </w:p>
    <w:p>
      <w:pPr>
        <w:pStyle w:val="ListParagraph"/>
        <w:numPr>
          <w:ilvl w:val="0"/>
          <w:numId w:val="122"/>
        </w:numPr>
        <w:spacing w:after="120" w:line="240" w:lineRule="auto"/>
        <w:ind w:left="426"/>
        <w:rPr>
          <w:rFonts w:ascii="Times New Roman" w:hAnsi="Times New Roman"/>
          <w:noProof/>
          <w:sz w:val="24"/>
          <w:szCs w:val="24"/>
          <w:lang w:eastAsia="en-GB"/>
        </w:rPr>
      </w:pPr>
      <w:r>
        <w:rPr>
          <w:rFonts w:ascii="Times New Roman" w:hAnsi="Times New Roman"/>
          <w:noProof/>
          <w:sz w:val="24"/>
          <w:szCs w:val="24"/>
          <w:lang w:eastAsia="en-GB"/>
        </w:rPr>
        <w:t xml:space="preserve">For </w:t>
      </w:r>
      <w:r>
        <w:rPr>
          <w:rFonts w:ascii="Times New Roman" w:hAnsi="Times New Roman"/>
          <w:b/>
          <w:noProof/>
          <w:sz w:val="24"/>
          <w:szCs w:val="24"/>
          <w:lang w:eastAsia="en-GB"/>
        </w:rPr>
        <w:t xml:space="preserve">Option 1 (ERA-NET Cofund actions) </w:t>
      </w:r>
      <w:r>
        <w:rPr>
          <w:rFonts w:ascii="Times New Roman" w:hAnsi="Times New Roman"/>
          <w:noProof/>
          <w:sz w:val="24"/>
          <w:szCs w:val="24"/>
          <w:lang w:eastAsia="en-GB"/>
        </w:rPr>
        <w:t>the</w:t>
      </w:r>
      <w:r>
        <w:rPr>
          <w:rFonts w:ascii="Times New Roman" w:hAnsi="Times New Roman"/>
          <w:b/>
          <w:noProof/>
          <w:sz w:val="24"/>
          <w:szCs w:val="24"/>
          <w:lang w:eastAsia="en-GB"/>
        </w:rPr>
        <w:t xml:space="preserve"> </w:t>
      </w:r>
      <w:r>
        <w:rPr>
          <w:rFonts w:ascii="Times New Roman" w:hAnsi="Times New Roman"/>
          <w:noProof/>
          <w:sz w:val="24"/>
          <w:szCs w:val="24"/>
          <w:lang w:eastAsia="en-GB"/>
        </w:rPr>
        <w:t xml:space="preserve">financial risks are low. The principle is that the comparable Union contribution is reimbursing part (up to 33%) of the public funding (financial support to third parties) that is paid by national programmes to beneficiaries participating in successful projects resulting from the transnational calls. The ERA-NET participants report on the basis of standard Horizon 2020 reporting, including provision of certificates of financial statements concerning the funding they have paid according to national funding rules. There are certain operational risks associated with it, typically that national commitments are not as high as expected when publishing the topic for the ERA-NET in the Work Programme, or the transnational proposals selected are not fully consuming the call budget. </w:t>
      </w:r>
    </w:p>
    <w:p>
      <w:pPr>
        <w:pStyle w:val="ListParagraph"/>
        <w:numPr>
          <w:ilvl w:val="0"/>
          <w:numId w:val="122"/>
        </w:numPr>
        <w:spacing w:after="120" w:line="240" w:lineRule="auto"/>
        <w:ind w:left="426"/>
        <w:rPr>
          <w:rFonts w:ascii="Times New Roman" w:hAnsi="Times New Roman"/>
          <w:noProof/>
          <w:sz w:val="24"/>
          <w:szCs w:val="24"/>
          <w:lang w:eastAsia="en-GB"/>
        </w:rPr>
      </w:pPr>
      <w:r>
        <w:rPr>
          <w:rFonts w:ascii="Times New Roman" w:hAnsi="Times New Roman"/>
          <w:noProof/>
          <w:sz w:val="24"/>
          <w:szCs w:val="24"/>
          <w:lang w:eastAsia="en-GB"/>
        </w:rPr>
        <w:t xml:space="preserve">In case of the </w:t>
      </w:r>
      <w:r>
        <w:rPr>
          <w:rFonts w:ascii="Times New Roman" w:hAnsi="Times New Roman"/>
          <w:b/>
          <w:noProof/>
          <w:sz w:val="24"/>
          <w:szCs w:val="24"/>
          <w:lang w:eastAsia="en-GB"/>
        </w:rPr>
        <w:t>Option 2</w:t>
      </w:r>
      <w:r>
        <w:rPr>
          <w:rFonts w:ascii="Times New Roman" w:hAnsi="Times New Roman"/>
          <w:noProof/>
          <w:sz w:val="24"/>
          <w:szCs w:val="24"/>
          <w:lang w:eastAsia="en-GB"/>
        </w:rPr>
        <w:t xml:space="preserve"> (</w:t>
      </w:r>
      <w:r>
        <w:rPr>
          <w:rFonts w:ascii="Times New Roman" w:eastAsia="Times New Roman" w:hAnsi="Times New Roman"/>
          <w:b/>
          <w:noProof/>
          <w:sz w:val="24"/>
          <w:lang w:val="en-US"/>
        </w:rPr>
        <w:t>PRIMA Joint Programme based on Article 185 TFEU</w:t>
      </w:r>
      <w:r>
        <w:rPr>
          <w:rFonts w:ascii="Times New Roman" w:hAnsi="Times New Roman"/>
          <w:noProof/>
          <w:sz w:val="24"/>
          <w:szCs w:val="24"/>
          <w:lang w:eastAsia="en-GB"/>
        </w:rPr>
        <w:t xml:space="preserve">) the management mode is different. Article 185 uses the indirect management of Union funds by the DIS. Before the delegation of management and transfer of funds the DIS will be subject to an ex-ante assessment in accordance with the requirements set out in Article 61 of the Financial Regulation, in order to assess its capacity to implement the programme, including receiving, allocating and monitoring the Union's financial contribution in the framework of indirect management of the Union budget. The assessment is usually carried out by using a Framework Contractor to the European Commission (DG BUDG or DG RTD) for audit services, using terms of reference developed and agreed within the DG. The ex-ante assessment leads to a conclusion accompanied, where appropriate, by a number of recommendations, prioritised according to the nature and importance of the audit findings, that need to be followed up by the DIS (action plan) in order to ensure full compliance with the rules. </w:t>
      </w:r>
    </w:p>
    <w:p>
      <w:pPr>
        <w:pStyle w:val="ListParagraph"/>
        <w:spacing w:after="120" w:line="240" w:lineRule="auto"/>
        <w:ind w:left="426"/>
        <w:rPr>
          <w:rFonts w:ascii="Times New Roman" w:hAnsi="Times New Roman"/>
          <w:noProof/>
          <w:sz w:val="24"/>
          <w:szCs w:val="24"/>
          <w:lang w:eastAsia="en-GB"/>
        </w:rPr>
      </w:pPr>
      <w:r>
        <w:rPr>
          <w:rFonts w:ascii="Times New Roman" w:hAnsi="Times New Roman"/>
          <w:noProof/>
          <w:sz w:val="24"/>
          <w:szCs w:val="24"/>
          <w:lang w:eastAsia="en-GB"/>
        </w:rPr>
        <w:t xml:space="preserve">Once the DIS has been positively assessed, financial guarantees provided and the delegation agreement with the Commission signed, the implementation of the Joint Programme can start. The DIS provides comprehensive annual reporting including auditor opinions and a management declaration. The DIS is furthermore responsible for the ex-ante control of expenditure of all indirect actions funded by the DIS. The financial risk for the Union is low, as the risk of non-recovery is covered by the financial guarantees that the Participating States have to provide will have to provide in due time and at the latest before the signature of the delegation agreement. There are minor operational risks that can be identified, in particular concerning the fully fledged start of programme implementation. This can be mitigated by with annual budgets starting low and increasing over time. </w:t>
      </w:r>
    </w:p>
    <w:p>
      <w:pPr>
        <w:spacing w:after="120" w:line="240" w:lineRule="auto"/>
        <w:jc w:val="both"/>
        <w:rPr>
          <w:rFonts w:ascii="Times New Roman" w:hAnsi="Times New Roman"/>
          <w:noProof/>
          <w:sz w:val="24"/>
          <w:szCs w:val="24"/>
          <w:lang w:eastAsia="en-GB"/>
        </w:rPr>
      </w:pPr>
      <w:r>
        <w:rPr>
          <w:rFonts w:ascii="Times New Roman" w:hAnsi="Times New Roman"/>
          <w:noProof/>
          <w:sz w:val="24"/>
          <w:szCs w:val="24"/>
          <w:lang w:eastAsia="en-GB"/>
        </w:rPr>
        <w:t>It has to be pointed out that the Participating States have requested flexibility concerning the central management of national contributions. This has been taken into account in the design of the Option 2 by using a two-tier approach:</w:t>
      </w:r>
    </w:p>
    <w:p>
      <w:pPr>
        <w:pStyle w:val="ListParagraph"/>
        <w:numPr>
          <w:ilvl w:val="0"/>
          <w:numId w:val="122"/>
        </w:numPr>
        <w:spacing w:after="120" w:line="240" w:lineRule="auto"/>
        <w:ind w:left="426"/>
        <w:rPr>
          <w:rFonts w:ascii="Times New Roman" w:hAnsi="Times New Roman"/>
          <w:noProof/>
          <w:sz w:val="24"/>
          <w:szCs w:val="24"/>
          <w:lang w:eastAsia="en-GB"/>
        </w:rPr>
      </w:pPr>
      <w:r>
        <w:rPr>
          <w:rFonts w:ascii="Times New Roman" w:hAnsi="Times New Roman"/>
          <w:b/>
          <w:noProof/>
          <w:sz w:val="24"/>
          <w:szCs w:val="24"/>
          <w:lang w:eastAsia="en-GB"/>
        </w:rPr>
        <w:t>Tier 1</w:t>
      </w:r>
      <w:r>
        <w:rPr>
          <w:rFonts w:ascii="Times New Roman" w:hAnsi="Times New Roman"/>
          <w:noProof/>
          <w:sz w:val="24"/>
          <w:szCs w:val="24"/>
          <w:lang w:eastAsia="en-GB"/>
        </w:rPr>
        <w:t>: Transnational open and competitive calls organised and funded by the DIS and resulting in financial support mainly in the form of grants to beneficiaries in indirect actions managed by the DIS, including R&amp;I activities, e.g. demonstrators, pilot plants, testing, pre-commercial deployment, and research activities addressing the complete range of TRLs; as well as Dissemination and outreach activities to promote PRIMA and maximise its impacts.</w:t>
      </w:r>
    </w:p>
    <w:p>
      <w:pPr>
        <w:pStyle w:val="ListParagraph"/>
        <w:numPr>
          <w:ilvl w:val="0"/>
          <w:numId w:val="122"/>
        </w:numPr>
        <w:spacing w:after="120" w:line="240" w:lineRule="auto"/>
        <w:ind w:left="426"/>
        <w:rPr>
          <w:rFonts w:ascii="Times New Roman" w:hAnsi="Times New Roman"/>
          <w:noProof/>
          <w:sz w:val="24"/>
          <w:szCs w:val="24"/>
          <w:lang w:eastAsia="en-GB"/>
        </w:rPr>
      </w:pPr>
      <w:r>
        <w:rPr>
          <w:rFonts w:ascii="Times New Roman" w:hAnsi="Times New Roman"/>
          <w:b/>
          <w:noProof/>
          <w:sz w:val="24"/>
          <w:szCs w:val="24"/>
          <w:lang w:eastAsia="en-GB"/>
        </w:rPr>
        <w:t>Tier 2</w:t>
      </w:r>
      <w:r>
        <w:rPr>
          <w:rFonts w:ascii="Times New Roman" w:hAnsi="Times New Roman"/>
          <w:noProof/>
          <w:sz w:val="24"/>
          <w:szCs w:val="24"/>
          <w:lang w:eastAsia="en-GB"/>
        </w:rPr>
        <w:t>: Activities funded by the Participating States or their national funding bodies without Union contribution.</w:t>
      </w:r>
    </w:p>
    <w:p>
      <w:pPr>
        <w:spacing w:after="120" w:line="240" w:lineRule="auto"/>
        <w:jc w:val="both"/>
        <w:rPr>
          <w:rFonts w:ascii="Times New Roman" w:hAnsi="Times New Roman"/>
          <w:noProof/>
          <w:sz w:val="24"/>
          <w:szCs w:val="24"/>
          <w:lang w:eastAsia="en-GB"/>
        </w:rPr>
      </w:pPr>
      <w:r>
        <w:rPr>
          <w:rFonts w:ascii="Times New Roman" w:hAnsi="Times New Roman"/>
          <w:noProof/>
          <w:sz w:val="24"/>
          <w:szCs w:val="24"/>
          <w:lang w:eastAsia="en-GB"/>
        </w:rPr>
        <w:t xml:space="preserve">This approach allows flexibility for Participating States in deciding which national contributions are managed centrally by the DIS, and which contributions remain at national level, but count for the matching with the Union contribution at programme level under the conditions set out in the basic act, and are determined in accordance with the usual accounting practices and accounting standards and to the applicable International Accounting Standards / International Financial Reporting Standards. </w:t>
      </w:r>
    </w:p>
    <w:p>
      <w:pPr>
        <w:spacing w:after="120" w:line="240" w:lineRule="auto"/>
        <w:jc w:val="both"/>
        <w:rPr>
          <w:rFonts w:ascii="Times New Roman" w:hAnsi="Times New Roman"/>
          <w:noProof/>
          <w:sz w:val="24"/>
          <w:szCs w:val="24"/>
          <w:lang w:eastAsia="en-GB"/>
        </w:rPr>
      </w:pPr>
      <w:r>
        <w:rPr>
          <w:rFonts w:ascii="Times New Roman" w:hAnsi="Times New Roman"/>
          <w:noProof/>
          <w:sz w:val="24"/>
          <w:szCs w:val="24"/>
          <w:lang w:eastAsia="en-GB"/>
        </w:rPr>
        <w:t xml:space="preserve">In addition, the above described approach for the implementation of the Option 2 (PRIMA Joint Programme based on an Article 185) requires only </w:t>
      </w:r>
      <w:r>
        <w:rPr>
          <w:rFonts w:ascii="Times New Roman" w:hAnsi="Times New Roman"/>
          <w:b/>
          <w:noProof/>
          <w:sz w:val="24"/>
          <w:szCs w:val="24"/>
          <w:lang w:eastAsia="en-GB"/>
        </w:rPr>
        <w:t>limited derogations from the Horizon 2020 Rules for Participation</w:t>
      </w:r>
      <w:r>
        <w:rPr>
          <w:rFonts w:ascii="Times New Roman" w:hAnsi="Times New Roman"/>
          <w:noProof/>
          <w:sz w:val="24"/>
          <w:szCs w:val="24"/>
          <w:lang w:eastAsia="en-GB"/>
        </w:rPr>
        <w:t>. To ensure balanced core participation in indirect actions under a north-south configuration, as a derogation from point (b) of Article 9(1) of Regulation (EU) No 1290/2013, the minimum number of participants should be three legal entities established in three different Participating States of which one is established in a Member State or in a country associated to Horizon 2020, and one is established in a third country, associated or not to Horizon 2020. Derogation from Article 9(3) of Regulation (EU) No 1290/2013 is necessary to ensure that the minimum eligibility conditions for participation in indirect actions are not discriminatory for entities established in third countries participating in the PRIMA Joint Programme as Participating States. Derogations from Article 12 of Regulation (EU) No 1290/2013 are necessary to allow broadening cooperation through joint calls launched by DIS with legal entities other than third countries and international organisations.</w:t>
      </w:r>
    </w:p>
    <w:p>
      <w:pPr>
        <w:spacing w:after="120" w:line="240" w:lineRule="auto"/>
        <w:jc w:val="both"/>
        <w:rPr>
          <w:rFonts w:ascii="Times New Roman" w:hAnsi="Times New Roman"/>
          <w:noProof/>
          <w:sz w:val="24"/>
          <w:szCs w:val="24"/>
          <w:lang w:eastAsia="en-GB"/>
        </w:rPr>
      </w:pPr>
    </w:p>
    <w:p>
      <w:pPr>
        <w:autoSpaceDE w:val="0"/>
        <w:autoSpaceDN w:val="0"/>
        <w:spacing w:after="120" w:line="240" w:lineRule="auto"/>
        <w:jc w:val="both"/>
        <w:rPr>
          <w:rFonts w:ascii="Times New Roman" w:hAnsi="Times New Roman"/>
          <w:b/>
          <w:noProof/>
          <w:sz w:val="24"/>
          <w:szCs w:val="24"/>
          <w:lang w:eastAsia="fr-BE"/>
        </w:rPr>
      </w:pPr>
      <w:r>
        <w:rPr>
          <w:rFonts w:ascii="Times New Roman" w:hAnsi="Times New Roman"/>
          <w:b/>
          <w:noProof/>
          <w:sz w:val="24"/>
          <w:szCs w:val="24"/>
          <w:lang w:eastAsia="fr-BE"/>
        </w:rPr>
        <w:t>Commitments and their fulfilments</w:t>
      </w:r>
    </w:p>
    <w:p>
      <w:pPr>
        <w:autoSpaceDE w:val="0"/>
        <w:autoSpaceDN w:val="0"/>
        <w:spacing w:after="120" w:line="240" w:lineRule="auto"/>
        <w:jc w:val="both"/>
        <w:rPr>
          <w:rFonts w:ascii="Times New Roman" w:hAnsi="Times New Roman"/>
          <w:noProof/>
          <w:sz w:val="24"/>
          <w:szCs w:val="24"/>
          <w:lang w:eastAsia="fr-BE"/>
        </w:rPr>
      </w:pPr>
      <w:r>
        <w:rPr>
          <w:rFonts w:ascii="Times New Roman" w:hAnsi="Times New Roman"/>
          <w:noProof/>
          <w:sz w:val="24"/>
          <w:szCs w:val="24"/>
          <w:lang w:eastAsia="fr-BE"/>
        </w:rPr>
        <w:t>The Participating States and the Union make up-front commitments to contribute to PRIMA. The commitment from the Union of €200 million will be mainly used to finance indirect actions resulting from calls launched by the DIS. This will cover a series of seven Annual Work Plans (2018 – 2024). The Participating States will at the same time describe in the Annual Work Plan their activities funded from national programmes and the respective budgets allocated to these activities.</w:t>
      </w:r>
    </w:p>
    <w:p>
      <w:pPr>
        <w:autoSpaceDE w:val="0"/>
        <w:autoSpaceDN w:val="0"/>
        <w:spacing w:after="120" w:line="240" w:lineRule="auto"/>
        <w:jc w:val="both"/>
        <w:rPr>
          <w:rFonts w:ascii="Times New Roman" w:hAnsi="Times New Roman"/>
          <w:noProof/>
          <w:sz w:val="24"/>
          <w:szCs w:val="24"/>
          <w:lang w:eastAsia="fr-BE"/>
        </w:rPr>
      </w:pPr>
      <w:r>
        <w:rPr>
          <w:rFonts w:ascii="Times New Roman" w:hAnsi="Times New Roman"/>
          <w:noProof/>
          <w:sz w:val="24"/>
          <w:szCs w:val="24"/>
          <w:lang w:eastAsia="fr-BE"/>
        </w:rPr>
        <w:t>The commitment of the Union contribution to each Annual Work Plan will not exceed the commitment of the Participating States to it. This ensures that at the level of commitments there is a balance with at least matching contributions of Union funding and Participating States. This allows an automatic mechanism to reduce the Union commitment if Participating States fail to commit as expected.</w:t>
      </w:r>
    </w:p>
    <w:p>
      <w:pPr>
        <w:autoSpaceDE w:val="0"/>
        <w:autoSpaceDN w:val="0"/>
        <w:spacing w:after="120" w:line="240" w:lineRule="auto"/>
        <w:jc w:val="both"/>
        <w:rPr>
          <w:rFonts w:ascii="Times New Roman" w:hAnsi="Times New Roman"/>
          <w:noProof/>
          <w:sz w:val="24"/>
          <w:szCs w:val="24"/>
          <w:lang w:eastAsia="fr-BE"/>
        </w:rPr>
      </w:pPr>
      <w:r>
        <w:rPr>
          <w:rFonts w:ascii="Times New Roman" w:hAnsi="Times New Roman"/>
          <w:noProof/>
          <w:sz w:val="24"/>
          <w:szCs w:val="24"/>
          <w:lang w:eastAsia="fr-BE"/>
        </w:rPr>
        <w:t xml:space="preserve">The </w:t>
      </w:r>
      <w:r>
        <w:rPr>
          <w:rFonts w:ascii="Times New Roman" w:hAnsi="Times New Roman"/>
          <w:b/>
          <w:noProof/>
          <w:sz w:val="24"/>
          <w:szCs w:val="24"/>
          <w:lang w:eastAsia="fr-BE"/>
        </w:rPr>
        <w:t>fulfilment of the commitments (actual contribution)</w:t>
      </w:r>
      <w:r>
        <w:rPr>
          <w:rFonts w:ascii="Times New Roman" w:hAnsi="Times New Roman"/>
          <w:noProof/>
          <w:sz w:val="24"/>
          <w:szCs w:val="24"/>
          <w:lang w:eastAsia="fr-BE"/>
        </w:rPr>
        <w:t xml:space="preserve"> can be verified in two steps:</w:t>
      </w:r>
    </w:p>
    <w:p>
      <w:pPr>
        <w:pStyle w:val="ListParagraph"/>
        <w:numPr>
          <w:ilvl w:val="0"/>
          <w:numId w:val="112"/>
        </w:numPr>
        <w:autoSpaceDE w:val="0"/>
        <w:autoSpaceDN w:val="0"/>
        <w:spacing w:after="120" w:line="240" w:lineRule="auto"/>
        <w:ind w:left="426"/>
        <w:rPr>
          <w:rFonts w:ascii="Times New Roman" w:hAnsi="Times New Roman"/>
          <w:noProof/>
          <w:sz w:val="24"/>
          <w:szCs w:val="24"/>
          <w:lang w:eastAsia="fr-BE"/>
        </w:rPr>
      </w:pPr>
      <w:r>
        <w:rPr>
          <w:rFonts w:ascii="Times New Roman" w:hAnsi="Times New Roman"/>
          <w:noProof/>
          <w:sz w:val="24"/>
          <w:szCs w:val="24"/>
          <w:lang w:eastAsia="fr-BE"/>
        </w:rPr>
        <w:t>Indicatively at the level of implementation of activities:</w:t>
      </w:r>
    </w:p>
    <w:p>
      <w:pPr>
        <w:pStyle w:val="ListParagraph"/>
        <w:numPr>
          <w:ilvl w:val="1"/>
          <w:numId w:val="123"/>
        </w:numPr>
        <w:autoSpaceDE w:val="0"/>
        <w:autoSpaceDN w:val="0"/>
        <w:spacing w:after="120" w:line="240" w:lineRule="auto"/>
        <w:ind w:left="709"/>
        <w:rPr>
          <w:rFonts w:ascii="Times New Roman" w:hAnsi="Times New Roman"/>
          <w:noProof/>
          <w:sz w:val="24"/>
          <w:szCs w:val="24"/>
          <w:lang w:eastAsia="fr-BE"/>
        </w:rPr>
      </w:pPr>
      <w:r>
        <w:rPr>
          <w:rFonts w:ascii="Times New Roman" w:hAnsi="Times New Roman"/>
          <w:noProof/>
          <w:sz w:val="24"/>
          <w:szCs w:val="24"/>
          <w:lang w:eastAsia="fr-BE"/>
        </w:rPr>
        <w:t xml:space="preserve">For the Union: the amount of funding for e.g. the respective Grant Agreements signed by the DIS; </w:t>
      </w:r>
    </w:p>
    <w:p>
      <w:pPr>
        <w:pStyle w:val="ListParagraph"/>
        <w:numPr>
          <w:ilvl w:val="1"/>
          <w:numId w:val="123"/>
        </w:numPr>
        <w:autoSpaceDE w:val="0"/>
        <w:autoSpaceDN w:val="0"/>
        <w:spacing w:after="120" w:line="240" w:lineRule="auto"/>
        <w:ind w:left="709"/>
        <w:rPr>
          <w:rFonts w:ascii="Times New Roman" w:hAnsi="Times New Roman"/>
          <w:noProof/>
          <w:sz w:val="24"/>
          <w:szCs w:val="24"/>
          <w:lang w:eastAsia="fr-BE"/>
        </w:rPr>
      </w:pPr>
      <w:r>
        <w:rPr>
          <w:rFonts w:ascii="Times New Roman" w:hAnsi="Times New Roman"/>
          <w:noProof/>
          <w:sz w:val="24"/>
          <w:szCs w:val="24"/>
          <w:lang w:eastAsia="fr-BE"/>
        </w:rPr>
        <w:t xml:space="preserve">For the Participating States: the amount of funding actually committed at the level of implemented individual activities (national grant agreements and other in-kind contributions). </w:t>
      </w:r>
    </w:p>
    <w:p>
      <w:pPr>
        <w:pStyle w:val="ListParagraph"/>
        <w:numPr>
          <w:ilvl w:val="0"/>
          <w:numId w:val="112"/>
        </w:numPr>
        <w:autoSpaceDE w:val="0"/>
        <w:autoSpaceDN w:val="0"/>
        <w:spacing w:after="120" w:line="240" w:lineRule="auto"/>
        <w:ind w:left="426"/>
        <w:rPr>
          <w:rFonts w:ascii="Times New Roman" w:hAnsi="Times New Roman"/>
          <w:noProof/>
          <w:sz w:val="24"/>
          <w:szCs w:val="24"/>
          <w:lang w:eastAsia="fr-BE"/>
        </w:rPr>
      </w:pPr>
      <w:r>
        <w:rPr>
          <w:rFonts w:ascii="Times New Roman" w:hAnsi="Times New Roman"/>
          <w:noProof/>
          <w:sz w:val="24"/>
          <w:szCs w:val="24"/>
          <w:lang w:eastAsia="fr-BE"/>
        </w:rPr>
        <w:t>Concretely at the level of the expenditure after end of implementation of the activities:</w:t>
      </w:r>
    </w:p>
    <w:p>
      <w:pPr>
        <w:pStyle w:val="ListParagraph"/>
        <w:numPr>
          <w:ilvl w:val="1"/>
          <w:numId w:val="123"/>
        </w:numPr>
        <w:autoSpaceDE w:val="0"/>
        <w:autoSpaceDN w:val="0"/>
        <w:spacing w:after="120" w:line="240" w:lineRule="auto"/>
        <w:ind w:left="709"/>
        <w:rPr>
          <w:rFonts w:ascii="Times New Roman" w:hAnsi="Times New Roman"/>
          <w:noProof/>
          <w:sz w:val="24"/>
          <w:szCs w:val="24"/>
          <w:lang w:eastAsia="fr-BE"/>
        </w:rPr>
      </w:pPr>
      <w:r>
        <w:rPr>
          <w:rFonts w:ascii="Times New Roman" w:hAnsi="Times New Roman"/>
          <w:noProof/>
          <w:sz w:val="24"/>
          <w:szCs w:val="24"/>
          <w:lang w:eastAsia="fr-BE"/>
        </w:rPr>
        <w:t xml:space="preserve">For the Union: the sum of the expenditure incurred by the DIS for the implementation of the entrusted tasks accepted by the Commission and of the remuneration for their implementation; </w:t>
      </w:r>
    </w:p>
    <w:p>
      <w:pPr>
        <w:pStyle w:val="ListParagraph"/>
        <w:numPr>
          <w:ilvl w:val="1"/>
          <w:numId w:val="123"/>
        </w:numPr>
        <w:autoSpaceDE w:val="0"/>
        <w:autoSpaceDN w:val="0"/>
        <w:spacing w:after="120" w:line="240" w:lineRule="auto"/>
        <w:ind w:left="709"/>
        <w:rPr>
          <w:rFonts w:ascii="Times New Roman" w:hAnsi="Times New Roman"/>
          <w:noProof/>
          <w:sz w:val="24"/>
          <w:szCs w:val="24"/>
          <w:lang w:eastAsia="fr-BE"/>
        </w:rPr>
      </w:pPr>
      <w:r>
        <w:rPr>
          <w:rFonts w:ascii="Times New Roman" w:hAnsi="Times New Roman"/>
          <w:noProof/>
          <w:sz w:val="24"/>
          <w:szCs w:val="24"/>
          <w:lang w:eastAsia="fr-BE"/>
        </w:rPr>
        <w:t xml:space="preserve">For the Participating States: the sum of expenditure incurred by Participating States or their national funding bodies and accepted by the Commission. </w:t>
      </w:r>
    </w:p>
    <w:p>
      <w:pPr>
        <w:spacing w:after="0" w:line="240" w:lineRule="auto"/>
        <w:rPr>
          <w:rFonts w:ascii="Cambria" w:eastAsia="Times New Roman" w:hAnsi="Cambria"/>
          <w:b/>
          <w:bCs/>
          <w:noProof/>
          <w:color w:val="365F91"/>
          <w:sz w:val="28"/>
          <w:szCs w:val="28"/>
          <w:lang w:eastAsia="en-GB"/>
        </w:rPr>
      </w:pPr>
      <w:r>
        <w:rPr>
          <w:rFonts w:ascii="Times New Roman" w:hAnsi="Times New Roman"/>
          <w:noProof/>
          <w:sz w:val="24"/>
          <w:szCs w:val="24"/>
          <w:lang w:eastAsia="fr-BE"/>
        </w:rPr>
        <w:t>The annual reporting of the DIS will cover both strands. This allows close monitoring by the Commission services and facilitates taking corrective measures, if necessary, in particular reducing Union commitments to individual Annual Work Plans if the implementation of the activities by Participating States does not maintain the necessary level of commitment to match the one of the Union.</w:t>
      </w:r>
      <w:r>
        <w:rPr>
          <w:noProof/>
          <w:lang w:eastAsia="en-GB"/>
        </w:rPr>
        <w:br w:type="page"/>
      </w:r>
    </w:p>
    <w:p>
      <w:pPr>
        <w:pStyle w:val="Heading1"/>
        <w:numPr>
          <w:ilvl w:val="1"/>
          <w:numId w:val="7"/>
        </w:numPr>
        <w:spacing w:before="120" w:after="120" w:line="240" w:lineRule="auto"/>
        <w:rPr>
          <w:rFonts w:ascii="Times New Roman" w:hAnsi="Times New Roman"/>
          <w:noProof/>
          <w:color w:val="auto"/>
          <w:sz w:val="24"/>
          <w:szCs w:val="24"/>
        </w:rPr>
      </w:pPr>
      <w:bookmarkStart w:id="190" w:name="_Toc456029010"/>
      <w:bookmarkStart w:id="191" w:name="_Toc456097481"/>
      <w:bookmarkStart w:id="192" w:name="_Toc455746202"/>
      <w:bookmarkStart w:id="193" w:name="_Toc455746448"/>
      <w:bookmarkStart w:id="194" w:name="_Toc455748136"/>
      <w:bookmarkStart w:id="195" w:name="_Toc452823981"/>
      <w:bookmarkStart w:id="196" w:name="_Toc452824151"/>
      <w:bookmarkStart w:id="197" w:name="_Toc452824319"/>
      <w:bookmarkStart w:id="198" w:name="_Toc452823982"/>
      <w:bookmarkStart w:id="199" w:name="_Toc452824152"/>
      <w:bookmarkStart w:id="200" w:name="_Toc452824320"/>
      <w:bookmarkStart w:id="201" w:name="_Toc452823983"/>
      <w:bookmarkStart w:id="202" w:name="_Toc452824153"/>
      <w:bookmarkStart w:id="203" w:name="_Toc452824321"/>
      <w:bookmarkStart w:id="204" w:name="_Toc452823984"/>
      <w:bookmarkStart w:id="205" w:name="_Toc452824154"/>
      <w:bookmarkStart w:id="206" w:name="_Toc452824322"/>
      <w:bookmarkStart w:id="207" w:name="_Toc452823985"/>
      <w:bookmarkStart w:id="208" w:name="_Toc452824155"/>
      <w:bookmarkStart w:id="209" w:name="_Toc452824323"/>
      <w:bookmarkStart w:id="210" w:name="_Toc452823986"/>
      <w:bookmarkStart w:id="211" w:name="_Toc452824156"/>
      <w:bookmarkStart w:id="212" w:name="_Toc452824324"/>
      <w:bookmarkStart w:id="213" w:name="_Toc455746205"/>
      <w:bookmarkStart w:id="214" w:name="_Toc455746451"/>
      <w:bookmarkStart w:id="215" w:name="_Toc455748139"/>
      <w:bookmarkStart w:id="216" w:name="_Toc455746213"/>
      <w:bookmarkStart w:id="217" w:name="_Toc455746459"/>
      <w:bookmarkStart w:id="218" w:name="_Toc455748147"/>
      <w:bookmarkStart w:id="219" w:name="_Toc455746214"/>
      <w:bookmarkStart w:id="220" w:name="_Toc455746460"/>
      <w:bookmarkStart w:id="221" w:name="_Toc455748148"/>
      <w:bookmarkStart w:id="222" w:name="_Toc452026196"/>
      <w:bookmarkStart w:id="223" w:name="_Toc455682280"/>
      <w:bookmarkStart w:id="224" w:name="_Toc455731813"/>
      <w:bookmarkStart w:id="225" w:name="_Toc457466061"/>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Pr>
          <w:rFonts w:ascii="Times New Roman" w:hAnsi="Times New Roman"/>
          <w:noProof/>
          <w:color w:val="auto"/>
          <w:sz w:val="24"/>
          <w:szCs w:val="24"/>
        </w:rPr>
        <w:t>Affected actors, measures to comply with requirements, and potential obstacles</w:t>
      </w:r>
      <w:bookmarkEnd w:id="222"/>
      <w:bookmarkEnd w:id="223"/>
      <w:bookmarkEnd w:id="224"/>
      <w:bookmarkEnd w:id="225"/>
    </w:p>
    <w:p>
      <w:pPr>
        <w:autoSpaceDE w:val="0"/>
        <w:autoSpaceDN w:val="0"/>
        <w:spacing w:after="120" w:line="240" w:lineRule="auto"/>
        <w:jc w:val="both"/>
        <w:rPr>
          <w:rFonts w:ascii="Times New Roman" w:hAnsi="Times New Roman"/>
          <w:noProof/>
          <w:sz w:val="24"/>
          <w:szCs w:val="24"/>
          <w:lang w:eastAsia="fr-BE"/>
        </w:rPr>
      </w:pPr>
      <w:r>
        <w:rPr>
          <w:rFonts w:ascii="Times New Roman" w:hAnsi="Times New Roman"/>
          <w:noProof/>
          <w:sz w:val="24"/>
          <w:szCs w:val="24"/>
          <w:lang w:eastAsia="fr-BE"/>
        </w:rPr>
        <w:t xml:space="preserve">The main affected actors, compliance requirements for beneficiaries and Participating States' authorities, and potential obstacles are reported in the Table 5.3. </w:t>
      </w:r>
    </w:p>
    <w:p>
      <w:pPr>
        <w:autoSpaceDE w:val="0"/>
        <w:autoSpaceDN w:val="0"/>
        <w:spacing w:after="120" w:line="240" w:lineRule="auto"/>
        <w:jc w:val="both"/>
        <w:rPr>
          <w:rFonts w:ascii="Times New Roman" w:hAnsi="Times New Roman"/>
          <w:noProof/>
          <w:sz w:val="24"/>
          <w:szCs w:val="24"/>
          <w:lang w:eastAsia="fr-BE"/>
        </w:rPr>
      </w:pPr>
    </w:p>
    <w:tbl>
      <w:tblPr>
        <w:tblStyle w:val="LightList-Accent1"/>
        <w:tblW w:w="10133" w:type="dxa"/>
        <w:tblBorders>
          <w:insideH w:val="single" w:sz="8" w:space="0" w:color="4F81BD" w:themeColor="accent1"/>
          <w:insideV w:val="single" w:sz="8" w:space="0" w:color="4F81BD" w:themeColor="accent1"/>
        </w:tblBorders>
        <w:tblLayout w:type="fixed"/>
        <w:tblLook w:val="04A0" w:firstRow="1" w:lastRow="0" w:firstColumn="1" w:lastColumn="0" w:noHBand="0" w:noVBand="1"/>
      </w:tblPr>
      <w:tblGrid>
        <w:gridCol w:w="1911"/>
        <w:gridCol w:w="2268"/>
        <w:gridCol w:w="2410"/>
        <w:gridCol w:w="3544"/>
      </w:tblGrid>
      <w:tr>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11" w:type="dxa"/>
            <w:tcMar>
              <w:left w:w="68" w:type="dxa"/>
              <w:right w:w="68" w:type="dxa"/>
            </w:tcMar>
          </w:tcPr>
          <w:p>
            <w:pPr>
              <w:spacing w:after="0" w:line="240" w:lineRule="auto"/>
              <w:contextualSpacing/>
              <w:rPr>
                <w:rFonts w:ascii="Times New Roman" w:eastAsia="Times New Roman" w:hAnsi="Times New Roman"/>
                <w:noProof/>
                <w:spacing w:val="-2"/>
                <w:sz w:val="20"/>
                <w:szCs w:val="20"/>
                <w:lang w:eastAsia="en-GB"/>
              </w:rPr>
            </w:pPr>
          </w:p>
        </w:tc>
        <w:tc>
          <w:tcPr>
            <w:tcW w:w="2268" w:type="dxa"/>
            <w:tcMar>
              <w:left w:w="68" w:type="dxa"/>
              <w:right w:w="68" w:type="dxa"/>
            </w:tcMar>
          </w:tcPr>
          <w:p>
            <w:pPr>
              <w:spacing w:after="0" w:line="240" w:lineRule="auto"/>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spacing w:val="-2"/>
                <w:sz w:val="20"/>
                <w:szCs w:val="20"/>
                <w:lang w:eastAsia="en-GB"/>
              </w:rPr>
            </w:pPr>
            <w:r>
              <w:rPr>
                <w:rFonts w:ascii="Times New Roman" w:eastAsia="Times New Roman" w:hAnsi="Times New Roman"/>
                <w:noProof/>
                <w:spacing w:val="-2"/>
                <w:sz w:val="20"/>
                <w:szCs w:val="20"/>
                <w:lang w:eastAsia="en-GB"/>
              </w:rPr>
              <w:t>Baseline scenario: No dedicated EU action</w:t>
            </w:r>
          </w:p>
        </w:tc>
        <w:tc>
          <w:tcPr>
            <w:tcW w:w="2410" w:type="dxa"/>
            <w:tcMar>
              <w:left w:w="68" w:type="dxa"/>
              <w:right w:w="68" w:type="dxa"/>
            </w:tcMar>
          </w:tcPr>
          <w:p>
            <w:pPr>
              <w:spacing w:after="0" w:line="240" w:lineRule="auto"/>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spacing w:val="-2"/>
                <w:sz w:val="20"/>
                <w:szCs w:val="20"/>
                <w:lang w:eastAsia="en-GB"/>
              </w:rPr>
            </w:pPr>
            <w:r>
              <w:rPr>
                <w:rFonts w:ascii="Times New Roman" w:eastAsia="Times New Roman" w:hAnsi="Times New Roman"/>
                <w:noProof/>
                <w:spacing w:val="-2"/>
                <w:sz w:val="20"/>
                <w:szCs w:val="20"/>
              </w:rPr>
              <w:t xml:space="preserve">Option 1: </w:t>
            </w:r>
            <w:r>
              <w:rPr>
                <w:rFonts w:ascii="Times New Roman" w:eastAsia="Times New Roman" w:hAnsi="Times New Roman"/>
                <w:noProof/>
                <w:spacing w:val="-2"/>
                <w:sz w:val="20"/>
                <w:szCs w:val="20"/>
                <w:lang w:eastAsia="en-GB"/>
              </w:rPr>
              <w:t>ERA-NET Cofund actions</w:t>
            </w:r>
          </w:p>
        </w:tc>
        <w:tc>
          <w:tcPr>
            <w:tcW w:w="3544" w:type="dxa"/>
            <w:tcMar>
              <w:left w:w="68" w:type="dxa"/>
              <w:right w:w="68" w:type="dxa"/>
            </w:tcMar>
          </w:tcPr>
          <w:p>
            <w:pPr>
              <w:spacing w:after="0" w:line="240" w:lineRule="auto"/>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spacing w:val="-2"/>
                <w:sz w:val="20"/>
                <w:szCs w:val="20"/>
                <w:lang w:eastAsia="en-GB"/>
              </w:rPr>
            </w:pPr>
            <w:r>
              <w:rPr>
                <w:rFonts w:ascii="Times New Roman" w:eastAsia="Times New Roman" w:hAnsi="Times New Roman"/>
                <w:noProof/>
                <w:spacing w:val="-2"/>
                <w:sz w:val="20"/>
                <w:szCs w:val="20"/>
              </w:rPr>
              <w:t xml:space="preserve">Option 2: </w:t>
            </w:r>
            <w:r>
              <w:rPr>
                <w:rFonts w:ascii="Times New Roman" w:eastAsia="Times New Roman" w:hAnsi="Times New Roman"/>
                <w:noProof/>
                <w:spacing w:val="-2"/>
                <w:sz w:val="20"/>
                <w:szCs w:val="20"/>
                <w:lang w:eastAsia="en-GB"/>
              </w:rPr>
              <w:t>PRIMA Joint Programme based on Article 185 TFEU</w:t>
            </w:r>
          </w:p>
        </w:tc>
      </w:tr>
      <w:tr>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11" w:type="dxa"/>
            <w:tcMar>
              <w:left w:w="68" w:type="dxa"/>
              <w:right w:w="68" w:type="dxa"/>
            </w:tcMar>
          </w:tcPr>
          <w:p>
            <w:pPr>
              <w:spacing w:after="0" w:line="240" w:lineRule="auto"/>
              <w:contextualSpacing/>
              <w:rPr>
                <w:rFonts w:ascii="Times New Roman" w:eastAsia="Times New Roman" w:hAnsi="Times New Roman"/>
                <w:noProof/>
                <w:spacing w:val="-2"/>
                <w:sz w:val="20"/>
                <w:szCs w:val="20"/>
                <w:lang w:eastAsia="en-GB"/>
              </w:rPr>
            </w:pPr>
            <w:r>
              <w:rPr>
                <w:rFonts w:ascii="Times New Roman" w:eastAsia="Times New Roman" w:hAnsi="Times New Roman"/>
                <w:noProof/>
                <w:spacing w:val="-2"/>
                <w:sz w:val="20"/>
                <w:szCs w:val="20"/>
                <w:lang w:eastAsia="en-GB"/>
              </w:rPr>
              <w:t>Main actors affected</w:t>
            </w:r>
          </w:p>
        </w:tc>
        <w:tc>
          <w:tcPr>
            <w:tcW w:w="2268" w:type="dxa"/>
            <w:tcMar>
              <w:left w:w="68" w:type="dxa"/>
              <w:right w:w="68" w:type="dxa"/>
            </w:tcMar>
          </w:tcPr>
          <w:p>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pacing w:val="-2"/>
                <w:sz w:val="20"/>
                <w:szCs w:val="20"/>
                <w:lang w:eastAsia="en-GB"/>
              </w:rPr>
            </w:pPr>
            <w:r>
              <w:rPr>
                <w:rFonts w:ascii="Times New Roman" w:eastAsia="Times New Roman" w:hAnsi="Times New Roman"/>
                <w:noProof/>
                <w:spacing w:val="-2"/>
                <w:sz w:val="20"/>
                <w:szCs w:val="20"/>
                <w:lang w:eastAsia="en-GB"/>
              </w:rPr>
              <w:t>Public and private research actors</w:t>
            </w:r>
          </w:p>
        </w:tc>
        <w:tc>
          <w:tcPr>
            <w:tcW w:w="2410" w:type="dxa"/>
            <w:tcMar>
              <w:left w:w="68" w:type="dxa"/>
              <w:right w:w="68" w:type="dxa"/>
            </w:tcMar>
          </w:tcPr>
          <w:p>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pacing w:val="-2"/>
                <w:sz w:val="20"/>
                <w:szCs w:val="20"/>
                <w:lang w:eastAsia="en-GB"/>
              </w:rPr>
            </w:pPr>
            <w:r>
              <w:rPr>
                <w:rFonts w:ascii="Times New Roman" w:eastAsia="Times New Roman" w:hAnsi="Times New Roman"/>
                <w:noProof/>
                <w:spacing w:val="-2"/>
                <w:sz w:val="20"/>
                <w:szCs w:val="20"/>
                <w:lang w:eastAsia="en-GB"/>
              </w:rPr>
              <w:t>Funding agencies of participating states, Public research actors</w:t>
            </w:r>
          </w:p>
        </w:tc>
        <w:tc>
          <w:tcPr>
            <w:tcW w:w="3544" w:type="dxa"/>
            <w:tcMar>
              <w:left w:w="68" w:type="dxa"/>
              <w:right w:w="68" w:type="dxa"/>
            </w:tcMar>
          </w:tcPr>
          <w:p>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pacing w:val="-2"/>
                <w:sz w:val="20"/>
                <w:szCs w:val="20"/>
                <w:lang w:eastAsia="en-GB"/>
              </w:rPr>
            </w:pPr>
            <w:r>
              <w:rPr>
                <w:rFonts w:ascii="Times New Roman" w:eastAsia="Times New Roman" w:hAnsi="Times New Roman"/>
                <w:noProof/>
                <w:spacing w:val="-2"/>
                <w:sz w:val="20"/>
                <w:szCs w:val="20"/>
                <w:lang w:eastAsia="en-GB"/>
              </w:rPr>
              <w:t>Participating States authorities, Public and private research actors</w:t>
            </w:r>
          </w:p>
        </w:tc>
      </w:tr>
      <w:tr>
        <w:trPr>
          <w:cantSplit/>
        </w:trPr>
        <w:tc>
          <w:tcPr>
            <w:cnfStyle w:val="001000000000" w:firstRow="0" w:lastRow="0" w:firstColumn="1" w:lastColumn="0" w:oddVBand="0" w:evenVBand="0" w:oddHBand="0" w:evenHBand="0" w:firstRowFirstColumn="0" w:firstRowLastColumn="0" w:lastRowFirstColumn="0" w:lastRowLastColumn="0"/>
            <w:tcW w:w="1911" w:type="dxa"/>
            <w:tcMar>
              <w:left w:w="68" w:type="dxa"/>
              <w:right w:w="68" w:type="dxa"/>
            </w:tcMar>
          </w:tcPr>
          <w:p>
            <w:pPr>
              <w:spacing w:after="0" w:line="240" w:lineRule="auto"/>
              <w:contextualSpacing/>
              <w:rPr>
                <w:rFonts w:ascii="Times New Roman" w:eastAsia="Times New Roman" w:hAnsi="Times New Roman"/>
                <w:noProof/>
                <w:spacing w:val="-2"/>
                <w:sz w:val="20"/>
                <w:szCs w:val="20"/>
                <w:lang w:eastAsia="en-GB"/>
              </w:rPr>
            </w:pPr>
            <w:r>
              <w:rPr>
                <w:rFonts w:ascii="Times New Roman" w:eastAsia="Times New Roman" w:hAnsi="Times New Roman"/>
                <w:noProof/>
                <w:spacing w:val="-2"/>
                <w:sz w:val="20"/>
                <w:szCs w:val="20"/>
                <w:lang w:eastAsia="en-GB"/>
              </w:rPr>
              <w:t>Compliance requirements for beneficiaries</w:t>
            </w:r>
          </w:p>
        </w:tc>
        <w:tc>
          <w:tcPr>
            <w:tcW w:w="2268" w:type="dxa"/>
            <w:tcMar>
              <w:left w:w="68" w:type="dxa"/>
              <w:right w:w="68" w:type="dxa"/>
            </w:tcMar>
          </w:tcPr>
          <w:p>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pacing w:val="-2"/>
                <w:sz w:val="20"/>
                <w:szCs w:val="20"/>
                <w:lang w:eastAsia="en-GB"/>
              </w:rPr>
            </w:pPr>
            <w:r>
              <w:rPr>
                <w:rFonts w:ascii="Times New Roman" w:eastAsia="Times New Roman" w:hAnsi="Times New Roman"/>
                <w:noProof/>
                <w:spacing w:val="-2"/>
                <w:sz w:val="20"/>
                <w:szCs w:val="20"/>
                <w:lang w:eastAsia="en-GB"/>
              </w:rPr>
              <w:t>Beneficiaries need to comply with the Horizon 2020 rules for participations</w:t>
            </w:r>
          </w:p>
        </w:tc>
        <w:tc>
          <w:tcPr>
            <w:tcW w:w="2410" w:type="dxa"/>
            <w:tcMar>
              <w:left w:w="68" w:type="dxa"/>
              <w:right w:w="68" w:type="dxa"/>
            </w:tcMar>
          </w:tcPr>
          <w:p>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pacing w:val="-2"/>
                <w:sz w:val="20"/>
                <w:szCs w:val="20"/>
                <w:lang w:eastAsia="en-GB"/>
              </w:rPr>
            </w:pPr>
            <w:r>
              <w:rPr>
                <w:rFonts w:ascii="Times New Roman" w:eastAsia="Times New Roman" w:hAnsi="Times New Roman"/>
                <w:noProof/>
                <w:spacing w:val="-2"/>
                <w:sz w:val="20"/>
                <w:szCs w:val="20"/>
                <w:lang w:eastAsia="en-GB"/>
              </w:rPr>
              <w:t>Funding agencies need to comply with Horizon 2020 rules for participations, final beneficiaries need to comply with national funding rules</w:t>
            </w:r>
          </w:p>
        </w:tc>
        <w:tc>
          <w:tcPr>
            <w:tcW w:w="3544" w:type="dxa"/>
            <w:tcMar>
              <w:left w:w="68" w:type="dxa"/>
              <w:right w:w="68" w:type="dxa"/>
            </w:tcMar>
          </w:tcPr>
          <w:p>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pacing w:val="-2"/>
                <w:sz w:val="20"/>
                <w:szCs w:val="20"/>
                <w:lang w:eastAsia="en-GB"/>
              </w:rPr>
            </w:pPr>
            <w:r>
              <w:rPr>
                <w:rFonts w:ascii="Times New Roman" w:eastAsia="Times New Roman" w:hAnsi="Times New Roman"/>
                <w:noProof/>
                <w:spacing w:val="-2"/>
                <w:sz w:val="20"/>
                <w:szCs w:val="20"/>
                <w:lang w:eastAsia="en-GB"/>
              </w:rPr>
              <w:t xml:space="preserve">Final beneficiaries need to comply with </w:t>
            </w:r>
          </w:p>
          <w:p>
            <w:pPr>
              <w:numPr>
                <w:ilvl w:val="0"/>
                <w:numId w:val="84"/>
              </w:numPr>
              <w:spacing w:after="0" w:line="240" w:lineRule="auto"/>
              <w:ind w:left="198" w:hanging="241"/>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noProof/>
                <w:color w:val="000000"/>
                <w:spacing w:val="-2"/>
                <w:sz w:val="20"/>
                <w:szCs w:val="20"/>
                <w:lang w:eastAsia="en-GB"/>
              </w:rPr>
            </w:pPr>
            <w:r>
              <w:rPr>
                <w:rFonts w:ascii="Times New Roman" w:hAnsi="Times New Roman" w:cs="Calibri"/>
                <w:noProof/>
                <w:color w:val="000000"/>
                <w:spacing w:val="-2"/>
                <w:sz w:val="20"/>
                <w:szCs w:val="20"/>
              </w:rPr>
              <w:t>Horizon 2020 rules for participations</w:t>
            </w:r>
          </w:p>
          <w:p>
            <w:pPr>
              <w:numPr>
                <w:ilvl w:val="0"/>
                <w:numId w:val="84"/>
              </w:numPr>
              <w:spacing w:after="0" w:line="240" w:lineRule="auto"/>
              <w:ind w:left="198" w:hanging="241"/>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pacing w:val="-2"/>
                <w:sz w:val="20"/>
                <w:szCs w:val="20"/>
                <w:lang w:eastAsia="en-GB"/>
              </w:rPr>
            </w:pPr>
            <w:r>
              <w:rPr>
                <w:rFonts w:ascii="Times New Roman" w:hAnsi="Times New Roman" w:cs="Calibri"/>
                <w:noProof/>
                <w:color w:val="000000"/>
                <w:spacing w:val="-2"/>
                <w:sz w:val="20"/>
                <w:szCs w:val="20"/>
              </w:rPr>
              <w:t>national rules in case of activities funded by Participating States</w:t>
            </w:r>
          </w:p>
        </w:tc>
      </w:tr>
      <w:tr>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11" w:type="dxa"/>
            <w:tcMar>
              <w:left w:w="68" w:type="dxa"/>
              <w:right w:w="68" w:type="dxa"/>
            </w:tcMar>
          </w:tcPr>
          <w:p>
            <w:pPr>
              <w:spacing w:after="0" w:line="240" w:lineRule="auto"/>
              <w:contextualSpacing/>
              <w:rPr>
                <w:rFonts w:ascii="Times New Roman" w:eastAsia="Times New Roman" w:hAnsi="Times New Roman"/>
                <w:noProof/>
                <w:spacing w:val="-2"/>
                <w:sz w:val="20"/>
                <w:szCs w:val="20"/>
                <w:lang w:eastAsia="en-GB"/>
              </w:rPr>
            </w:pPr>
            <w:r>
              <w:rPr>
                <w:rFonts w:ascii="Times New Roman" w:eastAsia="Times New Roman" w:hAnsi="Times New Roman"/>
                <w:noProof/>
                <w:spacing w:val="-2"/>
                <w:sz w:val="20"/>
                <w:szCs w:val="20"/>
                <w:lang w:eastAsia="en-GB"/>
              </w:rPr>
              <w:t>Compliance requirements on Participating States' Authorities</w:t>
            </w:r>
          </w:p>
        </w:tc>
        <w:tc>
          <w:tcPr>
            <w:tcW w:w="2268" w:type="dxa"/>
            <w:tcMar>
              <w:left w:w="68" w:type="dxa"/>
              <w:right w:w="68" w:type="dxa"/>
            </w:tcMar>
          </w:tcPr>
          <w:p>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pacing w:val="-2"/>
                <w:sz w:val="20"/>
                <w:szCs w:val="20"/>
                <w:lang w:eastAsia="en-GB"/>
              </w:rPr>
            </w:pPr>
            <w:r>
              <w:rPr>
                <w:rFonts w:ascii="Times New Roman" w:eastAsia="Times New Roman" w:hAnsi="Times New Roman"/>
                <w:noProof/>
                <w:spacing w:val="-2"/>
                <w:sz w:val="20"/>
                <w:szCs w:val="20"/>
                <w:lang w:eastAsia="en-GB"/>
              </w:rPr>
              <w:t>none</w:t>
            </w:r>
          </w:p>
        </w:tc>
        <w:tc>
          <w:tcPr>
            <w:tcW w:w="2410" w:type="dxa"/>
            <w:tcMar>
              <w:left w:w="68" w:type="dxa"/>
              <w:right w:w="68" w:type="dxa"/>
            </w:tcMar>
          </w:tcPr>
          <w:p>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pacing w:val="-2"/>
                <w:sz w:val="20"/>
                <w:szCs w:val="20"/>
                <w:lang w:eastAsia="en-GB"/>
              </w:rPr>
            </w:pPr>
            <w:r>
              <w:rPr>
                <w:rFonts w:ascii="Times New Roman" w:eastAsia="Times New Roman" w:hAnsi="Times New Roman"/>
                <w:noProof/>
                <w:spacing w:val="-2"/>
                <w:sz w:val="20"/>
                <w:szCs w:val="20"/>
                <w:lang w:eastAsia="en-GB"/>
              </w:rPr>
              <w:t>Participating States, via their funding agencies, have to ensure that they provide financial certificates on their expenditure for selected projects, according to national funding rules</w:t>
            </w:r>
          </w:p>
        </w:tc>
        <w:tc>
          <w:tcPr>
            <w:tcW w:w="3544" w:type="dxa"/>
            <w:tcMar>
              <w:left w:w="68" w:type="dxa"/>
              <w:right w:w="68" w:type="dxa"/>
            </w:tcMar>
          </w:tcPr>
          <w:p>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color w:val="000000"/>
                <w:spacing w:val="-2"/>
                <w:sz w:val="20"/>
                <w:szCs w:val="20"/>
                <w:lang w:eastAsia="en-GB"/>
              </w:rPr>
            </w:pPr>
            <w:r>
              <w:rPr>
                <w:rFonts w:ascii="Times New Roman" w:eastAsia="Times New Roman" w:hAnsi="Times New Roman"/>
                <w:noProof/>
                <w:color w:val="000000"/>
                <w:spacing w:val="-2"/>
                <w:sz w:val="20"/>
                <w:szCs w:val="20"/>
                <w:lang w:eastAsia="en-GB"/>
              </w:rPr>
              <w:t>Fulfilment of obligations resulting from the basic act, e.g.:</w:t>
            </w:r>
          </w:p>
          <w:p>
            <w:pPr>
              <w:numPr>
                <w:ilvl w:val="0"/>
                <w:numId w:val="84"/>
              </w:numPr>
              <w:spacing w:after="0" w:line="240" w:lineRule="auto"/>
              <w:ind w:left="198" w:hanging="241"/>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noProof/>
                <w:color w:val="000000"/>
                <w:spacing w:val="-2"/>
                <w:sz w:val="20"/>
                <w:szCs w:val="20"/>
                <w:lang w:eastAsia="en-GB"/>
              </w:rPr>
            </w:pPr>
            <w:r>
              <w:rPr>
                <w:rFonts w:ascii="Times New Roman" w:hAnsi="Times New Roman" w:cs="Calibri"/>
                <w:noProof/>
                <w:color w:val="000000"/>
                <w:spacing w:val="-2"/>
                <w:sz w:val="20"/>
                <w:szCs w:val="20"/>
              </w:rPr>
              <w:t xml:space="preserve">designate a dedicated structure (DIS) for the implementation, including receiving, allocating and monitoring funding; </w:t>
            </w:r>
          </w:p>
          <w:p>
            <w:pPr>
              <w:numPr>
                <w:ilvl w:val="0"/>
                <w:numId w:val="84"/>
              </w:numPr>
              <w:spacing w:after="0" w:line="240" w:lineRule="auto"/>
              <w:ind w:left="198" w:hanging="241"/>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noProof/>
                <w:color w:val="000000"/>
                <w:spacing w:val="-2"/>
                <w:sz w:val="20"/>
                <w:szCs w:val="20"/>
                <w:lang w:eastAsia="en-GB"/>
              </w:rPr>
            </w:pPr>
            <w:r>
              <w:rPr>
                <w:rFonts w:ascii="Times New Roman" w:hAnsi="Times New Roman" w:cs="Calibri"/>
                <w:noProof/>
                <w:color w:val="000000"/>
                <w:spacing w:val="-2"/>
                <w:sz w:val="20"/>
                <w:szCs w:val="20"/>
              </w:rPr>
              <w:t>provide financial guarantees;</w:t>
            </w:r>
          </w:p>
          <w:p>
            <w:pPr>
              <w:numPr>
                <w:ilvl w:val="0"/>
                <w:numId w:val="84"/>
              </w:numPr>
              <w:spacing w:after="0" w:line="240" w:lineRule="auto"/>
              <w:ind w:left="198" w:hanging="241"/>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noProof/>
                <w:color w:val="000000"/>
                <w:spacing w:val="-2"/>
                <w:sz w:val="20"/>
                <w:szCs w:val="20"/>
                <w:lang w:eastAsia="en-GB"/>
              </w:rPr>
            </w:pPr>
            <w:r>
              <w:rPr>
                <w:rFonts w:ascii="Times New Roman" w:eastAsia="Times New Roman" w:hAnsi="Times New Roman" w:cs="Calibri"/>
                <w:noProof/>
                <w:color w:val="000000"/>
                <w:spacing w:val="-2"/>
                <w:sz w:val="20"/>
                <w:szCs w:val="20"/>
                <w:lang w:eastAsia="en-GB"/>
              </w:rPr>
              <w:t>establish and maintain the governance model in accordance with the Article 185 Decision;</w:t>
            </w:r>
          </w:p>
          <w:p>
            <w:pPr>
              <w:numPr>
                <w:ilvl w:val="0"/>
                <w:numId w:val="84"/>
              </w:numPr>
              <w:spacing w:after="0" w:line="240" w:lineRule="auto"/>
              <w:ind w:left="198" w:hanging="241"/>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Calibri"/>
                <w:iCs/>
                <w:noProof/>
                <w:color w:val="000000"/>
                <w:spacing w:val="-2"/>
                <w:sz w:val="20"/>
                <w:szCs w:val="20"/>
              </w:rPr>
            </w:pPr>
            <w:r>
              <w:rPr>
                <w:rFonts w:ascii="Times New Roman" w:eastAsia="Times New Roman" w:hAnsi="Times New Roman" w:cs="Calibri"/>
                <w:noProof/>
                <w:color w:val="000000"/>
                <w:spacing w:val="-2"/>
                <w:sz w:val="20"/>
                <w:szCs w:val="20"/>
                <w:lang w:eastAsia="en-GB"/>
              </w:rPr>
              <w:t xml:space="preserve">provide formal commitments to contribute to the financing </w:t>
            </w:r>
            <w:r>
              <w:rPr>
                <w:rFonts w:ascii="Times New Roman" w:hAnsi="Times New Roman" w:cs="Calibri"/>
                <w:iCs/>
                <w:noProof/>
                <w:color w:val="000000"/>
                <w:spacing w:val="-2"/>
                <w:sz w:val="20"/>
                <w:szCs w:val="20"/>
              </w:rPr>
              <w:t xml:space="preserve">of PRIMA and fulfil those commitments; </w:t>
            </w:r>
          </w:p>
          <w:p>
            <w:pPr>
              <w:numPr>
                <w:ilvl w:val="0"/>
                <w:numId w:val="84"/>
              </w:numPr>
              <w:spacing w:after="0" w:line="240" w:lineRule="auto"/>
              <w:ind w:left="198" w:hanging="241"/>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Calibri"/>
                <w:iCs/>
                <w:noProof/>
                <w:color w:val="000000"/>
                <w:spacing w:val="-2"/>
                <w:sz w:val="20"/>
                <w:szCs w:val="20"/>
              </w:rPr>
            </w:pPr>
            <w:r>
              <w:rPr>
                <w:rFonts w:ascii="Times New Roman" w:hAnsi="Times New Roman" w:cs="Calibri"/>
                <w:iCs/>
                <w:noProof/>
                <w:color w:val="000000"/>
                <w:spacing w:val="-2"/>
                <w:sz w:val="20"/>
                <w:szCs w:val="20"/>
              </w:rPr>
              <w:t xml:space="preserve">ensure implementation in accordance with the requirements of the basic act e.g. for activities funded by the PS only; </w:t>
            </w:r>
          </w:p>
          <w:p>
            <w:pPr>
              <w:numPr>
                <w:ilvl w:val="0"/>
                <w:numId w:val="84"/>
              </w:numPr>
              <w:spacing w:after="0" w:line="240" w:lineRule="auto"/>
              <w:ind w:left="198" w:hanging="241"/>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Calibri"/>
                <w:iCs/>
                <w:noProof/>
                <w:color w:val="000000"/>
                <w:spacing w:val="-2"/>
                <w:sz w:val="20"/>
                <w:szCs w:val="20"/>
              </w:rPr>
            </w:pPr>
            <w:r>
              <w:rPr>
                <w:rFonts w:ascii="Times New Roman" w:hAnsi="Times New Roman" w:cs="Calibri"/>
                <w:iCs/>
                <w:noProof/>
                <w:color w:val="000000"/>
                <w:spacing w:val="-2"/>
                <w:sz w:val="20"/>
                <w:szCs w:val="20"/>
              </w:rPr>
              <w:t>ensure that costs of activities funded only by them and counting for the matching with the Union contribution at programme level have been determined in accordance with the requirements set out in the basic act.</w:t>
            </w:r>
          </w:p>
        </w:tc>
      </w:tr>
      <w:tr>
        <w:trPr>
          <w:cantSplit/>
        </w:trPr>
        <w:tc>
          <w:tcPr>
            <w:cnfStyle w:val="001000000000" w:firstRow="0" w:lastRow="0" w:firstColumn="1" w:lastColumn="0" w:oddVBand="0" w:evenVBand="0" w:oddHBand="0" w:evenHBand="0" w:firstRowFirstColumn="0" w:firstRowLastColumn="0" w:lastRowFirstColumn="0" w:lastRowLastColumn="0"/>
            <w:tcW w:w="1911" w:type="dxa"/>
            <w:tcMar>
              <w:left w:w="68" w:type="dxa"/>
              <w:right w:w="68" w:type="dxa"/>
            </w:tcMar>
          </w:tcPr>
          <w:p>
            <w:pPr>
              <w:spacing w:after="0" w:line="240" w:lineRule="auto"/>
              <w:contextualSpacing/>
              <w:rPr>
                <w:rFonts w:ascii="Times New Roman" w:eastAsia="Times New Roman" w:hAnsi="Times New Roman"/>
                <w:noProof/>
                <w:spacing w:val="-2"/>
                <w:sz w:val="20"/>
                <w:szCs w:val="20"/>
                <w:lang w:eastAsia="en-GB"/>
              </w:rPr>
            </w:pPr>
            <w:r>
              <w:rPr>
                <w:rFonts w:ascii="Times New Roman" w:eastAsia="Times New Roman" w:hAnsi="Times New Roman"/>
                <w:noProof/>
                <w:spacing w:val="-2"/>
                <w:sz w:val="20"/>
                <w:szCs w:val="20"/>
                <w:lang w:eastAsia="en-GB"/>
              </w:rPr>
              <w:t>Compliance requirements on DIS</w:t>
            </w:r>
          </w:p>
        </w:tc>
        <w:tc>
          <w:tcPr>
            <w:tcW w:w="2268" w:type="dxa"/>
            <w:tcMar>
              <w:left w:w="68" w:type="dxa"/>
              <w:right w:w="68" w:type="dxa"/>
            </w:tcMar>
          </w:tcPr>
          <w:p>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pacing w:val="-2"/>
                <w:sz w:val="20"/>
                <w:szCs w:val="20"/>
                <w:lang w:eastAsia="en-GB"/>
              </w:rPr>
            </w:pPr>
            <w:r>
              <w:rPr>
                <w:rFonts w:ascii="Times New Roman" w:eastAsia="Times New Roman" w:hAnsi="Times New Roman"/>
                <w:noProof/>
                <w:spacing w:val="-2"/>
                <w:sz w:val="20"/>
                <w:szCs w:val="20"/>
                <w:lang w:eastAsia="en-GB"/>
              </w:rPr>
              <w:t>-</w:t>
            </w:r>
          </w:p>
        </w:tc>
        <w:tc>
          <w:tcPr>
            <w:tcW w:w="2410" w:type="dxa"/>
            <w:tcMar>
              <w:left w:w="68" w:type="dxa"/>
              <w:right w:w="68" w:type="dxa"/>
            </w:tcMar>
          </w:tcPr>
          <w:p>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pacing w:val="-2"/>
                <w:sz w:val="20"/>
                <w:szCs w:val="20"/>
                <w:lang w:eastAsia="en-GB"/>
              </w:rPr>
            </w:pPr>
            <w:r>
              <w:rPr>
                <w:rFonts w:ascii="Times New Roman" w:eastAsia="Times New Roman" w:hAnsi="Times New Roman"/>
                <w:noProof/>
                <w:spacing w:val="-2"/>
                <w:sz w:val="20"/>
                <w:szCs w:val="20"/>
                <w:lang w:eastAsia="en-GB"/>
              </w:rPr>
              <w:t>-</w:t>
            </w:r>
          </w:p>
        </w:tc>
        <w:tc>
          <w:tcPr>
            <w:tcW w:w="3544" w:type="dxa"/>
            <w:tcMar>
              <w:left w:w="68" w:type="dxa"/>
              <w:right w:w="68" w:type="dxa"/>
            </w:tcMar>
          </w:tcPr>
          <w:p>
            <w:pPr>
              <w:numPr>
                <w:ilvl w:val="0"/>
                <w:numId w:val="84"/>
              </w:numPr>
              <w:spacing w:after="0" w:line="240" w:lineRule="auto"/>
              <w:ind w:left="198" w:hanging="241"/>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Calibri"/>
                <w:iCs/>
                <w:noProof/>
                <w:color w:val="000000"/>
                <w:spacing w:val="-2"/>
                <w:sz w:val="20"/>
                <w:szCs w:val="20"/>
              </w:rPr>
            </w:pPr>
            <w:r>
              <w:rPr>
                <w:rFonts w:ascii="Times New Roman" w:hAnsi="Times New Roman" w:cs="Calibri"/>
                <w:iCs/>
                <w:noProof/>
                <w:color w:val="000000"/>
                <w:spacing w:val="-2"/>
                <w:sz w:val="20"/>
                <w:szCs w:val="20"/>
              </w:rPr>
              <w:t>ensure implementation in accordance with the requirements of basic act and H2020 Rules for Participation (subject to any derogations set out in the Decision);</w:t>
            </w:r>
          </w:p>
          <w:p>
            <w:pPr>
              <w:numPr>
                <w:ilvl w:val="0"/>
                <w:numId w:val="84"/>
              </w:numPr>
              <w:spacing w:after="0" w:line="240" w:lineRule="auto"/>
              <w:ind w:left="198" w:hanging="241"/>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Calibri"/>
                <w:iCs/>
                <w:noProof/>
                <w:color w:val="000000"/>
                <w:spacing w:val="-2"/>
                <w:sz w:val="20"/>
                <w:szCs w:val="20"/>
              </w:rPr>
            </w:pPr>
            <w:r>
              <w:rPr>
                <w:rFonts w:ascii="Times New Roman" w:hAnsi="Times New Roman" w:cs="Calibri"/>
                <w:iCs/>
                <w:noProof/>
                <w:color w:val="000000"/>
                <w:spacing w:val="-2"/>
                <w:sz w:val="20"/>
                <w:szCs w:val="20"/>
              </w:rPr>
              <w:t>Implement EU funding and financial commitments of participating states.</w:t>
            </w:r>
          </w:p>
          <w:p>
            <w:pPr>
              <w:numPr>
                <w:ilvl w:val="0"/>
                <w:numId w:val="84"/>
              </w:numPr>
              <w:spacing w:after="0" w:line="240" w:lineRule="auto"/>
              <w:ind w:left="198" w:hanging="241"/>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pacing w:val="-2"/>
                <w:sz w:val="20"/>
                <w:szCs w:val="20"/>
                <w:lang w:eastAsia="en-GB"/>
              </w:rPr>
            </w:pPr>
            <w:r>
              <w:rPr>
                <w:rFonts w:ascii="Times New Roman" w:hAnsi="Times New Roman" w:cs="Calibri"/>
                <w:iCs/>
                <w:noProof/>
                <w:color w:val="000000"/>
                <w:spacing w:val="-2"/>
                <w:sz w:val="20"/>
                <w:szCs w:val="20"/>
              </w:rPr>
              <w:t>comply with the relevant provisions of the Financial Regulation concerning indirect management.</w:t>
            </w:r>
          </w:p>
        </w:tc>
      </w:tr>
      <w:tr>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11" w:type="dxa"/>
            <w:tcMar>
              <w:left w:w="68" w:type="dxa"/>
              <w:right w:w="68" w:type="dxa"/>
            </w:tcMar>
          </w:tcPr>
          <w:p>
            <w:pPr>
              <w:spacing w:after="0" w:line="240" w:lineRule="auto"/>
              <w:contextualSpacing/>
              <w:rPr>
                <w:rFonts w:ascii="Times New Roman" w:eastAsia="Times New Roman" w:hAnsi="Times New Roman"/>
                <w:noProof/>
                <w:spacing w:val="-2"/>
                <w:sz w:val="20"/>
                <w:szCs w:val="20"/>
                <w:lang w:eastAsia="en-GB"/>
              </w:rPr>
            </w:pPr>
            <w:r>
              <w:rPr>
                <w:rFonts w:ascii="Times New Roman" w:eastAsia="Times New Roman" w:hAnsi="Times New Roman"/>
                <w:noProof/>
                <w:spacing w:val="-2"/>
                <w:sz w:val="20"/>
                <w:szCs w:val="20"/>
                <w:lang w:eastAsia="en-GB"/>
              </w:rPr>
              <w:t xml:space="preserve">Compliance requirements on final beneficiaries in Participating States </w:t>
            </w:r>
          </w:p>
        </w:tc>
        <w:tc>
          <w:tcPr>
            <w:tcW w:w="2268" w:type="dxa"/>
            <w:tcMar>
              <w:left w:w="68" w:type="dxa"/>
              <w:right w:w="68" w:type="dxa"/>
            </w:tcMar>
          </w:tcPr>
          <w:p>
            <w:pPr>
              <w:spacing w:after="0" w:line="240" w:lineRule="auto"/>
              <w:ind w:left="-4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pacing w:val="-2"/>
                <w:sz w:val="20"/>
                <w:szCs w:val="20"/>
                <w:lang w:eastAsia="en-GB"/>
              </w:rPr>
            </w:pPr>
            <w:r>
              <w:rPr>
                <w:rFonts w:ascii="Times New Roman" w:hAnsi="Times New Roman" w:cs="Calibri"/>
                <w:iCs/>
                <w:noProof/>
                <w:color w:val="000000"/>
                <w:spacing w:val="-2"/>
                <w:sz w:val="20"/>
                <w:szCs w:val="20"/>
              </w:rPr>
              <w:t>Determine costs of their activities in accordance with the usual accounting practices and accounting standards and to the applicable International Accounting Standards/ International Financial Reporting Standards.</w:t>
            </w:r>
          </w:p>
        </w:tc>
        <w:tc>
          <w:tcPr>
            <w:tcW w:w="2410" w:type="dxa"/>
            <w:tcMar>
              <w:left w:w="68" w:type="dxa"/>
              <w:right w:w="68" w:type="dxa"/>
            </w:tcMar>
          </w:tcPr>
          <w:p>
            <w:pPr>
              <w:spacing w:after="0" w:line="240" w:lineRule="auto"/>
              <w:ind w:left="-4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pacing w:val="-2"/>
                <w:sz w:val="20"/>
                <w:szCs w:val="20"/>
                <w:lang w:eastAsia="en-GB"/>
              </w:rPr>
            </w:pPr>
            <w:r>
              <w:rPr>
                <w:rFonts w:ascii="Times New Roman" w:hAnsi="Times New Roman" w:cs="Calibri"/>
                <w:iCs/>
                <w:noProof/>
                <w:color w:val="000000"/>
                <w:spacing w:val="-2"/>
                <w:sz w:val="20"/>
                <w:szCs w:val="20"/>
              </w:rPr>
              <w:t>Determine costs of their activities in accordance with the usual accounting practices and accounting standards and to the applicable International Accounting Standards/International Financial Reporting Standards.</w:t>
            </w:r>
          </w:p>
        </w:tc>
        <w:tc>
          <w:tcPr>
            <w:tcW w:w="3544" w:type="dxa"/>
            <w:tcMar>
              <w:left w:w="68" w:type="dxa"/>
              <w:right w:w="68" w:type="dxa"/>
            </w:tcMar>
          </w:tcPr>
          <w:p>
            <w:pPr>
              <w:numPr>
                <w:ilvl w:val="0"/>
                <w:numId w:val="84"/>
              </w:numPr>
              <w:spacing w:after="0" w:line="240" w:lineRule="auto"/>
              <w:ind w:left="198" w:hanging="241"/>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pacing w:val="-2"/>
                <w:sz w:val="20"/>
                <w:szCs w:val="20"/>
                <w:lang w:eastAsia="en-GB"/>
              </w:rPr>
            </w:pPr>
            <w:r>
              <w:rPr>
                <w:rFonts w:ascii="Times New Roman" w:eastAsia="Times New Roman" w:hAnsi="Times New Roman"/>
                <w:noProof/>
                <w:spacing w:val="-2"/>
                <w:sz w:val="20"/>
                <w:szCs w:val="20"/>
                <w:lang w:eastAsia="en-GB"/>
              </w:rPr>
              <w:t>Determine costs of their activities in accordance with the usual accounting practices and accounting standards and to the applicable International Accounting Standards / International Financial Reporting Standards.</w:t>
            </w:r>
          </w:p>
          <w:p>
            <w:pPr>
              <w:numPr>
                <w:ilvl w:val="0"/>
                <w:numId w:val="84"/>
              </w:numPr>
              <w:spacing w:after="0" w:line="240" w:lineRule="auto"/>
              <w:ind w:left="198" w:hanging="241"/>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pacing w:val="-2"/>
                <w:sz w:val="20"/>
                <w:szCs w:val="20"/>
                <w:lang w:eastAsia="en-GB"/>
              </w:rPr>
            </w:pPr>
            <w:r>
              <w:rPr>
                <w:rFonts w:ascii="Times New Roman" w:eastAsia="Times New Roman" w:hAnsi="Times New Roman"/>
                <w:noProof/>
                <w:spacing w:val="-2"/>
                <w:sz w:val="20"/>
                <w:szCs w:val="20"/>
                <w:lang w:eastAsia="en-GB"/>
              </w:rPr>
              <w:t>For costs counting as PS contributions at programme level, it is the responsibility of the PS to ensure they have been determined in accordance with the requirements set out in the basic act.</w:t>
            </w:r>
          </w:p>
        </w:tc>
      </w:tr>
      <w:tr>
        <w:trPr>
          <w:cantSplit/>
        </w:trPr>
        <w:tc>
          <w:tcPr>
            <w:cnfStyle w:val="001000000000" w:firstRow="0" w:lastRow="0" w:firstColumn="1" w:lastColumn="0" w:oddVBand="0" w:evenVBand="0" w:oddHBand="0" w:evenHBand="0" w:firstRowFirstColumn="0" w:firstRowLastColumn="0" w:lastRowFirstColumn="0" w:lastRowLastColumn="0"/>
            <w:tcW w:w="1911" w:type="dxa"/>
            <w:tcMar>
              <w:left w:w="68" w:type="dxa"/>
              <w:right w:w="68" w:type="dxa"/>
            </w:tcMar>
          </w:tcPr>
          <w:p>
            <w:pPr>
              <w:spacing w:after="0" w:line="240" w:lineRule="auto"/>
              <w:contextualSpacing/>
              <w:rPr>
                <w:rFonts w:ascii="Times New Roman" w:eastAsia="Times New Roman" w:hAnsi="Times New Roman"/>
                <w:noProof/>
                <w:spacing w:val="-2"/>
                <w:sz w:val="20"/>
                <w:szCs w:val="20"/>
                <w:lang w:eastAsia="en-GB"/>
              </w:rPr>
            </w:pPr>
            <w:r>
              <w:rPr>
                <w:rFonts w:ascii="Times New Roman" w:eastAsia="Times New Roman" w:hAnsi="Times New Roman"/>
                <w:noProof/>
                <w:spacing w:val="-2"/>
                <w:sz w:val="20"/>
                <w:szCs w:val="20"/>
                <w:lang w:eastAsia="en-GB"/>
              </w:rPr>
              <w:t>Potential obstacles for an effective implementation of the option and compliance by participating states/ beneficiaries</w:t>
            </w:r>
          </w:p>
        </w:tc>
        <w:tc>
          <w:tcPr>
            <w:tcW w:w="2268" w:type="dxa"/>
            <w:tcMar>
              <w:left w:w="68" w:type="dxa"/>
              <w:right w:w="68" w:type="dxa"/>
            </w:tcMar>
          </w:tcPr>
          <w:p>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pacing w:val="-2"/>
                <w:sz w:val="20"/>
                <w:szCs w:val="20"/>
                <w:lang w:eastAsia="en-GB"/>
              </w:rPr>
            </w:pPr>
            <w:r>
              <w:rPr>
                <w:rFonts w:ascii="Times New Roman" w:eastAsia="Times New Roman" w:hAnsi="Times New Roman"/>
                <w:noProof/>
                <w:spacing w:val="-2"/>
                <w:sz w:val="20"/>
                <w:szCs w:val="20"/>
                <w:lang w:eastAsia="en-GB"/>
              </w:rPr>
              <w:t>None identified</w:t>
            </w:r>
          </w:p>
        </w:tc>
        <w:tc>
          <w:tcPr>
            <w:tcW w:w="2410" w:type="dxa"/>
            <w:tcMar>
              <w:left w:w="68" w:type="dxa"/>
              <w:right w:w="68" w:type="dxa"/>
            </w:tcMar>
          </w:tcPr>
          <w:p>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pacing w:val="-2"/>
                <w:sz w:val="20"/>
                <w:szCs w:val="20"/>
                <w:lang w:eastAsia="en-GB"/>
              </w:rPr>
            </w:pPr>
            <w:r>
              <w:rPr>
                <w:rFonts w:ascii="Times New Roman" w:eastAsia="Times New Roman" w:hAnsi="Times New Roman"/>
                <w:noProof/>
                <w:spacing w:val="-2"/>
                <w:sz w:val="20"/>
                <w:szCs w:val="20"/>
                <w:lang w:eastAsia="en-GB"/>
              </w:rPr>
              <w:t>Potential obstacles are linked to lower national commitments when publishing the Work Programme; limited participation to the transnational proposals.</w:t>
            </w:r>
          </w:p>
        </w:tc>
        <w:tc>
          <w:tcPr>
            <w:tcW w:w="3544" w:type="dxa"/>
            <w:tcMar>
              <w:left w:w="68" w:type="dxa"/>
              <w:right w:w="68" w:type="dxa"/>
            </w:tcMar>
          </w:tcPr>
          <w:p>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pacing w:val="-2"/>
                <w:sz w:val="20"/>
                <w:szCs w:val="20"/>
                <w:lang w:eastAsia="en-GB"/>
              </w:rPr>
            </w:pPr>
            <w:r>
              <w:rPr>
                <w:rFonts w:ascii="Times New Roman" w:eastAsia="Times New Roman" w:hAnsi="Times New Roman"/>
                <w:noProof/>
                <w:spacing w:val="-2"/>
                <w:sz w:val="20"/>
                <w:szCs w:val="20"/>
                <w:lang w:eastAsia="en-GB"/>
              </w:rPr>
              <w:t>Potential obstacles on the basis of past experiences are difficulties on timely provision of financial guarantees. They have so far not put at risk the implementation of the initiatives.</w:t>
            </w:r>
          </w:p>
        </w:tc>
      </w:tr>
      <w:tr>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11" w:type="dxa"/>
            <w:tcMar>
              <w:left w:w="68" w:type="dxa"/>
              <w:right w:w="68" w:type="dxa"/>
            </w:tcMar>
          </w:tcPr>
          <w:p>
            <w:pPr>
              <w:spacing w:after="0" w:line="240" w:lineRule="auto"/>
              <w:contextualSpacing/>
              <w:rPr>
                <w:rFonts w:ascii="Times New Roman" w:eastAsia="Times New Roman" w:hAnsi="Times New Roman"/>
                <w:noProof/>
                <w:spacing w:val="-2"/>
                <w:sz w:val="20"/>
                <w:szCs w:val="20"/>
                <w:lang w:eastAsia="en-GB"/>
              </w:rPr>
            </w:pPr>
            <w:r>
              <w:rPr>
                <w:rFonts w:ascii="Times New Roman" w:eastAsia="Times New Roman" w:hAnsi="Times New Roman"/>
                <w:noProof/>
                <w:spacing w:val="-2"/>
                <w:sz w:val="20"/>
                <w:szCs w:val="20"/>
                <w:lang w:eastAsia="en-GB"/>
              </w:rPr>
              <w:t>Frequency of reporting</w:t>
            </w:r>
          </w:p>
        </w:tc>
        <w:tc>
          <w:tcPr>
            <w:tcW w:w="2268" w:type="dxa"/>
            <w:tcMar>
              <w:left w:w="68" w:type="dxa"/>
              <w:right w:w="68" w:type="dxa"/>
            </w:tcMar>
          </w:tcPr>
          <w:p>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pacing w:val="-2"/>
                <w:sz w:val="20"/>
                <w:szCs w:val="20"/>
                <w:lang w:eastAsia="en-GB"/>
              </w:rPr>
            </w:pPr>
            <w:r>
              <w:rPr>
                <w:rFonts w:ascii="Times New Roman" w:eastAsia="Times New Roman" w:hAnsi="Times New Roman"/>
                <w:noProof/>
                <w:spacing w:val="-2"/>
                <w:sz w:val="20"/>
                <w:szCs w:val="20"/>
                <w:lang w:eastAsia="en-GB"/>
              </w:rPr>
              <w:t>Usually every 18 month for each individual project</w:t>
            </w:r>
          </w:p>
        </w:tc>
        <w:tc>
          <w:tcPr>
            <w:tcW w:w="2410" w:type="dxa"/>
            <w:tcMar>
              <w:left w:w="68" w:type="dxa"/>
              <w:right w:w="68" w:type="dxa"/>
            </w:tcMar>
          </w:tcPr>
          <w:p>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pacing w:val="-2"/>
                <w:sz w:val="20"/>
                <w:szCs w:val="20"/>
                <w:lang w:eastAsia="en-GB"/>
              </w:rPr>
            </w:pPr>
            <w:r>
              <w:rPr>
                <w:rFonts w:ascii="Times New Roman" w:eastAsia="Times New Roman" w:hAnsi="Times New Roman"/>
                <w:noProof/>
                <w:spacing w:val="-2"/>
                <w:sz w:val="20"/>
                <w:szCs w:val="20"/>
                <w:lang w:eastAsia="en-GB"/>
              </w:rPr>
              <w:t>Usually twice in 60 month for each ERA-NET action;</w:t>
            </w:r>
          </w:p>
          <w:p>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pacing w:val="-2"/>
                <w:sz w:val="20"/>
                <w:szCs w:val="20"/>
                <w:lang w:eastAsia="en-GB"/>
              </w:rPr>
            </w:pPr>
            <w:r>
              <w:rPr>
                <w:rFonts w:ascii="Times New Roman" w:eastAsia="Times New Roman" w:hAnsi="Times New Roman"/>
                <w:noProof/>
                <w:spacing w:val="-2"/>
                <w:sz w:val="20"/>
                <w:szCs w:val="20"/>
                <w:lang w:eastAsia="en-GB"/>
              </w:rPr>
              <w:t>Resulting projects according to national rules</w:t>
            </w:r>
          </w:p>
        </w:tc>
        <w:tc>
          <w:tcPr>
            <w:tcW w:w="3544" w:type="dxa"/>
            <w:tcMar>
              <w:left w:w="68" w:type="dxa"/>
              <w:right w:w="68" w:type="dxa"/>
            </w:tcMar>
          </w:tcPr>
          <w:p>
            <w:pPr>
              <w:numPr>
                <w:ilvl w:val="0"/>
                <w:numId w:val="84"/>
              </w:numPr>
              <w:spacing w:after="0" w:line="240" w:lineRule="auto"/>
              <w:ind w:left="198" w:hanging="241"/>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pacing w:val="-2"/>
                <w:sz w:val="20"/>
                <w:szCs w:val="20"/>
                <w:lang w:eastAsia="en-GB"/>
              </w:rPr>
            </w:pPr>
            <w:r>
              <w:rPr>
                <w:rFonts w:ascii="Times New Roman" w:eastAsia="Times New Roman" w:hAnsi="Times New Roman"/>
                <w:noProof/>
                <w:spacing w:val="-2"/>
                <w:sz w:val="20"/>
                <w:szCs w:val="20"/>
                <w:lang w:eastAsia="en-GB"/>
              </w:rPr>
              <w:t>Annual reporting for the DIS and the Participating States towards the Commission;</w:t>
            </w:r>
          </w:p>
          <w:p>
            <w:pPr>
              <w:numPr>
                <w:ilvl w:val="0"/>
                <w:numId w:val="84"/>
              </w:numPr>
              <w:spacing w:after="0" w:line="240" w:lineRule="auto"/>
              <w:ind w:left="198" w:hanging="241"/>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pacing w:val="-2"/>
                <w:sz w:val="20"/>
                <w:szCs w:val="20"/>
                <w:lang w:eastAsia="en-GB"/>
              </w:rPr>
            </w:pPr>
            <w:r>
              <w:rPr>
                <w:rFonts w:ascii="Times New Roman" w:eastAsia="Times New Roman" w:hAnsi="Times New Roman"/>
                <w:noProof/>
                <w:spacing w:val="-2"/>
                <w:sz w:val="20"/>
                <w:szCs w:val="20"/>
                <w:lang w:eastAsia="en-GB"/>
              </w:rPr>
              <w:t>Resulting projects funded by the DIS usually every 18 months;</w:t>
            </w:r>
          </w:p>
          <w:p>
            <w:pPr>
              <w:numPr>
                <w:ilvl w:val="0"/>
                <w:numId w:val="84"/>
              </w:numPr>
              <w:spacing w:after="0" w:line="240" w:lineRule="auto"/>
              <w:ind w:left="198" w:hanging="241"/>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pacing w:val="-2"/>
                <w:sz w:val="20"/>
                <w:szCs w:val="20"/>
                <w:lang w:eastAsia="en-GB"/>
              </w:rPr>
            </w:pPr>
            <w:r>
              <w:rPr>
                <w:rFonts w:ascii="Times New Roman" w:eastAsia="Times New Roman" w:hAnsi="Times New Roman"/>
                <w:noProof/>
                <w:spacing w:val="-2"/>
                <w:sz w:val="20"/>
                <w:szCs w:val="20"/>
                <w:lang w:eastAsia="en-GB"/>
              </w:rPr>
              <w:t>Resulting national activities according to national rules.</w:t>
            </w:r>
          </w:p>
        </w:tc>
      </w:tr>
    </w:tbl>
    <w:p>
      <w:pPr>
        <w:autoSpaceDE w:val="0"/>
        <w:autoSpaceDN w:val="0"/>
        <w:adjustRightInd w:val="0"/>
        <w:spacing w:after="0" w:line="240" w:lineRule="auto"/>
        <w:jc w:val="both"/>
        <w:rPr>
          <w:rFonts w:ascii="Times New Roman" w:eastAsia="Times New Roman" w:hAnsi="Times New Roman" w:cs="Verdana"/>
          <w:b/>
          <w:noProof/>
          <w:color w:val="000000"/>
          <w:sz w:val="20"/>
          <w:szCs w:val="24"/>
          <w:lang w:eastAsia="en-GB"/>
        </w:rPr>
      </w:pPr>
      <w:r>
        <w:rPr>
          <w:rFonts w:ascii="Times New Roman" w:eastAsia="Times New Roman" w:hAnsi="Times New Roman" w:cs="Verdana"/>
          <w:b/>
          <w:noProof/>
          <w:color w:val="000000"/>
          <w:sz w:val="20"/>
          <w:szCs w:val="24"/>
          <w:lang w:eastAsia="en-GB"/>
        </w:rPr>
        <w:t>Table 5.3: Main affected actors, compliance requirements for beneficiaries and Participating States' authorities, and potential obstacles</w:t>
      </w:r>
    </w:p>
    <w:p>
      <w:pPr>
        <w:autoSpaceDE w:val="0"/>
        <w:autoSpaceDN w:val="0"/>
        <w:adjustRightInd w:val="0"/>
        <w:spacing w:after="0" w:line="240" w:lineRule="auto"/>
        <w:jc w:val="both"/>
        <w:rPr>
          <w:rFonts w:ascii="Verdana" w:eastAsia="Times New Roman" w:hAnsi="Verdana" w:cs="Verdana"/>
          <w:noProof/>
          <w:color w:val="000000"/>
          <w:sz w:val="20"/>
          <w:szCs w:val="24"/>
          <w:lang w:eastAsia="en-GB"/>
        </w:rPr>
      </w:pP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In the case of Option 2, it is important to distinguish between the compliance requirements on Participating States that apply collectively at the level of the programme, and those that are relevant for the individual Participating State. In the approach for the PRIMA Joint Programme there is a clear separation between the activities funded by the Union contribution and implemented by the DIS, and those that are funded by national programmes. Therefore there is no requirement for compliance for specific implementation capacities at national level. The Participating States collectively set-up the DIS for the implementation of the PRIMA Joint Programme, including receiving, allocating and monitoring of funding, and establish the PRIMA governance structure. The compliance with the financial regulation and the Rules for Participation of Horizon 2020 is required for the Participating States to the extent they do not implement activities funded by them. Furthermore, the basic act allows flexibility for the Participating States to contribute either financially through the PRIMA DIS to activities funded with Union contribution, thus achieving a high degree of financial integration, or in kind to activities only funded by them without Union contribution. </w:t>
      </w:r>
    </w:p>
    <w:p>
      <w:pPr>
        <w:spacing w:after="120" w:line="240" w:lineRule="auto"/>
        <w:jc w:val="both"/>
        <w:rPr>
          <w:rFonts w:ascii="Times New Roman" w:hAnsi="Times New Roman"/>
          <w:noProof/>
          <w:sz w:val="24"/>
          <w:szCs w:val="24"/>
        </w:rPr>
      </w:pPr>
      <w:r>
        <w:rPr>
          <w:rFonts w:ascii="Times New Roman" w:hAnsi="Times New Roman"/>
          <w:noProof/>
          <w:sz w:val="24"/>
          <w:szCs w:val="24"/>
        </w:rPr>
        <w:t>Participating State have to provide, inter alia, financial guarantees, contribute via the national activities to the programme in accordance with the requirements of the basic act, determine costs of their activities in accordance with the usual accounting practices and accounting standards and to the applicable International Accounting Standards / International Financial Reporting Standards. Requirements incumbent on the Participating States in general can be fulfilled by all Participating States, as most of their capabilities are already in place through implementation of national activities under their national programmes.</w:t>
      </w:r>
    </w:p>
    <w:p>
      <w:pPr>
        <w:spacing w:after="120" w:line="240" w:lineRule="auto"/>
        <w:jc w:val="both"/>
        <w:rPr>
          <w:rFonts w:ascii="Times New Roman" w:hAnsi="Times New Roman"/>
          <w:noProof/>
          <w:sz w:val="24"/>
          <w:szCs w:val="24"/>
        </w:rPr>
      </w:pPr>
    </w:p>
    <w:p>
      <w:pPr>
        <w:pStyle w:val="Heading1"/>
        <w:numPr>
          <w:ilvl w:val="2"/>
          <w:numId w:val="7"/>
        </w:numPr>
        <w:spacing w:before="120" w:after="120" w:line="240" w:lineRule="auto"/>
        <w:rPr>
          <w:rFonts w:ascii="Times New Roman" w:hAnsi="Times New Roman"/>
          <w:noProof/>
          <w:color w:val="auto"/>
          <w:sz w:val="24"/>
          <w:szCs w:val="24"/>
        </w:rPr>
      </w:pPr>
      <w:bookmarkStart w:id="226" w:name="_Toc457466062"/>
      <w:r>
        <w:rPr>
          <w:rFonts w:ascii="Times New Roman" w:hAnsi="Times New Roman"/>
          <w:noProof/>
          <w:color w:val="auto"/>
          <w:sz w:val="24"/>
          <w:szCs w:val="24"/>
        </w:rPr>
        <w:t>Assessment of capability and expected contribution of third countries not associated to Horizon 2020 in relation to the conditions to be met by Participating States in PRIMA under Option 2 (Article 185 TFEU)</w:t>
      </w:r>
      <w:bookmarkEnd w:id="226"/>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The compliance requirements on Participating States set out in Table 5.3 shall apply equally to Member States and countries associated to Horizon 2020 as well as to third countries participating in the PRIMA Joint Programme. The only notable distinction is that the first two groups of countries (Member States and countries associated to Horizon 2020) would be bound by the Decision of the European Parliament and of the Council on the participation of the Union in an Article 185, while non-associated third countries would accede to an Article 185 regime through bilateral international agreements with the EU. In order to ensure participation of all countries on an equal footing international agreements would need to mirror the provisions in the aforementioned Decision of the European Parliament and of the Council establishing the Article 185. </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Countries associated to Horizon 2020 enjoy equal status as Member States under Horizon 2020, having met the conditions in Article 7 of the Regulation establishing Horizon 2020. This refers to the whole of Horizon 2020 beyond joint programming initiatives such as PRIMA. </w:t>
      </w:r>
    </w:p>
    <w:p>
      <w:pPr>
        <w:spacing w:after="120" w:line="240" w:lineRule="auto"/>
        <w:jc w:val="both"/>
        <w:rPr>
          <w:rFonts w:ascii="Times New Roman" w:hAnsi="Times New Roman"/>
          <w:noProof/>
          <w:sz w:val="24"/>
          <w:szCs w:val="24"/>
        </w:rPr>
      </w:pPr>
      <w:r>
        <w:rPr>
          <w:rFonts w:ascii="Times New Roman" w:hAnsi="Times New Roman"/>
          <w:noProof/>
          <w:sz w:val="24"/>
          <w:szCs w:val="24"/>
        </w:rPr>
        <w:t>As indicated in the introduction of this Impact Assessment Report, the non-associated Participating States (i.e. having committed to contributing resources) to PRIMA Joint Programme are Egypt, Lebanon and Morocco.</w:t>
      </w:r>
    </w:p>
    <w:p>
      <w:pPr>
        <w:spacing w:before="240" w:after="120" w:line="240" w:lineRule="auto"/>
        <w:jc w:val="both"/>
        <w:rPr>
          <w:rFonts w:ascii="Times New Roman" w:hAnsi="Times New Roman"/>
          <w:b/>
          <w:noProof/>
          <w:sz w:val="24"/>
          <w:szCs w:val="24"/>
        </w:rPr>
      </w:pPr>
      <w:r>
        <w:rPr>
          <w:rFonts w:ascii="Times New Roman" w:hAnsi="Times New Roman"/>
          <w:b/>
          <w:noProof/>
          <w:sz w:val="24"/>
          <w:szCs w:val="24"/>
        </w:rPr>
        <w:t xml:space="preserve">Egypt </w:t>
      </w:r>
    </w:p>
    <w:p>
      <w:pPr>
        <w:spacing w:after="120" w:line="240" w:lineRule="auto"/>
        <w:jc w:val="both"/>
        <w:rPr>
          <w:rFonts w:ascii="Times New Roman" w:hAnsi="Times New Roman"/>
          <w:i/>
          <w:noProof/>
          <w:sz w:val="24"/>
          <w:szCs w:val="24"/>
          <w:u w:val="single"/>
        </w:rPr>
      </w:pPr>
      <w:r>
        <w:rPr>
          <w:rFonts w:ascii="Times New Roman" w:hAnsi="Times New Roman"/>
          <w:i/>
          <w:noProof/>
          <w:sz w:val="24"/>
          <w:szCs w:val="24"/>
          <w:u w:val="single"/>
        </w:rPr>
        <w:t>State contribution to PRIMA</w:t>
      </w:r>
    </w:p>
    <w:p>
      <w:pPr>
        <w:pStyle w:val="ListParagraph"/>
        <w:numPr>
          <w:ilvl w:val="0"/>
          <w:numId w:val="126"/>
        </w:numPr>
        <w:spacing w:after="120" w:line="240" w:lineRule="auto"/>
        <w:ind w:left="426"/>
        <w:rPr>
          <w:rFonts w:ascii="Times New Roman" w:hAnsi="Times New Roman"/>
          <w:noProof/>
          <w:sz w:val="24"/>
          <w:szCs w:val="24"/>
        </w:rPr>
      </w:pPr>
      <w:r>
        <w:rPr>
          <w:rFonts w:ascii="Times New Roman" w:hAnsi="Times New Roman"/>
          <w:noProof/>
          <w:sz w:val="24"/>
          <w:szCs w:val="24"/>
        </w:rPr>
        <w:t>€15 million cash contribution (corresponding to 7.5% of total cash contribution from Participating States)</w:t>
      </w:r>
    </w:p>
    <w:p>
      <w:pPr>
        <w:pStyle w:val="ListParagraph"/>
        <w:numPr>
          <w:ilvl w:val="0"/>
          <w:numId w:val="126"/>
        </w:numPr>
        <w:spacing w:after="120" w:line="240" w:lineRule="auto"/>
        <w:ind w:left="426"/>
        <w:rPr>
          <w:rFonts w:ascii="Times New Roman" w:hAnsi="Times New Roman"/>
          <w:noProof/>
          <w:sz w:val="24"/>
          <w:szCs w:val="24"/>
        </w:rPr>
      </w:pPr>
      <w:r>
        <w:rPr>
          <w:rFonts w:ascii="Times New Roman" w:hAnsi="Times New Roman"/>
          <w:noProof/>
          <w:sz w:val="24"/>
          <w:szCs w:val="24"/>
        </w:rPr>
        <w:t>€3 million in-kind</w:t>
      </w:r>
    </w:p>
    <w:p>
      <w:pPr>
        <w:spacing w:after="120" w:line="240" w:lineRule="auto"/>
        <w:jc w:val="both"/>
        <w:rPr>
          <w:rFonts w:ascii="Times New Roman" w:hAnsi="Times New Roman"/>
          <w:i/>
          <w:noProof/>
          <w:sz w:val="24"/>
          <w:szCs w:val="24"/>
          <w:u w:val="single"/>
        </w:rPr>
      </w:pPr>
      <w:r>
        <w:rPr>
          <w:rFonts w:ascii="Times New Roman" w:hAnsi="Times New Roman"/>
          <w:i/>
          <w:noProof/>
          <w:sz w:val="24"/>
          <w:szCs w:val="24"/>
          <w:u w:val="single"/>
        </w:rPr>
        <w:t>Nature of research and innovation relationship with the EU and track record of cooperation</w:t>
      </w:r>
    </w:p>
    <w:p>
      <w:pPr>
        <w:pStyle w:val="ListParagraph"/>
        <w:numPr>
          <w:ilvl w:val="0"/>
          <w:numId w:val="126"/>
        </w:numPr>
        <w:spacing w:after="120" w:line="240" w:lineRule="auto"/>
        <w:ind w:left="426"/>
        <w:rPr>
          <w:rFonts w:ascii="Times New Roman" w:hAnsi="Times New Roman"/>
          <w:noProof/>
          <w:sz w:val="24"/>
          <w:szCs w:val="24"/>
        </w:rPr>
      </w:pPr>
      <w:r>
        <w:rPr>
          <w:rFonts w:ascii="Times New Roman" w:hAnsi="Times New Roman"/>
          <w:noProof/>
          <w:sz w:val="24"/>
          <w:szCs w:val="24"/>
        </w:rPr>
        <w:t>The overall framework for R&amp;I cooperation with the EU is provided by the EU-Egypt Association Agreement (OJ L304, 30/09/2004, p. 39), in which Article 43 addresses 'Scientific and technological cooperation' on access Union R&amp;D programmes;</w:t>
      </w:r>
    </w:p>
    <w:p>
      <w:pPr>
        <w:pStyle w:val="ListParagraph"/>
        <w:numPr>
          <w:ilvl w:val="0"/>
          <w:numId w:val="126"/>
        </w:numPr>
        <w:spacing w:after="120" w:line="240" w:lineRule="auto"/>
        <w:ind w:left="426"/>
        <w:rPr>
          <w:rFonts w:ascii="Times New Roman" w:hAnsi="Times New Roman"/>
          <w:noProof/>
          <w:sz w:val="24"/>
          <w:szCs w:val="24"/>
        </w:rPr>
      </w:pPr>
      <w:r>
        <w:rPr>
          <w:rFonts w:ascii="Times New Roman" w:hAnsi="Times New Roman"/>
          <w:noProof/>
          <w:sz w:val="24"/>
          <w:szCs w:val="24"/>
        </w:rPr>
        <w:t>The EU and Egypt have signed a science and technology agreement (OJ L182, 13/07/2005, p. 12) which is in force since 2008;</w:t>
      </w:r>
    </w:p>
    <w:p>
      <w:pPr>
        <w:pStyle w:val="ListParagraph"/>
        <w:numPr>
          <w:ilvl w:val="0"/>
          <w:numId w:val="126"/>
        </w:numPr>
        <w:spacing w:after="120" w:line="240" w:lineRule="auto"/>
        <w:ind w:left="426"/>
        <w:rPr>
          <w:rFonts w:ascii="Times New Roman" w:hAnsi="Times New Roman"/>
          <w:noProof/>
          <w:sz w:val="24"/>
          <w:szCs w:val="24"/>
        </w:rPr>
      </w:pPr>
      <w:r>
        <w:rPr>
          <w:rFonts w:ascii="Times New Roman" w:hAnsi="Times New Roman"/>
          <w:noProof/>
          <w:sz w:val="24"/>
          <w:szCs w:val="24"/>
        </w:rPr>
        <w:t>Legal entities from Egypt are already eligible to receive EU funding under Horizon 2020.</w:t>
      </w:r>
    </w:p>
    <w:p>
      <w:pPr>
        <w:pStyle w:val="ListParagraph"/>
        <w:numPr>
          <w:ilvl w:val="0"/>
          <w:numId w:val="126"/>
        </w:numPr>
        <w:spacing w:after="120" w:line="240" w:lineRule="auto"/>
        <w:ind w:left="426"/>
        <w:rPr>
          <w:rFonts w:ascii="Times New Roman" w:hAnsi="Times New Roman"/>
          <w:noProof/>
          <w:sz w:val="24"/>
          <w:szCs w:val="24"/>
        </w:rPr>
      </w:pPr>
      <w:r>
        <w:rPr>
          <w:rFonts w:ascii="Times New Roman" w:hAnsi="Times New Roman"/>
          <w:noProof/>
          <w:sz w:val="24"/>
          <w:szCs w:val="24"/>
        </w:rPr>
        <w:t>Participation record in EU Research Framework Programmes:</w:t>
      </w:r>
    </w:p>
    <w:p>
      <w:pPr>
        <w:pStyle w:val="ListParagraph"/>
        <w:numPr>
          <w:ilvl w:val="1"/>
          <w:numId w:val="127"/>
        </w:numPr>
        <w:spacing w:after="120" w:line="240" w:lineRule="auto"/>
        <w:ind w:left="709"/>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2007-2013 (FP7): Total participant costs: €19 million; EU contribution: €15 million drawn in accordance with research framework programme rules.</w:t>
      </w:r>
    </w:p>
    <w:p>
      <w:pPr>
        <w:pStyle w:val="ListParagraph"/>
        <w:numPr>
          <w:ilvl w:val="1"/>
          <w:numId w:val="127"/>
        </w:numPr>
        <w:spacing w:after="120" w:line="240" w:lineRule="auto"/>
        <w:ind w:left="709"/>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2014-on-going (Horizon 2020): Total participant costs: €2.3 million; EU contribution: €1.6 million drawn in accordance with research framework programme rules.</w:t>
      </w:r>
    </w:p>
    <w:p>
      <w:pPr>
        <w:spacing w:after="120" w:line="240" w:lineRule="auto"/>
        <w:jc w:val="both"/>
        <w:rPr>
          <w:rFonts w:ascii="Times New Roman" w:hAnsi="Times New Roman"/>
          <w:i/>
          <w:noProof/>
          <w:sz w:val="24"/>
          <w:szCs w:val="24"/>
          <w:u w:val="single"/>
        </w:rPr>
      </w:pPr>
      <w:r>
        <w:rPr>
          <w:rFonts w:ascii="Times New Roman" w:hAnsi="Times New Roman"/>
          <w:i/>
          <w:noProof/>
          <w:sz w:val="24"/>
          <w:szCs w:val="24"/>
          <w:u w:val="single"/>
        </w:rPr>
        <w:t>Record of administrative and financial management in cooperation with the EU, and management of EU funding.</w:t>
      </w:r>
    </w:p>
    <w:p>
      <w:pPr>
        <w:pStyle w:val="ListParagraph"/>
        <w:numPr>
          <w:ilvl w:val="0"/>
          <w:numId w:val="126"/>
        </w:numPr>
        <w:spacing w:after="120" w:line="240" w:lineRule="auto"/>
        <w:ind w:left="426"/>
        <w:rPr>
          <w:rFonts w:ascii="Times New Roman" w:hAnsi="Times New Roman"/>
          <w:noProof/>
          <w:sz w:val="24"/>
          <w:szCs w:val="24"/>
        </w:rPr>
      </w:pPr>
      <w:r>
        <w:rPr>
          <w:rFonts w:ascii="Times New Roman" w:hAnsi="Times New Roman"/>
          <w:noProof/>
          <w:sz w:val="24"/>
          <w:szCs w:val="24"/>
        </w:rPr>
        <w:t>See track record in the participation in EU Research Framework Programmes above.</w:t>
      </w:r>
    </w:p>
    <w:p>
      <w:pPr>
        <w:pStyle w:val="ListParagraph"/>
        <w:numPr>
          <w:ilvl w:val="0"/>
          <w:numId w:val="126"/>
        </w:numPr>
        <w:spacing w:after="120" w:line="240" w:lineRule="auto"/>
        <w:ind w:left="426"/>
        <w:rPr>
          <w:rFonts w:ascii="Times New Roman" w:hAnsi="Times New Roman"/>
          <w:noProof/>
          <w:sz w:val="24"/>
          <w:szCs w:val="24"/>
        </w:rPr>
      </w:pPr>
      <w:r>
        <w:rPr>
          <w:rFonts w:ascii="Times New Roman" w:hAnsi="Times New Roman"/>
          <w:noProof/>
          <w:sz w:val="24"/>
          <w:szCs w:val="24"/>
        </w:rPr>
        <w:t>Proven experience of funding agencies in the participation in joint programming actions (ERA-NET type projects) and a successful track record of fulfilment of financial commitments from national budgets combined to EU funding.</w:t>
      </w:r>
    </w:p>
    <w:p>
      <w:pPr>
        <w:pStyle w:val="ListParagraph"/>
        <w:numPr>
          <w:ilvl w:val="1"/>
          <w:numId w:val="127"/>
        </w:numPr>
        <w:spacing w:after="120" w:line="240" w:lineRule="auto"/>
        <w:ind w:left="709"/>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ERANETMED: Egypt contributed national funds amounting to €1.5 million</w:t>
      </w:r>
      <w:r>
        <w:rPr>
          <w:rFonts w:ascii="Times New Roman" w:hAnsi="Times New Roman"/>
          <w:noProof/>
          <w:sz w:val="24"/>
          <w:szCs w:val="24"/>
          <w:vertAlign w:val="superscript"/>
        </w:rPr>
        <w:footnoteReference w:id="64"/>
      </w:r>
      <w:r>
        <w:rPr>
          <w:rFonts w:ascii="Times New Roman" w:eastAsia="Times New Roman" w:hAnsi="Times New Roman"/>
          <w:noProof/>
          <w:sz w:val="24"/>
          <w:szCs w:val="24"/>
          <w:lang w:eastAsia="en-GB"/>
        </w:rPr>
        <w:t xml:space="preserve"> in Call 1 (2014), which has now been allocated to selected projects on a competitive basis. A further national funding amounting to €1.25 million has been committed to Call 2 (2016), which has attracted 174 proposals.</w:t>
      </w:r>
    </w:p>
    <w:p>
      <w:pPr>
        <w:pStyle w:val="ListParagraph"/>
        <w:numPr>
          <w:ilvl w:val="1"/>
          <w:numId w:val="127"/>
        </w:numPr>
        <w:spacing w:after="120" w:line="240" w:lineRule="auto"/>
        <w:ind w:left="709"/>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ARIMNet and ARIMNet2: Egypt committed €0.5 million of national funding to Call 2 (2016).</w:t>
      </w:r>
    </w:p>
    <w:p>
      <w:pPr>
        <w:pStyle w:val="ListParagraph"/>
        <w:numPr>
          <w:ilvl w:val="0"/>
          <w:numId w:val="126"/>
        </w:numPr>
        <w:spacing w:after="120" w:line="240" w:lineRule="auto"/>
        <w:ind w:left="425" w:hanging="357"/>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Under the ENPI, Egypt has successfully completed phase 1 of the Research, Development and Innovation programme, which had a financial package of €11 million, with the Ministry of Scientific Research in the lead. The success of this programme has led to a second phase, which started in 2011, for which the EU has committed budget of €20 million. Most recently, </w:t>
      </w:r>
      <w:r>
        <w:rPr>
          <w:rFonts w:ascii="Times New Roman" w:hAnsi="Times New Roman"/>
          <w:noProof/>
          <w:sz w:val="24"/>
          <w:szCs w:val="24"/>
        </w:rPr>
        <w:t>Egypt awarded 26 projects under RDI in January 2015, with a total EU Contribution of €7.5 million.</w:t>
      </w:r>
    </w:p>
    <w:p>
      <w:pPr>
        <w:pStyle w:val="ListParagraph"/>
        <w:numPr>
          <w:ilvl w:val="0"/>
          <w:numId w:val="126"/>
        </w:numPr>
        <w:spacing w:after="120" w:line="240" w:lineRule="auto"/>
        <w:ind w:left="425" w:hanging="357"/>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In terms of broad EU-Egypt relations, bilateral programmes under the EU Neighbourhood policy (ENI funding) see transfers from the EU budget toward Egypt amounting to above €100 million annually (2014: €115 million, 2015: €105 million), which are allocated to specific national projects and/or direct contributions to the national budget.</w:t>
      </w:r>
    </w:p>
    <w:p>
      <w:pPr>
        <w:pStyle w:val="ListParagraph"/>
        <w:numPr>
          <w:ilvl w:val="0"/>
          <w:numId w:val="126"/>
        </w:numPr>
        <w:spacing w:after="120" w:line="240" w:lineRule="auto"/>
        <w:ind w:left="425" w:hanging="357"/>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Egypt’s STDF also has joint research funds with Germany, Italy France, Japan, South Korea, Jordan, Russia and USA (U.-Egypt STI Joint Fund amounts to $4 million per country/year). Given the availability of budget and the openness of the STDF to co-fund R&amp;I international cooperation (9% of the STDF budget is dedicated to joint funds with other countries), it is expected that Egypt will remain committed to international cooperation with the EU.</w:t>
      </w:r>
    </w:p>
    <w:p>
      <w:pPr>
        <w:spacing w:after="120" w:line="240" w:lineRule="auto"/>
        <w:jc w:val="both"/>
        <w:rPr>
          <w:rFonts w:ascii="Times New Roman" w:hAnsi="Times New Roman"/>
          <w:i/>
          <w:noProof/>
          <w:sz w:val="24"/>
          <w:szCs w:val="24"/>
          <w:u w:val="single"/>
        </w:rPr>
      </w:pPr>
      <w:r>
        <w:rPr>
          <w:rFonts w:ascii="Times New Roman" w:hAnsi="Times New Roman"/>
          <w:i/>
          <w:noProof/>
          <w:sz w:val="24"/>
          <w:szCs w:val="24"/>
          <w:u w:val="single"/>
        </w:rPr>
        <w:t>Related R&amp;I actions and national capacity</w:t>
      </w:r>
    </w:p>
    <w:p>
      <w:pPr>
        <w:pStyle w:val="ListParagraph"/>
        <w:numPr>
          <w:ilvl w:val="0"/>
          <w:numId w:val="126"/>
        </w:numPr>
        <w:spacing w:after="120" w:line="240" w:lineRule="auto"/>
        <w:ind w:left="425" w:hanging="357"/>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 governance structure of the national STI system rests on the Ministry of Higher Education and Scientific Research, the Higher Council of Science and Technology, which sets research strategy, the ASRT, which is in charge of planning and programming, and the funding agency STDF. This institutional setup is supported by the network of research centres and universities. A key challenge to the country is to step up private sector R&amp;D to lower dependence on public research funding.</w:t>
      </w:r>
    </w:p>
    <w:p>
      <w:pPr>
        <w:pStyle w:val="ListParagraph"/>
        <w:numPr>
          <w:ilvl w:val="0"/>
          <w:numId w:val="126"/>
        </w:numPr>
        <w:spacing w:after="120" w:line="240" w:lineRule="auto"/>
        <w:ind w:left="425" w:hanging="357"/>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Egypt has Science and Technology Agreements with many countries, such as the USA, China and Japan, and almost all EU MS. In it national research funding policy, it maintains a highly international profile and mutual openness by dedicating 9% of the programme budget to joint programmes with international partners adopting primarily a matching fund approach.</w:t>
      </w:r>
    </w:p>
    <w:p>
      <w:pPr>
        <w:pStyle w:val="ListParagraph"/>
        <w:numPr>
          <w:ilvl w:val="0"/>
          <w:numId w:val="126"/>
        </w:numPr>
        <w:spacing w:after="120" w:line="240" w:lineRule="auto"/>
        <w:ind w:left="425" w:hanging="357"/>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Water scarcity is a key issue in Egypt, which relies on the Nile for 95% of renewable water resources, while agricultural production (81% of water usage) depends heavily on irrigation. The Egyptian Water Resources Vision 2050 includes research as a major driver in the development and management of water resources, conservation of water quality as well as adaptation to expected impacts of climate change. Egypt has succeeded in participating for the first time in JPI related to water "WaterWorks2015" under Horizon 2020 WP 2014-2015, where Egypt will be contributing €0.65 million to the project.</w:t>
      </w:r>
    </w:p>
    <w:p>
      <w:pPr>
        <w:pStyle w:val="ListParagraph"/>
        <w:numPr>
          <w:ilvl w:val="0"/>
          <w:numId w:val="126"/>
        </w:numPr>
        <w:spacing w:after="120" w:line="240" w:lineRule="auto"/>
        <w:ind w:left="425" w:hanging="357"/>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Public research in water has a dedicated research centre (National Water Research Centre – NWRC), which is supported by 12 research institutes that focus on water management, drainage, water resources, Nile research, hydraulics, channel maintenance, groundwater, construction, mechanical and electrical research, survey research, coastal research and environmental and climate research.</w:t>
      </w:r>
    </w:p>
    <w:p>
      <w:pPr>
        <w:spacing w:before="240" w:after="120" w:line="240" w:lineRule="auto"/>
        <w:jc w:val="both"/>
        <w:rPr>
          <w:rFonts w:ascii="Times New Roman" w:hAnsi="Times New Roman"/>
          <w:noProof/>
          <w:sz w:val="24"/>
          <w:szCs w:val="24"/>
        </w:rPr>
      </w:pPr>
      <w:r>
        <w:rPr>
          <w:rFonts w:ascii="Times New Roman" w:hAnsi="Times New Roman"/>
          <w:b/>
          <w:noProof/>
          <w:sz w:val="24"/>
          <w:szCs w:val="24"/>
        </w:rPr>
        <w:t>Lebanon</w:t>
      </w:r>
    </w:p>
    <w:p>
      <w:pPr>
        <w:spacing w:after="120" w:line="240" w:lineRule="auto"/>
        <w:jc w:val="both"/>
        <w:rPr>
          <w:rFonts w:ascii="Times New Roman" w:hAnsi="Times New Roman"/>
          <w:b/>
          <w:i/>
          <w:noProof/>
          <w:sz w:val="24"/>
          <w:szCs w:val="24"/>
          <w:u w:val="single"/>
        </w:rPr>
      </w:pPr>
      <w:r>
        <w:rPr>
          <w:rFonts w:ascii="Times New Roman" w:hAnsi="Times New Roman"/>
          <w:i/>
          <w:noProof/>
          <w:sz w:val="24"/>
          <w:szCs w:val="24"/>
          <w:u w:val="single"/>
        </w:rPr>
        <w:t>State contribution to PRIMA</w:t>
      </w:r>
    </w:p>
    <w:p>
      <w:pPr>
        <w:pStyle w:val="ListParagraph"/>
        <w:numPr>
          <w:ilvl w:val="0"/>
          <w:numId w:val="126"/>
        </w:numPr>
        <w:spacing w:after="120" w:line="240" w:lineRule="auto"/>
        <w:ind w:left="426"/>
        <w:rPr>
          <w:rFonts w:ascii="Times New Roman" w:hAnsi="Times New Roman"/>
          <w:noProof/>
          <w:sz w:val="24"/>
          <w:szCs w:val="24"/>
        </w:rPr>
      </w:pPr>
      <w:r>
        <w:rPr>
          <w:rFonts w:ascii="Times New Roman" w:hAnsi="Times New Roman"/>
          <w:noProof/>
          <w:sz w:val="24"/>
          <w:szCs w:val="24"/>
        </w:rPr>
        <w:t>€4 million cash contribution (corresponding to 4% of total cash contribution from Participating States)</w:t>
      </w:r>
    </w:p>
    <w:p>
      <w:pPr>
        <w:pStyle w:val="ListParagraph"/>
        <w:numPr>
          <w:ilvl w:val="0"/>
          <w:numId w:val="126"/>
        </w:numPr>
        <w:spacing w:after="120" w:line="240" w:lineRule="auto"/>
        <w:ind w:left="426"/>
        <w:rPr>
          <w:rFonts w:ascii="Times New Roman" w:hAnsi="Times New Roman"/>
          <w:noProof/>
          <w:sz w:val="24"/>
          <w:szCs w:val="24"/>
        </w:rPr>
      </w:pPr>
      <w:r>
        <w:rPr>
          <w:rFonts w:ascii="Times New Roman" w:hAnsi="Times New Roman"/>
          <w:noProof/>
          <w:sz w:val="24"/>
          <w:szCs w:val="24"/>
        </w:rPr>
        <w:t>€2 million in-kind</w:t>
      </w:r>
    </w:p>
    <w:p>
      <w:pPr>
        <w:spacing w:after="120" w:line="240" w:lineRule="auto"/>
        <w:jc w:val="both"/>
        <w:rPr>
          <w:rFonts w:ascii="Times New Roman" w:hAnsi="Times New Roman"/>
          <w:i/>
          <w:noProof/>
          <w:sz w:val="24"/>
          <w:szCs w:val="24"/>
          <w:u w:val="single"/>
        </w:rPr>
      </w:pPr>
      <w:r>
        <w:rPr>
          <w:rFonts w:ascii="Times New Roman" w:hAnsi="Times New Roman"/>
          <w:i/>
          <w:noProof/>
          <w:sz w:val="24"/>
          <w:szCs w:val="24"/>
          <w:u w:val="single"/>
        </w:rPr>
        <w:t>Nature of research and innovation relationship with the EU and track record of cooperation</w:t>
      </w:r>
    </w:p>
    <w:p>
      <w:pPr>
        <w:pStyle w:val="ListParagraph"/>
        <w:numPr>
          <w:ilvl w:val="0"/>
          <w:numId w:val="126"/>
        </w:numPr>
        <w:spacing w:after="120" w:line="240" w:lineRule="auto"/>
        <w:ind w:left="426"/>
        <w:rPr>
          <w:rFonts w:ascii="Times New Roman" w:hAnsi="Times New Roman"/>
          <w:noProof/>
          <w:sz w:val="24"/>
          <w:szCs w:val="24"/>
        </w:rPr>
      </w:pPr>
      <w:r>
        <w:rPr>
          <w:rFonts w:ascii="Times New Roman" w:hAnsi="Times New Roman"/>
          <w:noProof/>
          <w:sz w:val="24"/>
          <w:szCs w:val="24"/>
        </w:rPr>
        <w:t>The overall framework for R&amp;I cooperation with the EU is provided by the EU-Lebanon Association Agreement (OJ L143, 30/05/2006, p. 2), in which Article 44 governs 'Scientific, technical and technological cooperation' on access Union R&amp;I programmes and to study means for Lebanon to participate in European Framework Programmes for Research.</w:t>
      </w:r>
    </w:p>
    <w:p>
      <w:pPr>
        <w:pStyle w:val="ListParagraph"/>
        <w:numPr>
          <w:ilvl w:val="0"/>
          <w:numId w:val="126"/>
        </w:numPr>
        <w:spacing w:after="120" w:line="240" w:lineRule="auto"/>
        <w:ind w:left="426"/>
        <w:rPr>
          <w:rFonts w:ascii="Times New Roman" w:hAnsi="Times New Roman"/>
          <w:noProof/>
          <w:sz w:val="24"/>
          <w:szCs w:val="24"/>
        </w:rPr>
      </w:pPr>
      <w:r>
        <w:rPr>
          <w:rFonts w:ascii="Times New Roman" w:hAnsi="Times New Roman"/>
          <w:noProof/>
          <w:sz w:val="24"/>
          <w:szCs w:val="24"/>
        </w:rPr>
        <w:t>Legal entities from Lebanon are already eligible to EU funding under Horizon 2020.</w:t>
      </w:r>
    </w:p>
    <w:p>
      <w:pPr>
        <w:pStyle w:val="ListParagraph"/>
        <w:numPr>
          <w:ilvl w:val="0"/>
          <w:numId w:val="126"/>
        </w:numPr>
        <w:spacing w:after="120" w:line="240" w:lineRule="auto"/>
        <w:ind w:left="426"/>
        <w:rPr>
          <w:rFonts w:ascii="Times New Roman" w:hAnsi="Times New Roman"/>
          <w:noProof/>
          <w:sz w:val="24"/>
          <w:szCs w:val="24"/>
        </w:rPr>
      </w:pPr>
      <w:r>
        <w:rPr>
          <w:rFonts w:ascii="Times New Roman" w:hAnsi="Times New Roman"/>
          <w:noProof/>
          <w:sz w:val="24"/>
          <w:szCs w:val="24"/>
        </w:rPr>
        <w:t>Participation record in EU Research Framework Programmes:</w:t>
      </w:r>
    </w:p>
    <w:p>
      <w:pPr>
        <w:pStyle w:val="ListParagraph"/>
        <w:numPr>
          <w:ilvl w:val="1"/>
          <w:numId w:val="127"/>
        </w:numPr>
        <w:spacing w:after="120" w:line="240" w:lineRule="auto"/>
        <w:ind w:left="709"/>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2007-2013 (FP7): Total participant costs: €3.3 million; EU contribution: €0.8 million drawn in accordance with research framework programme rules</w:t>
      </w:r>
    </w:p>
    <w:p>
      <w:pPr>
        <w:pStyle w:val="ListParagraph"/>
        <w:numPr>
          <w:ilvl w:val="1"/>
          <w:numId w:val="127"/>
        </w:numPr>
        <w:spacing w:after="120" w:line="240" w:lineRule="auto"/>
        <w:ind w:left="709"/>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2014-on-going (Horizon 2020): Total participant costs: €2.8 million; EU contribution: €0.8 million drawn in accordance with research framework programme rules.</w:t>
      </w:r>
    </w:p>
    <w:p>
      <w:pPr>
        <w:spacing w:after="120" w:line="240" w:lineRule="auto"/>
        <w:jc w:val="both"/>
        <w:rPr>
          <w:rFonts w:ascii="Times New Roman" w:hAnsi="Times New Roman"/>
          <w:b/>
          <w:bCs/>
          <w:i/>
          <w:noProof/>
          <w:sz w:val="24"/>
          <w:szCs w:val="24"/>
          <w:u w:val="single"/>
        </w:rPr>
      </w:pPr>
      <w:r>
        <w:rPr>
          <w:rFonts w:ascii="Times New Roman" w:hAnsi="Times New Roman"/>
          <w:i/>
          <w:noProof/>
          <w:sz w:val="24"/>
          <w:szCs w:val="24"/>
          <w:u w:val="single"/>
        </w:rPr>
        <w:t>Record of administrative and financial management in cooperation with the EU, and management of EU funding</w:t>
      </w:r>
    </w:p>
    <w:p>
      <w:pPr>
        <w:pStyle w:val="ListParagraph"/>
        <w:numPr>
          <w:ilvl w:val="0"/>
          <w:numId w:val="126"/>
        </w:numPr>
        <w:spacing w:after="120" w:line="240" w:lineRule="auto"/>
        <w:ind w:left="426"/>
        <w:rPr>
          <w:rFonts w:ascii="Times New Roman" w:hAnsi="Times New Roman"/>
          <w:noProof/>
          <w:sz w:val="24"/>
          <w:szCs w:val="24"/>
        </w:rPr>
      </w:pPr>
      <w:r>
        <w:rPr>
          <w:rFonts w:ascii="Times New Roman" w:hAnsi="Times New Roman"/>
          <w:noProof/>
          <w:sz w:val="24"/>
          <w:szCs w:val="24"/>
        </w:rPr>
        <w:t>See track record in the participation in EU Research Framework Programmes above.</w:t>
      </w:r>
    </w:p>
    <w:p>
      <w:pPr>
        <w:pStyle w:val="ListParagraph"/>
        <w:numPr>
          <w:ilvl w:val="0"/>
          <w:numId w:val="126"/>
        </w:numPr>
        <w:spacing w:after="120" w:line="240" w:lineRule="auto"/>
        <w:ind w:left="426"/>
        <w:rPr>
          <w:rFonts w:ascii="Times New Roman" w:hAnsi="Times New Roman"/>
          <w:noProof/>
          <w:sz w:val="24"/>
          <w:szCs w:val="24"/>
        </w:rPr>
      </w:pPr>
      <w:r>
        <w:rPr>
          <w:rFonts w:ascii="Times New Roman" w:hAnsi="Times New Roman"/>
          <w:noProof/>
          <w:sz w:val="24"/>
          <w:szCs w:val="24"/>
        </w:rPr>
        <w:t xml:space="preserve">Proven experience of funding agencies in the participation in joint programming actions (ERA-NET type projects) and a successful track record of fulfilment of financial commitments from national budgets combined to EU funding. </w:t>
      </w:r>
    </w:p>
    <w:p>
      <w:pPr>
        <w:pStyle w:val="ListParagraph"/>
        <w:numPr>
          <w:ilvl w:val="1"/>
          <w:numId w:val="127"/>
        </w:numPr>
        <w:spacing w:after="120" w:line="240" w:lineRule="auto"/>
        <w:ind w:left="709"/>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ERANETMED: Lebanon contributed national funds amounting to €0.2 million</w:t>
      </w:r>
      <w:r>
        <w:rPr>
          <w:rFonts w:ascii="Times New Roman" w:hAnsi="Times New Roman"/>
          <w:noProof/>
          <w:sz w:val="24"/>
          <w:szCs w:val="24"/>
          <w:vertAlign w:val="superscript"/>
        </w:rPr>
        <w:footnoteReference w:id="65"/>
      </w:r>
      <w:r>
        <w:rPr>
          <w:rFonts w:ascii="Times New Roman" w:eastAsia="Times New Roman" w:hAnsi="Times New Roman"/>
          <w:noProof/>
          <w:sz w:val="24"/>
          <w:szCs w:val="24"/>
          <w:lang w:eastAsia="en-GB"/>
        </w:rPr>
        <w:t xml:space="preserve"> in Call 1 (2014). A further national funding amounting to €0.4 million has been committed to Call 2 (2016).</w:t>
      </w:r>
    </w:p>
    <w:p>
      <w:pPr>
        <w:pStyle w:val="ListParagraph"/>
        <w:numPr>
          <w:ilvl w:val="0"/>
          <w:numId w:val="126"/>
        </w:numPr>
        <w:spacing w:after="120" w:line="240" w:lineRule="auto"/>
        <w:ind w:left="426"/>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Under the ENPI, Lebanon receives approximately €50 million annually; partly disbursed through dedicated programmes managed by Lebanese authorities and partly directly injected into the national budget.</w:t>
      </w:r>
    </w:p>
    <w:p>
      <w:pPr>
        <w:pStyle w:val="ListParagraph"/>
        <w:spacing w:after="120" w:line="240" w:lineRule="auto"/>
        <w:ind w:left="426"/>
        <w:rPr>
          <w:rFonts w:ascii="Times New Roman" w:eastAsia="Times New Roman" w:hAnsi="Times New Roman"/>
          <w:noProof/>
          <w:sz w:val="24"/>
          <w:szCs w:val="24"/>
          <w:lang w:eastAsia="en-GB"/>
        </w:rPr>
      </w:pPr>
    </w:p>
    <w:p>
      <w:pPr>
        <w:spacing w:after="120" w:line="240" w:lineRule="auto"/>
        <w:jc w:val="both"/>
        <w:rPr>
          <w:rFonts w:ascii="Times New Roman" w:eastAsia="Times New Roman" w:hAnsi="Times New Roman"/>
          <w:i/>
          <w:noProof/>
          <w:sz w:val="24"/>
          <w:szCs w:val="24"/>
          <w:u w:val="single"/>
          <w:lang w:eastAsia="en-GB"/>
        </w:rPr>
      </w:pPr>
      <w:r>
        <w:rPr>
          <w:rFonts w:ascii="Times New Roman" w:eastAsia="Times New Roman" w:hAnsi="Times New Roman"/>
          <w:i/>
          <w:noProof/>
          <w:sz w:val="24"/>
          <w:szCs w:val="24"/>
          <w:u w:val="single"/>
          <w:lang w:eastAsia="en-GB"/>
        </w:rPr>
        <w:t>Related R&amp;I actions and national capacity</w:t>
      </w:r>
    </w:p>
    <w:p>
      <w:pPr>
        <w:pStyle w:val="ListParagraph"/>
        <w:numPr>
          <w:ilvl w:val="0"/>
          <w:numId w:val="126"/>
        </w:numPr>
        <w:spacing w:after="120" w:line="240" w:lineRule="auto"/>
        <w:ind w:left="426"/>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National STI policy is driven and monitored by the National Council for Scientific Research (CNRS), which established a first national policy in 1966. While research funding is small in absolute terms</w:t>
      </w:r>
      <w:r>
        <w:rPr>
          <w:rFonts w:ascii="Times New Roman" w:hAnsi="Times New Roman"/>
          <w:noProof/>
          <w:sz w:val="24"/>
          <w:szCs w:val="24"/>
          <w:vertAlign w:val="superscript"/>
        </w:rPr>
        <w:footnoteReference w:id="66"/>
      </w:r>
      <w:r>
        <w:rPr>
          <w:rFonts w:ascii="Times New Roman" w:eastAsia="Times New Roman" w:hAnsi="Times New Roman"/>
          <w:noProof/>
          <w:sz w:val="24"/>
          <w:szCs w:val="24"/>
          <w:lang w:eastAsia="en-GB"/>
        </w:rPr>
        <w:t>, 80% of the budget is dedicated to funding the activities of research centres and programmes. The national STI system is also supported by a network of 41 accredited universities, of which some are internationally recognized research universities</w:t>
      </w:r>
      <w:r>
        <w:rPr>
          <w:rFonts w:ascii="Times New Roman" w:hAnsi="Times New Roman"/>
          <w:noProof/>
          <w:sz w:val="24"/>
          <w:szCs w:val="24"/>
          <w:vertAlign w:val="superscript"/>
        </w:rPr>
        <w:footnoteReference w:id="67"/>
      </w:r>
      <w:r>
        <w:rPr>
          <w:rFonts w:ascii="Times New Roman" w:eastAsia="Times New Roman" w:hAnsi="Times New Roman"/>
          <w:noProof/>
          <w:sz w:val="24"/>
          <w:szCs w:val="24"/>
          <w:lang w:eastAsia="en-GB"/>
        </w:rPr>
        <w:t>.</w:t>
      </w:r>
    </w:p>
    <w:p>
      <w:pPr>
        <w:pStyle w:val="ListParagraph"/>
        <w:numPr>
          <w:ilvl w:val="0"/>
          <w:numId w:val="126"/>
        </w:numPr>
        <w:spacing w:after="120" w:line="240" w:lineRule="auto"/>
        <w:ind w:left="426"/>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Lebanon also has bilateral STI agreements with France and Italy as well as joint Lebanese-French and Lebanese-Syrian research grant programmes.</w:t>
      </w:r>
    </w:p>
    <w:p>
      <w:pPr>
        <w:pStyle w:val="ListParagraph"/>
        <w:numPr>
          <w:ilvl w:val="0"/>
          <w:numId w:val="126"/>
        </w:numPr>
        <w:spacing w:after="120" w:line="240" w:lineRule="auto"/>
        <w:ind w:left="426"/>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Among its public research capabilities, Lebanon has a National Centre for Remote Sensing (CRS), which has carried out several projects using remote sensing and GIS techniques in applications that are highly relevant to PRIMA such as environmental surveys on land degradation and desertification risks, watershed mapping, forestry management, integrated coastal zone management and natural hazards. CRS has also set up a detailed soil map of Lebanon for the purposes of environmental monitoring. The CRS also collaborates with the French Centre Nationale de la Recherche Scientifique in this field.</w:t>
      </w:r>
    </w:p>
    <w:p>
      <w:pPr>
        <w:spacing w:before="240" w:after="120" w:line="240" w:lineRule="auto"/>
        <w:jc w:val="both"/>
        <w:rPr>
          <w:rFonts w:ascii="Times New Roman" w:hAnsi="Times New Roman"/>
          <w:b/>
          <w:noProof/>
          <w:sz w:val="24"/>
          <w:szCs w:val="24"/>
        </w:rPr>
      </w:pPr>
      <w:r>
        <w:rPr>
          <w:rFonts w:ascii="Times New Roman" w:hAnsi="Times New Roman"/>
          <w:b/>
          <w:noProof/>
          <w:sz w:val="24"/>
          <w:szCs w:val="24"/>
        </w:rPr>
        <w:t>Morocco</w:t>
      </w:r>
    </w:p>
    <w:p>
      <w:pPr>
        <w:spacing w:after="120" w:line="240" w:lineRule="auto"/>
        <w:jc w:val="both"/>
        <w:rPr>
          <w:rFonts w:ascii="Times New Roman" w:hAnsi="Times New Roman"/>
          <w:b/>
          <w:i/>
          <w:noProof/>
          <w:sz w:val="24"/>
          <w:szCs w:val="24"/>
          <w:u w:val="single"/>
        </w:rPr>
      </w:pPr>
      <w:r>
        <w:rPr>
          <w:rFonts w:ascii="Times New Roman" w:hAnsi="Times New Roman"/>
          <w:i/>
          <w:noProof/>
          <w:sz w:val="24"/>
          <w:szCs w:val="24"/>
          <w:u w:val="single"/>
        </w:rPr>
        <w:t>State contribution to PRIMA</w:t>
      </w:r>
    </w:p>
    <w:p>
      <w:pPr>
        <w:pStyle w:val="ListParagraph"/>
        <w:numPr>
          <w:ilvl w:val="0"/>
          <w:numId w:val="126"/>
        </w:numPr>
        <w:spacing w:after="120" w:line="240" w:lineRule="auto"/>
        <w:ind w:left="426"/>
        <w:rPr>
          <w:rFonts w:ascii="Times New Roman" w:hAnsi="Times New Roman"/>
          <w:noProof/>
          <w:sz w:val="24"/>
          <w:szCs w:val="24"/>
        </w:rPr>
      </w:pPr>
      <w:r>
        <w:rPr>
          <w:rFonts w:ascii="Times New Roman" w:hAnsi="Times New Roman"/>
          <w:noProof/>
          <w:sz w:val="24"/>
          <w:szCs w:val="24"/>
        </w:rPr>
        <w:t>€20 million cash contribution (corresponding to 10% of total contribution from Participating States)</w:t>
      </w:r>
    </w:p>
    <w:p>
      <w:pPr>
        <w:pStyle w:val="ListParagraph"/>
        <w:numPr>
          <w:ilvl w:val="0"/>
          <w:numId w:val="126"/>
        </w:numPr>
        <w:spacing w:after="120" w:line="240" w:lineRule="auto"/>
        <w:ind w:left="426"/>
        <w:rPr>
          <w:rFonts w:ascii="Times New Roman" w:hAnsi="Times New Roman"/>
          <w:b/>
          <w:noProof/>
          <w:sz w:val="24"/>
          <w:szCs w:val="24"/>
        </w:rPr>
      </w:pPr>
      <w:r>
        <w:rPr>
          <w:rFonts w:ascii="Times New Roman" w:hAnsi="Times New Roman"/>
          <w:noProof/>
          <w:sz w:val="24"/>
          <w:szCs w:val="24"/>
        </w:rPr>
        <w:t>€20 million in-kind</w:t>
      </w:r>
    </w:p>
    <w:p>
      <w:pPr>
        <w:spacing w:after="120" w:line="240" w:lineRule="auto"/>
        <w:jc w:val="both"/>
        <w:rPr>
          <w:rFonts w:ascii="Times New Roman" w:hAnsi="Times New Roman"/>
          <w:i/>
          <w:noProof/>
          <w:sz w:val="24"/>
          <w:szCs w:val="24"/>
          <w:u w:val="single"/>
        </w:rPr>
      </w:pPr>
      <w:r>
        <w:rPr>
          <w:rFonts w:ascii="Times New Roman" w:hAnsi="Times New Roman"/>
          <w:i/>
          <w:noProof/>
          <w:sz w:val="24"/>
          <w:szCs w:val="24"/>
          <w:u w:val="single"/>
        </w:rPr>
        <w:t>Nature of research and innovation relationship with the EU and track record of cooperation:</w:t>
      </w:r>
    </w:p>
    <w:p>
      <w:pPr>
        <w:pStyle w:val="ListParagraph"/>
        <w:numPr>
          <w:ilvl w:val="0"/>
          <w:numId w:val="126"/>
        </w:numPr>
        <w:spacing w:after="120" w:line="240" w:lineRule="auto"/>
        <w:ind w:left="426"/>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The overall framework for research and innovation cooperation with the EU is provided by the EU-Morocco Association Agreement (OJ L70, 18/03/2000, p. 2), in which Article 45 'Regional cooperation': d) addresses how 'research in </w:t>
      </w:r>
      <w:r>
        <w:rPr>
          <w:rFonts w:ascii="Times New Roman" w:hAnsi="Times New Roman"/>
          <w:noProof/>
          <w:sz w:val="24"/>
          <w:szCs w:val="24"/>
        </w:rPr>
        <w:t>science</w:t>
      </w:r>
      <w:r>
        <w:rPr>
          <w:rFonts w:ascii="Times New Roman" w:eastAsia="Times New Roman" w:hAnsi="Times New Roman"/>
          <w:noProof/>
          <w:sz w:val="24"/>
          <w:szCs w:val="24"/>
          <w:lang w:eastAsia="en-GB"/>
        </w:rPr>
        <w:t xml:space="preserve"> and technology' is to be fostered with a regional impact involving third countries'.</w:t>
      </w:r>
    </w:p>
    <w:p>
      <w:pPr>
        <w:pStyle w:val="ListParagraph"/>
        <w:numPr>
          <w:ilvl w:val="0"/>
          <w:numId w:val="126"/>
        </w:numPr>
        <w:spacing w:after="120" w:line="240" w:lineRule="auto"/>
        <w:ind w:left="426"/>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 EU and Morocco have signed a science and technology agreement (OJ L37, 10/02/2004, p. 9) which is in force since 2005.</w:t>
      </w:r>
    </w:p>
    <w:p>
      <w:pPr>
        <w:pStyle w:val="ListParagraph"/>
        <w:numPr>
          <w:ilvl w:val="0"/>
          <w:numId w:val="126"/>
        </w:numPr>
        <w:spacing w:after="120" w:line="240" w:lineRule="auto"/>
        <w:ind w:left="426"/>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Legal Entities from Morocco are already eligible to EU funding under Horizon 2020.</w:t>
      </w:r>
    </w:p>
    <w:p>
      <w:pPr>
        <w:pStyle w:val="ListParagraph"/>
        <w:numPr>
          <w:ilvl w:val="0"/>
          <w:numId w:val="126"/>
        </w:numPr>
        <w:spacing w:after="120" w:line="240" w:lineRule="auto"/>
        <w:ind w:left="426"/>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Participation record in EU Research Framework Programmes:</w:t>
      </w:r>
    </w:p>
    <w:p>
      <w:pPr>
        <w:pStyle w:val="ListParagraph"/>
        <w:numPr>
          <w:ilvl w:val="1"/>
          <w:numId w:val="127"/>
        </w:numPr>
        <w:spacing w:after="120" w:line="240" w:lineRule="auto"/>
        <w:ind w:left="709"/>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2007-2013 (FP7): Total participant costs: €17.2 million; EU contribution: €13.6 million drawn in accordance with research framework programme rules.</w:t>
      </w:r>
    </w:p>
    <w:p>
      <w:pPr>
        <w:pStyle w:val="ListParagraph"/>
        <w:numPr>
          <w:ilvl w:val="1"/>
          <w:numId w:val="127"/>
        </w:numPr>
        <w:spacing w:after="120" w:line="240" w:lineRule="auto"/>
        <w:ind w:left="709"/>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2014-on-going (Horizon 2020): Total participant costs: €3.3 million; EU contribution: €3.0 million drawn in accordance with research framework programme rules.</w:t>
      </w:r>
    </w:p>
    <w:p>
      <w:pPr>
        <w:spacing w:after="120" w:line="240" w:lineRule="auto"/>
        <w:jc w:val="both"/>
        <w:rPr>
          <w:rFonts w:ascii="Times New Roman" w:hAnsi="Times New Roman"/>
          <w:i/>
          <w:noProof/>
          <w:sz w:val="24"/>
          <w:szCs w:val="24"/>
          <w:u w:val="single"/>
        </w:rPr>
      </w:pPr>
      <w:r>
        <w:rPr>
          <w:rFonts w:ascii="Times New Roman" w:hAnsi="Times New Roman"/>
          <w:i/>
          <w:noProof/>
          <w:sz w:val="24"/>
          <w:szCs w:val="24"/>
          <w:u w:val="single"/>
        </w:rPr>
        <w:t>Record of administrative and financial management in cooperation with the EU, and management of EU funding.</w:t>
      </w:r>
    </w:p>
    <w:p>
      <w:pPr>
        <w:pStyle w:val="ListParagraph"/>
        <w:numPr>
          <w:ilvl w:val="0"/>
          <w:numId w:val="126"/>
        </w:numPr>
        <w:spacing w:after="120" w:line="240" w:lineRule="auto"/>
        <w:ind w:left="426"/>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See track record in the participation in EU Research Framework Programmes above.</w:t>
      </w:r>
    </w:p>
    <w:p>
      <w:pPr>
        <w:pStyle w:val="ListParagraph"/>
        <w:numPr>
          <w:ilvl w:val="0"/>
          <w:numId w:val="126"/>
        </w:numPr>
        <w:spacing w:after="120" w:line="240" w:lineRule="auto"/>
        <w:ind w:left="426"/>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Proven experience of funding agencies in the participation in joint programming actions (ERA-NET type projects) and a successful track record of fulfilment of financial commitments from national budgets combined to EU funding.</w:t>
      </w:r>
    </w:p>
    <w:p>
      <w:pPr>
        <w:pStyle w:val="ListParagraph"/>
        <w:numPr>
          <w:ilvl w:val="1"/>
          <w:numId w:val="127"/>
        </w:numPr>
        <w:spacing w:after="120" w:line="240" w:lineRule="auto"/>
        <w:ind w:left="709"/>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ERANETMED: Morocco contributed national funds amounting to €1 million</w:t>
      </w:r>
      <w:r>
        <w:rPr>
          <w:rFonts w:ascii="Times New Roman" w:hAnsi="Times New Roman"/>
          <w:noProof/>
          <w:sz w:val="24"/>
          <w:szCs w:val="24"/>
          <w:vertAlign w:val="superscript"/>
        </w:rPr>
        <w:footnoteReference w:id="68"/>
      </w:r>
      <w:r>
        <w:rPr>
          <w:rFonts w:ascii="Times New Roman" w:eastAsia="Times New Roman" w:hAnsi="Times New Roman"/>
          <w:noProof/>
          <w:sz w:val="24"/>
          <w:szCs w:val="24"/>
          <w:lang w:eastAsia="en-GB"/>
        </w:rPr>
        <w:t xml:space="preserve"> in Call 1 (2014). A further national funding amounting to €0.3 million has been committed to Call 2 (2016).</w:t>
      </w:r>
    </w:p>
    <w:p>
      <w:pPr>
        <w:pStyle w:val="ListParagraph"/>
        <w:numPr>
          <w:ilvl w:val="1"/>
          <w:numId w:val="127"/>
        </w:numPr>
        <w:spacing w:after="120" w:line="240" w:lineRule="auto"/>
        <w:ind w:left="709"/>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ARIMNet and ARIMNet2: Morocco committed €0.5 million of national funding to Call 2 (2016).</w:t>
      </w:r>
    </w:p>
    <w:p>
      <w:pPr>
        <w:pStyle w:val="ListParagraph"/>
        <w:numPr>
          <w:ilvl w:val="0"/>
          <w:numId w:val="126"/>
        </w:numPr>
        <w:spacing w:after="120" w:line="240" w:lineRule="auto"/>
        <w:ind w:left="426"/>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Under the EU Neighbourhood policy Morocco benefits from a privileged partnership with the EU. Bilateral financial transfers during the period from 2014 to 2017 to range from €728 to €890 million, which are allocated to specific national projects and/or direct contributions to the national budget.</w:t>
      </w:r>
    </w:p>
    <w:p>
      <w:pPr>
        <w:spacing w:after="120" w:line="240" w:lineRule="auto"/>
        <w:jc w:val="both"/>
        <w:rPr>
          <w:rFonts w:ascii="Times New Roman" w:eastAsia="Times New Roman" w:hAnsi="Times New Roman"/>
          <w:i/>
          <w:noProof/>
          <w:sz w:val="24"/>
          <w:szCs w:val="24"/>
          <w:u w:val="single"/>
          <w:lang w:eastAsia="en-GB"/>
        </w:rPr>
      </w:pPr>
      <w:r>
        <w:rPr>
          <w:rFonts w:ascii="Times New Roman" w:eastAsia="Times New Roman" w:hAnsi="Times New Roman"/>
          <w:i/>
          <w:noProof/>
          <w:sz w:val="24"/>
          <w:szCs w:val="24"/>
          <w:u w:val="single"/>
          <w:lang w:eastAsia="en-GB"/>
        </w:rPr>
        <w:t>Nature of research and innovation relationship with the EU and track record of cooperation</w:t>
      </w:r>
    </w:p>
    <w:p>
      <w:pPr>
        <w:pStyle w:val="ListParagraph"/>
        <w:numPr>
          <w:ilvl w:val="0"/>
          <w:numId w:val="126"/>
        </w:numPr>
        <w:spacing w:after="120" w:line="240" w:lineRule="auto"/>
        <w:ind w:left="426"/>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 national STI system is steered by the Ministry responsible for scientific research (</w:t>
      </w:r>
      <w:r>
        <w:rPr>
          <w:rFonts w:ascii="Times New Roman" w:hAnsi="Times New Roman"/>
          <w:noProof/>
          <w:color w:val="333333"/>
          <w:sz w:val="24"/>
          <w:szCs w:val="24"/>
        </w:rPr>
        <w:t xml:space="preserve">MENESFCRS), together with the </w:t>
      </w:r>
      <w:r>
        <w:rPr>
          <w:rFonts w:ascii="Times New Roman" w:eastAsia="Times New Roman" w:hAnsi="Times New Roman"/>
          <w:noProof/>
          <w:sz w:val="24"/>
          <w:szCs w:val="24"/>
          <w:lang w:eastAsia="en-GB"/>
        </w:rPr>
        <w:t>Centre National pour la Recherche Scientifique et Technique (CNRST), which is primarily responsible for the implementation of national programmes. Meanwhile L'Association Marocaine pour la Recherche-Développement (R&amp;D Maroc) deals with innovation policy and private sector research.</w:t>
      </w:r>
    </w:p>
    <w:p>
      <w:pPr>
        <w:pStyle w:val="ListParagraph"/>
        <w:numPr>
          <w:ilvl w:val="0"/>
          <w:numId w:val="126"/>
        </w:numPr>
        <w:spacing w:after="120" w:line="240" w:lineRule="auto"/>
        <w:ind w:left="426"/>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Bilateral cooperation is strongest with France, whereby 54% of co-publications with researchers outside Morocco occur with France, of which approximately two thirds are with the French Centre Nationale de la Recherche Scientifique</w:t>
      </w:r>
      <w:r>
        <w:rPr>
          <w:rStyle w:val="FootnoteReference"/>
          <w:rFonts w:ascii="Times New Roman" w:eastAsia="Times New Roman" w:hAnsi="Times New Roman"/>
          <w:noProof/>
          <w:sz w:val="24"/>
          <w:szCs w:val="24"/>
          <w:lang w:eastAsia="en-GB"/>
        </w:rPr>
        <w:footnoteReference w:id="69"/>
      </w:r>
    </w:p>
    <w:p>
      <w:pPr>
        <w:pStyle w:val="ListParagraph"/>
        <w:numPr>
          <w:ilvl w:val="0"/>
          <w:numId w:val="126"/>
        </w:numPr>
        <w:spacing w:after="120" w:line="240" w:lineRule="auto"/>
        <w:ind w:left="426"/>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Research cooperation in the area of water management includes French-Moroccan research programme Sudmed targeting water resources in the region of Marrakech Tensift-El Haouz. Bilateral S&amp;T agreements are also in place with Belgium, Portugal, Spain, Turkey and USA.</w:t>
      </w:r>
    </w:p>
    <w:p>
      <w:pPr>
        <w:pStyle w:val="ListParagraph"/>
        <w:numPr>
          <w:ilvl w:val="0"/>
          <w:numId w:val="126"/>
        </w:numPr>
        <w:spacing w:after="120" w:line="240" w:lineRule="auto"/>
        <w:ind w:left="426"/>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Water management is a key priority for R&amp;I efforts in Morocco given a semi-arid climate and heavy recourse to irrigation for agricultural purposes. Agricultural production is an important contributor to Moroccan economy, accounting for 10.5% of exports and 65% of revenues in rural areas and is highly volatile and susceptible to climatic fluctuations</w:t>
      </w:r>
      <w:r>
        <w:rPr>
          <w:rStyle w:val="FootnoteReference"/>
          <w:rFonts w:ascii="Times New Roman" w:eastAsia="Times New Roman" w:hAnsi="Times New Roman"/>
          <w:noProof/>
          <w:sz w:val="24"/>
          <w:szCs w:val="24"/>
          <w:lang w:eastAsia="en-GB"/>
        </w:rPr>
        <w:footnoteReference w:id="70"/>
      </w:r>
      <w:r>
        <w:rPr>
          <w:rFonts w:ascii="Times New Roman" w:eastAsia="Times New Roman" w:hAnsi="Times New Roman"/>
          <w:noProof/>
          <w:sz w:val="24"/>
          <w:szCs w:val="24"/>
          <w:lang w:eastAsia="en-GB"/>
        </w:rPr>
        <w:t xml:space="preserve">. </w:t>
      </w:r>
    </w:p>
    <w:p>
      <w:pPr>
        <w:pStyle w:val="ListParagraph"/>
        <w:numPr>
          <w:ilvl w:val="0"/>
          <w:numId w:val="126"/>
        </w:numPr>
        <w:spacing w:after="120" w:line="240" w:lineRule="auto"/>
        <w:ind w:left="426"/>
        <w:rPr>
          <w:rFonts w:ascii="Times New Roman" w:hAnsi="Times New Roman"/>
          <w:noProof/>
          <w:sz w:val="24"/>
          <w:szCs w:val="24"/>
        </w:rPr>
      </w:pPr>
      <w:r>
        <w:rPr>
          <w:rFonts w:ascii="Times New Roman" w:eastAsia="Times New Roman" w:hAnsi="Times New Roman"/>
          <w:noProof/>
          <w:sz w:val="24"/>
          <w:szCs w:val="24"/>
          <w:lang w:eastAsia="en-GB"/>
        </w:rPr>
        <w:t>The International Institute for Water and Sanitation (IEA) was set up in 2008 in Morocco with a regional (MENA) focus. It activities include research on water technologies and practices. A notable project undertaken with the Hassan II Institute of Agronomy and Veterinarian Studies studied crop yields and water productivity</w:t>
      </w:r>
      <w:r>
        <w:rPr>
          <w:rStyle w:val="FootnoteReference"/>
          <w:rFonts w:ascii="Times New Roman" w:eastAsia="Times New Roman" w:hAnsi="Times New Roman"/>
          <w:noProof/>
          <w:sz w:val="24"/>
          <w:szCs w:val="24"/>
          <w:lang w:eastAsia="en-GB"/>
        </w:rPr>
        <w:footnoteReference w:id="71"/>
      </w:r>
      <w:r>
        <w:rPr>
          <w:rFonts w:ascii="Times New Roman" w:eastAsia="Times New Roman" w:hAnsi="Times New Roman"/>
          <w:noProof/>
          <w:sz w:val="24"/>
          <w:szCs w:val="24"/>
          <w:lang w:eastAsia="en-GB"/>
        </w:rPr>
        <w:t>.</w:t>
      </w:r>
    </w:p>
    <w:p>
      <w:pPr>
        <w:spacing w:after="120" w:line="240" w:lineRule="auto"/>
        <w:jc w:val="both"/>
        <w:rPr>
          <w:rFonts w:ascii="Times New Roman" w:hAnsi="Times New Roman"/>
          <w:noProof/>
          <w:sz w:val="24"/>
          <w:szCs w:val="24"/>
        </w:rPr>
      </w:pPr>
    </w:p>
    <w:p>
      <w:pPr>
        <w:spacing w:after="0" w:line="240" w:lineRule="auto"/>
        <w:rPr>
          <w:rFonts w:ascii="Times New Roman" w:eastAsia="Times New Roman" w:hAnsi="Times New Roman"/>
          <w:b/>
          <w:bCs/>
          <w:noProof/>
          <w:sz w:val="24"/>
          <w:szCs w:val="24"/>
        </w:rPr>
      </w:pPr>
      <w:bookmarkStart w:id="227" w:name="_Toc452026197"/>
      <w:bookmarkStart w:id="228" w:name="_Toc455682281"/>
      <w:bookmarkStart w:id="229" w:name="_Toc455731814"/>
      <w:bookmarkStart w:id="230" w:name="_Toc457466063"/>
      <w:r>
        <w:rPr>
          <w:rFonts w:ascii="Times New Roman" w:hAnsi="Times New Roman"/>
          <w:noProof/>
          <w:sz w:val="24"/>
          <w:szCs w:val="24"/>
        </w:rPr>
        <w:br w:type="page"/>
      </w:r>
    </w:p>
    <w:p>
      <w:pPr>
        <w:pStyle w:val="Heading1"/>
        <w:numPr>
          <w:ilvl w:val="1"/>
          <w:numId w:val="7"/>
        </w:numPr>
        <w:spacing w:before="120" w:after="120" w:line="240" w:lineRule="auto"/>
        <w:rPr>
          <w:rFonts w:ascii="Times New Roman" w:hAnsi="Times New Roman"/>
          <w:noProof/>
          <w:color w:val="auto"/>
          <w:sz w:val="24"/>
          <w:szCs w:val="24"/>
        </w:rPr>
      </w:pPr>
      <w:r>
        <w:rPr>
          <w:rFonts w:ascii="Times New Roman" w:hAnsi="Times New Roman"/>
          <w:noProof/>
          <w:color w:val="auto"/>
          <w:sz w:val="24"/>
          <w:szCs w:val="24"/>
        </w:rPr>
        <w:t>Impacts likely to change over time</w:t>
      </w:r>
      <w:bookmarkEnd w:id="227"/>
      <w:bookmarkEnd w:id="228"/>
      <w:bookmarkEnd w:id="229"/>
      <w:bookmarkEnd w:id="230"/>
    </w:p>
    <w:p>
      <w:pPr>
        <w:spacing w:after="120" w:line="240" w:lineRule="auto"/>
        <w:jc w:val="both"/>
        <w:rPr>
          <w:rFonts w:ascii="Times New Roman" w:hAnsi="Times New Roman"/>
          <w:noProof/>
          <w:sz w:val="24"/>
        </w:rPr>
      </w:pPr>
      <w:r>
        <w:rPr>
          <w:rFonts w:ascii="Times New Roman" w:hAnsi="Times New Roman"/>
          <w:noProof/>
          <w:sz w:val="24"/>
        </w:rPr>
        <w:t xml:space="preserve">Impacts in </w:t>
      </w:r>
      <w:r>
        <w:rPr>
          <w:rFonts w:ascii="Times New Roman" w:hAnsi="Times New Roman"/>
          <w:b/>
          <w:noProof/>
          <w:sz w:val="24"/>
        </w:rPr>
        <w:t xml:space="preserve">Option 0 </w:t>
      </w:r>
      <w:r>
        <w:rPr>
          <w:rFonts w:ascii="Times New Roman" w:hAnsi="Times New Roman"/>
          <w:noProof/>
          <w:sz w:val="24"/>
        </w:rPr>
        <w:t>are not expected to change over time.</w:t>
      </w:r>
    </w:p>
    <w:p>
      <w:pPr>
        <w:spacing w:after="120" w:line="240" w:lineRule="auto"/>
        <w:jc w:val="both"/>
        <w:rPr>
          <w:rFonts w:ascii="Times New Roman" w:hAnsi="Times New Roman"/>
          <w:noProof/>
          <w:sz w:val="24"/>
        </w:rPr>
      </w:pPr>
      <w:r>
        <w:rPr>
          <w:rFonts w:ascii="Times New Roman" w:hAnsi="Times New Roman"/>
          <w:b/>
          <w:noProof/>
          <w:sz w:val="24"/>
        </w:rPr>
        <w:t>Option 1</w:t>
      </w:r>
      <w:r>
        <w:rPr>
          <w:rFonts w:ascii="Times New Roman" w:hAnsi="Times New Roman"/>
          <w:noProof/>
          <w:sz w:val="24"/>
        </w:rPr>
        <w:t xml:space="preserve"> would contribute in a ad-hoc way to the short-term coordination of Mediterranean R&amp;I systems. The implementation of transnational research projects based on an international peer review evaluation process should contribute to increasing the quality of research, increasing the level of funding for challenges which no country can tackle alone and avoiding the duplication of research funding. </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In </w:t>
      </w:r>
      <w:r>
        <w:rPr>
          <w:rFonts w:ascii="Times New Roman" w:hAnsi="Times New Roman"/>
          <w:b/>
          <w:noProof/>
          <w:sz w:val="24"/>
          <w:szCs w:val="24"/>
        </w:rPr>
        <w:t>Option 2</w:t>
      </w:r>
      <w:r>
        <w:rPr>
          <w:rFonts w:ascii="Times New Roman" w:hAnsi="Times New Roman"/>
          <w:noProof/>
          <w:sz w:val="24"/>
          <w:szCs w:val="24"/>
        </w:rPr>
        <w:t xml:space="preserve">, which implies long-term integration and substantial resources commitments, a centralised grant management by the DIS would lead to simplification in the medium and long term. Effective co-ordination of Mediterranean R&amp;I capacities, solid public and private investment in R&amp;I in the field of water provision and food systems, and third countries and international relations would increase. </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A similar situation could be envisaged regarding knowledge transfer and skill creation among Public Institutions and researchers and innovators. </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With regards to the scope of the initiative, Article 185 initiatives could be enlarged to other countries European and third countries, and therefore, expected impacts may increase. </w:t>
      </w:r>
    </w:p>
    <w:p>
      <w:pPr>
        <w:spacing w:after="120" w:line="240" w:lineRule="auto"/>
        <w:jc w:val="both"/>
        <w:rPr>
          <w:rFonts w:ascii="Times New Roman" w:hAnsi="Times New Roman"/>
          <w:noProof/>
          <w:sz w:val="24"/>
          <w:szCs w:val="24"/>
        </w:rPr>
      </w:pPr>
      <w:r>
        <w:rPr>
          <w:rFonts w:ascii="Times New Roman" w:hAnsi="Times New Roman"/>
          <w:noProof/>
          <w:sz w:val="24"/>
          <w:szCs w:val="24"/>
        </w:rPr>
        <w:t>In a mid to long-term perspective, achieving results of the R&amp;I activities are expected to lead to a stable Mediterranean R&amp;I capacity likely to entail additional positive social impacts, impacts on competitiveness (e.g. food industry and water management solutions for small agricultural producers) and environmental impacts.</w:t>
      </w:r>
    </w:p>
    <w:p>
      <w:pPr>
        <w:spacing w:after="120" w:line="240" w:lineRule="auto"/>
        <w:jc w:val="both"/>
        <w:rPr>
          <w:rFonts w:ascii="Times New Roman" w:hAnsi="Times New Roman"/>
          <w:noProof/>
          <w:sz w:val="24"/>
          <w:szCs w:val="24"/>
          <w:lang w:eastAsia="fr-BE"/>
        </w:rPr>
      </w:pPr>
      <w:r>
        <w:rPr>
          <w:rFonts w:ascii="Times New Roman" w:hAnsi="Times New Roman"/>
          <w:noProof/>
          <w:sz w:val="24"/>
          <w:szCs w:val="24"/>
          <w:lang w:eastAsia="fr-BE"/>
        </w:rPr>
        <w:t>In consideration of the on-going activities reported in Section 1, in the previous paragraph 5.5.1, more extensively in the Annexes 4, 5 and 8, and in the next sections on the comparison of the policy options, the Prima Joint Programme based on Article 185 TFEU is not likely to have a crowding out effects of other existing or planned bi- or multilateral programmes. There are, in fact, no specific programmes overlapping with the objectives of the PRIMA Joint Programme. The existing or planned bi- or multilateral programmes, that are partially addressing either water or food, are, in most of the cases, taking place between the countries that have also committed to the participation to the PRIMA Joint Programme, with limited or no budget attached. In addition, many of the ERA-NET actions are going to be terminated by the end of 2016. Therefore, in consideration also of the approach for the implementation of the PRIMA initiative, it is reasonable to assume that there will be no discontinuity in such bi- or multilateral programme, as many activities will still be managed at national level. On the contrary, PRIMA will likely to contribute to ongoing initiatives, resulting in a more efficient and effective expenditure of public funding for R&amp;I, thanks to a common, integrated and long term strategic agenda.</w:t>
      </w:r>
    </w:p>
    <w:p>
      <w:pPr>
        <w:spacing w:after="120" w:line="240" w:lineRule="auto"/>
        <w:jc w:val="both"/>
        <w:rPr>
          <w:rFonts w:ascii="Times New Roman" w:hAnsi="Times New Roman"/>
          <w:noProof/>
          <w:sz w:val="24"/>
          <w:szCs w:val="24"/>
          <w:lang w:eastAsia="fr-BE"/>
        </w:rPr>
      </w:pPr>
    </w:p>
    <w:p>
      <w:pPr>
        <w:spacing w:after="120" w:line="240" w:lineRule="auto"/>
        <w:jc w:val="both"/>
        <w:rPr>
          <w:rFonts w:ascii="Times New Roman" w:hAnsi="Times New Roman"/>
          <w:noProof/>
          <w:sz w:val="24"/>
          <w:szCs w:val="24"/>
          <w:lang w:eastAsia="fr-BE"/>
        </w:rPr>
      </w:pPr>
    </w:p>
    <w:p>
      <w:pPr>
        <w:rPr>
          <w:noProof/>
        </w:rPr>
      </w:pPr>
      <w:r>
        <w:rPr>
          <w:noProo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747"/>
      </w:tblGrid>
      <w:tr>
        <w:tc>
          <w:tcPr>
            <w:tcW w:w="9747" w:type="dxa"/>
            <w:shd w:val="clear" w:color="auto" w:fill="F2F2F2" w:themeFill="background1" w:themeFillShade="F2"/>
          </w:tcPr>
          <w:p>
            <w:pPr>
              <w:keepNext/>
              <w:keepLines/>
              <w:numPr>
                <w:ilvl w:val="0"/>
                <w:numId w:val="7"/>
              </w:numPr>
              <w:spacing w:before="120" w:after="120" w:line="240" w:lineRule="auto"/>
              <w:outlineLvl w:val="0"/>
              <w:rPr>
                <w:rFonts w:ascii="Times New Roman" w:hAnsi="Times New Roman"/>
                <w:b/>
                <w:noProof/>
                <w:sz w:val="24"/>
                <w:szCs w:val="24"/>
              </w:rPr>
            </w:pPr>
            <w:bookmarkStart w:id="231" w:name="_Toc452026199"/>
            <w:bookmarkStart w:id="232" w:name="_Toc455682282"/>
            <w:bookmarkStart w:id="233" w:name="_Toc455731815"/>
            <w:bookmarkStart w:id="234" w:name="_Toc457466064"/>
            <w:r>
              <w:rPr>
                <w:rFonts w:ascii="Times New Roman" w:hAnsi="Times New Roman"/>
                <w:b/>
                <w:noProof/>
                <w:sz w:val="24"/>
                <w:szCs w:val="24"/>
              </w:rPr>
              <w:t>Section 6.</w:t>
            </w:r>
            <w:r>
              <w:rPr>
                <w:rFonts w:ascii="Times New Roman" w:eastAsia="Times New Roman" w:hAnsi="Times New Roman"/>
                <w:b/>
                <w:bCs/>
                <w:noProof/>
                <w:sz w:val="24"/>
                <w:szCs w:val="24"/>
                <w:lang w:eastAsia="en-GB"/>
              </w:rPr>
              <w:t xml:space="preserve"> How do the options compare</w:t>
            </w:r>
            <w:r>
              <w:rPr>
                <w:rFonts w:ascii="Times New Roman" w:hAnsi="Times New Roman"/>
                <w:b/>
                <w:noProof/>
                <w:sz w:val="24"/>
                <w:szCs w:val="24"/>
              </w:rPr>
              <w:t>?</w:t>
            </w:r>
            <w:bookmarkEnd w:id="231"/>
            <w:bookmarkEnd w:id="232"/>
            <w:bookmarkEnd w:id="233"/>
            <w:bookmarkEnd w:id="234"/>
          </w:p>
        </w:tc>
      </w:tr>
    </w:tbl>
    <w:p>
      <w:pPr>
        <w:pStyle w:val="Heading1"/>
        <w:numPr>
          <w:ilvl w:val="1"/>
          <w:numId w:val="7"/>
        </w:numPr>
        <w:spacing w:before="120" w:after="120" w:line="240" w:lineRule="auto"/>
        <w:rPr>
          <w:rFonts w:ascii="Times New Roman" w:hAnsi="Times New Roman"/>
          <w:noProof/>
          <w:color w:val="auto"/>
          <w:sz w:val="24"/>
          <w:szCs w:val="24"/>
        </w:rPr>
      </w:pPr>
      <w:bookmarkStart w:id="235" w:name="_Toc452026200"/>
      <w:bookmarkStart w:id="236" w:name="_Toc455682283"/>
      <w:bookmarkStart w:id="237" w:name="_Toc455731816"/>
      <w:bookmarkStart w:id="238" w:name="_Toc457466065"/>
      <w:r>
        <w:rPr>
          <w:rFonts w:ascii="Times New Roman" w:hAnsi="Times New Roman"/>
          <w:noProof/>
          <w:color w:val="auto"/>
          <w:sz w:val="24"/>
          <w:szCs w:val="24"/>
        </w:rPr>
        <w:t>Compare the options</w:t>
      </w:r>
      <w:bookmarkEnd w:id="235"/>
      <w:bookmarkEnd w:id="236"/>
      <w:bookmarkEnd w:id="237"/>
      <w:bookmarkEnd w:id="238"/>
    </w:p>
    <w:p>
      <w:pPr>
        <w:spacing w:after="120" w:line="240" w:lineRule="auto"/>
        <w:jc w:val="both"/>
        <w:rPr>
          <w:rFonts w:ascii="Times New Roman" w:hAnsi="Times New Roman"/>
          <w:noProof/>
          <w:sz w:val="24"/>
        </w:rPr>
      </w:pPr>
      <w:r>
        <w:rPr>
          <w:rFonts w:ascii="Times New Roman" w:hAnsi="Times New Roman"/>
          <w:noProof/>
          <w:sz w:val="24"/>
        </w:rPr>
        <w:t xml:space="preserve">Taking into account the likely impacts of the options and the assessment presented in Section 5, the different policy options have been compared against each other using the baseline scenario as the reference and applying the following criteria: </w:t>
      </w:r>
    </w:p>
    <w:p>
      <w:pPr>
        <w:numPr>
          <w:ilvl w:val="0"/>
          <w:numId w:val="11"/>
        </w:numPr>
        <w:spacing w:after="120" w:line="240" w:lineRule="auto"/>
        <w:ind w:left="426"/>
        <w:contextualSpacing/>
        <w:jc w:val="both"/>
        <w:rPr>
          <w:rFonts w:ascii="Times New Roman" w:hAnsi="Times New Roman"/>
          <w:noProof/>
          <w:sz w:val="24"/>
        </w:rPr>
      </w:pPr>
      <w:r>
        <w:rPr>
          <w:rFonts w:ascii="Times New Roman" w:hAnsi="Times New Roman"/>
          <w:b/>
          <w:noProof/>
          <w:sz w:val="24"/>
        </w:rPr>
        <w:t>Effectiveness</w:t>
      </w:r>
      <w:r>
        <w:rPr>
          <w:rFonts w:ascii="Times New Roman" w:hAnsi="Times New Roman"/>
          <w:noProof/>
          <w:sz w:val="24"/>
        </w:rPr>
        <w:t xml:space="preserve">: the proposed options should be effective at improving the R&amp;I framework in Mediterranean Area in the fields of water provision and food systems. </w:t>
      </w:r>
    </w:p>
    <w:p>
      <w:pPr>
        <w:numPr>
          <w:ilvl w:val="0"/>
          <w:numId w:val="11"/>
        </w:numPr>
        <w:spacing w:after="120" w:line="240" w:lineRule="auto"/>
        <w:ind w:left="426"/>
        <w:contextualSpacing/>
        <w:jc w:val="both"/>
        <w:rPr>
          <w:rFonts w:ascii="Times New Roman" w:hAnsi="Times New Roman"/>
          <w:noProof/>
          <w:sz w:val="24"/>
        </w:rPr>
      </w:pPr>
      <w:r>
        <w:rPr>
          <w:rFonts w:ascii="Times New Roman" w:hAnsi="Times New Roman"/>
          <w:b/>
          <w:noProof/>
          <w:sz w:val="24"/>
        </w:rPr>
        <w:t>Efficiency:</w:t>
      </w:r>
      <w:r>
        <w:rPr>
          <w:rFonts w:ascii="Times New Roman" w:hAnsi="Times New Roman"/>
          <w:noProof/>
          <w:sz w:val="24"/>
        </w:rPr>
        <w:t xml:space="preserve"> the proposed options should achieve the identified main likely impacts with the greatest benefit/cost ratio. </w:t>
      </w:r>
    </w:p>
    <w:p>
      <w:pPr>
        <w:numPr>
          <w:ilvl w:val="0"/>
          <w:numId w:val="11"/>
        </w:numPr>
        <w:spacing w:after="120" w:line="240" w:lineRule="auto"/>
        <w:ind w:left="426"/>
        <w:contextualSpacing/>
        <w:jc w:val="both"/>
        <w:rPr>
          <w:rFonts w:ascii="Times New Roman" w:hAnsi="Times New Roman"/>
          <w:noProof/>
          <w:sz w:val="24"/>
        </w:rPr>
      </w:pPr>
      <w:r>
        <w:rPr>
          <w:rFonts w:ascii="Times New Roman" w:hAnsi="Times New Roman"/>
          <w:b/>
          <w:noProof/>
          <w:sz w:val="24"/>
        </w:rPr>
        <w:t>Consistency with other policies</w:t>
      </w:r>
      <w:r>
        <w:rPr>
          <w:rFonts w:ascii="Times New Roman" w:hAnsi="Times New Roman"/>
          <w:noProof/>
          <w:sz w:val="24"/>
        </w:rPr>
        <w:t>: the proposed options should be coherent with other European and National R&amp;I policies and programmes and with coordination and cooperation policies at international level.</w:t>
      </w:r>
    </w:p>
    <w:p>
      <w:pPr>
        <w:spacing w:after="120" w:line="240" w:lineRule="auto"/>
        <w:jc w:val="both"/>
        <w:rPr>
          <w:noProof/>
        </w:rPr>
      </w:pPr>
      <w:r>
        <w:rPr>
          <w:rFonts w:ascii="Times New Roman" w:hAnsi="Times New Roman"/>
          <w:noProof/>
          <w:sz w:val="24"/>
        </w:rPr>
        <w:t>Based on these three criteria, comparisons of the policy options have been carried out against the specific objectives and analysed main impacts, and are reported in Table 6.1 and Table 6.2 respectively.</w:t>
      </w:r>
    </w:p>
    <w:p>
      <w:pPr>
        <w:spacing w:after="120" w:line="240" w:lineRule="auto"/>
        <w:jc w:val="both"/>
        <w:rPr>
          <w:rFonts w:ascii="Times New Roman" w:hAnsi="Times New Roman"/>
          <w:noProof/>
          <w:sz w:val="24"/>
          <w:szCs w:val="24"/>
        </w:rPr>
      </w:pPr>
      <w:r>
        <w:rPr>
          <w:rFonts w:ascii="Times New Roman" w:hAnsi="Times New Roman"/>
          <w:noProof/>
          <w:sz w:val="24"/>
          <w:szCs w:val="24"/>
        </w:rPr>
        <w:t>The Table 6.3 is intended to provide a summary of the option comparison assessment.</w:t>
      </w:r>
    </w:p>
    <w:p>
      <w:pPr>
        <w:spacing w:after="120" w:line="240" w:lineRule="auto"/>
        <w:jc w:val="both"/>
        <w:rPr>
          <w:b/>
          <w:noProof/>
          <w:sz w:val="24"/>
        </w:rPr>
      </w:pPr>
    </w:p>
    <w:tbl>
      <w:tblPr>
        <w:tblStyle w:val="LightList-Accent1"/>
        <w:tblW w:w="4716" w:type="pct"/>
        <w:tblInd w:w="108" w:type="dxa"/>
        <w:tblLook w:val="00A0" w:firstRow="1" w:lastRow="0" w:firstColumn="1" w:lastColumn="0" w:noHBand="0" w:noVBand="0"/>
      </w:tblPr>
      <w:tblGrid>
        <w:gridCol w:w="2552"/>
        <w:gridCol w:w="2185"/>
        <w:gridCol w:w="1984"/>
        <w:gridCol w:w="2569"/>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pPr>
              <w:spacing w:after="0" w:line="240" w:lineRule="auto"/>
              <w:jc w:val="both"/>
              <w:rPr>
                <w:rFonts w:ascii="Times New Roman" w:eastAsia="Times New Roman" w:hAnsi="Times New Roman"/>
                <w:noProof/>
                <w:spacing w:val="-2"/>
                <w:sz w:val="20"/>
                <w:szCs w:val="20"/>
              </w:rPr>
            </w:pPr>
            <w:r>
              <w:rPr>
                <w:rFonts w:ascii="Times New Roman" w:eastAsia="Times New Roman" w:hAnsi="Times New Roman"/>
                <w:noProof/>
                <w:spacing w:val="-2"/>
                <w:sz w:val="20"/>
                <w:szCs w:val="20"/>
              </w:rPr>
              <w:t>Specific Objectives</w:t>
            </w:r>
          </w:p>
        </w:tc>
        <w:tc>
          <w:tcPr>
            <w:cnfStyle w:val="000010000000" w:firstRow="0" w:lastRow="0" w:firstColumn="0" w:lastColumn="0" w:oddVBand="1" w:evenVBand="0" w:oddHBand="0" w:evenHBand="0" w:firstRowFirstColumn="0" w:firstRowLastColumn="0" w:lastRowFirstColumn="0" w:lastRowLastColumn="0"/>
            <w:tcW w:w="2185" w:type="dxa"/>
          </w:tcPr>
          <w:p>
            <w:pPr>
              <w:spacing w:after="0" w:line="240" w:lineRule="auto"/>
              <w:jc w:val="center"/>
              <w:rPr>
                <w:rFonts w:ascii="Times New Roman" w:eastAsia="Times New Roman" w:hAnsi="Times New Roman"/>
                <w:noProof/>
                <w:spacing w:val="-2"/>
                <w:sz w:val="20"/>
              </w:rPr>
            </w:pPr>
            <w:r>
              <w:rPr>
                <w:rFonts w:ascii="Times New Roman" w:eastAsia="Times New Roman" w:hAnsi="Times New Roman"/>
                <w:noProof/>
                <w:spacing w:val="-2"/>
                <w:sz w:val="20"/>
              </w:rPr>
              <w:t>Baseline scenario: No dedicated EU action</w:t>
            </w:r>
          </w:p>
        </w:tc>
        <w:tc>
          <w:tcPr>
            <w:tcW w:w="1984" w:type="dxa"/>
          </w:tcPr>
          <w:p>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spacing w:val="-2"/>
                <w:sz w:val="20"/>
              </w:rPr>
            </w:pPr>
            <w:r>
              <w:rPr>
                <w:rFonts w:ascii="Times New Roman" w:eastAsia="Times New Roman" w:hAnsi="Times New Roman"/>
                <w:noProof/>
                <w:spacing w:val="-2"/>
                <w:sz w:val="20"/>
              </w:rPr>
              <w:t>Option 1:  ERA-NET Cofund actions</w:t>
            </w:r>
          </w:p>
        </w:tc>
        <w:tc>
          <w:tcPr>
            <w:cnfStyle w:val="000010000000" w:firstRow="0" w:lastRow="0" w:firstColumn="0" w:lastColumn="0" w:oddVBand="1" w:evenVBand="0" w:oddHBand="0" w:evenHBand="0" w:firstRowFirstColumn="0" w:firstRowLastColumn="0" w:lastRowFirstColumn="0" w:lastRowLastColumn="0"/>
            <w:tcW w:w="2569" w:type="dxa"/>
          </w:tcPr>
          <w:p>
            <w:pPr>
              <w:spacing w:after="0" w:line="240" w:lineRule="auto"/>
              <w:jc w:val="center"/>
              <w:rPr>
                <w:rFonts w:ascii="Times New Roman" w:eastAsia="Times New Roman" w:hAnsi="Times New Roman"/>
                <w:noProof/>
                <w:spacing w:val="-2"/>
                <w:sz w:val="20"/>
                <w:lang w:val="fr-BE"/>
              </w:rPr>
            </w:pPr>
            <w:r>
              <w:rPr>
                <w:rFonts w:ascii="Times New Roman" w:eastAsia="Times New Roman" w:hAnsi="Times New Roman"/>
                <w:noProof/>
                <w:spacing w:val="-2"/>
                <w:sz w:val="20"/>
                <w:lang w:val="fr-BE"/>
              </w:rPr>
              <w:t>Option 2: PRIMA Joint Programme based on Article 185 TFEU</w:t>
            </w:r>
          </w:p>
        </w:tc>
      </w:tr>
      <w:tr>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552" w:type="dxa"/>
            <w:vAlign w:val="center"/>
          </w:tcPr>
          <w:p>
            <w:pPr>
              <w:spacing w:after="0" w:line="240" w:lineRule="auto"/>
              <w:rPr>
                <w:rFonts w:ascii="Times New Roman" w:hAnsi="Times New Roman"/>
                <w:noProof/>
                <w:spacing w:val="-2"/>
                <w:sz w:val="20"/>
              </w:rPr>
            </w:pPr>
            <w:r>
              <w:rPr>
                <w:rFonts w:ascii="Times New Roman" w:hAnsi="Times New Roman"/>
                <w:noProof/>
                <w:spacing w:val="-2"/>
                <w:sz w:val="20"/>
              </w:rPr>
              <w:t>Common long-term SRIA</w:t>
            </w:r>
          </w:p>
        </w:tc>
        <w:tc>
          <w:tcPr>
            <w:cnfStyle w:val="000010000000" w:firstRow="0" w:lastRow="0" w:firstColumn="0" w:lastColumn="0" w:oddVBand="1" w:evenVBand="0" w:oddHBand="0" w:evenHBand="0" w:firstRowFirstColumn="0" w:firstRowLastColumn="0" w:lastRowFirstColumn="0" w:lastRowLastColumn="0"/>
            <w:tcW w:w="2185" w:type="dxa"/>
            <w:vAlign w:val="center"/>
          </w:tcPr>
          <w:p>
            <w:pPr>
              <w:spacing w:after="0" w:line="240" w:lineRule="auto"/>
              <w:jc w:val="center"/>
              <w:rPr>
                <w:rFonts w:ascii="Times New Roman" w:hAnsi="Times New Roman"/>
                <w:noProof/>
                <w:spacing w:val="-2"/>
                <w:sz w:val="20"/>
              </w:rPr>
            </w:pPr>
            <w:r>
              <w:rPr>
                <w:rFonts w:ascii="Times New Roman" w:hAnsi="Times New Roman"/>
                <w:noProof/>
                <w:spacing w:val="-2"/>
                <w:sz w:val="20"/>
              </w:rPr>
              <w:t>low</w:t>
            </w:r>
          </w:p>
        </w:tc>
        <w:tc>
          <w:tcPr>
            <w:tcW w:w="1984" w:type="dxa"/>
            <w:vAlign w:val="center"/>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pacing w:val="-2"/>
                <w:sz w:val="20"/>
              </w:rPr>
            </w:pPr>
            <w:r>
              <w:rPr>
                <w:rFonts w:ascii="Times New Roman" w:hAnsi="Times New Roman"/>
                <w:noProof/>
                <w:spacing w:val="-2"/>
                <w:sz w:val="20"/>
              </w:rPr>
              <w:t>medium</w:t>
            </w:r>
          </w:p>
        </w:tc>
        <w:tc>
          <w:tcPr>
            <w:cnfStyle w:val="000010000000" w:firstRow="0" w:lastRow="0" w:firstColumn="0" w:lastColumn="0" w:oddVBand="1" w:evenVBand="0" w:oddHBand="0" w:evenHBand="0" w:firstRowFirstColumn="0" w:firstRowLastColumn="0" w:lastRowFirstColumn="0" w:lastRowLastColumn="0"/>
            <w:tcW w:w="2569" w:type="dxa"/>
            <w:vAlign w:val="center"/>
          </w:tcPr>
          <w:p>
            <w:pPr>
              <w:spacing w:after="0" w:line="240" w:lineRule="auto"/>
              <w:jc w:val="center"/>
              <w:rPr>
                <w:rFonts w:ascii="Times New Roman" w:hAnsi="Times New Roman"/>
                <w:noProof/>
                <w:spacing w:val="-2"/>
                <w:sz w:val="20"/>
              </w:rPr>
            </w:pPr>
            <w:r>
              <w:rPr>
                <w:rFonts w:ascii="Times New Roman" w:hAnsi="Times New Roman"/>
                <w:noProof/>
                <w:spacing w:val="-2"/>
                <w:sz w:val="20"/>
              </w:rPr>
              <w:t>very high</w:t>
            </w:r>
          </w:p>
        </w:tc>
      </w:tr>
      <w:tr>
        <w:trPr>
          <w:trHeight w:hRule="exact" w:val="454"/>
        </w:trPr>
        <w:tc>
          <w:tcPr>
            <w:cnfStyle w:val="001000000000" w:firstRow="0" w:lastRow="0" w:firstColumn="1" w:lastColumn="0" w:oddVBand="0" w:evenVBand="0" w:oddHBand="0" w:evenHBand="0" w:firstRowFirstColumn="0" w:firstRowLastColumn="0" w:lastRowFirstColumn="0" w:lastRowLastColumn="0"/>
            <w:tcW w:w="2552" w:type="dxa"/>
            <w:vAlign w:val="center"/>
          </w:tcPr>
          <w:p>
            <w:pPr>
              <w:spacing w:after="0" w:line="240" w:lineRule="auto"/>
              <w:rPr>
                <w:rFonts w:ascii="Times New Roman" w:hAnsi="Times New Roman"/>
                <w:noProof/>
                <w:spacing w:val="-2"/>
                <w:sz w:val="20"/>
              </w:rPr>
            </w:pPr>
            <w:r>
              <w:rPr>
                <w:rFonts w:ascii="Times New Roman" w:hAnsi="Times New Roman"/>
                <w:noProof/>
                <w:spacing w:val="-2"/>
                <w:sz w:val="20"/>
              </w:rPr>
              <w:t>National alignment</w:t>
            </w:r>
          </w:p>
        </w:tc>
        <w:tc>
          <w:tcPr>
            <w:cnfStyle w:val="000010000000" w:firstRow="0" w:lastRow="0" w:firstColumn="0" w:lastColumn="0" w:oddVBand="1" w:evenVBand="0" w:oddHBand="0" w:evenHBand="0" w:firstRowFirstColumn="0" w:firstRowLastColumn="0" w:lastRowFirstColumn="0" w:lastRowLastColumn="0"/>
            <w:tcW w:w="2185" w:type="dxa"/>
            <w:vAlign w:val="center"/>
          </w:tcPr>
          <w:p>
            <w:pPr>
              <w:spacing w:after="0" w:line="240" w:lineRule="auto"/>
              <w:jc w:val="center"/>
              <w:rPr>
                <w:rFonts w:ascii="Times New Roman" w:hAnsi="Times New Roman"/>
                <w:noProof/>
                <w:spacing w:val="-2"/>
                <w:sz w:val="20"/>
              </w:rPr>
            </w:pPr>
            <w:r>
              <w:rPr>
                <w:rFonts w:ascii="Times New Roman" w:hAnsi="Times New Roman"/>
                <w:noProof/>
                <w:spacing w:val="-2"/>
                <w:sz w:val="20"/>
              </w:rPr>
              <w:t>low</w:t>
            </w:r>
          </w:p>
        </w:tc>
        <w:tc>
          <w:tcPr>
            <w:tcW w:w="1984" w:type="dxa"/>
            <w:vAlign w:val="center"/>
          </w:tcPr>
          <w:p>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pacing w:val="-2"/>
                <w:sz w:val="20"/>
              </w:rPr>
            </w:pPr>
            <w:r>
              <w:rPr>
                <w:rFonts w:ascii="Times New Roman" w:hAnsi="Times New Roman"/>
                <w:noProof/>
                <w:spacing w:val="-2"/>
                <w:sz w:val="20"/>
              </w:rPr>
              <w:t>medium</w:t>
            </w:r>
          </w:p>
        </w:tc>
        <w:tc>
          <w:tcPr>
            <w:cnfStyle w:val="000010000000" w:firstRow="0" w:lastRow="0" w:firstColumn="0" w:lastColumn="0" w:oddVBand="1" w:evenVBand="0" w:oddHBand="0" w:evenHBand="0" w:firstRowFirstColumn="0" w:firstRowLastColumn="0" w:lastRowFirstColumn="0" w:lastRowLastColumn="0"/>
            <w:tcW w:w="2569" w:type="dxa"/>
            <w:vAlign w:val="center"/>
          </w:tcPr>
          <w:p>
            <w:pPr>
              <w:spacing w:after="0" w:line="240" w:lineRule="auto"/>
              <w:jc w:val="center"/>
              <w:rPr>
                <w:rFonts w:ascii="Times New Roman" w:hAnsi="Times New Roman"/>
                <w:noProof/>
                <w:spacing w:val="-2"/>
                <w:sz w:val="20"/>
              </w:rPr>
            </w:pPr>
            <w:r>
              <w:rPr>
                <w:rFonts w:ascii="Times New Roman" w:hAnsi="Times New Roman"/>
                <w:noProof/>
                <w:spacing w:val="-2"/>
                <w:sz w:val="20"/>
              </w:rPr>
              <w:t>high</w:t>
            </w:r>
          </w:p>
        </w:tc>
      </w:tr>
      <w:tr>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552" w:type="dxa"/>
            <w:vAlign w:val="center"/>
          </w:tcPr>
          <w:p>
            <w:pPr>
              <w:spacing w:after="0" w:line="240" w:lineRule="auto"/>
              <w:rPr>
                <w:rFonts w:ascii="Times New Roman" w:hAnsi="Times New Roman"/>
                <w:noProof/>
                <w:spacing w:val="-2"/>
                <w:sz w:val="20"/>
              </w:rPr>
            </w:pPr>
            <w:r>
              <w:rPr>
                <w:rFonts w:ascii="Times New Roman" w:hAnsi="Times New Roman"/>
                <w:noProof/>
                <w:spacing w:val="-2"/>
                <w:sz w:val="20"/>
              </w:rPr>
              <w:t>Critical mass of actors and resources</w:t>
            </w:r>
          </w:p>
        </w:tc>
        <w:tc>
          <w:tcPr>
            <w:cnfStyle w:val="000010000000" w:firstRow="0" w:lastRow="0" w:firstColumn="0" w:lastColumn="0" w:oddVBand="1" w:evenVBand="0" w:oddHBand="0" w:evenHBand="0" w:firstRowFirstColumn="0" w:firstRowLastColumn="0" w:lastRowFirstColumn="0" w:lastRowLastColumn="0"/>
            <w:tcW w:w="2185" w:type="dxa"/>
            <w:vAlign w:val="center"/>
          </w:tcPr>
          <w:p>
            <w:pPr>
              <w:spacing w:after="0" w:line="240" w:lineRule="auto"/>
              <w:jc w:val="center"/>
              <w:rPr>
                <w:rFonts w:ascii="Times New Roman" w:hAnsi="Times New Roman"/>
                <w:noProof/>
                <w:spacing w:val="-2"/>
                <w:sz w:val="20"/>
              </w:rPr>
            </w:pPr>
            <w:r>
              <w:rPr>
                <w:rFonts w:ascii="Times New Roman" w:hAnsi="Times New Roman"/>
                <w:noProof/>
                <w:spacing w:val="-2"/>
                <w:sz w:val="20"/>
              </w:rPr>
              <w:t>low</w:t>
            </w:r>
          </w:p>
        </w:tc>
        <w:tc>
          <w:tcPr>
            <w:tcW w:w="1984" w:type="dxa"/>
            <w:vAlign w:val="center"/>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pacing w:val="-2"/>
                <w:sz w:val="20"/>
              </w:rPr>
            </w:pPr>
            <w:r>
              <w:rPr>
                <w:rFonts w:ascii="Times New Roman" w:hAnsi="Times New Roman"/>
                <w:noProof/>
                <w:spacing w:val="-2"/>
                <w:sz w:val="20"/>
              </w:rPr>
              <w:t>medium</w:t>
            </w:r>
          </w:p>
        </w:tc>
        <w:tc>
          <w:tcPr>
            <w:cnfStyle w:val="000010000000" w:firstRow="0" w:lastRow="0" w:firstColumn="0" w:lastColumn="0" w:oddVBand="1" w:evenVBand="0" w:oddHBand="0" w:evenHBand="0" w:firstRowFirstColumn="0" w:firstRowLastColumn="0" w:lastRowFirstColumn="0" w:lastRowLastColumn="0"/>
            <w:tcW w:w="2569" w:type="dxa"/>
            <w:vAlign w:val="center"/>
          </w:tcPr>
          <w:p>
            <w:pPr>
              <w:spacing w:after="0" w:line="240" w:lineRule="auto"/>
              <w:jc w:val="center"/>
              <w:rPr>
                <w:rFonts w:ascii="Times New Roman" w:hAnsi="Times New Roman"/>
                <w:noProof/>
                <w:spacing w:val="-2"/>
                <w:sz w:val="20"/>
              </w:rPr>
            </w:pPr>
            <w:r>
              <w:rPr>
                <w:rFonts w:ascii="Times New Roman" w:hAnsi="Times New Roman"/>
                <w:noProof/>
                <w:spacing w:val="-2"/>
                <w:sz w:val="20"/>
              </w:rPr>
              <w:t>very high</w:t>
            </w:r>
          </w:p>
        </w:tc>
      </w:tr>
      <w:tr>
        <w:trPr>
          <w:trHeight w:val="515"/>
        </w:trPr>
        <w:tc>
          <w:tcPr>
            <w:cnfStyle w:val="001000000000" w:firstRow="0" w:lastRow="0" w:firstColumn="1" w:lastColumn="0" w:oddVBand="0" w:evenVBand="0" w:oddHBand="0" w:evenHBand="0" w:firstRowFirstColumn="0" w:firstRowLastColumn="0" w:lastRowFirstColumn="0" w:lastRowLastColumn="0"/>
            <w:tcW w:w="2552" w:type="dxa"/>
            <w:vAlign w:val="center"/>
          </w:tcPr>
          <w:p>
            <w:pPr>
              <w:spacing w:after="0" w:line="240" w:lineRule="auto"/>
              <w:rPr>
                <w:rFonts w:ascii="Times New Roman" w:hAnsi="Times New Roman"/>
                <w:noProof/>
                <w:spacing w:val="-2"/>
                <w:sz w:val="20"/>
              </w:rPr>
            </w:pPr>
            <w:r>
              <w:rPr>
                <w:rFonts w:ascii="Times New Roman" w:hAnsi="Times New Roman"/>
                <w:noProof/>
                <w:spacing w:val="-2"/>
                <w:sz w:val="20"/>
              </w:rPr>
              <w:t>Strengthening innovation capabilities</w:t>
            </w:r>
          </w:p>
        </w:tc>
        <w:tc>
          <w:tcPr>
            <w:cnfStyle w:val="000010000000" w:firstRow="0" w:lastRow="0" w:firstColumn="0" w:lastColumn="0" w:oddVBand="1" w:evenVBand="0" w:oddHBand="0" w:evenHBand="0" w:firstRowFirstColumn="0" w:firstRowLastColumn="0" w:lastRowFirstColumn="0" w:lastRowLastColumn="0"/>
            <w:tcW w:w="2185" w:type="dxa"/>
            <w:vAlign w:val="center"/>
          </w:tcPr>
          <w:p>
            <w:pPr>
              <w:spacing w:after="0" w:line="240" w:lineRule="auto"/>
              <w:jc w:val="center"/>
              <w:rPr>
                <w:rFonts w:ascii="Times New Roman" w:hAnsi="Times New Roman"/>
                <w:noProof/>
                <w:spacing w:val="-2"/>
                <w:sz w:val="20"/>
              </w:rPr>
            </w:pPr>
            <w:r>
              <w:rPr>
                <w:rFonts w:ascii="Times New Roman" w:hAnsi="Times New Roman"/>
                <w:noProof/>
                <w:spacing w:val="-2"/>
                <w:sz w:val="20"/>
              </w:rPr>
              <w:t>low</w:t>
            </w:r>
          </w:p>
        </w:tc>
        <w:tc>
          <w:tcPr>
            <w:tcW w:w="1984" w:type="dxa"/>
            <w:vAlign w:val="center"/>
          </w:tcPr>
          <w:p>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pacing w:val="-2"/>
                <w:sz w:val="20"/>
              </w:rPr>
            </w:pPr>
            <w:r>
              <w:rPr>
                <w:rFonts w:ascii="Times New Roman" w:hAnsi="Times New Roman"/>
                <w:noProof/>
                <w:spacing w:val="-2"/>
                <w:sz w:val="20"/>
              </w:rPr>
              <w:t>low</w:t>
            </w:r>
          </w:p>
        </w:tc>
        <w:tc>
          <w:tcPr>
            <w:cnfStyle w:val="000010000000" w:firstRow="0" w:lastRow="0" w:firstColumn="0" w:lastColumn="0" w:oddVBand="1" w:evenVBand="0" w:oddHBand="0" w:evenHBand="0" w:firstRowFirstColumn="0" w:firstRowLastColumn="0" w:lastRowFirstColumn="0" w:lastRowLastColumn="0"/>
            <w:tcW w:w="2569" w:type="dxa"/>
            <w:vAlign w:val="center"/>
          </w:tcPr>
          <w:p>
            <w:pPr>
              <w:spacing w:after="0" w:line="240" w:lineRule="auto"/>
              <w:jc w:val="center"/>
              <w:rPr>
                <w:rFonts w:ascii="Times New Roman" w:hAnsi="Times New Roman"/>
                <w:noProof/>
                <w:spacing w:val="-2"/>
                <w:sz w:val="20"/>
              </w:rPr>
            </w:pPr>
            <w:r>
              <w:rPr>
                <w:rFonts w:ascii="Times New Roman" w:hAnsi="Times New Roman"/>
                <w:noProof/>
                <w:spacing w:val="-2"/>
                <w:sz w:val="20"/>
              </w:rPr>
              <w:t>high</w:t>
            </w:r>
          </w:p>
        </w:tc>
      </w:tr>
    </w:tbl>
    <w:p>
      <w:pPr>
        <w:spacing w:after="120" w:line="240" w:lineRule="auto"/>
        <w:jc w:val="both"/>
        <w:rPr>
          <w:rFonts w:ascii="Times New Roman" w:eastAsia="Times New Roman" w:hAnsi="Times New Roman"/>
          <w:b/>
          <w:noProof/>
          <w:szCs w:val="20"/>
        </w:rPr>
      </w:pPr>
      <w:r>
        <w:rPr>
          <w:rFonts w:ascii="Times New Roman" w:eastAsia="Times New Roman" w:hAnsi="Times New Roman"/>
          <w:b/>
          <w:noProof/>
          <w:sz w:val="20"/>
        </w:rPr>
        <w:t>Table 6.1: Comparison of impact of the options on Objectives</w:t>
      </w:r>
    </w:p>
    <w:p>
      <w:pPr>
        <w:spacing w:before="120" w:after="120" w:line="240" w:lineRule="auto"/>
        <w:ind w:left="1440" w:hanging="1440"/>
        <w:jc w:val="both"/>
        <w:rPr>
          <w:rFonts w:ascii="Times New Roman" w:eastAsia="Times New Roman" w:hAnsi="Times New Roman"/>
          <w:i/>
          <w:noProof/>
        </w:rPr>
      </w:pPr>
    </w:p>
    <w:p>
      <w:pPr>
        <w:rPr>
          <w:noProof/>
        </w:rPr>
      </w:pPr>
      <w:r>
        <w:rPr>
          <w:b/>
          <w:bCs/>
          <w:noProof/>
        </w:rPr>
        <w:br w:type="page"/>
      </w:r>
    </w:p>
    <w:tbl>
      <w:tblPr>
        <w:tblStyle w:val="LightList-Accent1"/>
        <w:tblW w:w="4705" w:type="pct"/>
        <w:tblInd w:w="108" w:type="dxa"/>
        <w:tblLook w:val="00A0" w:firstRow="1" w:lastRow="0" w:firstColumn="1" w:lastColumn="0" w:noHBand="0" w:noVBand="0"/>
      </w:tblPr>
      <w:tblGrid>
        <w:gridCol w:w="3544"/>
        <w:gridCol w:w="1843"/>
        <w:gridCol w:w="1843"/>
        <w:gridCol w:w="2038"/>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pPr>
              <w:spacing w:after="0" w:line="240" w:lineRule="auto"/>
              <w:jc w:val="both"/>
              <w:rPr>
                <w:rFonts w:ascii="Times New Roman" w:eastAsia="Times New Roman" w:hAnsi="Times New Roman"/>
                <w:noProof/>
                <w:spacing w:val="-4"/>
                <w:sz w:val="20"/>
                <w:szCs w:val="20"/>
              </w:rPr>
            </w:pPr>
            <w:r>
              <w:rPr>
                <w:rFonts w:ascii="Times New Roman" w:eastAsia="Times New Roman" w:hAnsi="Times New Roman"/>
                <w:noProof/>
                <w:spacing w:val="-4"/>
                <w:sz w:val="20"/>
                <w:szCs w:val="20"/>
              </w:rPr>
              <w:t>Likely impacts</w:t>
            </w:r>
          </w:p>
        </w:tc>
        <w:tc>
          <w:tcPr>
            <w:cnfStyle w:val="000010000000" w:firstRow="0" w:lastRow="0" w:firstColumn="0" w:lastColumn="0" w:oddVBand="1" w:evenVBand="0" w:oddHBand="0" w:evenHBand="0" w:firstRowFirstColumn="0" w:firstRowLastColumn="0" w:lastRowFirstColumn="0" w:lastRowLastColumn="0"/>
            <w:tcW w:w="1843" w:type="dxa"/>
          </w:tcPr>
          <w:p>
            <w:pPr>
              <w:spacing w:after="0" w:line="240" w:lineRule="auto"/>
              <w:jc w:val="center"/>
              <w:rPr>
                <w:rFonts w:ascii="Times New Roman" w:eastAsia="Times New Roman" w:hAnsi="Times New Roman"/>
                <w:noProof/>
                <w:spacing w:val="-4"/>
                <w:sz w:val="20"/>
                <w:szCs w:val="20"/>
              </w:rPr>
            </w:pPr>
            <w:r>
              <w:rPr>
                <w:rFonts w:ascii="Times New Roman" w:eastAsia="Times New Roman" w:hAnsi="Times New Roman"/>
                <w:noProof/>
                <w:spacing w:val="-4"/>
                <w:sz w:val="20"/>
                <w:szCs w:val="20"/>
              </w:rPr>
              <w:t>Baseline scenario: No dedicated EU action</w:t>
            </w:r>
          </w:p>
        </w:tc>
        <w:tc>
          <w:tcPr>
            <w:tcW w:w="1843" w:type="dxa"/>
          </w:tcPr>
          <w:p>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spacing w:val="-4"/>
                <w:sz w:val="20"/>
                <w:szCs w:val="20"/>
              </w:rPr>
            </w:pPr>
            <w:r>
              <w:rPr>
                <w:rFonts w:ascii="Times New Roman" w:eastAsia="Times New Roman" w:hAnsi="Times New Roman"/>
                <w:noProof/>
                <w:spacing w:val="-4"/>
                <w:sz w:val="20"/>
                <w:szCs w:val="20"/>
              </w:rPr>
              <w:t>Option 1: ERA-NET Cofund actions</w:t>
            </w:r>
          </w:p>
        </w:tc>
        <w:tc>
          <w:tcPr>
            <w:cnfStyle w:val="000010000000" w:firstRow="0" w:lastRow="0" w:firstColumn="0" w:lastColumn="0" w:oddVBand="1" w:evenVBand="0" w:oddHBand="0" w:evenHBand="0" w:firstRowFirstColumn="0" w:firstRowLastColumn="0" w:lastRowFirstColumn="0" w:lastRowLastColumn="0"/>
            <w:tcW w:w="2038" w:type="dxa"/>
          </w:tcPr>
          <w:p>
            <w:pPr>
              <w:spacing w:after="0" w:line="240" w:lineRule="auto"/>
              <w:jc w:val="center"/>
              <w:rPr>
                <w:rFonts w:ascii="Times New Roman" w:eastAsia="Times New Roman" w:hAnsi="Times New Roman"/>
                <w:noProof/>
                <w:spacing w:val="-4"/>
                <w:sz w:val="20"/>
                <w:szCs w:val="20"/>
              </w:rPr>
            </w:pPr>
            <w:r>
              <w:rPr>
                <w:rFonts w:ascii="Times New Roman" w:eastAsia="Times New Roman" w:hAnsi="Times New Roman"/>
                <w:noProof/>
                <w:spacing w:val="-4"/>
                <w:sz w:val="20"/>
                <w:szCs w:val="20"/>
              </w:rPr>
              <w:t xml:space="preserve">Option 2: </w:t>
            </w:r>
            <w:r>
              <w:rPr>
                <w:rFonts w:ascii="Times New Roman" w:eastAsia="Times New Roman" w:hAnsi="Times New Roman"/>
                <w:noProof/>
                <w:spacing w:val="-4"/>
                <w:sz w:val="20"/>
                <w:szCs w:val="20"/>
              </w:rPr>
              <w:br/>
              <w:t>PRIMA Joint Programme based on Article 185 TFEU</w:t>
            </w:r>
          </w:p>
        </w:tc>
      </w:tr>
      <w:tr>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9268" w:type="dxa"/>
            <w:gridSpan w:val="4"/>
            <w:shd w:val="clear" w:color="auto" w:fill="C6D9F1" w:themeFill="text2" w:themeFillTint="33"/>
            <w:vAlign w:val="center"/>
          </w:tcPr>
          <w:p>
            <w:pPr>
              <w:spacing w:after="0" w:line="240" w:lineRule="auto"/>
              <w:jc w:val="center"/>
              <w:rPr>
                <w:rFonts w:ascii="Times New Roman" w:hAnsi="Times New Roman"/>
                <w:noProof/>
                <w:spacing w:val="-4"/>
                <w:sz w:val="20"/>
                <w:szCs w:val="20"/>
              </w:rPr>
            </w:pPr>
            <w:r>
              <w:rPr>
                <w:rFonts w:ascii="Times New Roman" w:eastAsia="Times New Roman" w:hAnsi="Times New Roman"/>
                <w:noProof/>
                <w:spacing w:val="-4"/>
                <w:sz w:val="20"/>
                <w:szCs w:val="20"/>
              </w:rPr>
              <w:t>Direct Impact</w:t>
            </w:r>
          </w:p>
        </w:tc>
      </w:tr>
      <w:tr>
        <w:trPr>
          <w:trHeight w:val="348"/>
        </w:trPr>
        <w:tc>
          <w:tcPr>
            <w:cnfStyle w:val="001000000000" w:firstRow="0" w:lastRow="0" w:firstColumn="1" w:lastColumn="0" w:oddVBand="0" w:evenVBand="0" w:oddHBand="0" w:evenHBand="0" w:firstRowFirstColumn="0" w:firstRowLastColumn="0" w:lastRowFirstColumn="0" w:lastRowLastColumn="0"/>
            <w:tcW w:w="9268" w:type="dxa"/>
            <w:gridSpan w:val="4"/>
            <w:shd w:val="clear" w:color="auto" w:fill="DBE5F1" w:themeFill="accent1" w:themeFillTint="33"/>
            <w:vAlign w:val="center"/>
          </w:tcPr>
          <w:p>
            <w:pPr>
              <w:spacing w:after="0" w:line="240" w:lineRule="auto"/>
              <w:rPr>
                <w:rFonts w:ascii="Times New Roman" w:hAnsi="Times New Roman"/>
                <w:noProof/>
                <w:spacing w:val="-4"/>
                <w:sz w:val="20"/>
                <w:szCs w:val="20"/>
              </w:rPr>
            </w:pPr>
            <w:r>
              <w:rPr>
                <w:rFonts w:ascii="Times New Roman" w:eastAsia="Times New Roman" w:hAnsi="Times New Roman"/>
                <w:noProof/>
                <w:spacing w:val="-4"/>
                <w:sz w:val="20"/>
                <w:szCs w:val="20"/>
              </w:rPr>
              <w:t>Economic</w:t>
            </w:r>
          </w:p>
        </w:tc>
      </w:tr>
      <w:tr>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3544" w:type="dxa"/>
            <w:vAlign w:val="center"/>
          </w:tcPr>
          <w:p>
            <w:pPr>
              <w:spacing w:after="0" w:line="240" w:lineRule="auto"/>
              <w:rPr>
                <w:rFonts w:ascii="Times New Roman" w:eastAsia="Times New Roman" w:hAnsi="Times New Roman"/>
                <w:b w:val="0"/>
                <w:noProof/>
                <w:spacing w:val="-4"/>
                <w:sz w:val="20"/>
                <w:szCs w:val="20"/>
              </w:rPr>
            </w:pPr>
            <w:r>
              <w:rPr>
                <w:rFonts w:ascii="Times New Roman" w:eastAsia="Times New Roman" w:hAnsi="Times New Roman"/>
                <w:noProof/>
                <w:spacing w:val="-4"/>
                <w:sz w:val="20"/>
                <w:szCs w:val="20"/>
              </w:rPr>
              <w:t>Integration of national R&amp;I programmes and activities</w:t>
            </w:r>
          </w:p>
        </w:tc>
        <w:tc>
          <w:tcPr>
            <w:cnfStyle w:val="000010000000" w:firstRow="0" w:lastRow="0" w:firstColumn="0" w:lastColumn="0" w:oddVBand="1" w:evenVBand="0" w:oddHBand="0" w:evenHBand="0" w:firstRowFirstColumn="0" w:firstRowLastColumn="0" w:lastRowFirstColumn="0" w:lastRowLastColumn="0"/>
            <w:tcW w:w="1843" w:type="dxa"/>
            <w:vAlign w:val="center"/>
          </w:tcPr>
          <w:p>
            <w:pPr>
              <w:spacing w:after="0" w:line="240" w:lineRule="auto"/>
              <w:jc w:val="center"/>
              <w:rPr>
                <w:rFonts w:ascii="Times New Roman" w:hAnsi="Times New Roman"/>
                <w:noProof/>
                <w:spacing w:val="-4"/>
                <w:sz w:val="20"/>
                <w:szCs w:val="20"/>
              </w:rPr>
            </w:pPr>
            <w:r>
              <w:rPr>
                <w:rFonts w:ascii="Times New Roman" w:hAnsi="Times New Roman"/>
                <w:noProof/>
                <w:spacing w:val="-4"/>
                <w:sz w:val="20"/>
                <w:szCs w:val="20"/>
              </w:rPr>
              <w:t>low</w:t>
            </w:r>
          </w:p>
        </w:tc>
        <w:tc>
          <w:tcPr>
            <w:tcW w:w="1843" w:type="dxa"/>
            <w:vAlign w:val="center"/>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pacing w:val="-4"/>
                <w:sz w:val="20"/>
                <w:szCs w:val="20"/>
              </w:rPr>
            </w:pPr>
            <w:r>
              <w:rPr>
                <w:rFonts w:ascii="Times New Roman" w:hAnsi="Times New Roman"/>
                <w:noProof/>
                <w:spacing w:val="-4"/>
                <w:sz w:val="20"/>
                <w:szCs w:val="20"/>
              </w:rPr>
              <w:t>high</w:t>
            </w:r>
          </w:p>
        </w:tc>
        <w:tc>
          <w:tcPr>
            <w:cnfStyle w:val="000010000000" w:firstRow="0" w:lastRow="0" w:firstColumn="0" w:lastColumn="0" w:oddVBand="1" w:evenVBand="0" w:oddHBand="0" w:evenHBand="0" w:firstRowFirstColumn="0" w:firstRowLastColumn="0" w:lastRowFirstColumn="0" w:lastRowLastColumn="0"/>
            <w:tcW w:w="2038" w:type="dxa"/>
            <w:vAlign w:val="center"/>
          </w:tcPr>
          <w:p>
            <w:pPr>
              <w:spacing w:after="0" w:line="240" w:lineRule="auto"/>
              <w:jc w:val="center"/>
              <w:rPr>
                <w:rFonts w:ascii="Times New Roman" w:hAnsi="Times New Roman"/>
                <w:noProof/>
                <w:spacing w:val="-4"/>
                <w:sz w:val="20"/>
                <w:szCs w:val="20"/>
              </w:rPr>
            </w:pPr>
            <w:r>
              <w:rPr>
                <w:rFonts w:ascii="Times New Roman" w:hAnsi="Times New Roman"/>
                <w:noProof/>
                <w:spacing w:val="-4"/>
                <w:sz w:val="20"/>
                <w:szCs w:val="20"/>
              </w:rPr>
              <w:t>very high</w:t>
            </w:r>
          </w:p>
        </w:tc>
      </w:tr>
      <w:tr>
        <w:trPr>
          <w:trHeight w:val="579"/>
        </w:trPr>
        <w:tc>
          <w:tcPr>
            <w:cnfStyle w:val="001000000000" w:firstRow="0" w:lastRow="0" w:firstColumn="1" w:lastColumn="0" w:oddVBand="0" w:evenVBand="0" w:oddHBand="0" w:evenHBand="0" w:firstRowFirstColumn="0" w:firstRowLastColumn="0" w:lastRowFirstColumn="0" w:lastRowLastColumn="0"/>
            <w:tcW w:w="3544" w:type="dxa"/>
            <w:tcBorders>
              <w:top w:val="single" w:sz="8" w:space="0" w:color="4F81BD" w:themeColor="accent1"/>
              <w:left w:val="single" w:sz="8" w:space="0" w:color="4F81BD" w:themeColor="accent1"/>
              <w:bottom w:val="single" w:sz="8" w:space="0" w:color="4F81BD" w:themeColor="accent1"/>
            </w:tcBorders>
            <w:vAlign w:val="center"/>
          </w:tcPr>
          <w:p>
            <w:pPr>
              <w:spacing w:after="0" w:line="240" w:lineRule="auto"/>
              <w:rPr>
                <w:rFonts w:ascii="Times New Roman" w:hAnsi="Times New Roman"/>
                <w:b w:val="0"/>
                <w:noProof/>
                <w:spacing w:val="-4"/>
                <w:sz w:val="20"/>
                <w:szCs w:val="20"/>
              </w:rPr>
            </w:pPr>
            <w:r>
              <w:rPr>
                <w:rFonts w:ascii="Times New Roman" w:hAnsi="Times New Roman"/>
                <w:noProof/>
                <w:spacing w:val="-4"/>
                <w:sz w:val="20"/>
                <w:szCs w:val="20"/>
              </w:rPr>
              <w:t>Delivery of fully piloted and demonstrated, common innovative, integrated solutions for the sustainable management of water provision and food systems</w:t>
            </w:r>
          </w:p>
        </w:tc>
        <w:tc>
          <w:tcPr>
            <w:cnfStyle w:val="000010000000" w:firstRow="0" w:lastRow="0" w:firstColumn="0" w:lastColumn="0" w:oddVBand="1" w:evenVBand="0" w:oddHBand="0" w:evenHBand="0" w:firstRowFirstColumn="0" w:firstRowLastColumn="0" w:lastRowFirstColumn="0" w:lastRowLastColumn="0"/>
            <w:tcW w:w="1843" w:type="dxa"/>
            <w:tcBorders>
              <w:top w:val="single" w:sz="8" w:space="0" w:color="4F81BD" w:themeColor="accent1"/>
              <w:bottom w:val="single" w:sz="8" w:space="0" w:color="4F81BD" w:themeColor="accent1"/>
            </w:tcBorders>
            <w:vAlign w:val="center"/>
          </w:tcPr>
          <w:p>
            <w:pPr>
              <w:spacing w:after="0" w:line="240" w:lineRule="auto"/>
              <w:jc w:val="center"/>
              <w:rPr>
                <w:rFonts w:ascii="Times New Roman" w:hAnsi="Times New Roman"/>
                <w:noProof/>
                <w:spacing w:val="-4"/>
                <w:sz w:val="20"/>
                <w:szCs w:val="20"/>
              </w:rPr>
            </w:pPr>
            <w:r>
              <w:rPr>
                <w:rFonts w:ascii="Times New Roman" w:hAnsi="Times New Roman"/>
                <w:noProof/>
                <w:spacing w:val="-4"/>
                <w:sz w:val="20"/>
                <w:szCs w:val="20"/>
              </w:rPr>
              <w:t>medium</w:t>
            </w:r>
          </w:p>
        </w:tc>
        <w:tc>
          <w:tcPr>
            <w:tcW w:w="1843" w:type="dxa"/>
            <w:tcBorders>
              <w:top w:val="single" w:sz="8" w:space="0" w:color="4F81BD" w:themeColor="accent1"/>
              <w:bottom w:val="single" w:sz="8" w:space="0" w:color="4F81BD" w:themeColor="accent1"/>
            </w:tcBorders>
            <w:vAlign w:val="center"/>
          </w:tcPr>
          <w:p>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pacing w:val="-4"/>
                <w:sz w:val="20"/>
                <w:szCs w:val="20"/>
              </w:rPr>
            </w:pPr>
            <w:r>
              <w:rPr>
                <w:rFonts w:ascii="Times New Roman" w:hAnsi="Times New Roman"/>
                <w:noProof/>
                <w:spacing w:val="-4"/>
                <w:sz w:val="20"/>
                <w:szCs w:val="20"/>
              </w:rPr>
              <w:t>medium</w:t>
            </w:r>
          </w:p>
        </w:tc>
        <w:tc>
          <w:tcPr>
            <w:cnfStyle w:val="000010000000" w:firstRow="0" w:lastRow="0" w:firstColumn="0" w:lastColumn="0" w:oddVBand="1" w:evenVBand="0" w:oddHBand="0" w:evenHBand="0" w:firstRowFirstColumn="0" w:firstRowLastColumn="0" w:lastRowFirstColumn="0" w:lastRowLastColumn="0"/>
            <w:tcW w:w="2038" w:type="dxa"/>
            <w:tcBorders>
              <w:top w:val="single" w:sz="8" w:space="0" w:color="4F81BD" w:themeColor="accent1"/>
              <w:bottom w:val="single" w:sz="8" w:space="0" w:color="4F81BD" w:themeColor="accent1"/>
            </w:tcBorders>
            <w:vAlign w:val="center"/>
          </w:tcPr>
          <w:p>
            <w:pPr>
              <w:spacing w:after="0" w:line="240" w:lineRule="auto"/>
              <w:jc w:val="center"/>
              <w:rPr>
                <w:rFonts w:ascii="Times New Roman" w:hAnsi="Times New Roman"/>
                <w:noProof/>
                <w:spacing w:val="-4"/>
                <w:sz w:val="20"/>
                <w:szCs w:val="20"/>
              </w:rPr>
            </w:pPr>
            <w:r>
              <w:rPr>
                <w:rFonts w:ascii="Times New Roman" w:hAnsi="Times New Roman"/>
                <w:noProof/>
                <w:spacing w:val="-4"/>
                <w:sz w:val="20"/>
                <w:szCs w:val="20"/>
              </w:rPr>
              <w:t>very high</w:t>
            </w:r>
          </w:p>
        </w:tc>
      </w:tr>
      <w:tr>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544" w:type="dxa"/>
            <w:vAlign w:val="center"/>
          </w:tcPr>
          <w:p>
            <w:pPr>
              <w:spacing w:after="0" w:line="240" w:lineRule="auto"/>
              <w:rPr>
                <w:rFonts w:ascii="Times New Roman" w:eastAsia="Times New Roman" w:hAnsi="Times New Roman"/>
                <w:b w:val="0"/>
                <w:noProof/>
                <w:spacing w:val="-4"/>
                <w:sz w:val="20"/>
                <w:szCs w:val="20"/>
              </w:rPr>
            </w:pPr>
            <w:r>
              <w:rPr>
                <w:rFonts w:ascii="Times New Roman" w:eastAsia="Times New Roman" w:hAnsi="Times New Roman"/>
                <w:noProof/>
                <w:spacing w:val="-4"/>
                <w:sz w:val="20"/>
                <w:szCs w:val="20"/>
              </w:rPr>
              <w:t>Opportunities for industry</w:t>
            </w:r>
          </w:p>
        </w:tc>
        <w:tc>
          <w:tcPr>
            <w:cnfStyle w:val="000010000000" w:firstRow="0" w:lastRow="0" w:firstColumn="0" w:lastColumn="0" w:oddVBand="1" w:evenVBand="0" w:oddHBand="0" w:evenHBand="0" w:firstRowFirstColumn="0" w:firstRowLastColumn="0" w:lastRowFirstColumn="0" w:lastRowLastColumn="0"/>
            <w:tcW w:w="1843" w:type="dxa"/>
            <w:vAlign w:val="center"/>
          </w:tcPr>
          <w:p>
            <w:pPr>
              <w:spacing w:after="0" w:line="240" w:lineRule="auto"/>
              <w:jc w:val="center"/>
              <w:rPr>
                <w:rFonts w:ascii="Times New Roman" w:hAnsi="Times New Roman"/>
                <w:noProof/>
                <w:spacing w:val="-4"/>
                <w:sz w:val="20"/>
                <w:szCs w:val="20"/>
              </w:rPr>
            </w:pPr>
            <w:r>
              <w:rPr>
                <w:rFonts w:ascii="Times New Roman" w:hAnsi="Times New Roman"/>
                <w:noProof/>
                <w:spacing w:val="-4"/>
                <w:sz w:val="20"/>
                <w:szCs w:val="20"/>
              </w:rPr>
              <w:t>low</w:t>
            </w:r>
          </w:p>
        </w:tc>
        <w:tc>
          <w:tcPr>
            <w:tcW w:w="1843" w:type="dxa"/>
            <w:vAlign w:val="center"/>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pacing w:val="-4"/>
                <w:sz w:val="20"/>
                <w:szCs w:val="20"/>
              </w:rPr>
            </w:pPr>
            <w:r>
              <w:rPr>
                <w:rFonts w:ascii="Times New Roman" w:hAnsi="Times New Roman"/>
                <w:noProof/>
                <w:spacing w:val="-4"/>
                <w:sz w:val="20"/>
                <w:szCs w:val="20"/>
              </w:rPr>
              <w:t>low</w:t>
            </w:r>
          </w:p>
        </w:tc>
        <w:tc>
          <w:tcPr>
            <w:cnfStyle w:val="000010000000" w:firstRow="0" w:lastRow="0" w:firstColumn="0" w:lastColumn="0" w:oddVBand="1" w:evenVBand="0" w:oddHBand="0" w:evenHBand="0" w:firstRowFirstColumn="0" w:firstRowLastColumn="0" w:lastRowFirstColumn="0" w:lastRowLastColumn="0"/>
            <w:tcW w:w="2038" w:type="dxa"/>
            <w:vAlign w:val="center"/>
          </w:tcPr>
          <w:p>
            <w:pPr>
              <w:spacing w:after="0" w:line="240" w:lineRule="auto"/>
              <w:jc w:val="center"/>
              <w:rPr>
                <w:rFonts w:ascii="Times New Roman" w:hAnsi="Times New Roman"/>
                <w:noProof/>
                <w:spacing w:val="-4"/>
                <w:sz w:val="20"/>
                <w:szCs w:val="20"/>
              </w:rPr>
            </w:pPr>
            <w:r>
              <w:rPr>
                <w:rFonts w:ascii="Times New Roman" w:hAnsi="Times New Roman"/>
                <w:noProof/>
                <w:spacing w:val="-4"/>
                <w:sz w:val="20"/>
                <w:szCs w:val="20"/>
              </w:rPr>
              <w:t>high</w:t>
            </w:r>
          </w:p>
        </w:tc>
      </w:tr>
      <w:tr>
        <w:trPr>
          <w:trHeight w:hRule="exact" w:val="269"/>
        </w:trPr>
        <w:tc>
          <w:tcPr>
            <w:cnfStyle w:val="001000000000" w:firstRow="0" w:lastRow="0" w:firstColumn="1" w:lastColumn="0" w:oddVBand="0" w:evenVBand="0" w:oddHBand="0" w:evenHBand="0" w:firstRowFirstColumn="0" w:firstRowLastColumn="0" w:lastRowFirstColumn="0" w:lastRowLastColumn="0"/>
            <w:tcW w:w="9268" w:type="dxa"/>
            <w:gridSpan w:val="4"/>
            <w:tcBorders>
              <w:top w:val="single" w:sz="8" w:space="0" w:color="4F81BD" w:themeColor="accent1"/>
              <w:left w:val="single" w:sz="8" w:space="0" w:color="4F81BD" w:themeColor="accent1"/>
              <w:bottom w:val="single" w:sz="8" w:space="0" w:color="4F81BD" w:themeColor="accent1"/>
            </w:tcBorders>
            <w:shd w:val="clear" w:color="auto" w:fill="C6D9F1" w:themeFill="text2" w:themeFillTint="33"/>
            <w:vAlign w:val="center"/>
          </w:tcPr>
          <w:p>
            <w:pPr>
              <w:spacing w:after="0" w:line="240" w:lineRule="auto"/>
              <w:jc w:val="center"/>
              <w:rPr>
                <w:rFonts w:ascii="Times New Roman" w:hAnsi="Times New Roman"/>
                <w:noProof/>
                <w:spacing w:val="-4"/>
                <w:sz w:val="20"/>
                <w:szCs w:val="20"/>
              </w:rPr>
            </w:pPr>
            <w:r>
              <w:rPr>
                <w:rFonts w:ascii="Times New Roman" w:hAnsi="Times New Roman"/>
                <w:noProof/>
                <w:spacing w:val="-4"/>
                <w:sz w:val="20"/>
                <w:szCs w:val="20"/>
              </w:rPr>
              <w:t>Indirect Impact</w:t>
            </w:r>
          </w:p>
        </w:tc>
      </w:tr>
      <w:tr>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268" w:type="dxa"/>
            <w:gridSpan w:val="4"/>
            <w:shd w:val="clear" w:color="auto" w:fill="DBE5F1" w:themeFill="accent1" w:themeFillTint="33"/>
            <w:vAlign w:val="center"/>
          </w:tcPr>
          <w:p>
            <w:pPr>
              <w:spacing w:after="0" w:line="240" w:lineRule="auto"/>
              <w:rPr>
                <w:rFonts w:ascii="Times New Roman" w:hAnsi="Times New Roman"/>
                <w:noProof/>
                <w:spacing w:val="-4"/>
                <w:sz w:val="20"/>
                <w:szCs w:val="20"/>
              </w:rPr>
            </w:pPr>
            <w:r>
              <w:rPr>
                <w:rFonts w:ascii="Times New Roman" w:eastAsia="Times New Roman" w:hAnsi="Times New Roman"/>
                <w:noProof/>
                <w:spacing w:val="-4"/>
                <w:sz w:val="20"/>
                <w:szCs w:val="20"/>
              </w:rPr>
              <w:t>Economic</w:t>
            </w:r>
          </w:p>
        </w:tc>
      </w:tr>
      <w:tr>
        <w:trPr>
          <w:trHeight w:hRule="exact" w:val="397"/>
        </w:trPr>
        <w:tc>
          <w:tcPr>
            <w:cnfStyle w:val="001000000000" w:firstRow="0" w:lastRow="0" w:firstColumn="1" w:lastColumn="0" w:oddVBand="0" w:evenVBand="0" w:oddHBand="0" w:evenHBand="0" w:firstRowFirstColumn="0" w:firstRowLastColumn="0" w:lastRowFirstColumn="0" w:lastRowLastColumn="0"/>
            <w:tcW w:w="3544" w:type="dxa"/>
            <w:vAlign w:val="center"/>
          </w:tcPr>
          <w:p>
            <w:pPr>
              <w:spacing w:after="0" w:line="240" w:lineRule="auto"/>
              <w:rPr>
                <w:rFonts w:ascii="Times New Roman" w:eastAsia="Times New Roman" w:hAnsi="Times New Roman"/>
                <w:noProof/>
                <w:spacing w:val="-4"/>
                <w:sz w:val="20"/>
                <w:szCs w:val="20"/>
              </w:rPr>
            </w:pPr>
            <w:r>
              <w:rPr>
                <w:rFonts w:ascii="Times New Roman" w:eastAsia="Times New Roman" w:hAnsi="Times New Roman"/>
                <w:noProof/>
                <w:spacing w:val="-4"/>
                <w:sz w:val="20"/>
                <w:szCs w:val="20"/>
              </w:rPr>
              <w:t>Large-scale aggregate economic impacts</w:t>
            </w:r>
          </w:p>
        </w:tc>
        <w:tc>
          <w:tcPr>
            <w:cnfStyle w:val="000010000000" w:firstRow="0" w:lastRow="0" w:firstColumn="0" w:lastColumn="0" w:oddVBand="1" w:evenVBand="0" w:oddHBand="0" w:evenHBand="0" w:firstRowFirstColumn="0" w:firstRowLastColumn="0" w:lastRowFirstColumn="0" w:lastRowLastColumn="0"/>
            <w:tcW w:w="1843" w:type="dxa"/>
            <w:vAlign w:val="center"/>
          </w:tcPr>
          <w:p>
            <w:pPr>
              <w:spacing w:after="0" w:line="240" w:lineRule="auto"/>
              <w:jc w:val="center"/>
              <w:rPr>
                <w:rFonts w:ascii="Times New Roman" w:hAnsi="Times New Roman"/>
                <w:noProof/>
                <w:spacing w:val="-4"/>
                <w:sz w:val="20"/>
                <w:szCs w:val="20"/>
              </w:rPr>
            </w:pPr>
            <w:r>
              <w:rPr>
                <w:rFonts w:ascii="Times New Roman" w:hAnsi="Times New Roman"/>
                <w:noProof/>
                <w:spacing w:val="-4"/>
                <w:sz w:val="20"/>
                <w:szCs w:val="20"/>
              </w:rPr>
              <w:t>low</w:t>
            </w:r>
          </w:p>
        </w:tc>
        <w:tc>
          <w:tcPr>
            <w:tcW w:w="1843" w:type="dxa"/>
            <w:vAlign w:val="center"/>
          </w:tcPr>
          <w:p>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pacing w:val="-4"/>
                <w:sz w:val="20"/>
                <w:szCs w:val="20"/>
              </w:rPr>
            </w:pPr>
            <w:r>
              <w:rPr>
                <w:rFonts w:ascii="Times New Roman" w:hAnsi="Times New Roman"/>
                <w:noProof/>
                <w:spacing w:val="-4"/>
                <w:sz w:val="20"/>
                <w:szCs w:val="20"/>
              </w:rPr>
              <w:t>low</w:t>
            </w:r>
          </w:p>
        </w:tc>
        <w:tc>
          <w:tcPr>
            <w:cnfStyle w:val="000010000000" w:firstRow="0" w:lastRow="0" w:firstColumn="0" w:lastColumn="0" w:oddVBand="1" w:evenVBand="0" w:oddHBand="0" w:evenHBand="0" w:firstRowFirstColumn="0" w:firstRowLastColumn="0" w:lastRowFirstColumn="0" w:lastRowLastColumn="0"/>
            <w:tcW w:w="2038" w:type="dxa"/>
            <w:vAlign w:val="center"/>
          </w:tcPr>
          <w:p>
            <w:pPr>
              <w:spacing w:after="0" w:line="240" w:lineRule="auto"/>
              <w:jc w:val="center"/>
              <w:rPr>
                <w:rFonts w:ascii="Times New Roman" w:hAnsi="Times New Roman"/>
                <w:noProof/>
                <w:spacing w:val="-4"/>
                <w:sz w:val="20"/>
                <w:szCs w:val="20"/>
              </w:rPr>
            </w:pPr>
            <w:r>
              <w:rPr>
                <w:rFonts w:ascii="Times New Roman" w:hAnsi="Times New Roman"/>
                <w:noProof/>
                <w:spacing w:val="-4"/>
                <w:sz w:val="20"/>
                <w:szCs w:val="20"/>
              </w:rPr>
              <w:t>medium</w:t>
            </w:r>
          </w:p>
        </w:tc>
      </w:tr>
      <w:tr>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268" w:type="dxa"/>
            <w:gridSpan w:val="4"/>
            <w:shd w:val="clear" w:color="auto" w:fill="DBE5F1" w:themeFill="accent1" w:themeFillTint="33"/>
            <w:vAlign w:val="center"/>
          </w:tcPr>
          <w:p>
            <w:pPr>
              <w:spacing w:after="0" w:line="240" w:lineRule="auto"/>
              <w:rPr>
                <w:rFonts w:ascii="Times New Roman" w:hAnsi="Times New Roman"/>
                <w:noProof/>
                <w:spacing w:val="-4"/>
                <w:sz w:val="20"/>
                <w:szCs w:val="20"/>
              </w:rPr>
            </w:pPr>
            <w:r>
              <w:rPr>
                <w:rFonts w:ascii="Times New Roman" w:hAnsi="Times New Roman"/>
                <w:noProof/>
                <w:spacing w:val="-4"/>
                <w:sz w:val="20"/>
                <w:szCs w:val="20"/>
              </w:rPr>
              <w:t>Social</w:t>
            </w:r>
          </w:p>
        </w:tc>
      </w:tr>
      <w:tr>
        <w:trPr>
          <w:trHeight w:hRule="exact" w:val="397"/>
        </w:trPr>
        <w:tc>
          <w:tcPr>
            <w:cnfStyle w:val="001000000000" w:firstRow="0" w:lastRow="0" w:firstColumn="1" w:lastColumn="0" w:oddVBand="0" w:evenVBand="0" w:oddHBand="0" w:evenHBand="0" w:firstRowFirstColumn="0" w:firstRowLastColumn="0" w:lastRowFirstColumn="0" w:lastRowLastColumn="0"/>
            <w:tcW w:w="3544" w:type="dxa"/>
            <w:vAlign w:val="center"/>
          </w:tcPr>
          <w:p>
            <w:pPr>
              <w:spacing w:after="0" w:line="240" w:lineRule="auto"/>
              <w:rPr>
                <w:rFonts w:ascii="Times New Roman" w:eastAsia="Times New Roman" w:hAnsi="Times New Roman"/>
                <w:b w:val="0"/>
                <w:noProof/>
                <w:spacing w:val="-4"/>
                <w:sz w:val="20"/>
                <w:szCs w:val="20"/>
              </w:rPr>
            </w:pPr>
            <w:r>
              <w:rPr>
                <w:rFonts w:ascii="Times New Roman" w:eastAsia="Times New Roman" w:hAnsi="Times New Roman"/>
                <w:noProof/>
                <w:spacing w:val="-4"/>
                <w:sz w:val="20"/>
                <w:szCs w:val="20"/>
              </w:rPr>
              <w:t>Improved livelihoods for farmers</w:t>
            </w:r>
          </w:p>
        </w:tc>
        <w:tc>
          <w:tcPr>
            <w:cnfStyle w:val="000010000000" w:firstRow="0" w:lastRow="0" w:firstColumn="0" w:lastColumn="0" w:oddVBand="1" w:evenVBand="0" w:oddHBand="0" w:evenHBand="0" w:firstRowFirstColumn="0" w:firstRowLastColumn="0" w:lastRowFirstColumn="0" w:lastRowLastColumn="0"/>
            <w:tcW w:w="1843" w:type="dxa"/>
            <w:vAlign w:val="center"/>
          </w:tcPr>
          <w:p>
            <w:pPr>
              <w:spacing w:after="0" w:line="240" w:lineRule="auto"/>
              <w:jc w:val="center"/>
              <w:rPr>
                <w:rFonts w:ascii="Times New Roman" w:hAnsi="Times New Roman"/>
                <w:noProof/>
                <w:spacing w:val="-4"/>
                <w:sz w:val="20"/>
                <w:szCs w:val="20"/>
              </w:rPr>
            </w:pPr>
            <w:r>
              <w:rPr>
                <w:rFonts w:ascii="Times New Roman" w:hAnsi="Times New Roman"/>
                <w:noProof/>
                <w:spacing w:val="-4"/>
                <w:sz w:val="20"/>
                <w:szCs w:val="20"/>
              </w:rPr>
              <w:t>low</w:t>
            </w:r>
          </w:p>
        </w:tc>
        <w:tc>
          <w:tcPr>
            <w:tcW w:w="1843" w:type="dxa"/>
            <w:vAlign w:val="center"/>
          </w:tcPr>
          <w:p>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pacing w:val="-4"/>
                <w:sz w:val="20"/>
                <w:szCs w:val="20"/>
              </w:rPr>
            </w:pPr>
            <w:r>
              <w:rPr>
                <w:rFonts w:ascii="Times New Roman" w:hAnsi="Times New Roman"/>
                <w:noProof/>
                <w:spacing w:val="-4"/>
                <w:sz w:val="20"/>
                <w:szCs w:val="20"/>
              </w:rPr>
              <w:t>medium</w:t>
            </w:r>
          </w:p>
        </w:tc>
        <w:tc>
          <w:tcPr>
            <w:cnfStyle w:val="000010000000" w:firstRow="0" w:lastRow="0" w:firstColumn="0" w:lastColumn="0" w:oddVBand="1" w:evenVBand="0" w:oddHBand="0" w:evenHBand="0" w:firstRowFirstColumn="0" w:firstRowLastColumn="0" w:lastRowFirstColumn="0" w:lastRowLastColumn="0"/>
            <w:tcW w:w="2038" w:type="dxa"/>
            <w:vAlign w:val="center"/>
          </w:tcPr>
          <w:p>
            <w:pPr>
              <w:spacing w:after="0" w:line="240" w:lineRule="auto"/>
              <w:jc w:val="center"/>
              <w:rPr>
                <w:rFonts w:ascii="Times New Roman" w:hAnsi="Times New Roman"/>
                <w:noProof/>
                <w:spacing w:val="-4"/>
                <w:sz w:val="20"/>
                <w:szCs w:val="20"/>
              </w:rPr>
            </w:pPr>
            <w:r>
              <w:rPr>
                <w:rFonts w:ascii="Times New Roman" w:hAnsi="Times New Roman"/>
                <w:noProof/>
                <w:spacing w:val="-4"/>
                <w:sz w:val="20"/>
                <w:szCs w:val="20"/>
              </w:rPr>
              <w:t>high</w:t>
            </w:r>
          </w:p>
        </w:tc>
      </w:tr>
      <w:tr>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544" w:type="dxa"/>
            <w:vAlign w:val="center"/>
          </w:tcPr>
          <w:p>
            <w:pPr>
              <w:spacing w:after="0" w:line="240" w:lineRule="auto"/>
              <w:rPr>
                <w:rFonts w:ascii="Times New Roman" w:eastAsia="Times New Roman" w:hAnsi="Times New Roman"/>
                <w:noProof/>
                <w:spacing w:val="-4"/>
                <w:sz w:val="20"/>
                <w:szCs w:val="20"/>
              </w:rPr>
            </w:pPr>
            <w:r>
              <w:rPr>
                <w:rFonts w:ascii="Times New Roman" w:eastAsia="Times New Roman" w:hAnsi="Times New Roman"/>
                <w:noProof/>
                <w:spacing w:val="-4"/>
                <w:sz w:val="20"/>
                <w:szCs w:val="20"/>
              </w:rPr>
              <w:t>Improved nutrition and health</w:t>
            </w:r>
          </w:p>
        </w:tc>
        <w:tc>
          <w:tcPr>
            <w:cnfStyle w:val="000010000000" w:firstRow="0" w:lastRow="0" w:firstColumn="0" w:lastColumn="0" w:oddVBand="1" w:evenVBand="0" w:oddHBand="0" w:evenHBand="0" w:firstRowFirstColumn="0" w:firstRowLastColumn="0" w:lastRowFirstColumn="0" w:lastRowLastColumn="0"/>
            <w:tcW w:w="1843" w:type="dxa"/>
            <w:vAlign w:val="center"/>
          </w:tcPr>
          <w:p>
            <w:pPr>
              <w:spacing w:after="0" w:line="240" w:lineRule="auto"/>
              <w:jc w:val="center"/>
              <w:rPr>
                <w:rFonts w:ascii="Times New Roman" w:hAnsi="Times New Roman"/>
                <w:noProof/>
                <w:spacing w:val="-4"/>
                <w:sz w:val="20"/>
                <w:szCs w:val="20"/>
              </w:rPr>
            </w:pPr>
            <w:r>
              <w:rPr>
                <w:rFonts w:ascii="Times New Roman" w:hAnsi="Times New Roman"/>
                <w:noProof/>
                <w:spacing w:val="-4"/>
                <w:sz w:val="20"/>
                <w:szCs w:val="20"/>
              </w:rPr>
              <w:t>low</w:t>
            </w:r>
          </w:p>
        </w:tc>
        <w:tc>
          <w:tcPr>
            <w:tcW w:w="1843" w:type="dxa"/>
            <w:vAlign w:val="center"/>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pacing w:val="-4"/>
                <w:sz w:val="20"/>
                <w:szCs w:val="20"/>
              </w:rPr>
            </w:pPr>
            <w:r>
              <w:rPr>
                <w:rFonts w:ascii="Times New Roman" w:hAnsi="Times New Roman"/>
                <w:noProof/>
                <w:spacing w:val="-4"/>
                <w:sz w:val="20"/>
                <w:szCs w:val="20"/>
              </w:rPr>
              <w:t>low</w:t>
            </w:r>
          </w:p>
        </w:tc>
        <w:tc>
          <w:tcPr>
            <w:cnfStyle w:val="000010000000" w:firstRow="0" w:lastRow="0" w:firstColumn="0" w:lastColumn="0" w:oddVBand="1" w:evenVBand="0" w:oddHBand="0" w:evenHBand="0" w:firstRowFirstColumn="0" w:firstRowLastColumn="0" w:lastRowFirstColumn="0" w:lastRowLastColumn="0"/>
            <w:tcW w:w="2038" w:type="dxa"/>
            <w:vAlign w:val="center"/>
          </w:tcPr>
          <w:p>
            <w:pPr>
              <w:spacing w:after="0" w:line="240" w:lineRule="auto"/>
              <w:jc w:val="center"/>
              <w:rPr>
                <w:rFonts w:ascii="Times New Roman" w:hAnsi="Times New Roman"/>
                <w:noProof/>
                <w:spacing w:val="-4"/>
                <w:sz w:val="20"/>
                <w:szCs w:val="20"/>
              </w:rPr>
            </w:pPr>
            <w:r>
              <w:rPr>
                <w:rFonts w:ascii="Times New Roman" w:hAnsi="Times New Roman"/>
                <w:noProof/>
                <w:spacing w:val="-4"/>
                <w:sz w:val="20"/>
                <w:szCs w:val="20"/>
              </w:rPr>
              <w:t>medium</w:t>
            </w:r>
          </w:p>
        </w:tc>
      </w:tr>
      <w:tr>
        <w:trPr>
          <w:trHeight w:hRule="exact" w:val="397"/>
        </w:trPr>
        <w:tc>
          <w:tcPr>
            <w:cnfStyle w:val="001000000000" w:firstRow="0" w:lastRow="0" w:firstColumn="1" w:lastColumn="0" w:oddVBand="0" w:evenVBand="0" w:oddHBand="0" w:evenHBand="0" w:firstRowFirstColumn="0" w:firstRowLastColumn="0" w:lastRowFirstColumn="0" w:lastRowLastColumn="0"/>
            <w:tcW w:w="3544" w:type="dxa"/>
            <w:vAlign w:val="center"/>
          </w:tcPr>
          <w:p>
            <w:pPr>
              <w:spacing w:after="0" w:line="240" w:lineRule="auto"/>
              <w:rPr>
                <w:rFonts w:ascii="Times New Roman" w:eastAsia="Times New Roman" w:hAnsi="Times New Roman"/>
                <w:noProof/>
                <w:spacing w:val="-4"/>
                <w:sz w:val="20"/>
                <w:szCs w:val="20"/>
              </w:rPr>
            </w:pPr>
            <w:r>
              <w:rPr>
                <w:rFonts w:ascii="Times New Roman" w:eastAsia="Times New Roman" w:hAnsi="Times New Roman"/>
                <w:noProof/>
                <w:spacing w:val="-4"/>
                <w:sz w:val="20"/>
                <w:szCs w:val="20"/>
              </w:rPr>
              <w:t>Political stability and reduced migration</w:t>
            </w:r>
          </w:p>
        </w:tc>
        <w:tc>
          <w:tcPr>
            <w:cnfStyle w:val="000010000000" w:firstRow="0" w:lastRow="0" w:firstColumn="0" w:lastColumn="0" w:oddVBand="1" w:evenVBand="0" w:oddHBand="0" w:evenHBand="0" w:firstRowFirstColumn="0" w:firstRowLastColumn="0" w:lastRowFirstColumn="0" w:lastRowLastColumn="0"/>
            <w:tcW w:w="1843" w:type="dxa"/>
            <w:vAlign w:val="center"/>
          </w:tcPr>
          <w:p>
            <w:pPr>
              <w:spacing w:after="0" w:line="240" w:lineRule="auto"/>
              <w:jc w:val="center"/>
              <w:rPr>
                <w:rFonts w:ascii="Times New Roman" w:hAnsi="Times New Roman"/>
                <w:noProof/>
                <w:spacing w:val="-4"/>
                <w:sz w:val="20"/>
                <w:szCs w:val="20"/>
              </w:rPr>
            </w:pPr>
            <w:r>
              <w:rPr>
                <w:rFonts w:ascii="Times New Roman" w:hAnsi="Times New Roman"/>
                <w:noProof/>
                <w:spacing w:val="-4"/>
                <w:sz w:val="20"/>
                <w:szCs w:val="20"/>
              </w:rPr>
              <w:t>low</w:t>
            </w:r>
          </w:p>
        </w:tc>
        <w:tc>
          <w:tcPr>
            <w:tcW w:w="1843" w:type="dxa"/>
            <w:vAlign w:val="center"/>
          </w:tcPr>
          <w:p>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pacing w:val="-4"/>
                <w:sz w:val="20"/>
                <w:szCs w:val="20"/>
              </w:rPr>
            </w:pPr>
            <w:r>
              <w:rPr>
                <w:rFonts w:ascii="Times New Roman" w:hAnsi="Times New Roman"/>
                <w:noProof/>
                <w:spacing w:val="-4"/>
                <w:sz w:val="20"/>
                <w:szCs w:val="20"/>
              </w:rPr>
              <w:t>low</w:t>
            </w:r>
          </w:p>
        </w:tc>
        <w:tc>
          <w:tcPr>
            <w:cnfStyle w:val="000010000000" w:firstRow="0" w:lastRow="0" w:firstColumn="0" w:lastColumn="0" w:oddVBand="1" w:evenVBand="0" w:oddHBand="0" w:evenHBand="0" w:firstRowFirstColumn="0" w:firstRowLastColumn="0" w:lastRowFirstColumn="0" w:lastRowLastColumn="0"/>
            <w:tcW w:w="2038" w:type="dxa"/>
            <w:vAlign w:val="center"/>
          </w:tcPr>
          <w:p>
            <w:pPr>
              <w:spacing w:after="0" w:line="240" w:lineRule="auto"/>
              <w:jc w:val="center"/>
              <w:rPr>
                <w:rFonts w:ascii="Times New Roman" w:hAnsi="Times New Roman"/>
                <w:noProof/>
                <w:spacing w:val="-4"/>
                <w:sz w:val="20"/>
                <w:szCs w:val="20"/>
              </w:rPr>
            </w:pPr>
            <w:r>
              <w:rPr>
                <w:rFonts w:ascii="Times New Roman" w:hAnsi="Times New Roman"/>
                <w:noProof/>
                <w:spacing w:val="-4"/>
                <w:sz w:val="20"/>
                <w:szCs w:val="20"/>
              </w:rPr>
              <w:t>high</w:t>
            </w:r>
          </w:p>
        </w:tc>
      </w:tr>
      <w:tr>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268" w:type="dxa"/>
            <w:gridSpan w:val="4"/>
            <w:shd w:val="clear" w:color="auto" w:fill="DBE5F1" w:themeFill="accent1" w:themeFillTint="33"/>
            <w:vAlign w:val="center"/>
          </w:tcPr>
          <w:p>
            <w:pPr>
              <w:spacing w:after="0" w:line="240" w:lineRule="auto"/>
              <w:rPr>
                <w:rFonts w:ascii="Times New Roman" w:hAnsi="Times New Roman"/>
                <w:noProof/>
                <w:spacing w:val="-4"/>
                <w:sz w:val="20"/>
                <w:szCs w:val="20"/>
              </w:rPr>
            </w:pPr>
            <w:r>
              <w:rPr>
                <w:rFonts w:ascii="Times New Roman" w:eastAsia="Times New Roman" w:hAnsi="Times New Roman"/>
                <w:noProof/>
                <w:spacing w:val="-4"/>
                <w:sz w:val="20"/>
                <w:szCs w:val="20"/>
              </w:rPr>
              <w:t>Environmental</w:t>
            </w:r>
          </w:p>
        </w:tc>
      </w:tr>
      <w:tr>
        <w:trPr>
          <w:trHeight w:hRule="exact" w:val="397"/>
        </w:trPr>
        <w:tc>
          <w:tcPr>
            <w:cnfStyle w:val="001000000000" w:firstRow="0" w:lastRow="0" w:firstColumn="1" w:lastColumn="0" w:oddVBand="0" w:evenVBand="0" w:oddHBand="0" w:evenHBand="0" w:firstRowFirstColumn="0" w:firstRowLastColumn="0" w:lastRowFirstColumn="0" w:lastRowLastColumn="0"/>
            <w:tcW w:w="3544" w:type="dxa"/>
            <w:tcBorders>
              <w:top w:val="single" w:sz="8" w:space="0" w:color="4F81BD" w:themeColor="accent1"/>
              <w:left w:val="single" w:sz="8" w:space="0" w:color="4F81BD" w:themeColor="accent1"/>
              <w:bottom w:val="single" w:sz="8" w:space="0" w:color="4F81BD" w:themeColor="accent1"/>
            </w:tcBorders>
            <w:vAlign w:val="center"/>
          </w:tcPr>
          <w:p>
            <w:pPr>
              <w:spacing w:after="0" w:line="240" w:lineRule="auto"/>
              <w:rPr>
                <w:rFonts w:ascii="Times New Roman" w:eastAsia="Times New Roman" w:hAnsi="Times New Roman"/>
                <w:b w:val="0"/>
                <w:noProof/>
                <w:spacing w:val="-4"/>
                <w:sz w:val="20"/>
                <w:szCs w:val="20"/>
              </w:rPr>
            </w:pPr>
            <w:r>
              <w:rPr>
                <w:rFonts w:ascii="Times New Roman" w:eastAsia="Times New Roman" w:hAnsi="Times New Roman"/>
                <w:noProof/>
                <w:spacing w:val="-4"/>
                <w:sz w:val="20"/>
                <w:szCs w:val="20"/>
              </w:rPr>
              <w:t>Large-scale environmental impacts</w:t>
            </w:r>
          </w:p>
        </w:tc>
        <w:tc>
          <w:tcPr>
            <w:cnfStyle w:val="000010000000" w:firstRow="0" w:lastRow="0" w:firstColumn="0" w:lastColumn="0" w:oddVBand="1" w:evenVBand="0" w:oddHBand="0" w:evenHBand="0" w:firstRowFirstColumn="0" w:firstRowLastColumn="0" w:lastRowFirstColumn="0" w:lastRowLastColumn="0"/>
            <w:tcW w:w="1843" w:type="dxa"/>
            <w:tcBorders>
              <w:top w:val="single" w:sz="8" w:space="0" w:color="4F81BD" w:themeColor="accent1"/>
            </w:tcBorders>
            <w:vAlign w:val="center"/>
          </w:tcPr>
          <w:p>
            <w:pPr>
              <w:spacing w:after="0" w:line="240" w:lineRule="auto"/>
              <w:jc w:val="center"/>
              <w:rPr>
                <w:rFonts w:ascii="Times New Roman" w:hAnsi="Times New Roman"/>
                <w:noProof/>
                <w:spacing w:val="-4"/>
                <w:sz w:val="20"/>
                <w:szCs w:val="20"/>
              </w:rPr>
            </w:pPr>
            <w:r>
              <w:rPr>
                <w:rFonts w:ascii="Times New Roman" w:hAnsi="Times New Roman"/>
                <w:noProof/>
                <w:spacing w:val="-4"/>
                <w:sz w:val="20"/>
                <w:szCs w:val="20"/>
              </w:rPr>
              <w:t>medium</w:t>
            </w:r>
          </w:p>
        </w:tc>
        <w:tc>
          <w:tcPr>
            <w:tcW w:w="1843" w:type="dxa"/>
            <w:tcBorders>
              <w:top w:val="single" w:sz="8" w:space="0" w:color="4F81BD" w:themeColor="accent1"/>
              <w:bottom w:val="single" w:sz="8" w:space="0" w:color="4F81BD" w:themeColor="accent1"/>
            </w:tcBorders>
            <w:vAlign w:val="center"/>
          </w:tcPr>
          <w:p>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pacing w:val="-4"/>
                <w:sz w:val="20"/>
                <w:szCs w:val="20"/>
              </w:rPr>
            </w:pPr>
            <w:r>
              <w:rPr>
                <w:rFonts w:ascii="Times New Roman" w:hAnsi="Times New Roman"/>
                <w:noProof/>
                <w:spacing w:val="-4"/>
                <w:sz w:val="20"/>
                <w:szCs w:val="20"/>
              </w:rPr>
              <w:t>medium</w:t>
            </w:r>
          </w:p>
        </w:tc>
        <w:tc>
          <w:tcPr>
            <w:cnfStyle w:val="000010000000" w:firstRow="0" w:lastRow="0" w:firstColumn="0" w:lastColumn="0" w:oddVBand="1" w:evenVBand="0" w:oddHBand="0" w:evenHBand="0" w:firstRowFirstColumn="0" w:firstRowLastColumn="0" w:lastRowFirstColumn="0" w:lastRowLastColumn="0"/>
            <w:tcW w:w="2038" w:type="dxa"/>
            <w:tcBorders>
              <w:top w:val="single" w:sz="8" w:space="0" w:color="4F81BD" w:themeColor="accent1"/>
            </w:tcBorders>
            <w:vAlign w:val="center"/>
          </w:tcPr>
          <w:p>
            <w:pPr>
              <w:spacing w:after="0" w:line="240" w:lineRule="auto"/>
              <w:jc w:val="center"/>
              <w:rPr>
                <w:rFonts w:ascii="Times New Roman" w:hAnsi="Times New Roman"/>
                <w:noProof/>
                <w:spacing w:val="-4"/>
                <w:sz w:val="20"/>
                <w:szCs w:val="20"/>
              </w:rPr>
            </w:pPr>
            <w:r>
              <w:rPr>
                <w:rFonts w:ascii="Times New Roman" w:hAnsi="Times New Roman"/>
                <w:noProof/>
                <w:spacing w:val="-4"/>
                <w:sz w:val="20"/>
                <w:szCs w:val="20"/>
              </w:rPr>
              <w:t>very high</w:t>
            </w:r>
          </w:p>
        </w:tc>
      </w:tr>
    </w:tbl>
    <w:p>
      <w:pPr>
        <w:autoSpaceDE w:val="0"/>
        <w:autoSpaceDN w:val="0"/>
        <w:adjustRightInd w:val="0"/>
        <w:spacing w:after="120" w:line="240" w:lineRule="auto"/>
        <w:rPr>
          <w:rFonts w:ascii="Times New Roman" w:hAnsi="Times New Roman"/>
          <w:b/>
          <w:noProof/>
          <w:szCs w:val="24"/>
        </w:rPr>
      </w:pPr>
      <w:r>
        <w:rPr>
          <w:rFonts w:ascii="Times New Roman" w:hAnsi="Times New Roman"/>
          <w:b/>
          <w:noProof/>
          <w:sz w:val="20"/>
        </w:rPr>
        <w:t>Table 6.2: Comparison of impact of the options on economic, social, environmental and other impacts</w:t>
      </w:r>
    </w:p>
    <w:p>
      <w:pPr>
        <w:spacing w:after="240" w:line="240" w:lineRule="auto"/>
        <w:jc w:val="both"/>
        <w:rPr>
          <w:rFonts w:ascii="Times New Roman" w:hAnsi="Times New Roman"/>
          <w:noProof/>
          <w:sz w:val="24"/>
          <w:szCs w:val="24"/>
        </w:rPr>
      </w:pPr>
    </w:p>
    <w:tbl>
      <w:tblPr>
        <w:tblStyle w:val="MediumShading1-Accent11"/>
        <w:tblW w:w="9525" w:type="dxa"/>
        <w:tblBorders>
          <w:insideV w:val="single" w:sz="8" w:space="0" w:color="7BA0CD" w:themeColor="accent1" w:themeTint="BF"/>
        </w:tblBorders>
        <w:tblLook w:val="04A0" w:firstRow="1" w:lastRow="0" w:firstColumn="1" w:lastColumn="0" w:noHBand="0" w:noVBand="1"/>
      </w:tblPr>
      <w:tblGrid>
        <w:gridCol w:w="3652"/>
        <w:gridCol w:w="1843"/>
        <w:gridCol w:w="1701"/>
        <w:gridCol w:w="2310"/>
        <w:gridCol w:w="19"/>
      </w:tblGrid>
      <w:tr>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right w:val="none" w:sz="0" w:space="0" w:color="auto"/>
            </w:tcBorders>
            <w:hideMark/>
          </w:tcPr>
          <w:p>
            <w:pPr>
              <w:spacing w:after="0" w:line="240" w:lineRule="auto"/>
              <w:jc w:val="center"/>
              <w:rPr>
                <w:rFonts w:ascii="Times New Roman" w:hAnsi="Times New Roman"/>
                <w:noProof/>
                <w:sz w:val="20"/>
              </w:rPr>
            </w:pPr>
            <w:r>
              <w:rPr>
                <w:rFonts w:ascii="Times New Roman" w:hAnsi="Times New Roman"/>
                <w:noProof/>
                <w:sz w:val="20"/>
              </w:rPr>
              <w:t>Criteria</w:t>
            </w:r>
          </w:p>
        </w:tc>
        <w:tc>
          <w:tcPr>
            <w:tcW w:w="1843" w:type="dxa"/>
            <w:tcBorders>
              <w:top w:val="none" w:sz="0" w:space="0" w:color="auto"/>
              <w:left w:val="none" w:sz="0" w:space="0" w:color="auto"/>
              <w:bottom w:val="none" w:sz="0" w:space="0" w:color="auto"/>
              <w:right w:val="none" w:sz="0" w:space="0" w:color="auto"/>
            </w:tcBorders>
            <w:hideMark/>
          </w:tcPr>
          <w:p>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rPr>
            </w:pPr>
            <w:r>
              <w:rPr>
                <w:rFonts w:ascii="Times New Roman" w:eastAsia="Times New Roman" w:hAnsi="Times New Roman"/>
                <w:noProof/>
                <w:sz w:val="20"/>
              </w:rPr>
              <w:t>Baseline scenario: No dedicated EU action</w:t>
            </w:r>
          </w:p>
        </w:tc>
        <w:tc>
          <w:tcPr>
            <w:tcW w:w="1701" w:type="dxa"/>
            <w:tcBorders>
              <w:top w:val="none" w:sz="0" w:space="0" w:color="auto"/>
              <w:left w:val="none" w:sz="0" w:space="0" w:color="auto"/>
              <w:bottom w:val="none" w:sz="0" w:space="0" w:color="auto"/>
              <w:right w:val="none" w:sz="0" w:space="0" w:color="auto"/>
            </w:tcBorders>
            <w:hideMark/>
          </w:tcPr>
          <w:p>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rPr>
            </w:pPr>
            <w:r>
              <w:rPr>
                <w:rFonts w:ascii="Times New Roman" w:eastAsia="Times New Roman" w:hAnsi="Times New Roman"/>
                <w:noProof/>
                <w:sz w:val="20"/>
              </w:rPr>
              <w:t>Option 1: ERA-NET Cofund actions</w:t>
            </w:r>
          </w:p>
        </w:tc>
        <w:tc>
          <w:tcPr>
            <w:tcW w:w="2329" w:type="dxa"/>
            <w:gridSpan w:val="2"/>
            <w:tcBorders>
              <w:top w:val="none" w:sz="0" w:space="0" w:color="auto"/>
              <w:left w:val="none" w:sz="0" w:space="0" w:color="auto"/>
              <w:bottom w:val="none" w:sz="0" w:space="0" w:color="auto"/>
              <w:right w:val="none" w:sz="0" w:space="0" w:color="auto"/>
            </w:tcBorders>
            <w:hideMark/>
          </w:tcPr>
          <w:p>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rPr>
            </w:pPr>
            <w:r>
              <w:rPr>
                <w:rFonts w:ascii="Times New Roman" w:eastAsia="Times New Roman" w:hAnsi="Times New Roman"/>
                <w:noProof/>
                <w:sz w:val="20"/>
              </w:rPr>
              <w:t>Option 2: PRIMA Joint Programme based on Article 185 TFEU</w:t>
            </w:r>
          </w:p>
        </w:tc>
      </w:tr>
      <w:tr>
        <w:trPr>
          <w:gridAfter w:val="1"/>
          <w:cnfStyle w:val="000000100000" w:firstRow="0" w:lastRow="0" w:firstColumn="0" w:lastColumn="0" w:oddVBand="0" w:evenVBand="0" w:oddHBand="1" w:evenHBand="0" w:firstRowFirstColumn="0" w:firstRowLastColumn="0" w:lastRowFirstColumn="0" w:lastRowLastColumn="0"/>
          <w:wAfter w:w="19" w:type="dxa"/>
          <w:trHeight w:val="993"/>
        </w:trPr>
        <w:tc>
          <w:tcPr>
            <w:cnfStyle w:val="001000000000" w:firstRow="0" w:lastRow="0" w:firstColumn="1" w:lastColumn="0" w:oddVBand="0" w:evenVBand="0" w:oddHBand="0" w:evenHBand="0" w:firstRowFirstColumn="0" w:firstRowLastColumn="0" w:lastRowFirstColumn="0" w:lastRowLastColumn="0"/>
            <w:tcW w:w="3652" w:type="dxa"/>
            <w:tcBorders>
              <w:right w:val="none" w:sz="0" w:space="0" w:color="auto"/>
            </w:tcBorders>
            <w:hideMark/>
          </w:tcPr>
          <w:p>
            <w:pPr>
              <w:spacing w:before="60" w:after="60" w:line="240" w:lineRule="auto"/>
              <w:jc w:val="center"/>
              <w:rPr>
                <w:rFonts w:ascii="Times New Roman" w:hAnsi="Times New Roman"/>
                <w:noProof/>
                <w:sz w:val="20"/>
              </w:rPr>
            </w:pPr>
            <w:r>
              <w:rPr>
                <w:rFonts w:ascii="Times New Roman" w:hAnsi="Times New Roman"/>
                <w:noProof/>
                <w:sz w:val="20"/>
              </w:rPr>
              <w:t>Effectiveness</w:t>
            </w:r>
          </w:p>
          <w:p>
            <w:pPr>
              <w:spacing w:before="60" w:after="60" w:line="240" w:lineRule="auto"/>
              <w:jc w:val="center"/>
              <w:rPr>
                <w:rFonts w:ascii="Times New Roman" w:hAnsi="Times New Roman"/>
                <w:b w:val="0"/>
                <w:noProof/>
                <w:sz w:val="20"/>
              </w:rPr>
            </w:pPr>
            <w:r>
              <w:rPr>
                <w:rFonts w:ascii="Times New Roman" w:hAnsi="Times New Roman"/>
                <w:b w:val="0"/>
                <w:noProof/>
                <w:sz w:val="20"/>
              </w:rPr>
              <w:t xml:space="preserve">Strengthening the integration of R&amp;I systems and activities in the Mediterranean countries in the fields of water provision and food systems </w:t>
            </w:r>
          </w:p>
        </w:tc>
        <w:tc>
          <w:tcPr>
            <w:tcW w:w="1843" w:type="dxa"/>
            <w:tcBorders>
              <w:left w:val="none" w:sz="0" w:space="0" w:color="auto"/>
              <w:right w:val="none" w:sz="0" w:space="0" w:color="auto"/>
            </w:tcBorders>
            <w:vAlign w:val="center"/>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rFonts w:ascii="Times New Roman" w:hAnsi="Times New Roman"/>
                <w:b/>
                <w:bCs/>
                <w:noProof/>
                <w:sz w:val="20"/>
              </w:rPr>
              <w:t>0</w:t>
            </w:r>
          </w:p>
        </w:tc>
        <w:tc>
          <w:tcPr>
            <w:tcW w:w="1701" w:type="dxa"/>
            <w:tcBorders>
              <w:left w:val="none" w:sz="0" w:space="0" w:color="auto"/>
              <w:right w:val="none" w:sz="0" w:space="0" w:color="auto"/>
            </w:tcBorders>
            <w:vAlign w:val="center"/>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rFonts w:ascii="Times New Roman" w:hAnsi="Times New Roman"/>
                <w:b/>
                <w:bCs/>
                <w:noProof/>
                <w:sz w:val="20"/>
              </w:rPr>
              <w:t>+ +</w:t>
            </w:r>
          </w:p>
        </w:tc>
        <w:tc>
          <w:tcPr>
            <w:tcW w:w="2310" w:type="dxa"/>
            <w:tcBorders>
              <w:left w:val="none" w:sz="0" w:space="0" w:color="auto"/>
            </w:tcBorders>
            <w:vAlign w:val="center"/>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rFonts w:ascii="Times New Roman" w:hAnsi="Times New Roman"/>
                <w:b/>
                <w:bCs/>
                <w:noProof/>
                <w:sz w:val="20"/>
              </w:rPr>
              <w:t>+ + +</w:t>
            </w:r>
          </w:p>
        </w:tc>
      </w:tr>
      <w:tr>
        <w:trPr>
          <w:gridAfter w:val="1"/>
          <w:cnfStyle w:val="000000010000" w:firstRow="0" w:lastRow="0" w:firstColumn="0" w:lastColumn="0" w:oddVBand="0" w:evenVBand="0" w:oddHBand="0" w:evenHBand="1" w:firstRowFirstColumn="0" w:firstRowLastColumn="0" w:lastRowFirstColumn="0" w:lastRowLastColumn="0"/>
          <w:wAfter w:w="19" w:type="dxa"/>
          <w:trHeight w:val="670"/>
        </w:trPr>
        <w:tc>
          <w:tcPr>
            <w:cnfStyle w:val="001000000000" w:firstRow="0" w:lastRow="0" w:firstColumn="1" w:lastColumn="0" w:oddVBand="0" w:evenVBand="0" w:oddHBand="0" w:evenHBand="0" w:firstRowFirstColumn="0" w:firstRowLastColumn="0" w:lastRowFirstColumn="0" w:lastRowLastColumn="0"/>
            <w:tcW w:w="3652" w:type="dxa"/>
            <w:tcBorders>
              <w:right w:val="none" w:sz="0" w:space="0" w:color="auto"/>
            </w:tcBorders>
            <w:hideMark/>
          </w:tcPr>
          <w:p>
            <w:pPr>
              <w:spacing w:before="60" w:after="60" w:line="240" w:lineRule="auto"/>
              <w:jc w:val="center"/>
              <w:rPr>
                <w:rFonts w:ascii="Times New Roman" w:hAnsi="Times New Roman"/>
                <w:noProof/>
                <w:sz w:val="20"/>
              </w:rPr>
            </w:pPr>
            <w:r>
              <w:rPr>
                <w:rFonts w:ascii="Times New Roman" w:hAnsi="Times New Roman"/>
                <w:noProof/>
                <w:sz w:val="20"/>
              </w:rPr>
              <w:t>Efficiency</w:t>
            </w:r>
          </w:p>
          <w:p>
            <w:pPr>
              <w:spacing w:before="60" w:after="60" w:line="240" w:lineRule="auto"/>
              <w:jc w:val="center"/>
              <w:rPr>
                <w:rFonts w:ascii="Times New Roman" w:hAnsi="Times New Roman"/>
                <w:b w:val="0"/>
                <w:noProof/>
                <w:sz w:val="20"/>
              </w:rPr>
            </w:pPr>
            <w:r>
              <w:rPr>
                <w:rFonts w:ascii="Times New Roman" w:hAnsi="Times New Roman"/>
                <w:b w:val="0"/>
                <w:noProof/>
                <w:sz w:val="20"/>
              </w:rPr>
              <w:t>Implementation of the policy options and meeting the expected likely impacts</w:t>
            </w:r>
          </w:p>
        </w:tc>
        <w:tc>
          <w:tcPr>
            <w:tcW w:w="1843" w:type="dxa"/>
            <w:tcBorders>
              <w:left w:val="none" w:sz="0" w:space="0" w:color="auto"/>
              <w:right w:val="none" w:sz="0" w:space="0" w:color="auto"/>
            </w:tcBorders>
            <w:vAlign w:val="center"/>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b/>
                <w:bCs/>
                <w:noProof/>
                <w:sz w:val="20"/>
              </w:rPr>
              <w:t>0</w:t>
            </w:r>
          </w:p>
        </w:tc>
        <w:tc>
          <w:tcPr>
            <w:tcW w:w="1701" w:type="dxa"/>
            <w:tcBorders>
              <w:left w:val="none" w:sz="0" w:space="0" w:color="auto"/>
              <w:right w:val="none" w:sz="0" w:space="0" w:color="auto"/>
            </w:tcBorders>
            <w:vAlign w:val="center"/>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b/>
                <w:bCs/>
                <w:noProof/>
                <w:sz w:val="20"/>
              </w:rPr>
              <w:t>+</w:t>
            </w:r>
          </w:p>
        </w:tc>
        <w:tc>
          <w:tcPr>
            <w:tcW w:w="2310" w:type="dxa"/>
            <w:tcBorders>
              <w:left w:val="none" w:sz="0" w:space="0" w:color="auto"/>
            </w:tcBorders>
            <w:vAlign w:val="center"/>
            <w:hideMark/>
          </w:tcPr>
          <w:p>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b/>
                <w:bCs/>
                <w:noProof/>
                <w:sz w:val="20"/>
              </w:rPr>
              <w:t>+ + +</w:t>
            </w:r>
          </w:p>
        </w:tc>
      </w:tr>
      <w:tr>
        <w:trPr>
          <w:gridAfter w:val="1"/>
          <w:cnfStyle w:val="000000100000" w:firstRow="0" w:lastRow="0" w:firstColumn="0" w:lastColumn="0" w:oddVBand="0" w:evenVBand="0" w:oddHBand="1" w:evenHBand="0" w:firstRowFirstColumn="0" w:firstRowLastColumn="0" w:lastRowFirstColumn="0" w:lastRowLastColumn="0"/>
          <w:wAfter w:w="19" w:type="dxa"/>
          <w:trHeight w:val="808"/>
        </w:trPr>
        <w:tc>
          <w:tcPr>
            <w:cnfStyle w:val="001000000000" w:firstRow="0" w:lastRow="0" w:firstColumn="1" w:lastColumn="0" w:oddVBand="0" w:evenVBand="0" w:oddHBand="0" w:evenHBand="0" w:firstRowFirstColumn="0" w:firstRowLastColumn="0" w:lastRowFirstColumn="0" w:lastRowLastColumn="0"/>
            <w:tcW w:w="3652" w:type="dxa"/>
            <w:tcBorders>
              <w:right w:val="none" w:sz="0" w:space="0" w:color="auto"/>
            </w:tcBorders>
            <w:hideMark/>
          </w:tcPr>
          <w:p>
            <w:pPr>
              <w:spacing w:before="60" w:after="60" w:line="240" w:lineRule="auto"/>
              <w:jc w:val="center"/>
              <w:rPr>
                <w:rFonts w:ascii="Times New Roman" w:hAnsi="Times New Roman"/>
                <w:noProof/>
                <w:sz w:val="20"/>
              </w:rPr>
            </w:pPr>
            <w:r>
              <w:rPr>
                <w:rFonts w:ascii="Times New Roman" w:hAnsi="Times New Roman"/>
                <w:noProof/>
                <w:sz w:val="20"/>
              </w:rPr>
              <w:t>Synergy</w:t>
            </w:r>
          </w:p>
          <w:p>
            <w:pPr>
              <w:spacing w:before="60" w:after="60" w:line="240" w:lineRule="auto"/>
              <w:jc w:val="center"/>
              <w:rPr>
                <w:rFonts w:ascii="Times New Roman" w:hAnsi="Times New Roman"/>
                <w:b w:val="0"/>
                <w:noProof/>
                <w:sz w:val="20"/>
              </w:rPr>
            </w:pPr>
            <w:r>
              <w:rPr>
                <w:rFonts w:ascii="Times New Roman" w:hAnsi="Times New Roman"/>
                <w:b w:val="0"/>
                <w:noProof/>
                <w:sz w:val="20"/>
              </w:rPr>
              <w:t>Coherence with other policies and programmes and wider coordination at international level</w:t>
            </w:r>
          </w:p>
        </w:tc>
        <w:tc>
          <w:tcPr>
            <w:tcW w:w="1843" w:type="dxa"/>
            <w:tcBorders>
              <w:left w:val="none" w:sz="0" w:space="0" w:color="auto"/>
              <w:right w:val="none" w:sz="0" w:space="0" w:color="auto"/>
            </w:tcBorders>
            <w:vAlign w:val="center"/>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rFonts w:ascii="Times New Roman" w:hAnsi="Times New Roman"/>
                <w:b/>
                <w:bCs/>
                <w:noProof/>
                <w:sz w:val="20"/>
              </w:rPr>
              <w:t>0</w:t>
            </w:r>
          </w:p>
        </w:tc>
        <w:tc>
          <w:tcPr>
            <w:tcW w:w="1701" w:type="dxa"/>
            <w:tcBorders>
              <w:left w:val="none" w:sz="0" w:space="0" w:color="auto"/>
              <w:right w:val="none" w:sz="0" w:space="0" w:color="auto"/>
            </w:tcBorders>
            <w:vAlign w:val="center"/>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rFonts w:ascii="Times New Roman" w:hAnsi="Times New Roman"/>
                <w:b/>
                <w:bCs/>
                <w:noProof/>
                <w:sz w:val="20"/>
              </w:rPr>
              <w:t>+ +</w:t>
            </w:r>
          </w:p>
        </w:tc>
        <w:tc>
          <w:tcPr>
            <w:tcW w:w="2310" w:type="dxa"/>
            <w:tcBorders>
              <w:left w:val="none" w:sz="0" w:space="0" w:color="auto"/>
            </w:tcBorders>
            <w:vAlign w:val="center"/>
            <w:hideMark/>
          </w:tcPr>
          <w:p>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rFonts w:ascii="Times New Roman" w:hAnsi="Times New Roman"/>
                <w:b/>
                <w:bCs/>
                <w:noProof/>
                <w:sz w:val="20"/>
              </w:rPr>
              <w:t>+ + +</w:t>
            </w:r>
          </w:p>
        </w:tc>
      </w:tr>
    </w:tbl>
    <w:p>
      <w:pPr>
        <w:spacing w:after="0" w:line="240" w:lineRule="auto"/>
        <w:rPr>
          <w:rFonts w:ascii="Times New Roman" w:hAnsi="Times New Roman"/>
          <w:noProof/>
        </w:rPr>
      </w:pPr>
      <w:r>
        <w:rPr>
          <w:rFonts w:ascii="Times New Roman" w:hAnsi="Times New Roman"/>
          <w:bCs/>
          <w:i/>
          <w:noProof/>
          <w:sz w:val="18"/>
        </w:rPr>
        <w:t>0 = Neutral, + = minor positive impact, + + = Moderate positive impacts, + + + = Significant positive impacts</w:t>
      </w:r>
    </w:p>
    <w:p>
      <w:pPr>
        <w:spacing w:before="120" w:after="120" w:line="240" w:lineRule="auto"/>
        <w:ind w:left="1440" w:hanging="1440"/>
        <w:jc w:val="both"/>
        <w:rPr>
          <w:rFonts w:ascii="Times New Roman" w:eastAsia="Times New Roman" w:hAnsi="Times New Roman"/>
          <w:b/>
          <w:noProof/>
          <w:szCs w:val="20"/>
        </w:rPr>
      </w:pPr>
      <w:r>
        <w:rPr>
          <w:rFonts w:ascii="Times New Roman" w:eastAsia="Times New Roman" w:hAnsi="Times New Roman"/>
          <w:b/>
          <w:noProof/>
          <w:sz w:val="20"/>
        </w:rPr>
        <w:t>Table 6.3: Comparative effectiveness, efficiency and synergy of the policy options</w:t>
      </w:r>
    </w:p>
    <w:p>
      <w:pPr>
        <w:spacing w:after="0" w:line="240" w:lineRule="auto"/>
        <w:jc w:val="both"/>
        <w:rPr>
          <w:rFonts w:ascii="Times New Roman" w:hAnsi="Times New Roman"/>
          <w:noProof/>
        </w:rPr>
      </w:pPr>
    </w:p>
    <w:p>
      <w:pPr>
        <w:pStyle w:val="Heading1"/>
        <w:numPr>
          <w:ilvl w:val="1"/>
          <w:numId w:val="7"/>
        </w:numPr>
        <w:spacing w:before="120" w:after="120" w:line="240" w:lineRule="auto"/>
        <w:rPr>
          <w:rFonts w:ascii="Times New Roman" w:hAnsi="Times New Roman"/>
          <w:noProof/>
          <w:color w:val="auto"/>
          <w:sz w:val="24"/>
          <w:szCs w:val="24"/>
        </w:rPr>
      </w:pPr>
      <w:bookmarkStart w:id="239" w:name="_Toc455557023"/>
      <w:bookmarkStart w:id="240" w:name="_Toc455682284"/>
      <w:bookmarkStart w:id="241" w:name="_Toc455731817"/>
      <w:bookmarkStart w:id="242" w:name="_Toc455825244"/>
      <w:bookmarkStart w:id="243" w:name="_Toc457466066"/>
      <w:r>
        <w:rPr>
          <w:rFonts w:ascii="Times New Roman" w:hAnsi="Times New Roman"/>
          <w:noProof/>
          <w:color w:val="auto"/>
          <w:sz w:val="24"/>
          <w:szCs w:val="24"/>
        </w:rPr>
        <w:t>Highlight the trade-offs and synergies associated with each option</w:t>
      </w:r>
      <w:bookmarkEnd w:id="239"/>
      <w:bookmarkEnd w:id="240"/>
      <w:bookmarkEnd w:id="241"/>
      <w:bookmarkEnd w:id="242"/>
      <w:bookmarkEnd w:id="243"/>
      <w:r>
        <w:rPr>
          <w:rFonts w:ascii="Times New Roman" w:hAnsi="Times New Roman"/>
          <w:noProof/>
          <w:color w:val="auto"/>
          <w:sz w:val="24"/>
          <w:szCs w:val="24"/>
        </w:rPr>
        <w:t xml:space="preserve"> </w:t>
      </w:r>
    </w:p>
    <w:p>
      <w:pPr>
        <w:spacing w:after="120" w:line="240" w:lineRule="auto"/>
        <w:jc w:val="both"/>
        <w:rPr>
          <w:rFonts w:ascii="Times New Roman" w:hAnsi="Times New Roman"/>
          <w:noProof/>
          <w:sz w:val="24"/>
        </w:rPr>
      </w:pPr>
      <w:r>
        <w:rPr>
          <w:rFonts w:ascii="Times New Roman" w:hAnsi="Times New Roman"/>
          <w:noProof/>
          <w:sz w:val="24"/>
        </w:rPr>
        <w:t xml:space="preserve">There is no significant trade-offs between the likely impacts of any of the Policy Options and desirable outputs of other EU policies. There are a number of potential synergies highlighted in Annex 8, regarding JPIs (on Water, FACCE, Healthy diet and Oceans), MIRA, MEDSPRING and ERA-NETs (ERANETMED, Foresterra, ARIMNet and ARIMNet2). </w:t>
      </w:r>
      <w:r>
        <w:rPr>
          <w:rFonts w:ascii="Times New Roman" w:hAnsi="Times New Roman"/>
          <w:b/>
          <w:noProof/>
          <w:sz w:val="24"/>
        </w:rPr>
        <w:t>Option 2</w:t>
      </w:r>
      <w:r>
        <w:rPr>
          <w:rFonts w:ascii="Times New Roman" w:hAnsi="Times New Roman"/>
          <w:noProof/>
          <w:sz w:val="24"/>
        </w:rPr>
        <w:t xml:space="preserve"> presents the highest potential to align national and EU R&amp;I agendas, and to address overlapping and duplication in most relevant areas. </w:t>
      </w:r>
      <w:r>
        <w:rPr>
          <w:rFonts w:ascii="Times New Roman" w:hAnsi="Times New Roman"/>
          <w:b/>
          <w:noProof/>
          <w:sz w:val="24"/>
        </w:rPr>
        <w:t>Option 2</w:t>
      </w:r>
      <w:r>
        <w:rPr>
          <w:rFonts w:ascii="Times New Roman" w:hAnsi="Times New Roman"/>
          <w:noProof/>
          <w:sz w:val="24"/>
        </w:rPr>
        <w:t xml:space="preserve"> and, to a lesser extent, </w:t>
      </w:r>
      <w:r>
        <w:rPr>
          <w:rFonts w:ascii="Times New Roman" w:hAnsi="Times New Roman"/>
          <w:b/>
          <w:noProof/>
          <w:sz w:val="24"/>
        </w:rPr>
        <w:t>Option 1</w:t>
      </w:r>
      <w:r>
        <w:rPr>
          <w:rFonts w:ascii="Times New Roman" w:hAnsi="Times New Roman"/>
          <w:noProof/>
          <w:sz w:val="24"/>
        </w:rPr>
        <w:t xml:space="preserve"> would both be aligned with and complement high-level EU goals related to the achievement of the Sustainable Development Goals and improved North-South relations.</w:t>
      </w:r>
    </w:p>
    <w:p>
      <w:pPr>
        <w:spacing w:after="0" w:line="240" w:lineRule="auto"/>
        <w:jc w:val="both"/>
        <w:rPr>
          <w:rFonts w:ascii="Times New Roman" w:hAnsi="Times New Roman"/>
          <w:noProof/>
          <w:sz w:val="24"/>
          <w:szCs w:val="24"/>
        </w:rPr>
      </w:pPr>
      <w:r>
        <w:rPr>
          <w:rFonts w:ascii="Times New Roman" w:hAnsi="Times New Roman"/>
          <w:noProof/>
          <w:sz w:val="24"/>
          <w:szCs w:val="24"/>
        </w:rPr>
        <w:t>Concerning risks of simultaneity or potential financial overlapping with other relevant initiatives on R&amp;I on water provision and food systems in the Mediterranean, it has to be considered that:</w:t>
      </w:r>
    </w:p>
    <w:p>
      <w:pPr>
        <w:numPr>
          <w:ilvl w:val="0"/>
          <w:numId w:val="40"/>
        </w:numPr>
        <w:spacing w:after="120" w:line="240" w:lineRule="auto"/>
        <w:ind w:left="426"/>
        <w:contextualSpacing/>
        <w:jc w:val="both"/>
        <w:rPr>
          <w:rFonts w:ascii="Times New Roman" w:hAnsi="Times New Roman"/>
          <w:noProof/>
          <w:sz w:val="24"/>
          <w:szCs w:val="24"/>
        </w:rPr>
      </w:pPr>
      <w:r>
        <w:rPr>
          <w:rFonts w:ascii="Times New Roman" w:hAnsi="Times New Roman"/>
          <w:noProof/>
          <w:sz w:val="24"/>
          <w:szCs w:val="24"/>
        </w:rPr>
        <w:t xml:space="preserve">The first joint calls under </w:t>
      </w:r>
      <w:r>
        <w:rPr>
          <w:rFonts w:ascii="Times New Roman" w:hAnsi="Times New Roman"/>
          <w:b/>
          <w:noProof/>
          <w:sz w:val="24"/>
          <w:szCs w:val="24"/>
        </w:rPr>
        <w:t>Option 2</w:t>
      </w:r>
      <w:r>
        <w:rPr>
          <w:rFonts w:ascii="Times New Roman" w:hAnsi="Times New Roman"/>
          <w:noProof/>
          <w:sz w:val="24"/>
          <w:szCs w:val="24"/>
        </w:rPr>
        <w:t xml:space="preserve"> would be launched in 2018; </w:t>
      </w:r>
    </w:p>
    <w:p>
      <w:pPr>
        <w:numPr>
          <w:ilvl w:val="0"/>
          <w:numId w:val="40"/>
        </w:numPr>
        <w:spacing w:after="120" w:line="240" w:lineRule="auto"/>
        <w:ind w:left="426"/>
        <w:contextualSpacing/>
        <w:jc w:val="both"/>
        <w:rPr>
          <w:rFonts w:ascii="Times New Roman" w:hAnsi="Times New Roman"/>
          <w:noProof/>
          <w:sz w:val="24"/>
          <w:szCs w:val="24"/>
        </w:rPr>
      </w:pPr>
      <w:r>
        <w:rPr>
          <w:rFonts w:ascii="Times New Roman" w:hAnsi="Times New Roman"/>
          <w:noProof/>
          <w:sz w:val="24"/>
          <w:szCs w:val="24"/>
        </w:rPr>
        <w:t>INCO-NETs (MEDSPRING) and ERA-NETs (ERANETMED and ARIMNet2) will be finished by the end of 2017;</w:t>
      </w:r>
    </w:p>
    <w:p>
      <w:pPr>
        <w:numPr>
          <w:ilvl w:val="0"/>
          <w:numId w:val="40"/>
        </w:numPr>
        <w:spacing w:after="120" w:line="240" w:lineRule="auto"/>
        <w:ind w:left="426"/>
        <w:contextualSpacing/>
        <w:jc w:val="both"/>
        <w:rPr>
          <w:rFonts w:ascii="Times New Roman" w:hAnsi="Times New Roman"/>
          <w:noProof/>
          <w:sz w:val="24"/>
          <w:szCs w:val="24"/>
        </w:rPr>
      </w:pPr>
      <w:r>
        <w:rPr>
          <w:rFonts w:ascii="Times New Roman" w:hAnsi="Times New Roman"/>
          <w:noProof/>
          <w:sz w:val="24"/>
          <w:szCs w:val="24"/>
        </w:rPr>
        <w:t xml:space="preserve">Joint Programming Initiatives, FACCE JPI and Water JPI will be active beyond 2017, focussing on pan European societal challenges (not specifically on water provision and food systems in the Mediterranean), and they do not imply any predefined funding/financial instrument at conceptual level. </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The conceptual approach of JPIs stands for Strategic Research Agendas; therefore, synergies could be expected at the level of: (i) coordinated visibility and advocacy inside and outside Europe, (ii) mapping capacities, (iii) exploring interfaces, and (iv) joint activities. </w:t>
      </w:r>
    </w:p>
    <w:p>
      <w:pPr>
        <w:spacing w:after="120" w:line="240" w:lineRule="auto"/>
        <w:jc w:val="both"/>
        <w:rPr>
          <w:rFonts w:ascii="Times New Roman" w:hAnsi="Times New Roman"/>
          <w:noProof/>
          <w:sz w:val="24"/>
          <w:highlight w:val="yellow"/>
        </w:rPr>
      </w:pPr>
      <w:r>
        <w:rPr>
          <w:rFonts w:ascii="Times New Roman" w:hAnsi="Times New Roman"/>
          <w:noProof/>
          <w:sz w:val="24"/>
          <w:szCs w:val="24"/>
        </w:rPr>
        <w:t>The European Innovation Partnerships stands for Strategic Innovation Agendas, and do not have any linked funding/financial instrument either. Therefore, the approach on synergies regarding EIP on water and on EIP on agriculture is the same as described above for the JPIs.</w:t>
      </w:r>
    </w:p>
    <w:p>
      <w:pPr>
        <w:spacing w:after="0" w:line="240" w:lineRule="auto"/>
        <w:jc w:val="both"/>
        <w:rPr>
          <w:rFonts w:ascii="Times New Roman" w:hAnsi="Times New Roman"/>
          <w:noProof/>
          <w:sz w:val="24"/>
        </w:rPr>
      </w:pPr>
    </w:p>
    <w:p>
      <w:pPr>
        <w:pStyle w:val="Heading1"/>
        <w:numPr>
          <w:ilvl w:val="1"/>
          <w:numId w:val="7"/>
        </w:numPr>
        <w:spacing w:before="120" w:after="120" w:line="240" w:lineRule="auto"/>
        <w:rPr>
          <w:rFonts w:ascii="Times New Roman" w:hAnsi="Times New Roman"/>
          <w:noProof/>
          <w:color w:val="auto"/>
          <w:sz w:val="24"/>
          <w:szCs w:val="24"/>
        </w:rPr>
      </w:pPr>
      <w:bookmarkStart w:id="244" w:name="_Toc455557024"/>
      <w:bookmarkStart w:id="245" w:name="_Toc455682285"/>
      <w:bookmarkStart w:id="246" w:name="_Toc455731818"/>
      <w:bookmarkStart w:id="247" w:name="_Toc455825245"/>
      <w:bookmarkStart w:id="248" w:name="_Toc457466067"/>
      <w:r>
        <w:rPr>
          <w:rFonts w:ascii="Times New Roman" w:hAnsi="Times New Roman"/>
          <w:noProof/>
          <w:color w:val="auto"/>
          <w:sz w:val="24"/>
          <w:szCs w:val="24"/>
        </w:rPr>
        <w:t>The likely uncertainty in the key findings and conclusions and how these might affect the choice of preferred option</w:t>
      </w:r>
      <w:bookmarkEnd w:id="244"/>
      <w:bookmarkEnd w:id="245"/>
      <w:bookmarkEnd w:id="246"/>
      <w:bookmarkEnd w:id="247"/>
      <w:bookmarkEnd w:id="248"/>
      <w:r>
        <w:rPr>
          <w:rFonts w:ascii="Times New Roman" w:hAnsi="Times New Roman"/>
          <w:noProof/>
          <w:color w:val="auto"/>
          <w:sz w:val="24"/>
          <w:szCs w:val="24"/>
        </w:rPr>
        <w:t xml:space="preserve"> </w:t>
      </w:r>
    </w:p>
    <w:p>
      <w:pPr>
        <w:spacing w:after="120" w:line="240" w:lineRule="auto"/>
        <w:jc w:val="both"/>
        <w:rPr>
          <w:rFonts w:ascii="Times New Roman" w:hAnsi="Times New Roman"/>
          <w:noProof/>
          <w:sz w:val="24"/>
        </w:rPr>
      </w:pPr>
      <w:r>
        <w:rPr>
          <w:rFonts w:ascii="Times New Roman" w:hAnsi="Times New Roman"/>
          <w:noProof/>
          <w:sz w:val="24"/>
        </w:rPr>
        <w:t xml:space="preserve">The likely uncertainty refers to the success to agree and implement, on time, common financial and administrative arrangements within EU and third countries in </w:t>
      </w:r>
      <w:r>
        <w:rPr>
          <w:rFonts w:ascii="Times New Roman" w:hAnsi="Times New Roman"/>
          <w:b/>
          <w:noProof/>
          <w:sz w:val="24"/>
        </w:rPr>
        <w:t>Option 2</w:t>
      </w:r>
      <w:r>
        <w:rPr>
          <w:rFonts w:ascii="Times New Roman" w:hAnsi="Times New Roman"/>
          <w:noProof/>
          <w:sz w:val="24"/>
        </w:rPr>
        <w:t xml:space="preserve">. It is not possible, however, to discriminate between EU Member States and third countries in an Article 185 initiative considering that participation to the Horizon 2020 Framework Programme is open to all Mediterranean countries. The participation of the EU to Article 185 initiatives provides a number of inherent safeguards with respect to the use of the EU budget, namely that the EU contribution is subject to financial commitments by participating states being honoured. </w:t>
      </w:r>
    </w:p>
    <w:p>
      <w:pPr>
        <w:spacing w:after="120" w:line="240" w:lineRule="auto"/>
        <w:jc w:val="both"/>
        <w:rPr>
          <w:rFonts w:ascii="Times New Roman" w:hAnsi="Times New Roman"/>
          <w:noProof/>
          <w:sz w:val="24"/>
        </w:rPr>
      </w:pPr>
      <w:r>
        <w:rPr>
          <w:rFonts w:ascii="Times New Roman" w:hAnsi="Times New Roman"/>
          <w:b/>
          <w:noProof/>
          <w:sz w:val="24"/>
        </w:rPr>
        <w:t>Options 0</w:t>
      </w:r>
      <w:r>
        <w:rPr>
          <w:rFonts w:ascii="Times New Roman" w:hAnsi="Times New Roman"/>
          <w:noProof/>
          <w:sz w:val="24"/>
        </w:rPr>
        <w:t xml:space="preserve"> and </w:t>
      </w:r>
      <w:r>
        <w:rPr>
          <w:rFonts w:ascii="Times New Roman" w:hAnsi="Times New Roman"/>
          <w:b/>
          <w:noProof/>
          <w:sz w:val="24"/>
        </w:rPr>
        <w:t>1</w:t>
      </w:r>
      <w:r>
        <w:rPr>
          <w:rFonts w:ascii="Times New Roman" w:hAnsi="Times New Roman"/>
          <w:noProof/>
          <w:sz w:val="24"/>
        </w:rPr>
        <w:t xml:space="preserve"> do not imply the set-up of the DIS, the agreement on a feasible and integrated grant management, or international agreements there is therefore no significant implementation uncertainty. In terms of financing and programming, however, Option 0 and 1 cannot rely on a long terms strategic agenda, as budget and topic addressing water provision and food systems in the Mediterranean area are subject to the adoption of the (bi)annual Work Programme for Horizon 2020 and future Framework programmes.</w:t>
      </w:r>
    </w:p>
    <w:p>
      <w:pPr>
        <w:spacing w:after="0" w:line="240" w:lineRule="auto"/>
        <w:jc w:val="both"/>
        <w:rPr>
          <w:noProof/>
          <w:sz w:val="24"/>
        </w:rPr>
      </w:pPr>
    </w:p>
    <w:p>
      <w:pPr>
        <w:pStyle w:val="Heading1"/>
        <w:numPr>
          <w:ilvl w:val="1"/>
          <w:numId w:val="7"/>
        </w:numPr>
        <w:spacing w:before="120" w:after="120" w:line="240" w:lineRule="auto"/>
        <w:rPr>
          <w:rFonts w:ascii="Times New Roman" w:hAnsi="Times New Roman"/>
          <w:noProof/>
          <w:color w:val="auto"/>
          <w:sz w:val="24"/>
          <w:szCs w:val="24"/>
        </w:rPr>
      </w:pPr>
      <w:bookmarkStart w:id="249" w:name="_Toc455682286"/>
      <w:bookmarkStart w:id="250" w:name="_Toc455731819"/>
      <w:bookmarkStart w:id="251" w:name="_Toc455825246"/>
      <w:bookmarkStart w:id="252" w:name="_Toc457466068"/>
      <w:bookmarkStart w:id="253" w:name="_Toc455557025"/>
      <w:r>
        <w:rPr>
          <w:rFonts w:ascii="Times New Roman" w:hAnsi="Times New Roman"/>
          <w:noProof/>
          <w:color w:val="auto"/>
          <w:sz w:val="24"/>
          <w:szCs w:val="24"/>
        </w:rPr>
        <w:t>Preferred policy option</w:t>
      </w:r>
      <w:bookmarkEnd w:id="249"/>
      <w:bookmarkEnd w:id="250"/>
      <w:bookmarkEnd w:id="251"/>
      <w:bookmarkEnd w:id="252"/>
      <w:r>
        <w:rPr>
          <w:rFonts w:ascii="Times New Roman" w:hAnsi="Times New Roman"/>
          <w:noProof/>
          <w:color w:val="auto"/>
          <w:sz w:val="24"/>
          <w:szCs w:val="24"/>
        </w:rPr>
        <w:t xml:space="preserve"> </w:t>
      </w:r>
      <w:bookmarkEnd w:id="253"/>
    </w:p>
    <w:p>
      <w:pPr>
        <w:spacing w:after="120" w:line="240" w:lineRule="auto"/>
        <w:jc w:val="both"/>
        <w:rPr>
          <w:rFonts w:ascii="Times New Roman" w:hAnsi="Times New Roman"/>
          <w:noProof/>
          <w:sz w:val="24"/>
        </w:rPr>
      </w:pPr>
      <w:r>
        <w:rPr>
          <w:rFonts w:ascii="Times New Roman" w:hAnsi="Times New Roman"/>
          <w:noProof/>
          <w:sz w:val="24"/>
        </w:rPr>
        <w:t xml:space="preserve">According to the outcome of the stakeholder consultation activities carried out in the context of the present Impact Assessment, </w:t>
      </w:r>
      <w:r>
        <w:rPr>
          <w:rFonts w:ascii="Times New Roman" w:hAnsi="Times New Roman"/>
          <w:b/>
          <w:noProof/>
          <w:sz w:val="24"/>
        </w:rPr>
        <w:t>Option 2</w:t>
      </w:r>
      <w:r>
        <w:rPr>
          <w:rFonts w:ascii="Times New Roman" w:hAnsi="Times New Roman"/>
          <w:noProof/>
          <w:sz w:val="24"/>
        </w:rPr>
        <w:t xml:space="preserve"> is considered to represent the optimal policy option. According to the Expert Group, as stated in its report, </w:t>
      </w:r>
      <w:r>
        <w:rPr>
          <w:rFonts w:ascii="Times New Roman" w:hAnsi="Times New Roman"/>
          <w:b/>
          <w:noProof/>
          <w:sz w:val="24"/>
        </w:rPr>
        <w:t>Option 2</w:t>
      </w:r>
      <w:r>
        <w:rPr>
          <w:rFonts w:ascii="Times New Roman" w:hAnsi="Times New Roman"/>
          <w:noProof/>
          <w:sz w:val="24"/>
        </w:rPr>
        <w:t xml:space="preserve"> is also considered representing the most favourable policy option.</w:t>
      </w:r>
    </w:p>
    <w:p>
      <w:pPr>
        <w:spacing w:after="120" w:line="240" w:lineRule="auto"/>
        <w:jc w:val="both"/>
        <w:rPr>
          <w:rFonts w:ascii="Times New Roman" w:hAnsi="Times New Roman"/>
          <w:noProof/>
          <w:sz w:val="24"/>
        </w:rPr>
      </w:pPr>
      <w:r>
        <w:rPr>
          <w:rFonts w:ascii="Times New Roman" w:hAnsi="Times New Roman"/>
          <w:noProof/>
          <w:sz w:val="24"/>
        </w:rPr>
        <w:t xml:space="preserve">From a broad policy perspective, the option to prioritize must be commensurate with the importance of the problem to tackle and its acuteness, the need to address it in earnest and without delay, and the ambition and commitment of the participants to devote sufficient resources and collective attention to ensure a successful outcome. In this perspective, due to a potentially higher level of </w:t>
      </w:r>
      <w:r>
        <w:rPr>
          <w:rFonts w:ascii="Times New Roman" w:hAnsi="Times New Roman"/>
          <w:b/>
          <w:noProof/>
          <w:sz w:val="24"/>
        </w:rPr>
        <w:t>effectiveness</w:t>
      </w:r>
      <w:r>
        <w:rPr>
          <w:rFonts w:ascii="Times New Roman" w:hAnsi="Times New Roman"/>
          <w:noProof/>
          <w:sz w:val="24"/>
        </w:rPr>
        <w:t xml:space="preserve"> for achieving the identified objectives, a better </w:t>
      </w:r>
      <w:r>
        <w:rPr>
          <w:rFonts w:ascii="Times New Roman" w:hAnsi="Times New Roman"/>
          <w:b/>
          <w:noProof/>
          <w:sz w:val="24"/>
        </w:rPr>
        <w:t>efficiency</w:t>
      </w:r>
      <w:r>
        <w:rPr>
          <w:rFonts w:ascii="Times New Roman" w:hAnsi="Times New Roman"/>
          <w:noProof/>
          <w:sz w:val="24"/>
        </w:rPr>
        <w:t xml:space="preserve"> of implementation, and more </w:t>
      </w:r>
      <w:r>
        <w:rPr>
          <w:rFonts w:ascii="Times New Roman" w:hAnsi="Times New Roman"/>
          <w:b/>
          <w:noProof/>
          <w:sz w:val="24"/>
        </w:rPr>
        <w:t>coherence</w:t>
      </w:r>
      <w:r>
        <w:rPr>
          <w:rFonts w:ascii="Times New Roman" w:hAnsi="Times New Roman"/>
          <w:noProof/>
          <w:sz w:val="24"/>
        </w:rPr>
        <w:t xml:space="preserve"> with other policies and programmes, </w:t>
      </w:r>
      <w:r>
        <w:rPr>
          <w:rFonts w:ascii="Times New Roman" w:hAnsi="Times New Roman"/>
          <w:b/>
          <w:noProof/>
          <w:sz w:val="24"/>
        </w:rPr>
        <w:t>Option 2</w:t>
      </w:r>
      <w:r>
        <w:rPr>
          <w:rFonts w:ascii="Times New Roman" w:hAnsi="Times New Roman"/>
          <w:noProof/>
          <w:sz w:val="24"/>
        </w:rPr>
        <w:t xml:space="preserve"> appears the most adequate, although not exempt from a number of risks which would have to be properly mitigated.</w:t>
      </w:r>
    </w:p>
    <w:p>
      <w:pPr>
        <w:spacing w:after="120" w:line="240" w:lineRule="auto"/>
        <w:jc w:val="both"/>
        <w:rPr>
          <w:rFonts w:ascii="Times New Roman" w:hAnsi="Times New Roman"/>
          <w:noProof/>
          <w:sz w:val="24"/>
        </w:rPr>
      </w:pPr>
      <w:r>
        <w:rPr>
          <w:rFonts w:ascii="Times New Roman" w:hAnsi="Times New Roman"/>
          <w:noProof/>
          <w:sz w:val="24"/>
        </w:rPr>
        <w:t>An initiative based on Article 185 TFEU appears as the most efficient and effective mode of intervention to achieve the strategic and specific objectives. In particular, the use of an Article 185 TFEU initiative is likely to have high leverage effect on national public funds in a stable, long-term and integrated manner, as demonstrated by previous and on-going initiatives (</w:t>
      </w:r>
      <w:r>
        <w:rPr>
          <w:rFonts w:ascii="Times New Roman" w:hAnsi="Times New Roman"/>
          <w:b/>
          <w:noProof/>
          <w:sz w:val="24"/>
        </w:rPr>
        <w:t>see Box 3</w:t>
      </w:r>
      <w:r>
        <w:rPr>
          <w:rFonts w:ascii="Times New Roman" w:hAnsi="Times New Roman"/>
          <w:noProof/>
          <w:sz w:val="24"/>
        </w:rPr>
        <w:t>), thus contributing to:</w:t>
      </w:r>
    </w:p>
    <w:p>
      <w:pPr>
        <w:pStyle w:val="ListParagraph"/>
        <w:numPr>
          <w:ilvl w:val="0"/>
          <w:numId w:val="107"/>
        </w:numPr>
        <w:spacing w:after="120" w:line="240" w:lineRule="auto"/>
        <w:ind w:left="426"/>
        <w:rPr>
          <w:rFonts w:ascii="Times New Roman" w:hAnsi="Times New Roman"/>
          <w:noProof/>
          <w:sz w:val="24"/>
          <w:szCs w:val="24"/>
        </w:rPr>
      </w:pPr>
      <w:r>
        <w:rPr>
          <w:rFonts w:ascii="Times New Roman" w:hAnsi="Times New Roman"/>
          <w:noProof/>
          <w:sz w:val="24"/>
          <w:szCs w:val="24"/>
        </w:rPr>
        <w:t xml:space="preserve">delivering the desired </w:t>
      </w:r>
      <w:r>
        <w:rPr>
          <w:rFonts w:ascii="Times New Roman" w:hAnsi="Times New Roman"/>
          <w:b/>
          <w:noProof/>
          <w:sz w:val="24"/>
          <w:szCs w:val="24"/>
        </w:rPr>
        <w:t>structuring effect</w:t>
      </w:r>
      <w:r>
        <w:rPr>
          <w:rFonts w:ascii="Times New Roman" w:hAnsi="Times New Roman"/>
          <w:noProof/>
          <w:sz w:val="24"/>
          <w:szCs w:val="24"/>
        </w:rPr>
        <w:t xml:space="preserve"> on and integration of national R&amp;I policies and programmes;</w:t>
      </w:r>
    </w:p>
    <w:p>
      <w:pPr>
        <w:pStyle w:val="ListParagraph"/>
        <w:numPr>
          <w:ilvl w:val="0"/>
          <w:numId w:val="107"/>
        </w:numPr>
        <w:spacing w:after="120" w:line="240" w:lineRule="auto"/>
        <w:ind w:left="426"/>
        <w:rPr>
          <w:rFonts w:ascii="Times New Roman" w:hAnsi="Times New Roman"/>
          <w:noProof/>
          <w:sz w:val="24"/>
          <w:szCs w:val="24"/>
        </w:rPr>
      </w:pPr>
      <w:r>
        <w:rPr>
          <w:rFonts w:ascii="Times New Roman" w:hAnsi="Times New Roman"/>
          <w:noProof/>
          <w:sz w:val="24"/>
          <w:szCs w:val="24"/>
        </w:rPr>
        <w:t xml:space="preserve">enabling the formulation of </w:t>
      </w:r>
      <w:r>
        <w:rPr>
          <w:rFonts w:ascii="Times New Roman" w:hAnsi="Times New Roman"/>
          <w:b/>
          <w:noProof/>
          <w:sz w:val="24"/>
          <w:szCs w:val="24"/>
        </w:rPr>
        <w:t>stable, long-term, common strategic research agendas</w:t>
      </w:r>
      <w:r>
        <w:rPr>
          <w:rFonts w:ascii="Times New Roman" w:hAnsi="Times New Roman"/>
          <w:noProof/>
          <w:sz w:val="24"/>
          <w:szCs w:val="24"/>
        </w:rPr>
        <w:t xml:space="preserve"> with adequate scale and scope of actions; </w:t>
      </w:r>
    </w:p>
    <w:p>
      <w:pPr>
        <w:pStyle w:val="ListParagraph"/>
        <w:numPr>
          <w:ilvl w:val="0"/>
          <w:numId w:val="107"/>
        </w:numPr>
        <w:spacing w:after="120" w:line="240" w:lineRule="auto"/>
        <w:ind w:left="426"/>
        <w:rPr>
          <w:rFonts w:ascii="Times New Roman" w:hAnsi="Times New Roman"/>
          <w:noProof/>
          <w:sz w:val="24"/>
          <w:szCs w:val="24"/>
        </w:rPr>
      </w:pPr>
      <w:r>
        <w:rPr>
          <w:rFonts w:ascii="Times New Roman" w:hAnsi="Times New Roman"/>
          <w:noProof/>
          <w:sz w:val="24"/>
          <w:szCs w:val="24"/>
        </w:rPr>
        <w:t xml:space="preserve">supporting the </w:t>
      </w:r>
      <w:r>
        <w:rPr>
          <w:rFonts w:ascii="Times New Roman" w:hAnsi="Times New Roman"/>
          <w:b/>
          <w:noProof/>
          <w:sz w:val="24"/>
          <w:szCs w:val="24"/>
        </w:rPr>
        <w:t>alignment of national R&amp;I programmes</w:t>
      </w:r>
      <w:r>
        <w:rPr>
          <w:rFonts w:ascii="Times New Roman" w:hAnsi="Times New Roman"/>
          <w:noProof/>
          <w:sz w:val="24"/>
          <w:szCs w:val="24"/>
        </w:rPr>
        <w:t xml:space="preserve">; </w:t>
      </w:r>
    </w:p>
    <w:p>
      <w:pPr>
        <w:pStyle w:val="ListParagraph"/>
        <w:numPr>
          <w:ilvl w:val="0"/>
          <w:numId w:val="107"/>
        </w:numPr>
        <w:spacing w:after="120" w:line="240" w:lineRule="auto"/>
        <w:ind w:left="426"/>
        <w:rPr>
          <w:rFonts w:ascii="Times New Roman" w:hAnsi="Times New Roman"/>
          <w:noProof/>
          <w:sz w:val="24"/>
          <w:szCs w:val="24"/>
        </w:rPr>
      </w:pPr>
      <w:r>
        <w:rPr>
          <w:rFonts w:ascii="Times New Roman" w:hAnsi="Times New Roman"/>
          <w:noProof/>
          <w:sz w:val="24"/>
          <w:szCs w:val="24"/>
        </w:rPr>
        <w:t xml:space="preserve">enabling the </w:t>
      </w:r>
      <w:r>
        <w:rPr>
          <w:rFonts w:ascii="Times New Roman" w:hAnsi="Times New Roman"/>
          <w:b/>
          <w:noProof/>
          <w:sz w:val="24"/>
          <w:szCs w:val="24"/>
        </w:rPr>
        <w:t>involvement of partner countries on an equal footing</w:t>
      </w:r>
      <w:r>
        <w:rPr>
          <w:rFonts w:ascii="Times New Roman" w:hAnsi="Times New Roman"/>
          <w:noProof/>
          <w:sz w:val="24"/>
          <w:szCs w:val="24"/>
        </w:rPr>
        <w:t>;</w:t>
      </w:r>
    </w:p>
    <w:p>
      <w:pPr>
        <w:pStyle w:val="ListParagraph"/>
        <w:numPr>
          <w:ilvl w:val="0"/>
          <w:numId w:val="107"/>
        </w:numPr>
        <w:spacing w:after="120" w:line="240" w:lineRule="auto"/>
        <w:ind w:left="426"/>
        <w:rPr>
          <w:rFonts w:ascii="Times New Roman" w:hAnsi="Times New Roman"/>
          <w:noProof/>
          <w:sz w:val="24"/>
          <w:szCs w:val="24"/>
        </w:rPr>
      </w:pPr>
      <w:r>
        <w:rPr>
          <w:rFonts w:ascii="Times New Roman" w:hAnsi="Times New Roman"/>
          <w:noProof/>
          <w:sz w:val="24"/>
          <w:szCs w:val="24"/>
        </w:rPr>
        <w:t xml:space="preserve">enabling the structural involvement of </w:t>
      </w:r>
      <w:r>
        <w:rPr>
          <w:rFonts w:ascii="Times New Roman" w:hAnsi="Times New Roman"/>
          <w:b/>
          <w:noProof/>
          <w:sz w:val="24"/>
          <w:szCs w:val="24"/>
        </w:rPr>
        <w:t>different types of stakeholders, both public and private</w:t>
      </w:r>
      <w:r>
        <w:rPr>
          <w:rFonts w:ascii="Times New Roman" w:hAnsi="Times New Roman"/>
          <w:noProof/>
          <w:sz w:val="24"/>
          <w:szCs w:val="24"/>
        </w:rPr>
        <w:t xml:space="preserve">, bringing together and </w:t>
      </w:r>
      <w:r>
        <w:rPr>
          <w:rFonts w:ascii="Times New Roman" w:hAnsi="Times New Roman"/>
          <w:b/>
          <w:noProof/>
          <w:sz w:val="24"/>
          <w:szCs w:val="24"/>
        </w:rPr>
        <w:t>leveraging</w:t>
      </w:r>
      <w:r>
        <w:rPr>
          <w:rFonts w:ascii="Times New Roman" w:hAnsi="Times New Roman"/>
          <w:noProof/>
          <w:sz w:val="24"/>
          <w:szCs w:val="24"/>
        </w:rPr>
        <w:t xml:space="preserve"> their respective knowledge and financial resources;</w:t>
      </w:r>
    </w:p>
    <w:p>
      <w:pPr>
        <w:pStyle w:val="ListParagraph"/>
        <w:numPr>
          <w:ilvl w:val="0"/>
          <w:numId w:val="107"/>
        </w:numPr>
        <w:spacing w:after="120" w:line="240" w:lineRule="auto"/>
        <w:ind w:left="426"/>
        <w:rPr>
          <w:rFonts w:ascii="Times New Roman" w:hAnsi="Times New Roman"/>
          <w:noProof/>
          <w:sz w:val="24"/>
          <w:szCs w:val="24"/>
        </w:rPr>
      </w:pPr>
      <w:r>
        <w:rPr>
          <w:rFonts w:ascii="Times New Roman" w:hAnsi="Times New Roman"/>
          <w:b/>
          <w:noProof/>
          <w:sz w:val="24"/>
          <w:szCs w:val="24"/>
        </w:rPr>
        <w:t>strengthening R&amp;I capabilities in a lasting manner</w:t>
      </w:r>
      <w:r>
        <w:rPr>
          <w:rFonts w:ascii="Times New Roman" w:hAnsi="Times New Roman"/>
          <w:noProof/>
          <w:sz w:val="24"/>
          <w:szCs w:val="24"/>
        </w:rPr>
        <w:t>.</w:t>
      </w:r>
    </w:p>
    <w:p>
      <w:pPr>
        <w:spacing w:after="120" w:line="240" w:lineRule="auto"/>
        <w:jc w:val="both"/>
        <w:rPr>
          <w:rFonts w:ascii="Times New Roman" w:hAnsi="Times New Roman"/>
          <w:noProof/>
          <w:sz w:val="24"/>
        </w:rPr>
      </w:pPr>
      <w:r>
        <w:rPr>
          <w:rFonts w:ascii="Times New Roman" w:hAnsi="Times New Roman"/>
          <w:noProof/>
          <w:sz w:val="24"/>
        </w:rPr>
        <w:t xml:space="preserve">An Article 185 TFEU would enable the development of a more equal relationship with neighbourhood countries whereby the EU and the countries concerned will determine together their mutual priorities in a tailored manner, thus entering into a new phase of cooperation, </w:t>
      </w:r>
      <w:r>
        <w:rPr>
          <w:rFonts w:ascii="Times New Roman" w:hAnsi="Times New Roman"/>
          <w:b/>
          <w:noProof/>
          <w:sz w:val="24"/>
        </w:rPr>
        <w:t>in line with the priorities of the European Neighbourhood Policy</w:t>
      </w:r>
      <w:r>
        <w:rPr>
          <w:rFonts w:ascii="Times New Roman" w:hAnsi="Times New Roman"/>
          <w:noProof/>
          <w:sz w:val="24"/>
        </w:rPr>
        <w:t>.</w:t>
      </w:r>
    </w:p>
    <w:p>
      <w:pPr>
        <w:spacing w:after="0" w:line="240" w:lineRule="auto"/>
        <w:jc w:val="both"/>
        <w:rPr>
          <w:rFonts w:ascii="Times New Roman" w:eastAsia="Times New Roman" w:hAnsi="Times New Roman"/>
          <w:b/>
          <w:noProof/>
          <w:lang w:eastAsia="en-GB"/>
        </w:rPr>
      </w:pPr>
      <w:r>
        <w:rPr>
          <w:rFonts w:ascii="Times New Roman" w:hAnsi="Times New Roman"/>
          <w:noProof/>
          <w:sz w:val="24"/>
        </w:rPr>
        <w:t>Article 185 initiatives are only used in selected areas, ambitious in terms of their objectives, scale and scope, and are only used in cases where objectives cannot be achieved with other instruments. This limits their number by definition and requires a strong commitment from the Participating States. Four initiatives have been launched so far under Horizon 2020, with up to Euro 1.445 million Union contribution and at least Euro 2.000 million contributions from Participating States. PRIMA would be the last Article 185 initiative launched under Horizon 2020.</w:t>
      </w:r>
    </w:p>
    <w:p>
      <w:pPr>
        <w:spacing w:after="0" w:line="240" w:lineRule="auto"/>
        <w:jc w:val="both"/>
        <w:rPr>
          <w:rFonts w:ascii="Times New Roman" w:eastAsia="Times New Roman" w:hAnsi="Times New Roman"/>
          <w:b/>
          <w:noProof/>
          <w:lang w:eastAsia="en-GB"/>
        </w:rPr>
      </w:pPr>
    </w:p>
    <w:p>
      <w:pPr>
        <w:pStyle w:val="Heading1"/>
        <w:numPr>
          <w:ilvl w:val="1"/>
          <w:numId w:val="7"/>
        </w:numPr>
        <w:spacing w:before="120" w:after="120" w:line="240" w:lineRule="auto"/>
        <w:rPr>
          <w:rFonts w:ascii="Times New Roman" w:hAnsi="Times New Roman"/>
          <w:noProof/>
          <w:color w:val="auto"/>
          <w:sz w:val="24"/>
          <w:szCs w:val="24"/>
        </w:rPr>
      </w:pPr>
      <w:bookmarkStart w:id="254" w:name="_Toc455682287"/>
      <w:bookmarkStart w:id="255" w:name="_Toc455731820"/>
      <w:bookmarkStart w:id="256" w:name="_Toc455825247"/>
      <w:bookmarkStart w:id="257" w:name="_Toc457466069"/>
      <w:bookmarkStart w:id="258" w:name="_Toc455557026"/>
      <w:r>
        <w:rPr>
          <w:rFonts w:ascii="Times New Roman" w:hAnsi="Times New Roman"/>
          <w:noProof/>
          <w:color w:val="auto"/>
          <w:sz w:val="24"/>
          <w:szCs w:val="24"/>
        </w:rPr>
        <w:t>Conformity to principles of subsidiarity and proportionality</w:t>
      </w:r>
      <w:bookmarkEnd w:id="254"/>
      <w:bookmarkEnd w:id="255"/>
      <w:bookmarkEnd w:id="256"/>
      <w:bookmarkEnd w:id="257"/>
      <w:r>
        <w:rPr>
          <w:rFonts w:ascii="Times New Roman" w:hAnsi="Times New Roman"/>
          <w:noProof/>
          <w:color w:val="auto"/>
          <w:sz w:val="24"/>
          <w:szCs w:val="24"/>
        </w:rPr>
        <w:t xml:space="preserve"> </w:t>
      </w:r>
      <w:bookmarkEnd w:id="258"/>
    </w:p>
    <w:p>
      <w:pPr>
        <w:jc w:val="both"/>
        <w:rPr>
          <w:rFonts w:ascii="Times New Roman" w:hAnsi="Times New Roman"/>
          <w:noProof/>
          <w:sz w:val="24"/>
        </w:rPr>
      </w:pPr>
      <w:r>
        <w:rPr>
          <w:rFonts w:ascii="Times New Roman" w:hAnsi="Times New Roman"/>
          <w:noProof/>
          <w:sz w:val="24"/>
        </w:rPr>
        <w:t xml:space="preserve">Problems confronting the Mediterranean area go beyond the scope of individual countries, thus there is a need to tackle them jointly. Under both </w:t>
      </w:r>
      <w:r>
        <w:rPr>
          <w:rFonts w:ascii="Times New Roman" w:hAnsi="Times New Roman"/>
          <w:b/>
          <w:noProof/>
          <w:sz w:val="24"/>
        </w:rPr>
        <w:t>Options 2</w:t>
      </w:r>
      <w:r>
        <w:rPr>
          <w:rFonts w:ascii="Times New Roman" w:hAnsi="Times New Roman"/>
          <w:noProof/>
          <w:sz w:val="24"/>
        </w:rPr>
        <w:t xml:space="preserve"> and </w:t>
      </w:r>
      <w:r>
        <w:rPr>
          <w:rFonts w:ascii="Times New Roman" w:hAnsi="Times New Roman"/>
          <w:b/>
          <w:noProof/>
          <w:sz w:val="24"/>
        </w:rPr>
        <w:t>1</w:t>
      </w:r>
      <w:r>
        <w:rPr>
          <w:rFonts w:ascii="Times New Roman" w:hAnsi="Times New Roman"/>
          <w:noProof/>
          <w:sz w:val="24"/>
        </w:rPr>
        <w:t xml:space="preserve">, interventions by the EU can be justified by the principle of subsidiarity. The scale of the problems, including the inability of many individual countries to mobilise sufficient endogenous resources, justifies a proportionate response to </w:t>
      </w:r>
      <w:r>
        <w:rPr>
          <w:rFonts w:ascii="Times New Roman" w:hAnsi="Times New Roman"/>
          <w:b/>
          <w:noProof/>
          <w:sz w:val="24"/>
        </w:rPr>
        <w:t xml:space="preserve">Option 2. </w:t>
      </w:r>
      <w:r>
        <w:rPr>
          <w:rFonts w:ascii="Times New Roman" w:hAnsi="Times New Roman"/>
          <w:noProof/>
          <w:sz w:val="24"/>
        </w:rPr>
        <w:t xml:space="preserve">It will be certainly greater than any response dependent solely on endogenous resources as in </w:t>
      </w:r>
      <w:r>
        <w:rPr>
          <w:rFonts w:ascii="Times New Roman" w:hAnsi="Times New Roman"/>
          <w:b/>
          <w:noProof/>
          <w:sz w:val="24"/>
        </w:rPr>
        <w:t>Option 0</w:t>
      </w:r>
      <w:r>
        <w:rPr>
          <w:rFonts w:ascii="Times New Roman" w:hAnsi="Times New Roman"/>
          <w:noProof/>
          <w:sz w:val="24"/>
        </w:rPr>
        <w:t>.</w:t>
      </w:r>
    </w:p>
    <w:p>
      <w:pPr>
        <w:jc w:val="both"/>
        <w:rPr>
          <w:noProof/>
        </w:rPr>
      </w:pPr>
      <w:r>
        <w:rPr>
          <w:noProof/>
        </w:rPr>
        <w:br w:type="page"/>
      </w:r>
    </w:p>
    <w:tbl>
      <w:tblPr>
        <w:tblW w:w="0" w:type="auto"/>
        <w:shd w:val="clear" w:color="auto" w:fill="F2F2F2" w:themeFill="background1" w:themeFillShade="F2"/>
        <w:tblLook w:val="04A0" w:firstRow="1" w:lastRow="0" w:firstColumn="1" w:lastColumn="0" w:noHBand="0" w:noVBand="1"/>
      </w:tblPr>
      <w:tblGrid>
        <w:gridCol w:w="9747"/>
      </w:tblGrid>
      <w:tr>
        <w:tc>
          <w:tcPr>
            <w:tcW w:w="9747" w:type="dxa"/>
            <w:shd w:val="clear" w:color="auto" w:fill="F2F2F2" w:themeFill="background1" w:themeFillShade="F2"/>
          </w:tcPr>
          <w:p>
            <w:pPr>
              <w:pStyle w:val="ListParagraph"/>
              <w:keepNext/>
              <w:keepLines/>
              <w:numPr>
                <w:ilvl w:val="0"/>
                <w:numId w:val="7"/>
              </w:numPr>
              <w:spacing w:before="120" w:after="120" w:line="240" w:lineRule="auto"/>
              <w:contextualSpacing w:val="0"/>
              <w:jc w:val="left"/>
              <w:outlineLvl w:val="0"/>
              <w:rPr>
                <w:rFonts w:ascii="Times New Roman" w:hAnsi="Times New Roman"/>
                <w:b/>
                <w:noProof/>
                <w:sz w:val="24"/>
                <w:szCs w:val="24"/>
              </w:rPr>
            </w:pPr>
            <w:bookmarkStart w:id="259" w:name="_Toc455731821"/>
            <w:bookmarkStart w:id="260" w:name="_Toc455825248"/>
            <w:bookmarkStart w:id="261" w:name="_Toc457466070"/>
            <w:r>
              <w:rPr>
                <w:rFonts w:ascii="Times New Roman" w:hAnsi="Times New Roman"/>
                <w:b/>
                <w:noProof/>
                <w:sz w:val="24"/>
                <w:szCs w:val="24"/>
              </w:rPr>
              <w:t xml:space="preserve">Section </w:t>
            </w:r>
            <w:r>
              <w:rPr>
                <w:rFonts w:ascii="Times New Roman" w:eastAsia="Times New Roman" w:hAnsi="Times New Roman"/>
                <w:b/>
                <w:bCs/>
                <w:noProof/>
                <w:sz w:val="24"/>
                <w:szCs w:val="24"/>
                <w:lang w:eastAsia="en-GB"/>
              </w:rPr>
              <w:t>7. Monitoring and evaluation of impacts</w:t>
            </w:r>
            <w:bookmarkEnd w:id="259"/>
            <w:bookmarkEnd w:id="260"/>
            <w:bookmarkEnd w:id="261"/>
          </w:p>
        </w:tc>
      </w:tr>
    </w:tbl>
    <w:p>
      <w:pPr>
        <w:pStyle w:val="Heading1"/>
        <w:numPr>
          <w:ilvl w:val="1"/>
          <w:numId w:val="7"/>
        </w:numPr>
        <w:spacing w:before="120" w:after="120" w:line="240" w:lineRule="auto"/>
        <w:rPr>
          <w:rFonts w:ascii="Times New Roman" w:hAnsi="Times New Roman"/>
          <w:noProof/>
          <w:color w:val="auto"/>
          <w:sz w:val="24"/>
          <w:szCs w:val="24"/>
        </w:rPr>
      </w:pPr>
      <w:bookmarkStart w:id="262" w:name="_Toc455731822"/>
      <w:bookmarkStart w:id="263" w:name="_Toc455825249"/>
      <w:bookmarkStart w:id="264" w:name="_Toc457466071"/>
      <w:bookmarkStart w:id="265" w:name="_Toc455571148"/>
      <w:r>
        <w:rPr>
          <w:rFonts w:ascii="Times New Roman" w:hAnsi="Times New Roman"/>
          <w:noProof/>
          <w:color w:val="auto"/>
          <w:sz w:val="24"/>
          <w:szCs w:val="24"/>
        </w:rPr>
        <w:t>Plan for future monitoring and evaluation</w:t>
      </w:r>
      <w:bookmarkEnd w:id="262"/>
      <w:bookmarkEnd w:id="263"/>
      <w:bookmarkEnd w:id="264"/>
      <w:r>
        <w:rPr>
          <w:rFonts w:ascii="Times New Roman" w:hAnsi="Times New Roman"/>
          <w:noProof/>
          <w:color w:val="auto"/>
          <w:sz w:val="24"/>
          <w:szCs w:val="24"/>
        </w:rPr>
        <w:t xml:space="preserve"> </w:t>
      </w:r>
      <w:bookmarkEnd w:id="265"/>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Key evaluation issues for the initiative should be effectiveness (whether it has realised its objectives); efficiency (whether it has been well implemented); and impact (what are the intended and unintended impacts). </w:t>
      </w:r>
    </w:p>
    <w:p>
      <w:pPr>
        <w:spacing w:after="120" w:line="240" w:lineRule="auto"/>
        <w:jc w:val="both"/>
        <w:rPr>
          <w:rFonts w:ascii="Times New Roman" w:hAnsi="Times New Roman"/>
          <w:noProof/>
          <w:sz w:val="24"/>
          <w:szCs w:val="24"/>
        </w:rPr>
      </w:pPr>
      <w:r>
        <w:rPr>
          <w:rFonts w:ascii="Times New Roman" w:hAnsi="Times New Roman"/>
          <w:noProof/>
          <w:sz w:val="24"/>
          <w:szCs w:val="24"/>
        </w:rPr>
        <w:t>In case of an Article 185, effectiveness should be evaluated at both programme level (focusing on whether the overall objectives have been achieved) and national level (focusing on whether the goals and aspirations of individual countries have been attained). The initiative should be subject to mid-term and ex-post evaluations only in this case. Baseline scenario and Cofund action do not imply specific monitoring and evaluation activities, apart for the ones normally envisaged for Horizon 2020.</w:t>
      </w:r>
    </w:p>
    <w:p>
      <w:pPr>
        <w:spacing w:after="120" w:line="240" w:lineRule="auto"/>
        <w:jc w:val="both"/>
        <w:rPr>
          <w:noProof/>
          <w:lang w:eastAsia="en-GB"/>
        </w:rPr>
      </w:pPr>
    </w:p>
    <w:p>
      <w:pPr>
        <w:pStyle w:val="Heading1"/>
        <w:numPr>
          <w:ilvl w:val="2"/>
          <w:numId w:val="7"/>
        </w:numPr>
        <w:spacing w:before="120" w:after="120" w:line="240" w:lineRule="auto"/>
        <w:rPr>
          <w:rFonts w:ascii="Times New Roman" w:hAnsi="Times New Roman"/>
          <w:noProof/>
          <w:color w:val="auto"/>
          <w:sz w:val="24"/>
          <w:szCs w:val="24"/>
        </w:rPr>
      </w:pPr>
      <w:bookmarkStart w:id="266" w:name="_Toc455731823"/>
      <w:bookmarkStart w:id="267" w:name="_Toc455825250"/>
      <w:bookmarkStart w:id="268" w:name="_Toc457466072"/>
      <w:bookmarkStart w:id="269" w:name="_Toc452739353"/>
      <w:bookmarkStart w:id="270" w:name="_Toc455571149"/>
      <w:r>
        <w:rPr>
          <w:rFonts w:ascii="Times New Roman" w:hAnsi="Times New Roman"/>
          <w:noProof/>
          <w:color w:val="auto"/>
          <w:sz w:val="24"/>
          <w:szCs w:val="24"/>
        </w:rPr>
        <w:t>Core monitoring indicators for the main policy objectives</w:t>
      </w:r>
      <w:bookmarkEnd w:id="266"/>
      <w:bookmarkEnd w:id="267"/>
      <w:bookmarkEnd w:id="268"/>
      <w:r>
        <w:rPr>
          <w:rFonts w:ascii="Times New Roman" w:hAnsi="Times New Roman"/>
          <w:noProof/>
          <w:color w:val="auto"/>
          <w:sz w:val="24"/>
          <w:szCs w:val="24"/>
        </w:rPr>
        <w:t xml:space="preserve"> </w:t>
      </w:r>
      <w:bookmarkEnd w:id="269"/>
      <w:bookmarkEnd w:id="270"/>
    </w:p>
    <w:p>
      <w:pPr>
        <w:spacing w:after="120" w:line="240" w:lineRule="auto"/>
        <w:jc w:val="both"/>
        <w:rPr>
          <w:rFonts w:ascii="Times New Roman" w:hAnsi="Times New Roman"/>
          <w:noProof/>
          <w:sz w:val="24"/>
          <w:szCs w:val="24"/>
        </w:rPr>
      </w:pPr>
      <w:r>
        <w:rPr>
          <w:rFonts w:ascii="Times New Roman" w:hAnsi="Times New Roman"/>
          <w:noProof/>
          <w:sz w:val="24"/>
          <w:szCs w:val="24"/>
        </w:rPr>
        <w:t>Monitoring and evaluation are important activities that need to be adequately planned at the start of an initiative. Key elements include:</w:t>
      </w:r>
    </w:p>
    <w:p>
      <w:pPr>
        <w:pStyle w:val="ListParagraph"/>
        <w:numPr>
          <w:ilvl w:val="0"/>
          <w:numId w:val="8"/>
        </w:numPr>
        <w:spacing w:after="120" w:line="240" w:lineRule="auto"/>
        <w:ind w:left="426"/>
        <w:rPr>
          <w:rFonts w:ascii="Times New Roman" w:hAnsi="Times New Roman"/>
          <w:noProof/>
          <w:sz w:val="24"/>
          <w:szCs w:val="24"/>
        </w:rPr>
      </w:pPr>
      <w:r>
        <w:rPr>
          <w:rFonts w:ascii="Times New Roman" w:hAnsi="Times New Roman"/>
          <w:noProof/>
          <w:sz w:val="24"/>
          <w:szCs w:val="24"/>
        </w:rPr>
        <w:t>the definition of major evaluation issues (e.g. effectiveness, efficiency and impact);</w:t>
      </w:r>
    </w:p>
    <w:p>
      <w:pPr>
        <w:pStyle w:val="ListParagraph"/>
        <w:numPr>
          <w:ilvl w:val="0"/>
          <w:numId w:val="8"/>
        </w:numPr>
        <w:spacing w:after="120" w:line="240" w:lineRule="auto"/>
        <w:ind w:left="426"/>
        <w:rPr>
          <w:rFonts w:ascii="Times New Roman" w:hAnsi="Times New Roman"/>
          <w:noProof/>
          <w:sz w:val="24"/>
          <w:szCs w:val="24"/>
        </w:rPr>
      </w:pPr>
      <w:r>
        <w:rPr>
          <w:rFonts w:ascii="Times New Roman" w:hAnsi="Times New Roman"/>
          <w:noProof/>
          <w:sz w:val="24"/>
          <w:szCs w:val="24"/>
        </w:rPr>
        <w:t>the elaboration of an adequate logic model for the initiative, linking aims, objectives, actions and expected impacts;</w:t>
      </w:r>
    </w:p>
    <w:p>
      <w:pPr>
        <w:pStyle w:val="ListParagraph"/>
        <w:numPr>
          <w:ilvl w:val="0"/>
          <w:numId w:val="8"/>
        </w:numPr>
        <w:spacing w:after="120" w:line="240" w:lineRule="auto"/>
        <w:ind w:left="426"/>
        <w:rPr>
          <w:rFonts w:ascii="Times New Roman" w:hAnsi="Times New Roman"/>
          <w:noProof/>
          <w:sz w:val="24"/>
          <w:szCs w:val="24"/>
        </w:rPr>
      </w:pPr>
      <w:r>
        <w:rPr>
          <w:rFonts w:ascii="Times New Roman" w:hAnsi="Times New Roman"/>
          <w:noProof/>
          <w:sz w:val="24"/>
          <w:szCs w:val="24"/>
        </w:rPr>
        <w:t>the design of appropriate indicators relevant to each of the chosen evaluation issues;</w:t>
      </w:r>
    </w:p>
    <w:p>
      <w:pPr>
        <w:pStyle w:val="ListParagraph"/>
        <w:numPr>
          <w:ilvl w:val="0"/>
          <w:numId w:val="8"/>
        </w:numPr>
        <w:spacing w:after="120" w:line="240" w:lineRule="auto"/>
        <w:ind w:left="426"/>
        <w:rPr>
          <w:rFonts w:ascii="Times New Roman" w:hAnsi="Times New Roman"/>
          <w:noProof/>
          <w:sz w:val="24"/>
          <w:szCs w:val="24"/>
        </w:rPr>
      </w:pPr>
      <w:r>
        <w:rPr>
          <w:rFonts w:ascii="Times New Roman" w:hAnsi="Times New Roman"/>
          <w:noProof/>
          <w:sz w:val="24"/>
          <w:szCs w:val="24"/>
        </w:rPr>
        <w:t>a baseline study to provide an adequate benchmark;</w:t>
      </w:r>
    </w:p>
    <w:p>
      <w:pPr>
        <w:pStyle w:val="ListParagraph"/>
        <w:numPr>
          <w:ilvl w:val="0"/>
          <w:numId w:val="8"/>
        </w:numPr>
        <w:spacing w:after="120" w:line="240" w:lineRule="auto"/>
        <w:ind w:left="426"/>
        <w:rPr>
          <w:rFonts w:ascii="Times New Roman" w:hAnsi="Times New Roman"/>
          <w:noProof/>
          <w:sz w:val="24"/>
          <w:szCs w:val="24"/>
        </w:rPr>
      </w:pPr>
      <w:r>
        <w:rPr>
          <w:rFonts w:ascii="Times New Roman" w:hAnsi="Times New Roman"/>
          <w:noProof/>
          <w:sz w:val="24"/>
          <w:szCs w:val="24"/>
        </w:rPr>
        <w:t>well planned and resourced monitoring strategies.</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To the extent possible the indicators should be able to provide information which is Relevant, Accepted, Credible, Easy to monitor, and Robust ('RACER'). </w:t>
      </w:r>
    </w:p>
    <w:p>
      <w:pPr>
        <w:spacing w:before="240" w:after="120" w:line="240" w:lineRule="auto"/>
        <w:jc w:val="both"/>
        <w:rPr>
          <w:rFonts w:ascii="Times New Roman" w:hAnsi="Times New Roman"/>
          <w:b/>
          <w:i/>
          <w:noProof/>
          <w:sz w:val="24"/>
          <w:szCs w:val="24"/>
        </w:rPr>
      </w:pPr>
      <w:r>
        <w:rPr>
          <w:rFonts w:ascii="Times New Roman" w:hAnsi="Times New Roman"/>
          <w:b/>
          <w:i/>
          <w:noProof/>
          <w:sz w:val="24"/>
          <w:szCs w:val="24"/>
        </w:rPr>
        <w:t>Implementation indicators</w:t>
      </w:r>
    </w:p>
    <w:p>
      <w:pPr>
        <w:spacing w:after="240" w:line="240" w:lineRule="auto"/>
        <w:jc w:val="both"/>
        <w:rPr>
          <w:rFonts w:ascii="Times New Roman" w:hAnsi="Times New Roman"/>
          <w:noProof/>
          <w:sz w:val="24"/>
          <w:szCs w:val="24"/>
        </w:rPr>
      </w:pPr>
      <w:r>
        <w:rPr>
          <w:rFonts w:ascii="Times New Roman" w:hAnsi="Times New Roman"/>
          <w:noProof/>
          <w:sz w:val="24"/>
          <w:szCs w:val="24"/>
        </w:rPr>
        <w:t xml:space="preserve">A number of indicators will be further developed to measure the effectiveness and efficiency of the initiative. This will require qualitative research methods such as interviews and surveys with those directly involved in the governance system. A baseline study of the situation at the start and the expectations for the future is advisable. </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Table 7.1 presents a set of qualitative indicators that should contribute to assessing the medium-term development of the activities. It is nonetheless important to stress the indicative nature of these indicators. </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The first set of indicators refers to the </w:t>
      </w:r>
      <w:r>
        <w:rPr>
          <w:rFonts w:ascii="Times New Roman" w:hAnsi="Times New Roman"/>
          <w:b/>
          <w:noProof/>
          <w:sz w:val="24"/>
          <w:szCs w:val="24"/>
        </w:rPr>
        <w:t>inputs</w:t>
      </w:r>
      <w:r>
        <w:rPr>
          <w:rFonts w:ascii="Times New Roman" w:hAnsi="Times New Roman"/>
          <w:noProof/>
          <w:sz w:val="24"/>
          <w:szCs w:val="24"/>
        </w:rPr>
        <w:t xml:space="preserve"> associated with the activities of the initiative. Indicators should look at the quantitative aspects such as scale (e.g. the amount of R&amp;I funding that is allocated to the specific objectives, the geographical dispersion) and scope (e.g. the coverage of all themes set out in the programme, its coverage of relevant stakeholders, the inclusion of relevant Technology Readiness Levels). Qualitative input indicators should focus on the development of an implementation structure and a governance model that underpins the goals of the programme. </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The second set of indicators should cover the </w:t>
      </w:r>
      <w:r>
        <w:rPr>
          <w:rFonts w:ascii="Times New Roman" w:hAnsi="Times New Roman"/>
          <w:b/>
          <w:noProof/>
          <w:sz w:val="24"/>
          <w:szCs w:val="24"/>
        </w:rPr>
        <w:t>outputs</w:t>
      </w:r>
      <w:r>
        <w:rPr>
          <w:rFonts w:ascii="Times New Roman" w:hAnsi="Times New Roman"/>
          <w:noProof/>
          <w:sz w:val="24"/>
          <w:szCs w:val="24"/>
        </w:rPr>
        <w:t xml:space="preserve"> and the overall outcome of the initiative. </w:t>
      </w:r>
    </w:p>
    <w:p>
      <w:pPr>
        <w:spacing w:after="0" w:line="240" w:lineRule="auto"/>
        <w:rPr>
          <w:rFonts w:ascii="Times New Roman" w:hAnsi="Times New Roman"/>
          <w:noProof/>
          <w:sz w:val="24"/>
          <w:szCs w:val="24"/>
        </w:rPr>
      </w:pPr>
      <w:r>
        <w:rPr>
          <w:rFonts w:ascii="Times New Roman" w:hAnsi="Times New Roman"/>
          <w:noProof/>
          <w:sz w:val="24"/>
          <w:szCs w:val="24"/>
        </w:rPr>
        <w:br w:type="page"/>
      </w:r>
    </w:p>
    <w:tbl>
      <w:tblPr>
        <w:tblW w:w="9229" w:type="dxa"/>
        <w:tblInd w:w="9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200"/>
        <w:gridCol w:w="8029"/>
      </w:tblGrid>
      <w:tr>
        <w:trPr>
          <w:trHeight w:val="397"/>
        </w:trPr>
        <w:tc>
          <w:tcPr>
            <w:tcW w:w="1200" w:type="dxa"/>
            <w:shd w:val="clear" w:color="000000" w:fill="0070C0"/>
            <w:vAlign w:val="center"/>
            <w:hideMark/>
          </w:tcPr>
          <w:p>
            <w:pPr>
              <w:spacing w:after="0" w:line="240" w:lineRule="auto"/>
              <w:jc w:val="both"/>
              <w:rPr>
                <w:rFonts w:ascii="Times New Roman" w:eastAsia="Times New Roman" w:hAnsi="Times New Roman"/>
                <w:b/>
                <w:bCs/>
                <w:noProof/>
                <w:color w:val="FFFFFF"/>
                <w:sz w:val="20"/>
                <w:szCs w:val="20"/>
                <w:lang w:eastAsia="en-GB"/>
              </w:rPr>
            </w:pPr>
            <w:r>
              <w:rPr>
                <w:rFonts w:ascii="Times New Roman" w:eastAsia="Times New Roman" w:hAnsi="Times New Roman"/>
                <w:b/>
                <w:bCs/>
                <w:noProof/>
                <w:color w:val="FFFFFF"/>
                <w:sz w:val="20"/>
                <w:szCs w:val="20"/>
                <w:lang w:eastAsia="en-GB"/>
              </w:rPr>
              <w:t>Type</w:t>
            </w:r>
          </w:p>
        </w:tc>
        <w:tc>
          <w:tcPr>
            <w:tcW w:w="8029" w:type="dxa"/>
            <w:shd w:val="clear" w:color="000000" w:fill="0070C0"/>
            <w:vAlign w:val="center"/>
            <w:hideMark/>
          </w:tcPr>
          <w:p>
            <w:pPr>
              <w:spacing w:after="0" w:line="240" w:lineRule="auto"/>
              <w:jc w:val="both"/>
              <w:rPr>
                <w:rFonts w:ascii="Times New Roman" w:eastAsia="Times New Roman" w:hAnsi="Times New Roman"/>
                <w:b/>
                <w:bCs/>
                <w:noProof/>
                <w:color w:val="FFFFFF"/>
                <w:sz w:val="20"/>
                <w:szCs w:val="20"/>
                <w:lang w:eastAsia="en-GB"/>
              </w:rPr>
            </w:pPr>
            <w:r>
              <w:rPr>
                <w:rFonts w:ascii="Times New Roman" w:eastAsia="Times New Roman" w:hAnsi="Times New Roman"/>
                <w:b/>
                <w:bCs/>
                <w:noProof/>
                <w:color w:val="FFFFFF"/>
                <w:sz w:val="20"/>
                <w:szCs w:val="20"/>
                <w:lang w:eastAsia="en-GB"/>
              </w:rPr>
              <w:t>Description</w:t>
            </w:r>
          </w:p>
        </w:tc>
      </w:tr>
      <w:tr>
        <w:trPr>
          <w:trHeight w:val="70"/>
        </w:trPr>
        <w:tc>
          <w:tcPr>
            <w:tcW w:w="1200" w:type="dxa"/>
            <w:vMerge w:val="restart"/>
            <w:shd w:val="clear" w:color="auto" w:fill="auto"/>
            <w:vAlign w:val="center"/>
          </w:tcPr>
          <w:p>
            <w:pPr>
              <w:spacing w:after="0" w:line="240" w:lineRule="auto"/>
              <w:jc w:val="both"/>
              <w:rPr>
                <w:rFonts w:ascii="Times New Roman" w:eastAsia="Times New Roman" w:hAnsi="Times New Roman"/>
                <w:b/>
                <w:bCs/>
                <w:noProof/>
                <w:color w:val="000000"/>
                <w:sz w:val="20"/>
                <w:szCs w:val="20"/>
                <w:lang w:eastAsia="en-GB"/>
              </w:rPr>
            </w:pPr>
            <w:r>
              <w:rPr>
                <w:rFonts w:ascii="Times New Roman" w:eastAsia="Times New Roman" w:hAnsi="Times New Roman"/>
                <w:b/>
                <w:bCs/>
                <w:noProof/>
                <w:color w:val="000000"/>
                <w:sz w:val="20"/>
                <w:szCs w:val="20"/>
                <w:lang w:eastAsia="en-GB"/>
              </w:rPr>
              <w:t>Output</w:t>
            </w:r>
          </w:p>
        </w:tc>
        <w:tc>
          <w:tcPr>
            <w:tcW w:w="8029" w:type="dxa"/>
            <w:shd w:val="clear" w:color="auto" w:fill="auto"/>
            <w:vAlign w:val="center"/>
          </w:tcPr>
          <w:p>
            <w:pPr>
              <w:spacing w:after="0" w:line="240" w:lineRule="auto"/>
              <w:jc w:val="both"/>
              <w:rPr>
                <w:rFonts w:ascii="Times New Roman" w:eastAsia="Symbol" w:hAnsi="Times New Roman"/>
                <w:noProof/>
                <w:color w:val="000000"/>
                <w:sz w:val="20"/>
                <w:szCs w:val="20"/>
                <w:lang w:eastAsia="en-GB"/>
              </w:rPr>
            </w:pPr>
            <w:r>
              <w:rPr>
                <w:rFonts w:ascii="Times New Roman" w:eastAsia="Times New Roman" w:hAnsi="Times New Roman"/>
                <w:noProof/>
                <w:color w:val="000000"/>
                <w:sz w:val="20"/>
                <w:szCs w:val="20"/>
                <w:lang w:eastAsia="en-GB"/>
              </w:rPr>
              <w:t>Large-scale pilots and demonstrators</w:t>
            </w:r>
          </w:p>
        </w:tc>
      </w:tr>
      <w:tr>
        <w:trPr>
          <w:trHeight w:val="70"/>
        </w:trPr>
        <w:tc>
          <w:tcPr>
            <w:tcW w:w="1200" w:type="dxa"/>
            <w:vMerge/>
            <w:shd w:val="clear" w:color="auto" w:fill="auto"/>
            <w:vAlign w:val="center"/>
            <w:hideMark/>
          </w:tcPr>
          <w:p>
            <w:pPr>
              <w:spacing w:after="0" w:line="240" w:lineRule="auto"/>
              <w:jc w:val="both"/>
              <w:rPr>
                <w:rFonts w:ascii="Times New Roman" w:eastAsia="Times New Roman" w:hAnsi="Times New Roman"/>
                <w:b/>
                <w:bCs/>
                <w:noProof/>
                <w:color w:val="000000"/>
                <w:sz w:val="20"/>
                <w:szCs w:val="20"/>
                <w:lang w:eastAsia="en-GB"/>
              </w:rPr>
            </w:pPr>
          </w:p>
        </w:tc>
        <w:tc>
          <w:tcPr>
            <w:tcW w:w="8029" w:type="dxa"/>
            <w:shd w:val="clear" w:color="auto" w:fill="auto"/>
            <w:vAlign w:val="center"/>
            <w:hideMark/>
          </w:tcPr>
          <w:p>
            <w:pPr>
              <w:spacing w:after="0" w:line="240" w:lineRule="auto"/>
              <w:jc w:val="both"/>
              <w:rPr>
                <w:rFonts w:ascii="Symbol" w:eastAsia="Times New Roman" w:hAnsi="Symbol"/>
                <w:noProof/>
                <w:color w:val="000000"/>
                <w:sz w:val="20"/>
                <w:szCs w:val="20"/>
                <w:lang w:eastAsia="en-GB"/>
              </w:rPr>
            </w:pPr>
            <w:r>
              <w:rPr>
                <w:rFonts w:ascii="Times New Roman" w:eastAsia="Symbol" w:hAnsi="Times New Roman"/>
                <w:noProof/>
                <w:color w:val="000000"/>
                <w:sz w:val="20"/>
                <w:szCs w:val="20"/>
                <w:lang w:eastAsia="en-GB"/>
              </w:rPr>
              <w:t>The national research (funding) priorities adapted as results and the (R&amp;I) priorities of the SRIA</w:t>
            </w:r>
          </w:p>
        </w:tc>
      </w:tr>
      <w:tr>
        <w:trPr>
          <w:trHeight w:val="70"/>
        </w:trPr>
        <w:tc>
          <w:tcPr>
            <w:tcW w:w="1200" w:type="dxa"/>
            <w:vMerge/>
            <w:vAlign w:val="center"/>
            <w:hideMark/>
          </w:tcPr>
          <w:p>
            <w:pPr>
              <w:spacing w:after="0" w:line="240" w:lineRule="auto"/>
              <w:rPr>
                <w:rFonts w:ascii="Times New Roman" w:eastAsia="Times New Roman" w:hAnsi="Times New Roman"/>
                <w:b/>
                <w:bCs/>
                <w:noProof/>
                <w:color w:val="000000"/>
                <w:sz w:val="20"/>
                <w:szCs w:val="20"/>
                <w:lang w:eastAsia="en-GB"/>
              </w:rPr>
            </w:pPr>
          </w:p>
        </w:tc>
        <w:tc>
          <w:tcPr>
            <w:tcW w:w="8029" w:type="dxa"/>
            <w:shd w:val="clear" w:color="auto" w:fill="auto"/>
            <w:vAlign w:val="center"/>
            <w:hideMark/>
          </w:tcPr>
          <w:p>
            <w:pPr>
              <w:spacing w:after="0" w:line="240" w:lineRule="auto"/>
              <w:jc w:val="both"/>
              <w:rPr>
                <w:rFonts w:ascii="Symbol" w:eastAsia="Times New Roman" w:hAnsi="Symbol"/>
                <w:noProof/>
                <w:color w:val="000000"/>
                <w:sz w:val="20"/>
                <w:szCs w:val="20"/>
                <w:lang w:eastAsia="en-GB"/>
              </w:rPr>
            </w:pPr>
            <w:r>
              <w:rPr>
                <w:rFonts w:ascii="Times New Roman" w:eastAsia="Symbol" w:hAnsi="Times New Roman"/>
                <w:noProof/>
                <w:color w:val="000000"/>
                <w:sz w:val="20"/>
                <w:szCs w:val="20"/>
                <w:lang w:eastAsia="en-GB"/>
              </w:rPr>
              <w:t xml:space="preserve">Alignment of national R&amp;I funding programmes </w:t>
            </w:r>
          </w:p>
        </w:tc>
      </w:tr>
      <w:tr>
        <w:trPr>
          <w:trHeight w:val="70"/>
        </w:trPr>
        <w:tc>
          <w:tcPr>
            <w:tcW w:w="1200" w:type="dxa"/>
            <w:vMerge/>
            <w:vAlign w:val="center"/>
            <w:hideMark/>
          </w:tcPr>
          <w:p>
            <w:pPr>
              <w:spacing w:after="0" w:line="240" w:lineRule="auto"/>
              <w:rPr>
                <w:rFonts w:ascii="Times New Roman" w:eastAsia="Times New Roman" w:hAnsi="Times New Roman"/>
                <w:b/>
                <w:bCs/>
                <w:noProof/>
                <w:color w:val="000000"/>
                <w:sz w:val="20"/>
                <w:szCs w:val="20"/>
                <w:lang w:eastAsia="en-GB"/>
              </w:rPr>
            </w:pPr>
          </w:p>
        </w:tc>
        <w:tc>
          <w:tcPr>
            <w:tcW w:w="8029" w:type="dxa"/>
            <w:shd w:val="clear" w:color="auto" w:fill="auto"/>
            <w:vAlign w:val="center"/>
            <w:hideMark/>
          </w:tcPr>
          <w:p>
            <w:pPr>
              <w:spacing w:after="0" w:line="240" w:lineRule="auto"/>
              <w:jc w:val="both"/>
              <w:rPr>
                <w:rFonts w:ascii="Symbol" w:eastAsia="Times New Roman" w:hAnsi="Symbol"/>
                <w:noProof/>
                <w:color w:val="000000"/>
                <w:sz w:val="20"/>
                <w:szCs w:val="20"/>
                <w:lang w:eastAsia="en-GB"/>
              </w:rPr>
            </w:pPr>
            <w:r>
              <w:rPr>
                <w:rFonts w:ascii="Times New Roman" w:eastAsia="Symbol" w:hAnsi="Times New Roman"/>
                <w:noProof/>
                <w:color w:val="000000"/>
                <w:sz w:val="20"/>
                <w:szCs w:val="20"/>
                <w:lang w:eastAsia="en-GB"/>
              </w:rPr>
              <w:t>New or updated country strategies that mirror the impact of the initiative</w:t>
            </w:r>
          </w:p>
        </w:tc>
      </w:tr>
      <w:tr>
        <w:trPr>
          <w:trHeight w:val="70"/>
        </w:trPr>
        <w:tc>
          <w:tcPr>
            <w:tcW w:w="1200" w:type="dxa"/>
            <w:vMerge/>
            <w:vAlign w:val="center"/>
            <w:hideMark/>
          </w:tcPr>
          <w:p>
            <w:pPr>
              <w:spacing w:after="0" w:line="240" w:lineRule="auto"/>
              <w:rPr>
                <w:rFonts w:ascii="Times New Roman" w:eastAsia="Times New Roman" w:hAnsi="Times New Roman"/>
                <w:b/>
                <w:bCs/>
                <w:noProof/>
                <w:color w:val="000000"/>
                <w:sz w:val="20"/>
                <w:szCs w:val="20"/>
                <w:lang w:eastAsia="en-GB"/>
              </w:rPr>
            </w:pPr>
          </w:p>
        </w:tc>
        <w:tc>
          <w:tcPr>
            <w:tcW w:w="8029" w:type="dxa"/>
            <w:shd w:val="clear" w:color="auto" w:fill="auto"/>
            <w:vAlign w:val="center"/>
            <w:hideMark/>
          </w:tcPr>
          <w:p>
            <w:pPr>
              <w:spacing w:after="0" w:line="240" w:lineRule="auto"/>
              <w:jc w:val="both"/>
              <w:rPr>
                <w:rFonts w:ascii="Symbol" w:eastAsia="Times New Roman" w:hAnsi="Symbol"/>
                <w:noProof/>
                <w:color w:val="000000"/>
                <w:sz w:val="20"/>
                <w:szCs w:val="20"/>
                <w:lang w:eastAsia="en-GB"/>
              </w:rPr>
            </w:pPr>
            <w:r>
              <w:rPr>
                <w:rFonts w:ascii="Times New Roman" w:eastAsia="Symbol" w:hAnsi="Times New Roman"/>
                <w:noProof/>
                <w:color w:val="000000"/>
                <w:sz w:val="20"/>
                <w:szCs w:val="20"/>
                <w:lang w:eastAsia="en-GB"/>
              </w:rPr>
              <w:t>Efficiency benefits through pooling of resources. Share of public investment of Participating States. Volume and share of co-funding from EU and Mediterranean third countries. Operating costs. Time to Grant. Time to Pay</w:t>
            </w:r>
          </w:p>
        </w:tc>
      </w:tr>
      <w:tr>
        <w:trPr>
          <w:trHeight w:val="70"/>
        </w:trPr>
        <w:tc>
          <w:tcPr>
            <w:tcW w:w="1200" w:type="dxa"/>
            <w:vMerge/>
            <w:vAlign w:val="center"/>
            <w:hideMark/>
          </w:tcPr>
          <w:p>
            <w:pPr>
              <w:spacing w:after="0" w:line="240" w:lineRule="auto"/>
              <w:rPr>
                <w:rFonts w:ascii="Times New Roman" w:eastAsia="Times New Roman" w:hAnsi="Times New Roman"/>
                <w:b/>
                <w:bCs/>
                <w:noProof/>
                <w:color w:val="000000"/>
                <w:sz w:val="20"/>
                <w:szCs w:val="20"/>
                <w:lang w:eastAsia="en-GB"/>
              </w:rPr>
            </w:pPr>
          </w:p>
        </w:tc>
        <w:tc>
          <w:tcPr>
            <w:tcW w:w="8029" w:type="dxa"/>
            <w:shd w:val="clear" w:color="auto" w:fill="auto"/>
            <w:vAlign w:val="center"/>
            <w:hideMark/>
          </w:tcPr>
          <w:p>
            <w:pPr>
              <w:spacing w:after="0" w:line="240" w:lineRule="auto"/>
              <w:jc w:val="both"/>
              <w:rPr>
                <w:rFonts w:ascii="Symbol" w:eastAsia="Times New Roman" w:hAnsi="Symbol"/>
                <w:noProof/>
                <w:color w:val="000000"/>
                <w:sz w:val="20"/>
                <w:szCs w:val="20"/>
                <w:lang w:eastAsia="en-GB"/>
              </w:rPr>
            </w:pPr>
            <w:r>
              <w:rPr>
                <w:rFonts w:ascii="Times New Roman" w:eastAsia="Symbol" w:hAnsi="Times New Roman"/>
                <w:noProof/>
                <w:color w:val="000000"/>
                <w:sz w:val="20"/>
                <w:szCs w:val="20"/>
                <w:lang w:eastAsia="en-GB"/>
              </w:rPr>
              <w:t xml:space="preserve">Allocated funding through joint transnational calls for proposals or non-project funded activities </w:t>
            </w:r>
          </w:p>
        </w:tc>
      </w:tr>
      <w:tr>
        <w:trPr>
          <w:trHeight w:val="70"/>
        </w:trPr>
        <w:tc>
          <w:tcPr>
            <w:tcW w:w="1200" w:type="dxa"/>
            <w:vMerge/>
            <w:vAlign w:val="center"/>
          </w:tcPr>
          <w:p>
            <w:pPr>
              <w:spacing w:after="0" w:line="240" w:lineRule="auto"/>
              <w:rPr>
                <w:rFonts w:ascii="Times New Roman" w:eastAsia="Times New Roman" w:hAnsi="Times New Roman"/>
                <w:b/>
                <w:bCs/>
                <w:noProof/>
                <w:color w:val="000000"/>
                <w:sz w:val="20"/>
                <w:szCs w:val="20"/>
                <w:lang w:eastAsia="en-GB"/>
              </w:rPr>
            </w:pPr>
          </w:p>
        </w:tc>
        <w:tc>
          <w:tcPr>
            <w:tcW w:w="8029" w:type="dxa"/>
            <w:shd w:val="clear" w:color="auto" w:fill="auto"/>
            <w:vAlign w:val="center"/>
          </w:tcPr>
          <w:p>
            <w:pPr>
              <w:spacing w:after="0" w:line="240" w:lineRule="auto"/>
              <w:jc w:val="both"/>
              <w:rPr>
                <w:rFonts w:ascii="Times New Roman" w:eastAsia="Symbol" w:hAnsi="Times New Roman"/>
                <w:noProof/>
                <w:color w:val="000000"/>
                <w:sz w:val="20"/>
                <w:szCs w:val="20"/>
                <w:lang w:eastAsia="en-GB"/>
              </w:rPr>
            </w:pPr>
            <w:r>
              <w:rPr>
                <w:rFonts w:ascii="Times New Roman" w:eastAsia="Times New Roman" w:hAnsi="Times New Roman"/>
                <w:noProof/>
                <w:color w:val="000000"/>
                <w:sz w:val="20"/>
                <w:szCs w:val="20"/>
                <w:lang w:eastAsia="en-GB"/>
              </w:rPr>
              <w:t>Growth in share of implemented models of sustainable management of water provision and food systems in the Mediterranean area</w:t>
            </w:r>
          </w:p>
        </w:tc>
      </w:tr>
      <w:tr>
        <w:trPr>
          <w:trHeight w:val="70"/>
        </w:trPr>
        <w:tc>
          <w:tcPr>
            <w:tcW w:w="1200" w:type="dxa"/>
            <w:vMerge/>
            <w:vAlign w:val="center"/>
          </w:tcPr>
          <w:p>
            <w:pPr>
              <w:spacing w:after="0" w:line="240" w:lineRule="auto"/>
              <w:rPr>
                <w:rFonts w:ascii="Times New Roman" w:eastAsia="Times New Roman" w:hAnsi="Times New Roman"/>
                <w:b/>
                <w:bCs/>
                <w:noProof/>
                <w:color w:val="000000"/>
                <w:sz w:val="20"/>
                <w:szCs w:val="20"/>
                <w:lang w:eastAsia="en-GB"/>
              </w:rPr>
            </w:pPr>
          </w:p>
        </w:tc>
        <w:tc>
          <w:tcPr>
            <w:tcW w:w="8029" w:type="dxa"/>
            <w:shd w:val="clear" w:color="auto" w:fill="auto"/>
            <w:vAlign w:val="center"/>
          </w:tcPr>
          <w:p>
            <w:pPr>
              <w:spacing w:after="0" w:line="240" w:lineRule="auto"/>
              <w:jc w:val="both"/>
              <w:rPr>
                <w:rFonts w:ascii="Times New Roman" w:eastAsia="Symbol" w:hAnsi="Times New Roman"/>
                <w:noProof/>
                <w:color w:val="000000"/>
                <w:sz w:val="20"/>
                <w:szCs w:val="20"/>
                <w:lang w:eastAsia="en-GB"/>
              </w:rPr>
            </w:pPr>
            <w:r>
              <w:rPr>
                <w:rFonts w:ascii="Times New Roman" w:eastAsia="Times New Roman" w:hAnsi="Times New Roman"/>
                <w:noProof/>
                <w:color w:val="000000"/>
                <w:sz w:val="20"/>
                <w:szCs w:val="20"/>
                <w:lang w:eastAsia="en-GB"/>
              </w:rPr>
              <w:t>Growth in share of implemented new strategies for improved water and food efficiency and waste reduction developed for the Mediterranean area</w:t>
            </w:r>
          </w:p>
        </w:tc>
      </w:tr>
      <w:tr>
        <w:trPr>
          <w:trHeight w:val="70"/>
        </w:trPr>
        <w:tc>
          <w:tcPr>
            <w:tcW w:w="1200" w:type="dxa"/>
            <w:vMerge/>
            <w:vAlign w:val="center"/>
          </w:tcPr>
          <w:p>
            <w:pPr>
              <w:spacing w:after="0" w:line="240" w:lineRule="auto"/>
              <w:rPr>
                <w:rFonts w:ascii="Times New Roman" w:eastAsia="Times New Roman" w:hAnsi="Times New Roman"/>
                <w:b/>
                <w:bCs/>
                <w:noProof/>
                <w:color w:val="000000"/>
                <w:sz w:val="20"/>
                <w:szCs w:val="20"/>
                <w:lang w:eastAsia="en-GB"/>
              </w:rPr>
            </w:pPr>
          </w:p>
        </w:tc>
        <w:tc>
          <w:tcPr>
            <w:tcW w:w="8029" w:type="dxa"/>
            <w:shd w:val="clear" w:color="auto" w:fill="auto"/>
            <w:vAlign w:val="center"/>
          </w:tcPr>
          <w:p>
            <w:pPr>
              <w:spacing w:after="0" w:line="240" w:lineRule="auto"/>
              <w:jc w:val="both"/>
              <w:rPr>
                <w:rFonts w:ascii="Times New Roman" w:eastAsia="Symbol" w:hAnsi="Times New Roman"/>
                <w:noProof/>
                <w:color w:val="000000"/>
                <w:sz w:val="20"/>
                <w:szCs w:val="20"/>
                <w:lang w:eastAsia="en-GB"/>
              </w:rPr>
            </w:pPr>
            <w:r>
              <w:rPr>
                <w:rFonts w:ascii="Times New Roman" w:eastAsia="Times New Roman" w:hAnsi="Times New Roman"/>
                <w:noProof/>
                <w:color w:val="000000"/>
                <w:sz w:val="20"/>
                <w:szCs w:val="20"/>
                <w:lang w:eastAsia="en-GB"/>
              </w:rPr>
              <w:t>New water and food quality oriented business models and strategies adopted at national and regional levels</w:t>
            </w:r>
          </w:p>
        </w:tc>
      </w:tr>
      <w:tr>
        <w:trPr>
          <w:trHeight w:val="70"/>
        </w:trPr>
        <w:tc>
          <w:tcPr>
            <w:tcW w:w="1200" w:type="dxa"/>
            <w:vMerge/>
            <w:vAlign w:val="center"/>
          </w:tcPr>
          <w:p>
            <w:pPr>
              <w:spacing w:after="0" w:line="240" w:lineRule="auto"/>
              <w:rPr>
                <w:rFonts w:ascii="Times New Roman" w:eastAsia="Times New Roman" w:hAnsi="Times New Roman"/>
                <w:b/>
                <w:bCs/>
                <w:noProof/>
                <w:color w:val="000000"/>
                <w:sz w:val="20"/>
                <w:szCs w:val="20"/>
                <w:lang w:eastAsia="en-GB"/>
              </w:rPr>
            </w:pPr>
          </w:p>
        </w:tc>
        <w:tc>
          <w:tcPr>
            <w:tcW w:w="8029" w:type="dxa"/>
            <w:shd w:val="clear" w:color="auto" w:fill="auto"/>
            <w:vAlign w:val="center"/>
          </w:tcPr>
          <w:p>
            <w:pPr>
              <w:spacing w:after="0" w:line="240" w:lineRule="auto"/>
              <w:jc w:val="both"/>
              <w:rPr>
                <w:rFonts w:ascii="Times New Roman" w:eastAsia="Symbol" w:hAnsi="Times New Roman"/>
                <w:noProof/>
                <w:color w:val="000000"/>
                <w:sz w:val="20"/>
                <w:szCs w:val="20"/>
                <w:lang w:eastAsia="en-GB"/>
              </w:rPr>
            </w:pPr>
            <w:r>
              <w:rPr>
                <w:rFonts w:ascii="Times New Roman" w:eastAsia="Times New Roman" w:hAnsi="Times New Roman"/>
                <w:noProof/>
                <w:color w:val="000000"/>
                <w:sz w:val="20"/>
                <w:szCs w:val="20"/>
                <w:lang w:eastAsia="en-GB"/>
              </w:rPr>
              <w:t>Expansion of national teams involved in R&amp;I projects on improving efficiency in management of water provision and food systems</w:t>
            </w:r>
          </w:p>
        </w:tc>
      </w:tr>
      <w:tr>
        <w:trPr>
          <w:trHeight w:val="70"/>
        </w:trPr>
        <w:tc>
          <w:tcPr>
            <w:tcW w:w="1200" w:type="dxa"/>
            <w:vMerge/>
            <w:vAlign w:val="center"/>
          </w:tcPr>
          <w:p>
            <w:pPr>
              <w:spacing w:after="0" w:line="240" w:lineRule="auto"/>
              <w:rPr>
                <w:rFonts w:ascii="Times New Roman" w:eastAsia="Times New Roman" w:hAnsi="Times New Roman"/>
                <w:b/>
                <w:bCs/>
                <w:noProof/>
                <w:color w:val="000000"/>
                <w:sz w:val="20"/>
                <w:szCs w:val="20"/>
                <w:lang w:eastAsia="en-GB"/>
              </w:rPr>
            </w:pPr>
          </w:p>
        </w:tc>
        <w:tc>
          <w:tcPr>
            <w:tcW w:w="8029" w:type="dxa"/>
            <w:shd w:val="clear" w:color="auto" w:fill="auto"/>
            <w:vAlign w:val="center"/>
          </w:tcPr>
          <w:p>
            <w:pPr>
              <w:spacing w:after="0" w:line="240" w:lineRule="auto"/>
              <w:jc w:val="both"/>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Number of countries in which water-saving solutions are implemented</w:t>
            </w:r>
          </w:p>
        </w:tc>
      </w:tr>
      <w:tr>
        <w:trPr>
          <w:trHeight w:val="248"/>
        </w:trPr>
        <w:tc>
          <w:tcPr>
            <w:tcW w:w="1200" w:type="dxa"/>
            <w:vMerge/>
            <w:vAlign w:val="center"/>
          </w:tcPr>
          <w:p>
            <w:pPr>
              <w:spacing w:after="0" w:line="240" w:lineRule="auto"/>
              <w:rPr>
                <w:rFonts w:ascii="Times New Roman" w:eastAsia="Times New Roman" w:hAnsi="Times New Roman"/>
                <w:b/>
                <w:bCs/>
                <w:noProof/>
                <w:color w:val="000000"/>
                <w:sz w:val="20"/>
                <w:szCs w:val="20"/>
                <w:lang w:eastAsia="en-GB"/>
              </w:rPr>
            </w:pPr>
          </w:p>
        </w:tc>
        <w:tc>
          <w:tcPr>
            <w:tcW w:w="8029" w:type="dxa"/>
            <w:shd w:val="clear" w:color="auto" w:fill="auto"/>
            <w:vAlign w:val="center"/>
          </w:tcPr>
          <w:p>
            <w:pPr>
              <w:spacing w:after="0" w:line="240" w:lineRule="auto"/>
              <w:jc w:val="both"/>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Number of transitional calls per year addressing water provision and food systems</w:t>
            </w:r>
          </w:p>
        </w:tc>
      </w:tr>
      <w:tr>
        <w:trPr>
          <w:trHeight w:val="70"/>
        </w:trPr>
        <w:tc>
          <w:tcPr>
            <w:tcW w:w="1200" w:type="dxa"/>
            <w:vMerge w:val="restart"/>
            <w:shd w:val="clear" w:color="auto" w:fill="auto"/>
            <w:vAlign w:val="center"/>
            <w:hideMark/>
          </w:tcPr>
          <w:p>
            <w:pPr>
              <w:spacing w:after="0" w:line="240" w:lineRule="auto"/>
              <w:jc w:val="both"/>
              <w:rPr>
                <w:rFonts w:ascii="Times New Roman" w:eastAsia="Times New Roman" w:hAnsi="Times New Roman"/>
                <w:b/>
                <w:bCs/>
                <w:noProof/>
                <w:color w:val="000000"/>
                <w:sz w:val="20"/>
                <w:szCs w:val="20"/>
                <w:lang w:eastAsia="en-GB"/>
              </w:rPr>
            </w:pPr>
            <w:r>
              <w:rPr>
                <w:rFonts w:ascii="Times New Roman" w:eastAsia="Times New Roman" w:hAnsi="Times New Roman"/>
                <w:b/>
                <w:bCs/>
                <w:noProof/>
                <w:color w:val="000000"/>
                <w:sz w:val="20"/>
                <w:szCs w:val="20"/>
                <w:lang w:eastAsia="en-GB"/>
              </w:rPr>
              <w:t>Inputs</w:t>
            </w:r>
          </w:p>
        </w:tc>
        <w:tc>
          <w:tcPr>
            <w:tcW w:w="8029" w:type="dxa"/>
            <w:shd w:val="clear" w:color="auto" w:fill="auto"/>
            <w:vAlign w:val="center"/>
            <w:hideMark/>
          </w:tcPr>
          <w:p>
            <w:pPr>
              <w:spacing w:after="0" w:line="240" w:lineRule="auto"/>
              <w:jc w:val="both"/>
              <w:rPr>
                <w:rFonts w:ascii="Times New Roman" w:eastAsia="Symbol" w:hAnsi="Times New Roman"/>
                <w:noProof/>
                <w:color w:val="000000"/>
                <w:sz w:val="20"/>
                <w:szCs w:val="20"/>
                <w:lang w:eastAsia="en-GB"/>
              </w:rPr>
            </w:pPr>
            <w:r>
              <w:rPr>
                <w:rFonts w:ascii="Times New Roman" w:eastAsia="Symbol" w:hAnsi="Times New Roman"/>
                <w:noProof/>
                <w:color w:val="000000"/>
                <w:sz w:val="20"/>
                <w:szCs w:val="20"/>
                <w:lang w:eastAsia="en-GB"/>
              </w:rPr>
              <w:t>Participation grade of Participating States in Management Board meetings</w:t>
            </w:r>
          </w:p>
        </w:tc>
      </w:tr>
      <w:tr>
        <w:trPr>
          <w:trHeight w:val="70"/>
        </w:trPr>
        <w:tc>
          <w:tcPr>
            <w:tcW w:w="1200" w:type="dxa"/>
            <w:vMerge/>
            <w:vAlign w:val="center"/>
            <w:hideMark/>
          </w:tcPr>
          <w:p>
            <w:pPr>
              <w:spacing w:after="0" w:line="240" w:lineRule="auto"/>
              <w:rPr>
                <w:rFonts w:ascii="Times New Roman" w:eastAsia="Times New Roman" w:hAnsi="Times New Roman"/>
                <w:b/>
                <w:bCs/>
                <w:noProof/>
                <w:color w:val="000000"/>
                <w:sz w:val="20"/>
                <w:szCs w:val="20"/>
                <w:lang w:eastAsia="en-GB"/>
              </w:rPr>
            </w:pPr>
          </w:p>
        </w:tc>
        <w:tc>
          <w:tcPr>
            <w:tcW w:w="8029" w:type="dxa"/>
            <w:shd w:val="clear" w:color="auto" w:fill="auto"/>
            <w:vAlign w:val="center"/>
            <w:hideMark/>
          </w:tcPr>
          <w:p>
            <w:pPr>
              <w:spacing w:after="0" w:line="240" w:lineRule="auto"/>
              <w:jc w:val="both"/>
              <w:rPr>
                <w:rFonts w:ascii="Symbol" w:eastAsia="Times New Roman" w:hAnsi="Symbol"/>
                <w:noProof/>
                <w:color w:val="000000"/>
                <w:sz w:val="20"/>
                <w:szCs w:val="20"/>
                <w:lang w:eastAsia="en-GB"/>
              </w:rPr>
            </w:pPr>
            <w:r>
              <w:rPr>
                <w:rFonts w:ascii="Times New Roman" w:eastAsia="Symbol" w:hAnsi="Times New Roman"/>
                <w:noProof/>
                <w:color w:val="000000"/>
                <w:sz w:val="20"/>
                <w:szCs w:val="20"/>
                <w:lang w:eastAsia="en-GB"/>
              </w:rPr>
              <w:t>Additional countries participating in the initiative</w:t>
            </w:r>
          </w:p>
        </w:tc>
      </w:tr>
      <w:tr>
        <w:trPr>
          <w:trHeight w:val="70"/>
        </w:trPr>
        <w:tc>
          <w:tcPr>
            <w:tcW w:w="1200" w:type="dxa"/>
            <w:vMerge/>
            <w:vAlign w:val="center"/>
            <w:hideMark/>
          </w:tcPr>
          <w:p>
            <w:pPr>
              <w:spacing w:after="0" w:line="240" w:lineRule="auto"/>
              <w:rPr>
                <w:rFonts w:ascii="Times New Roman" w:eastAsia="Times New Roman" w:hAnsi="Times New Roman"/>
                <w:b/>
                <w:bCs/>
                <w:noProof/>
                <w:color w:val="000000"/>
                <w:sz w:val="20"/>
                <w:szCs w:val="20"/>
                <w:lang w:eastAsia="en-GB"/>
              </w:rPr>
            </w:pPr>
          </w:p>
        </w:tc>
        <w:tc>
          <w:tcPr>
            <w:tcW w:w="8029" w:type="dxa"/>
            <w:shd w:val="clear" w:color="auto" w:fill="auto"/>
            <w:vAlign w:val="center"/>
            <w:hideMark/>
          </w:tcPr>
          <w:p>
            <w:pPr>
              <w:spacing w:after="0" w:line="240" w:lineRule="auto"/>
              <w:jc w:val="both"/>
              <w:rPr>
                <w:rFonts w:ascii="Symbol" w:eastAsia="Times New Roman" w:hAnsi="Symbol"/>
                <w:noProof/>
                <w:color w:val="000000"/>
                <w:sz w:val="20"/>
                <w:szCs w:val="20"/>
                <w:lang w:eastAsia="en-GB"/>
              </w:rPr>
            </w:pPr>
            <w:r>
              <w:rPr>
                <w:rFonts w:ascii="Times New Roman" w:eastAsia="Symbol" w:hAnsi="Times New Roman"/>
                <w:noProof/>
                <w:color w:val="000000"/>
                <w:sz w:val="20"/>
                <w:szCs w:val="20"/>
                <w:lang w:eastAsia="en-GB"/>
              </w:rPr>
              <w:t>Countries dropping out as Participant States</w:t>
            </w:r>
          </w:p>
        </w:tc>
      </w:tr>
      <w:tr>
        <w:trPr>
          <w:trHeight w:val="70"/>
        </w:trPr>
        <w:tc>
          <w:tcPr>
            <w:tcW w:w="1200" w:type="dxa"/>
            <w:vMerge/>
            <w:vAlign w:val="center"/>
            <w:hideMark/>
          </w:tcPr>
          <w:p>
            <w:pPr>
              <w:spacing w:after="0" w:line="240" w:lineRule="auto"/>
              <w:rPr>
                <w:rFonts w:ascii="Times New Roman" w:eastAsia="Times New Roman" w:hAnsi="Times New Roman"/>
                <w:b/>
                <w:bCs/>
                <w:noProof/>
                <w:color w:val="000000"/>
                <w:sz w:val="20"/>
                <w:szCs w:val="20"/>
                <w:lang w:eastAsia="en-GB"/>
              </w:rPr>
            </w:pPr>
          </w:p>
        </w:tc>
        <w:tc>
          <w:tcPr>
            <w:tcW w:w="8029" w:type="dxa"/>
            <w:shd w:val="clear" w:color="auto" w:fill="auto"/>
            <w:vAlign w:val="center"/>
            <w:hideMark/>
          </w:tcPr>
          <w:p>
            <w:pPr>
              <w:spacing w:after="0" w:line="240" w:lineRule="auto"/>
              <w:jc w:val="both"/>
              <w:rPr>
                <w:rFonts w:ascii="Symbol" w:eastAsia="Times New Roman" w:hAnsi="Symbol"/>
                <w:noProof/>
                <w:color w:val="000000"/>
                <w:sz w:val="20"/>
                <w:szCs w:val="20"/>
                <w:lang w:eastAsia="en-GB"/>
              </w:rPr>
            </w:pPr>
            <w:r>
              <w:rPr>
                <w:rFonts w:ascii="Times New Roman" w:eastAsia="Symbol" w:hAnsi="Times New Roman"/>
                <w:noProof/>
                <w:color w:val="000000"/>
                <w:sz w:val="20"/>
                <w:szCs w:val="20"/>
                <w:lang w:eastAsia="en-GB"/>
              </w:rPr>
              <w:t>The actual financial commitment in kind by the Participating States</w:t>
            </w:r>
          </w:p>
        </w:tc>
      </w:tr>
      <w:tr>
        <w:trPr>
          <w:trHeight w:val="70"/>
        </w:trPr>
        <w:tc>
          <w:tcPr>
            <w:tcW w:w="1200" w:type="dxa"/>
            <w:vMerge/>
            <w:vAlign w:val="center"/>
            <w:hideMark/>
          </w:tcPr>
          <w:p>
            <w:pPr>
              <w:spacing w:after="0" w:line="240" w:lineRule="auto"/>
              <w:rPr>
                <w:rFonts w:ascii="Times New Roman" w:eastAsia="Times New Roman" w:hAnsi="Times New Roman"/>
                <w:b/>
                <w:bCs/>
                <w:noProof/>
                <w:color w:val="000000"/>
                <w:sz w:val="20"/>
                <w:szCs w:val="20"/>
                <w:lang w:eastAsia="en-GB"/>
              </w:rPr>
            </w:pPr>
          </w:p>
        </w:tc>
        <w:tc>
          <w:tcPr>
            <w:tcW w:w="8029" w:type="dxa"/>
            <w:shd w:val="clear" w:color="auto" w:fill="auto"/>
            <w:vAlign w:val="center"/>
            <w:hideMark/>
          </w:tcPr>
          <w:p>
            <w:pPr>
              <w:spacing w:after="0" w:line="240" w:lineRule="auto"/>
              <w:jc w:val="both"/>
              <w:rPr>
                <w:rFonts w:ascii="Symbol" w:eastAsia="Times New Roman" w:hAnsi="Symbol"/>
                <w:noProof/>
                <w:color w:val="000000"/>
                <w:sz w:val="20"/>
                <w:szCs w:val="20"/>
                <w:lang w:eastAsia="en-GB"/>
              </w:rPr>
            </w:pPr>
            <w:r>
              <w:rPr>
                <w:rFonts w:ascii="Times New Roman" w:eastAsia="Symbol" w:hAnsi="Times New Roman"/>
                <w:noProof/>
                <w:color w:val="000000"/>
                <w:sz w:val="20"/>
                <w:szCs w:val="20"/>
                <w:lang w:eastAsia="en-GB"/>
              </w:rPr>
              <w:t>Progress on the updates of the Strategic Research and Innovation Agenda (SRIA)</w:t>
            </w:r>
          </w:p>
        </w:tc>
      </w:tr>
      <w:tr>
        <w:trPr>
          <w:trHeight w:val="300"/>
        </w:trPr>
        <w:tc>
          <w:tcPr>
            <w:tcW w:w="1200" w:type="dxa"/>
            <w:vMerge/>
            <w:vAlign w:val="center"/>
            <w:hideMark/>
          </w:tcPr>
          <w:p>
            <w:pPr>
              <w:spacing w:after="0" w:line="240" w:lineRule="auto"/>
              <w:rPr>
                <w:rFonts w:ascii="Times New Roman" w:eastAsia="Times New Roman" w:hAnsi="Times New Roman"/>
                <w:b/>
                <w:bCs/>
                <w:noProof/>
                <w:color w:val="000000"/>
                <w:sz w:val="20"/>
                <w:szCs w:val="20"/>
                <w:lang w:eastAsia="en-GB"/>
              </w:rPr>
            </w:pPr>
          </w:p>
        </w:tc>
        <w:tc>
          <w:tcPr>
            <w:tcW w:w="8029" w:type="dxa"/>
            <w:shd w:val="clear" w:color="auto" w:fill="auto"/>
            <w:vAlign w:val="center"/>
            <w:hideMark/>
          </w:tcPr>
          <w:p>
            <w:pPr>
              <w:spacing w:after="0" w:line="240" w:lineRule="auto"/>
              <w:jc w:val="both"/>
              <w:rPr>
                <w:rFonts w:ascii="Symbol" w:eastAsia="Times New Roman" w:hAnsi="Symbol"/>
                <w:noProof/>
                <w:color w:val="000000"/>
                <w:sz w:val="20"/>
                <w:szCs w:val="20"/>
                <w:lang w:eastAsia="en-GB"/>
              </w:rPr>
            </w:pPr>
            <w:r>
              <w:rPr>
                <w:rFonts w:ascii="Times New Roman" w:eastAsia="Symbol" w:hAnsi="Times New Roman"/>
                <w:noProof/>
                <w:color w:val="000000"/>
                <w:sz w:val="20"/>
                <w:szCs w:val="20"/>
                <w:lang w:eastAsia="en-GB"/>
              </w:rPr>
              <w:t>Participation on equal footing by all third countries</w:t>
            </w:r>
          </w:p>
        </w:tc>
      </w:tr>
    </w:tbl>
    <w:p>
      <w:pPr>
        <w:spacing w:after="0" w:line="240" w:lineRule="auto"/>
        <w:rPr>
          <w:rFonts w:ascii="Times New Roman" w:hAnsi="Times New Roman"/>
          <w:b/>
          <w:noProof/>
          <w:sz w:val="20"/>
          <w:szCs w:val="20"/>
        </w:rPr>
      </w:pPr>
      <w:r>
        <w:rPr>
          <w:rFonts w:ascii="Times New Roman" w:hAnsi="Times New Roman"/>
          <w:b/>
          <w:noProof/>
          <w:sz w:val="20"/>
          <w:szCs w:val="20"/>
        </w:rPr>
        <w:t>Table 7.1: Qualitative indicators to assess the medium-term development of the PRIMA activities</w:t>
      </w:r>
    </w:p>
    <w:p>
      <w:pPr>
        <w:spacing w:after="120" w:line="240" w:lineRule="auto"/>
        <w:jc w:val="both"/>
        <w:rPr>
          <w:rFonts w:ascii="Times New Roman" w:hAnsi="Times New Roman"/>
          <w:noProof/>
          <w:sz w:val="24"/>
          <w:szCs w:val="24"/>
        </w:rPr>
      </w:pPr>
    </w:p>
    <w:p>
      <w:pPr>
        <w:spacing w:before="240" w:after="120" w:line="240" w:lineRule="auto"/>
        <w:jc w:val="both"/>
        <w:rPr>
          <w:rFonts w:ascii="Times New Roman" w:hAnsi="Times New Roman"/>
          <w:b/>
          <w:i/>
          <w:noProof/>
          <w:sz w:val="24"/>
          <w:szCs w:val="24"/>
        </w:rPr>
      </w:pPr>
      <w:r>
        <w:rPr>
          <w:rFonts w:ascii="Times New Roman" w:hAnsi="Times New Roman"/>
          <w:b/>
          <w:i/>
          <w:noProof/>
          <w:sz w:val="24"/>
          <w:szCs w:val="24"/>
        </w:rPr>
        <w:t>Impact indicators</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The most challenging indicators to define are the </w:t>
      </w:r>
      <w:r>
        <w:rPr>
          <w:rFonts w:ascii="Times New Roman" w:hAnsi="Times New Roman"/>
          <w:b/>
          <w:noProof/>
          <w:sz w:val="24"/>
          <w:szCs w:val="24"/>
        </w:rPr>
        <w:t>Impact</w:t>
      </w:r>
      <w:r>
        <w:rPr>
          <w:rFonts w:ascii="Times New Roman" w:hAnsi="Times New Roman"/>
          <w:noProof/>
          <w:sz w:val="24"/>
          <w:szCs w:val="24"/>
        </w:rPr>
        <w:t xml:space="preserve"> </w:t>
      </w:r>
      <w:r>
        <w:rPr>
          <w:rFonts w:ascii="Times New Roman" w:hAnsi="Times New Roman"/>
          <w:b/>
          <w:noProof/>
          <w:sz w:val="24"/>
          <w:szCs w:val="24"/>
        </w:rPr>
        <w:t>indicators</w:t>
      </w:r>
      <w:r>
        <w:rPr>
          <w:rFonts w:ascii="Times New Roman" w:hAnsi="Times New Roman"/>
          <w:noProof/>
          <w:sz w:val="24"/>
          <w:szCs w:val="24"/>
        </w:rPr>
        <w:t xml:space="preserve">, as they should be able to demonstrate a causal link between the outputs, on the one hand, and the impacts that the initiative wants to achieve, on the other hand. </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To this end, a set of Key Performance Indicators (KPIs) for monitoring the achievement of the operational objectives of the PRIMA Joint Programme have been defined. They are aiming to assess and monitor the performance of the initiative. </w:t>
      </w:r>
    </w:p>
    <w:p>
      <w:pPr>
        <w:spacing w:after="120" w:line="240" w:lineRule="auto"/>
        <w:jc w:val="both"/>
        <w:rPr>
          <w:rFonts w:ascii="Times New Roman" w:hAnsi="Times New Roman"/>
          <w:noProof/>
          <w:sz w:val="24"/>
          <w:szCs w:val="24"/>
        </w:rPr>
      </w:pPr>
      <w:r>
        <w:rPr>
          <w:rFonts w:ascii="Times New Roman" w:hAnsi="Times New Roman"/>
          <w:noProof/>
          <w:sz w:val="24"/>
          <w:szCs w:val="24"/>
        </w:rPr>
        <w:t>The indicators have been selected based on the Sustainable Development Goals (SDGs) framework and focus mainly but not exclusively on food security (SDG #2 End hunger, achieve food security and improved nutrition and promote sustainable agriculture) and sustainable management of water (SDG #6 Ensure availability and sustainable management of water and sanitation for all). They aim at specific targets addressing social aspects:</w:t>
      </w:r>
    </w:p>
    <w:p>
      <w:pPr>
        <w:pStyle w:val="ListParagraph"/>
        <w:numPr>
          <w:ilvl w:val="0"/>
          <w:numId w:val="101"/>
        </w:numPr>
        <w:spacing w:after="120" w:line="240" w:lineRule="auto"/>
        <w:ind w:left="567" w:hanging="567"/>
        <w:rPr>
          <w:rFonts w:ascii="Times New Roman" w:hAnsi="Times New Roman"/>
          <w:noProof/>
          <w:sz w:val="24"/>
          <w:szCs w:val="24"/>
        </w:rPr>
      </w:pPr>
      <w:r>
        <w:rPr>
          <w:rFonts w:ascii="Times New Roman" w:hAnsi="Times New Roman"/>
          <w:noProof/>
          <w:sz w:val="24"/>
          <w:szCs w:val="24"/>
        </w:rPr>
        <w:t>Multidimensional Poverty Index</w:t>
      </w:r>
    </w:p>
    <w:p>
      <w:pPr>
        <w:pStyle w:val="ListParagraph"/>
        <w:numPr>
          <w:ilvl w:val="0"/>
          <w:numId w:val="101"/>
        </w:numPr>
        <w:spacing w:after="120" w:line="240" w:lineRule="auto"/>
        <w:ind w:left="567" w:hanging="567"/>
        <w:rPr>
          <w:rFonts w:ascii="Times New Roman" w:hAnsi="Times New Roman"/>
          <w:noProof/>
          <w:sz w:val="24"/>
          <w:szCs w:val="24"/>
        </w:rPr>
      </w:pPr>
      <w:r>
        <w:rPr>
          <w:rFonts w:ascii="Times New Roman" w:hAnsi="Times New Roman"/>
          <w:noProof/>
          <w:sz w:val="24"/>
          <w:szCs w:val="24"/>
        </w:rPr>
        <w:t>Population overweight (%)</w:t>
      </w:r>
    </w:p>
    <w:p>
      <w:pPr>
        <w:pStyle w:val="ListParagraph"/>
        <w:numPr>
          <w:ilvl w:val="0"/>
          <w:numId w:val="101"/>
        </w:numPr>
        <w:spacing w:after="120" w:line="240" w:lineRule="auto"/>
        <w:ind w:left="567" w:hanging="567"/>
        <w:rPr>
          <w:rFonts w:ascii="Times New Roman" w:hAnsi="Times New Roman"/>
          <w:noProof/>
          <w:sz w:val="24"/>
          <w:szCs w:val="24"/>
        </w:rPr>
      </w:pPr>
      <w:r>
        <w:rPr>
          <w:rFonts w:ascii="Times New Roman" w:hAnsi="Times New Roman"/>
          <w:noProof/>
          <w:sz w:val="24"/>
          <w:szCs w:val="24"/>
        </w:rPr>
        <w:t>Land Use (%)</w:t>
      </w:r>
    </w:p>
    <w:p>
      <w:pPr>
        <w:pStyle w:val="ListParagraph"/>
        <w:numPr>
          <w:ilvl w:val="0"/>
          <w:numId w:val="101"/>
        </w:numPr>
        <w:spacing w:after="120" w:line="240" w:lineRule="auto"/>
        <w:ind w:left="567" w:hanging="567"/>
        <w:rPr>
          <w:rFonts w:ascii="Times New Roman" w:hAnsi="Times New Roman"/>
          <w:noProof/>
          <w:sz w:val="24"/>
          <w:szCs w:val="24"/>
        </w:rPr>
      </w:pPr>
      <w:r>
        <w:rPr>
          <w:rFonts w:ascii="Times New Roman" w:hAnsi="Times New Roman"/>
          <w:noProof/>
          <w:sz w:val="24"/>
          <w:szCs w:val="24"/>
        </w:rPr>
        <w:t>GHG emissions (total and AFOLU – t CO2e)</w:t>
      </w:r>
    </w:p>
    <w:p>
      <w:pPr>
        <w:pStyle w:val="ListParagraph"/>
        <w:numPr>
          <w:ilvl w:val="0"/>
          <w:numId w:val="101"/>
        </w:numPr>
        <w:spacing w:after="120" w:line="240" w:lineRule="auto"/>
        <w:ind w:left="567" w:hanging="567"/>
        <w:rPr>
          <w:rFonts w:ascii="Times New Roman" w:hAnsi="Times New Roman"/>
          <w:noProof/>
          <w:sz w:val="24"/>
          <w:szCs w:val="24"/>
        </w:rPr>
      </w:pPr>
      <w:r>
        <w:rPr>
          <w:rFonts w:ascii="Times New Roman" w:hAnsi="Times New Roman"/>
          <w:noProof/>
          <w:sz w:val="24"/>
          <w:szCs w:val="24"/>
        </w:rPr>
        <w:t>Cereal Yield (kg/ha)</w:t>
      </w:r>
    </w:p>
    <w:p>
      <w:pPr>
        <w:pStyle w:val="ListParagraph"/>
        <w:numPr>
          <w:ilvl w:val="0"/>
          <w:numId w:val="101"/>
        </w:numPr>
        <w:spacing w:after="120" w:line="240" w:lineRule="auto"/>
        <w:ind w:left="567" w:hanging="567"/>
        <w:rPr>
          <w:rFonts w:ascii="Times New Roman" w:hAnsi="Times New Roman"/>
          <w:noProof/>
          <w:sz w:val="24"/>
          <w:szCs w:val="24"/>
        </w:rPr>
      </w:pPr>
      <w:r>
        <w:rPr>
          <w:rFonts w:ascii="Times New Roman" w:hAnsi="Times New Roman"/>
          <w:noProof/>
          <w:sz w:val="24"/>
          <w:szCs w:val="24"/>
        </w:rPr>
        <w:t>Agriculture Value Added (EUR/worker)</w:t>
      </w:r>
    </w:p>
    <w:p>
      <w:pPr>
        <w:pStyle w:val="ListParagraph"/>
        <w:numPr>
          <w:ilvl w:val="0"/>
          <w:numId w:val="101"/>
        </w:numPr>
        <w:spacing w:after="120" w:line="240" w:lineRule="auto"/>
        <w:ind w:left="567" w:hanging="567"/>
        <w:rPr>
          <w:rFonts w:ascii="Times New Roman" w:hAnsi="Times New Roman"/>
          <w:noProof/>
          <w:sz w:val="24"/>
          <w:szCs w:val="24"/>
        </w:rPr>
      </w:pPr>
      <w:r>
        <w:rPr>
          <w:rFonts w:ascii="Times New Roman" w:hAnsi="Times New Roman"/>
          <w:noProof/>
          <w:sz w:val="24"/>
          <w:szCs w:val="24"/>
        </w:rPr>
        <w:t>Fertilizers consumption (kg/ha of arable land – available also at 5 x 5 km scale)</w:t>
      </w:r>
    </w:p>
    <w:p>
      <w:pPr>
        <w:pStyle w:val="ListParagraph"/>
        <w:numPr>
          <w:ilvl w:val="0"/>
          <w:numId w:val="101"/>
        </w:numPr>
        <w:spacing w:after="120" w:line="240" w:lineRule="auto"/>
        <w:ind w:left="567" w:hanging="567"/>
        <w:rPr>
          <w:rFonts w:ascii="Times New Roman" w:hAnsi="Times New Roman"/>
          <w:noProof/>
          <w:sz w:val="24"/>
          <w:szCs w:val="24"/>
        </w:rPr>
      </w:pPr>
      <w:r>
        <w:rPr>
          <w:rFonts w:ascii="Times New Roman" w:hAnsi="Times New Roman"/>
          <w:noProof/>
          <w:sz w:val="24"/>
          <w:szCs w:val="24"/>
        </w:rPr>
        <w:t>Crop water productivity (kg/m3)</w:t>
      </w:r>
    </w:p>
    <w:p>
      <w:pPr>
        <w:pStyle w:val="ListParagraph"/>
        <w:numPr>
          <w:ilvl w:val="0"/>
          <w:numId w:val="101"/>
        </w:numPr>
        <w:spacing w:after="120" w:line="240" w:lineRule="auto"/>
        <w:ind w:left="567" w:hanging="567"/>
        <w:rPr>
          <w:rFonts w:ascii="Times New Roman" w:hAnsi="Times New Roman"/>
          <w:noProof/>
          <w:sz w:val="24"/>
          <w:szCs w:val="24"/>
        </w:rPr>
      </w:pPr>
      <w:r>
        <w:rPr>
          <w:rFonts w:ascii="Times New Roman" w:hAnsi="Times New Roman"/>
          <w:noProof/>
          <w:sz w:val="24"/>
          <w:szCs w:val="24"/>
        </w:rPr>
        <w:t>Proportion of total water used (% – available also at 5 x 5 km scale)</w:t>
      </w:r>
    </w:p>
    <w:p>
      <w:pPr>
        <w:pStyle w:val="ListParagraph"/>
        <w:numPr>
          <w:ilvl w:val="0"/>
          <w:numId w:val="101"/>
        </w:numPr>
        <w:spacing w:after="120" w:line="240" w:lineRule="auto"/>
        <w:ind w:left="567" w:hanging="567"/>
        <w:rPr>
          <w:rFonts w:ascii="Times New Roman" w:hAnsi="Times New Roman"/>
          <w:noProof/>
          <w:sz w:val="24"/>
          <w:szCs w:val="24"/>
        </w:rPr>
      </w:pPr>
      <w:r>
        <w:rPr>
          <w:rFonts w:ascii="Times New Roman" w:hAnsi="Times New Roman"/>
          <w:noProof/>
          <w:sz w:val="24"/>
          <w:szCs w:val="24"/>
        </w:rPr>
        <w:t>Population using safely managed water services (rural, %)</w:t>
      </w:r>
    </w:p>
    <w:p>
      <w:pPr>
        <w:pStyle w:val="ListParagraph"/>
        <w:numPr>
          <w:ilvl w:val="0"/>
          <w:numId w:val="101"/>
        </w:numPr>
        <w:spacing w:after="120" w:line="240" w:lineRule="auto"/>
        <w:ind w:left="567" w:hanging="567"/>
        <w:rPr>
          <w:rFonts w:ascii="Times New Roman" w:hAnsi="Times New Roman"/>
          <w:noProof/>
          <w:sz w:val="24"/>
          <w:szCs w:val="24"/>
        </w:rPr>
      </w:pPr>
      <w:r>
        <w:rPr>
          <w:rFonts w:ascii="Times New Roman" w:hAnsi="Times New Roman"/>
          <w:noProof/>
          <w:sz w:val="24"/>
          <w:szCs w:val="24"/>
        </w:rPr>
        <w:t>Population using safely managed sanitation services (rural, %)</w:t>
      </w:r>
    </w:p>
    <w:p>
      <w:pPr>
        <w:pStyle w:val="ListParagraph"/>
        <w:numPr>
          <w:ilvl w:val="0"/>
          <w:numId w:val="101"/>
        </w:numPr>
        <w:spacing w:after="120" w:line="240" w:lineRule="auto"/>
        <w:ind w:left="567" w:hanging="567"/>
        <w:rPr>
          <w:rFonts w:ascii="Times New Roman" w:hAnsi="Times New Roman"/>
          <w:noProof/>
          <w:sz w:val="24"/>
          <w:szCs w:val="24"/>
        </w:rPr>
      </w:pPr>
      <w:r>
        <w:rPr>
          <w:rFonts w:ascii="Times New Roman" w:hAnsi="Times New Roman"/>
          <w:noProof/>
          <w:sz w:val="24"/>
          <w:szCs w:val="24"/>
        </w:rPr>
        <w:t>Amount of agricultural residues used for energy purpose (t)</w:t>
      </w:r>
    </w:p>
    <w:p>
      <w:pPr>
        <w:jc w:val="both"/>
        <w:rPr>
          <w:rFonts w:ascii="Times New Roman" w:hAnsi="Times New Roman"/>
          <w:noProof/>
          <w:sz w:val="24"/>
          <w:lang w:val="en-US"/>
        </w:rPr>
      </w:pPr>
      <w:r>
        <w:rPr>
          <w:rFonts w:ascii="Times New Roman" w:hAnsi="Times New Roman"/>
          <w:noProof/>
          <w:sz w:val="24"/>
          <w:lang w:val="en-US"/>
        </w:rPr>
        <w:t>The KPIs defined above have been put in relation with the eight operational objectives of the PRIMA initiative. The final aim has been to identify which KPI is more adequate to address and measure each single specific objective. The results of this coupling exercise are reported in Figure 7.1 here below:</w:t>
      </w:r>
    </w:p>
    <w:p>
      <w:pPr>
        <w:spacing w:after="100"/>
        <w:jc w:val="center"/>
        <w:rPr>
          <w:rFonts w:asciiTheme="majorHAnsi" w:hAnsiTheme="majorHAnsi"/>
          <w:noProof/>
          <w:lang w:val="en-US"/>
        </w:rPr>
      </w:pPr>
      <w:r>
        <w:rPr>
          <w:rFonts w:asciiTheme="majorHAnsi" w:hAnsiTheme="majorHAnsi"/>
          <w:noProof/>
          <w:lang w:val="en-US"/>
        </w:rPr>
        <w:drawing>
          <wp:inline distT="0" distB="0" distL="0" distR="0">
            <wp:extent cx="5418881" cy="4221126"/>
            <wp:effectExtent l="0" t="0" r="0" b="8255"/>
            <wp:docPr id="2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8173" cy="4228365"/>
                    </a:xfrm>
                    <a:prstGeom prst="rect">
                      <a:avLst/>
                    </a:prstGeom>
                    <a:noFill/>
                    <a:ln>
                      <a:noFill/>
                    </a:ln>
                  </pic:spPr>
                </pic:pic>
              </a:graphicData>
            </a:graphic>
          </wp:inline>
        </w:drawing>
      </w:r>
    </w:p>
    <w:p>
      <w:pPr>
        <w:spacing w:after="0" w:line="240" w:lineRule="auto"/>
        <w:rPr>
          <w:rFonts w:ascii="Times New Roman" w:hAnsi="Times New Roman"/>
          <w:b/>
          <w:noProof/>
          <w:sz w:val="20"/>
          <w:szCs w:val="20"/>
        </w:rPr>
      </w:pPr>
      <w:r>
        <w:rPr>
          <w:rFonts w:ascii="Times New Roman" w:hAnsi="Times New Roman"/>
          <w:b/>
          <w:noProof/>
          <w:sz w:val="20"/>
          <w:szCs w:val="20"/>
        </w:rPr>
        <w:t>Figure 7.1: Key Performance Indicators (KPIs) and PRIMA operational objectives</w:t>
      </w:r>
    </w:p>
    <w:p>
      <w:pPr>
        <w:rPr>
          <w:rFonts w:asciiTheme="majorHAnsi" w:hAnsiTheme="majorHAnsi"/>
          <w:b/>
          <w:noProof/>
        </w:rPr>
      </w:pPr>
    </w:p>
    <w:p>
      <w:pPr>
        <w:rPr>
          <w:rFonts w:asciiTheme="majorHAnsi" w:hAnsiTheme="majorHAnsi"/>
          <w:b/>
          <w:noProof/>
          <w:lang w:val="en-US"/>
        </w:rPr>
      </w:pPr>
    </w:p>
    <w:p>
      <w:pPr>
        <w:rPr>
          <w:rFonts w:asciiTheme="majorHAnsi" w:hAnsiTheme="majorHAnsi"/>
          <w:b/>
          <w:noProof/>
          <w:lang w:val="en-US"/>
        </w:rPr>
      </w:pPr>
    </w:p>
    <w:p>
      <w:pPr>
        <w:rPr>
          <w:rFonts w:asciiTheme="majorHAnsi" w:hAnsiTheme="majorHAnsi"/>
          <w:b/>
          <w:noProof/>
          <w:lang w:val="en-US"/>
        </w:rPr>
        <w:sectPr>
          <w:headerReference w:type="even" r:id="rId26"/>
          <w:headerReference w:type="default" r:id="rId27"/>
          <w:footerReference w:type="even" r:id="rId28"/>
          <w:footerReference w:type="default" r:id="rId29"/>
          <w:headerReference w:type="first" r:id="rId30"/>
          <w:footerReference w:type="first" r:id="rId31"/>
          <w:pgSz w:w="11901" w:h="16817"/>
          <w:pgMar w:top="1135" w:right="1134" w:bottom="1418" w:left="1134" w:header="709" w:footer="709" w:gutter="0"/>
          <w:cols w:space="708"/>
          <w:docGrid w:linePitch="360"/>
        </w:sectPr>
      </w:pPr>
    </w:p>
    <w:p>
      <w:pPr>
        <w:jc w:val="both"/>
        <w:rPr>
          <w:rFonts w:ascii="Times New Roman" w:hAnsi="Times New Roman"/>
          <w:noProof/>
          <w:sz w:val="24"/>
          <w:lang w:val="en-US"/>
        </w:rPr>
      </w:pPr>
      <w:r>
        <w:rPr>
          <w:rFonts w:ascii="Times New Roman" w:hAnsi="Times New Roman"/>
          <w:noProof/>
          <w:sz w:val="24"/>
          <w:lang w:val="en-US"/>
        </w:rPr>
        <w:t>The targets to be achieved for each operational objective of the PRIMA Joint Programme have been listed in Table 7.2, which also makes the link with the most relevant SDGs:</w:t>
      </w:r>
    </w:p>
    <w:p>
      <w:pPr>
        <w:jc w:val="both"/>
        <w:rPr>
          <w:rFonts w:ascii="Times New Roman" w:hAnsi="Times New Roman"/>
          <w:noProof/>
          <w:sz w:val="24"/>
          <w:lang w:val="en-US"/>
        </w:rPr>
      </w:pPr>
    </w:p>
    <w:tbl>
      <w:tblPr>
        <w:tblStyle w:val="MediumShading1-Accent11"/>
        <w:tblW w:w="0" w:type="auto"/>
        <w:tblLook w:val="04A0" w:firstRow="1" w:lastRow="0" w:firstColumn="1" w:lastColumn="0" w:noHBand="0" w:noVBand="1"/>
      </w:tblPr>
      <w:tblGrid>
        <w:gridCol w:w="3584"/>
        <w:gridCol w:w="5395"/>
        <w:gridCol w:w="804"/>
      </w:tblGrid>
      <w:tr>
        <w:trPr>
          <w:cnfStyle w:val="100000000000" w:firstRow="1" w:lastRow="0" w:firstColumn="0" w:lastColumn="0" w:oddVBand="0" w:evenVBand="0" w:oddHBand="0"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3584" w:type="dxa"/>
          </w:tcPr>
          <w:p>
            <w:pPr>
              <w:spacing w:after="0"/>
              <w:jc w:val="center"/>
              <w:rPr>
                <w:rFonts w:ascii="Times New Roman" w:hAnsi="Times New Roman"/>
                <w:b w:val="0"/>
                <w:noProof/>
                <w:lang w:val="en-US"/>
              </w:rPr>
            </w:pPr>
            <w:r>
              <w:rPr>
                <w:rFonts w:ascii="Times New Roman" w:hAnsi="Times New Roman"/>
                <w:noProof/>
                <w:lang w:val="en-US"/>
              </w:rPr>
              <w:t>PRIMA Operational objectives</w:t>
            </w:r>
          </w:p>
        </w:tc>
        <w:tc>
          <w:tcPr>
            <w:tcW w:w="5395" w:type="dxa"/>
          </w:tcPr>
          <w:p>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noProof/>
                <w:lang w:val="en-US"/>
              </w:rPr>
            </w:pPr>
            <w:r>
              <w:rPr>
                <w:rFonts w:ascii="Times New Roman" w:hAnsi="Times New Roman"/>
                <w:noProof/>
                <w:lang w:val="en-US"/>
              </w:rPr>
              <w:t>Targets to be achieved</w:t>
            </w:r>
          </w:p>
        </w:tc>
        <w:tc>
          <w:tcPr>
            <w:tcW w:w="804" w:type="dxa"/>
          </w:tcPr>
          <w:p>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noProof/>
                <w:lang w:val="en-US"/>
              </w:rPr>
            </w:pPr>
            <w:r>
              <w:rPr>
                <w:rFonts w:ascii="Times New Roman" w:hAnsi="Times New Roman"/>
                <w:b w:val="0"/>
                <w:noProof/>
                <w:lang w:val="en-US"/>
              </w:rPr>
              <w:t>SDG</w:t>
            </w:r>
          </w:p>
        </w:tc>
      </w:tr>
      <w:tr>
        <w:trPr>
          <w:cnfStyle w:val="000000100000" w:firstRow="0" w:lastRow="0" w:firstColumn="0" w:lastColumn="0" w:oddVBand="0" w:evenVBand="0" w:oddHBand="1" w:evenHBand="0" w:firstRowFirstColumn="0" w:firstRowLastColumn="0" w:lastRowFirstColumn="0" w:lastRowLastColumn="0"/>
          <w:trHeight w:val="1967"/>
        </w:trPr>
        <w:tc>
          <w:tcPr>
            <w:cnfStyle w:val="001000000000" w:firstRow="0" w:lastRow="0" w:firstColumn="1" w:lastColumn="0" w:oddVBand="0" w:evenVBand="0" w:oddHBand="0" w:evenHBand="0" w:firstRowFirstColumn="0" w:firstRowLastColumn="0" w:lastRowFirstColumn="0" w:lastRowLastColumn="0"/>
            <w:tcW w:w="3584" w:type="dxa"/>
          </w:tcPr>
          <w:p>
            <w:pPr>
              <w:jc w:val="both"/>
              <w:rPr>
                <w:rFonts w:ascii="Times New Roman" w:hAnsi="Times New Roman"/>
                <w:noProof/>
                <w:sz w:val="20"/>
                <w:szCs w:val="20"/>
                <w:lang w:val="en-US"/>
              </w:rPr>
            </w:pPr>
            <w:r>
              <w:rPr>
                <w:rFonts w:ascii="Times New Roman" w:hAnsi="Times New Roman"/>
                <w:noProof/>
                <w:sz w:val="20"/>
                <w:szCs w:val="20"/>
                <w:lang w:val="en-US"/>
              </w:rPr>
              <w:t>1. To develop smart and sustainable farming systems to maintain natural resources and to increase production efficiency</w:t>
            </w:r>
          </w:p>
        </w:tc>
        <w:tc>
          <w:tcPr>
            <w:tcW w:w="5395" w:type="dxa"/>
          </w:tcPr>
          <w:p>
            <w:pPr>
              <w:pStyle w:val="ListParagraph"/>
              <w:numPr>
                <w:ilvl w:val="0"/>
                <w:numId w:val="62"/>
              </w:numPr>
              <w:spacing w:after="0" w:line="240" w:lineRule="auto"/>
              <w:ind w:left="220" w:hanging="284"/>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US"/>
              </w:rPr>
            </w:pPr>
            <w:r>
              <w:rPr>
                <w:rFonts w:ascii="Times New Roman" w:hAnsi="Times New Roman"/>
                <w:noProof/>
                <w:sz w:val="20"/>
                <w:szCs w:val="20"/>
                <w:lang w:val="en-US"/>
              </w:rPr>
              <w:t>Crop nitrogen use efficiency:  &gt;60%</w:t>
            </w:r>
          </w:p>
          <w:p>
            <w:pPr>
              <w:pStyle w:val="ListParagraph"/>
              <w:numPr>
                <w:ilvl w:val="0"/>
                <w:numId w:val="62"/>
              </w:numPr>
              <w:spacing w:after="0" w:line="240" w:lineRule="auto"/>
              <w:ind w:left="220" w:hanging="284"/>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US"/>
              </w:rPr>
            </w:pPr>
            <w:r>
              <w:rPr>
                <w:rFonts w:ascii="Times New Roman" w:hAnsi="Times New Roman"/>
                <w:noProof/>
                <w:sz w:val="20"/>
                <w:szCs w:val="20"/>
                <w:lang w:val="en-US"/>
              </w:rPr>
              <w:t xml:space="preserve">(Target context-specific, primarily depending on climate, yield, current nitrogen use, soil quality, irrigation, and other crop management practices. This indicator needs to be interpreted in relation to other indicators, such as the crop yield gap indicator and the water productivity indicator) </w:t>
            </w:r>
          </w:p>
          <w:p>
            <w:pPr>
              <w:pStyle w:val="ListParagraph"/>
              <w:numPr>
                <w:ilvl w:val="0"/>
                <w:numId w:val="62"/>
              </w:numPr>
              <w:spacing w:after="0" w:line="240" w:lineRule="auto"/>
              <w:ind w:left="220" w:hanging="284"/>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 xml:space="preserve">Mineral Nitrogen application: &lt; 50 kg/(ha year) </w:t>
            </w:r>
          </w:p>
        </w:tc>
        <w:tc>
          <w:tcPr>
            <w:tcW w:w="804" w:type="dxa"/>
          </w:tcPr>
          <w:p>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US"/>
              </w:rPr>
            </w:pPr>
            <w:r>
              <w:rPr>
                <w:rFonts w:ascii="Times New Roman" w:hAnsi="Times New Roman"/>
                <w:noProof/>
                <w:sz w:val="20"/>
                <w:szCs w:val="20"/>
                <w:lang w:val="en-US"/>
              </w:rPr>
              <w:t>2</w:t>
            </w:r>
          </w:p>
        </w:tc>
      </w:tr>
      <w:tr>
        <w:trPr>
          <w:cnfStyle w:val="000000010000" w:firstRow="0" w:lastRow="0" w:firstColumn="0" w:lastColumn="0" w:oddVBand="0" w:evenVBand="0" w:oddHBand="0" w:evenHBand="1"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3584" w:type="dxa"/>
          </w:tcPr>
          <w:p>
            <w:pPr>
              <w:jc w:val="both"/>
              <w:rPr>
                <w:rFonts w:ascii="Times New Roman" w:hAnsi="Times New Roman"/>
                <w:noProof/>
                <w:sz w:val="20"/>
                <w:szCs w:val="20"/>
                <w:lang w:val="en-US"/>
              </w:rPr>
            </w:pPr>
            <w:r>
              <w:rPr>
                <w:rFonts w:ascii="Times New Roman" w:hAnsi="Times New Roman"/>
                <w:noProof/>
                <w:sz w:val="20"/>
                <w:szCs w:val="20"/>
                <w:lang w:val="en-US"/>
              </w:rPr>
              <w:t xml:space="preserve">2. To test and promote adoption of context-tailored water-saving solutions, in particular in agriculture. </w:t>
            </w:r>
          </w:p>
        </w:tc>
        <w:tc>
          <w:tcPr>
            <w:tcW w:w="5395" w:type="dxa"/>
          </w:tcPr>
          <w:p>
            <w:pPr>
              <w:pStyle w:val="ListParagraph"/>
              <w:numPr>
                <w:ilvl w:val="0"/>
                <w:numId w:val="62"/>
              </w:numPr>
              <w:spacing w:after="0" w:line="240" w:lineRule="auto"/>
              <w:ind w:left="220" w:hanging="284"/>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lang w:val="en-US"/>
              </w:rPr>
            </w:pPr>
            <w:r>
              <w:rPr>
                <w:rFonts w:ascii="Times New Roman" w:hAnsi="Times New Roman"/>
                <w:noProof/>
                <w:sz w:val="20"/>
                <w:szCs w:val="20"/>
                <w:lang w:val="en-US"/>
              </w:rPr>
              <w:t xml:space="preserve">Attainable water limited yield potential on a sustainable basis: at least 80% </w:t>
            </w:r>
          </w:p>
        </w:tc>
        <w:tc>
          <w:tcPr>
            <w:tcW w:w="804" w:type="dxa"/>
          </w:tcPr>
          <w:p>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lang w:val="en-US"/>
              </w:rPr>
            </w:pPr>
            <w:r>
              <w:rPr>
                <w:rFonts w:ascii="Times New Roman" w:hAnsi="Times New Roman"/>
                <w:noProof/>
                <w:sz w:val="20"/>
                <w:szCs w:val="20"/>
                <w:lang w:val="en-US"/>
              </w:rPr>
              <w:t>6</w:t>
            </w:r>
          </w:p>
          <w:p>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lang w:val="en-US"/>
              </w:rPr>
            </w:pPr>
            <w:r>
              <w:rPr>
                <w:rFonts w:ascii="Times New Roman" w:hAnsi="Times New Roman"/>
                <w:noProof/>
                <w:sz w:val="20"/>
                <w:szCs w:val="20"/>
                <w:lang w:val="en-US"/>
              </w:rPr>
              <w:t>12</w:t>
            </w:r>
          </w:p>
        </w:tc>
      </w:tr>
      <w:tr>
        <w:trPr>
          <w:cnfStyle w:val="000000100000" w:firstRow="0" w:lastRow="0" w:firstColumn="0" w:lastColumn="0" w:oddVBand="0" w:evenVBand="0" w:oddHBand="1" w:evenHBand="0" w:firstRowFirstColumn="0" w:firstRowLastColumn="0" w:lastRowFirstColumn="0" w:lastRowLastColumn="0"/>
          <w:trHeight w:val="1577"/>
        </w:trPr>
        <w:tc>
          <w:tcPr>
            <w:cnfStyle w:val="001000000000" w:firstRow="0" w:lastRow="0" w:firstColumn="1" w:lastColumn="0" w:oddVBand="0" w:evenVBand="0" w:oddHBand="0" w:evenHBand="0" w:firstRowFirstColumn="0" w:firstRowLastColumn="0" w:lastRowFirstColumn="0" w:lastRowLastColumn="0"/>
            <w:tcW w:w="3584" w:type="dxa"/>
          </w:tcPr>
          <w:p>
            <w:pPr>
              <w:jc w:val="both"/>
              <w:rPr>
                <w:rFonts w:ascii="Times New Roman" w:hAnsi="Times New Roman"/>
                <w:noProof/>
                <w:sz w:val="20"/>
                <w:szCs w:val="20"/>
                <w:lang w:val="en-US"/>
              </w:rPr>
            </w:pPr>
            <w:r>
              <w:rPr>
                <w:rFonts w:ascii="Times New Roman" w:hAnsi="Times New Roman"/>
                <w:noProof/>
                <w:sz w:val="20"/>
                <w:szCs w:val="20"/>
                <w:lang w:val="en-US"/>
              </w:rPr>
              <w:t xml:space="preserve">3. To innovate in the Mediterranean food products based on Mediterranean diet heritage and to enhance the links between nutrition and health </w:t>
            </w:r>
          </w:p>
        </w:tc>
        <w:tc>
          <w:tcPr>
            <w:tcW w:w="5395" w:type="dxa"/>
          </w:tcPr>
          <w:p>
            <w:pPr>
              <w:pStyle w:val="ListParagraph"/>
              <w:numPr>
                <w:ilvl w:val="0"/>
                <w:numId w:val="62"/>
              </w:numPr>
              <w:spacing w:after="0" w:line="240" w:lineRule="auto"/>
              <w:ind w:left="220" w:hanging="284"/>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US"/>
              </w:rPr>
            </w:pPr>
            <w:r>
              <w:rPr>
                <w:rFonts w:ascii="Times New Roman" w:hAnsi="Times New Roman"/>
                <w:noProof/>
                <w:sz w:val="20"/>
                <w:szCs w:val="20"/>
                <w:lang w:val="en-US"/>
              </w:rPr>
              <w:t>Population Overweight: All the MCs below 50% of overweight population</w:t>
            </w:r>
          </w:p>
          <w:p>
            <w:pPr>
              <w:pStyle w:val="ListParagraph"/>
              <w:numPr>
                <w:ilvl w:val="0"/>
                <w:numId w:val="62"/>
              </w:numPr>
              <w:spacing w:after="0" w:line="240" w:lineRule="auto"/>
              <w:ind w:left="220" w:hanging="284"/>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US"/>
              </w:rPr>
            </w:pPr>
            <w:r>
              <w:rPr>
                <w:rFonts w:ascii="Times New Roman" w:hAnsi="Times New Roman"/>
                <w:noProof/>
                <w:sz w:val="20"/>
                <w:szCs w:val="20"/>
                <w:lang w:val="en-US"/>
              </w:rPr>
              <w:t>In each country implement a system for the valorization of traceability of typical food and origin of products and at least 5% of food products are traceable or qualitatively certified in all MCs.</w:t>
            </w:r>
          </w:p>
        </w:tc>
        <w:tc>
          <w:tcPr>
            <w:tcW w:w="804" w:type="dxa"/>
          </w:tcPr>
          <w:p>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US"/>
              </w:rPr>
            </w:pPr>
            <w:r>
              <w:rPr>
                <w:rFonts w:ascii="Times New Roman" w:hAnsi="Times New Roman"/>
                <w:noProof/>
                <w:sz w:val="20"/>
                <w:szCs w:val="20"/>
                <w:lang w:val="en-US"/>
              </w:rPr>
              <w:t>3</w:t>
            </w:r>
          </w:p>
          <w:p>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US"/>
              </w:rPr>
            </w:pPr>
            <w:r>
              <w:rPr>
                <w:rFonts w:ascii="Times New Roman" w:hAnsi="Times New Roman"/>
                <w:noProof/>
                <w:sz w:val="20"/>
                <w:szCs w:val="20"/>
                <w:lang w:val="en-US"/>
              </w:rPr>
              <w:t>12</w:t>
            </w:r>
          </w:p>
        </w:tc>
      </w:tr>
      <w:tr>
        <w:trPr>
          <w:cnfStyle w:val="000000010000" w:firstRow="0" w:lastRow="0" w:firstColumn="0" w:lastColumn="0" w:oddVBand="0" w:evenVBand="0" w:oddHBand="0" w:evenHBand="1"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3584" w:type="dxa"/>
          </w:tcPr>
          <w:p>
            <w:pPr>
              <w:jc w:val="both"/>
              <w:rPr>
                <w:rFonts w:ascii="Times New Roman" w:hAnsi="Times New Roman"/>
                <w:noProof/>
                <w:sz w:val="20"/>
                <w:szCs w:val="20"/>
                <w:lang w:val="en-US"/>
              </w:rPr>
            </w:pPr>
            <w:r>
              <w:rPr>
                <w:rFonts w:ascii="Times New Roman" w:hAnsi="Times New Roman"/>
                <w:noProof/>
                <w:sz w:val="20"/>
                <w:szCs w:val="20"/>
                <w:lang w:val="en-US"/>
              </w:rPr>
              <w:t xml:space="preserve">4. To find context-adapted solutions to increase food and water chain efficiency, and reduce losses and wastes. </w:t>
            </w:r>
          </w:p>
        </w:tc>
        <w:tc>
          <w:tcPr>
            <w:tcW w:w="5395" w:type="dxa"/>
          </w:tcPr>
          <w:p>
            <w:pPr>
              <w:pStyle w:val="ListParagraph"/>
              <w:numPr>
                <w:ilvl w:val="0"/>
                <w:numId w:val="62"/>
              </w:numPr>
              <w:spacing w:after="0" w:line="240" w:lineRule="auto"/>
              <w:ind w:left="220" w:hanging="284"/>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lang w:val="en-US"/>
              </w:rPr>
            </w:pPr>
            <w:r>
              <w:rPr>
                <w:rFonts w:ascii="Times New Roman" w:hAnsi="Times New Roman"/>
                <w:noProof/>
                <w:sz w:val="20"/>
                <w:szCs w:val="20"/>
                <w:lang w:val="en-US"/>
              </w:rPr>
              <w:t>Crop water productivity: for MPCs and ACs ≥ 1 kg/m3; for MSs &gt; 1 kg/m3 and at least maintaining the present level.</w:t>
            </w:r>
          </w:p>
          <w:p>
            <w:pPr>
              <w:pStyle w:val="ListParagraph"/>
              <w:numPr>
                <w:ilvl w:val="0"/>
                <w:numId w:val="62"/>
              </w:numPr>
              <w:spacing w:after="0" w:line="240" w:lineRule="auto"/>
              <w:ind w:left="220" w:hanging="284"/>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lang w:val="en-US"/>
              </w:rPr>
            </w:pPr>
            <w:r>
              <w:rPr>
                <w:rFonts w:ascii="Times New Roman" w:hAnsi="Times New Roman"/>
                <w:noProof/>
                <w:sz w:val="20"/>
                <w:szCs w:val="20"/>
                <w:lang w:val="en-US"/>
              </w:rPr>
              <w:t xml:space="preserve">Amount of Agricultural residues used for energy and/or value added products:  at least 10% of waste along the food chain </w:t>
            </w:r>
          </w:p>
        </w:tc>
        <w:tc>
          <w:tcPr>
            <w:tcW w:w="804" w:type="dxa"/>
          </w:tcPr>
          <w:p>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lang w:val="en-US"/>
              </w:rPr>
            </w:pPr>
            <w:r>
              <w:rPr>
                <w:rFonts w:ascii="Times New Roman" w:hAnsi="Times New Roman"/>
                <w:noProof/>
                <w:sz w:val="20"/>
                <w:szCs w:val="20"/>
                <w:lang w:val="en-US"/>
              </w:rPr>
              <w:t>2</w:t>
            </w:r>
          </w:p>
          <w:p>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lang w:val="en-US"/>
              </w:rPr>
            </w:pPr>
            <w:r>
              <w:rPr>
                <w:rFonts w:ascii="Times New Roman" w:hAnsi="Times New Roman"/>
                <w:noProof/>
                <w:sz w:val="20"/>
                <w:szCs w:val="20"/>
                <w:lang w:val="en-US"/>
              </w:rPr>
              <w:t>12</w:t>
            </w:r>
          </w:p>
        </w:tc>
      </w:tr>
      <w:tr>
        <w:trPr>
          <w:cnfStyle w:val="000000100000" w:firstRow="0" w:lastRow="0" w:firstColumn="0" w:lastColumn="0" w:oddVBand="0" w:evenVBand="0" w:oddHBand="1" w:evenHBand="0" w:firstRowFirstColumn="0" w:firstRowLastColumn="0" w:lastRowFirstColumn="0" w:lastRowLastColumn="0"/>
          <w:trHeight w:val="1736"/>
        </w:trPr>
        <w:tc>
          <w:tcPr>
            <w:cnfStyle w:val="001000000000" w:firstRow="0" w:lastRow="0" w:firstColumn="1" w:lastColumn="0" w:oddVBand="0" w:evenVBand="0" w:oddHBand="0" w:evenHBand="0" w:firstRowFirstColumn="0" w:firstRowLastColumn="0" w:lastRowFirstColumn="0" w:lastRowLastColumn="0"/>
            <w:tcW w:w="3584" w:type="dxa"/>
          </w:tcPr>
          <w:p>
            <w:pPr>
              <w:jc w:val="both"/>
              <w:rPr>
                <w:rFonts w:ascii="Times New Roman" w:hAnsi="Times New Roman"/>
                <w:noProof/>
                <w:sz w:val="20"/>
                <w:szCs w:val="20"/>
                <w:lang w:val="en-US"/>
              </w:rPr>
            </w:pPr>
            <w:r>
              <w:rPr>
                <w:rFonts w:ascii="Times New Roman" w:hAnsi="Times New Roman"/>
                <w:noProof/>
                <w:sz w:val="20"/>
                <w:szCs w:val="20"/>
                <w:lang w:val="en-US"/>
              </w:rPr>
              <w:t xml:space="preserve">5. To design and promote the adoption of novel approaches to reduce the impact of pests and pathogens in farming systems (agriculture, aquaculture and fisheries), including their consequences on human health </w:t>
            </w:r>
          </w:p>
        </w:tc>
        <w:tc>
          <w:tcPr>
            <w:tcW w:w="5395" w:type="dxa"/>
          </w:tcPr>
          <w:p>
            <w:pPr>
              <w:pStyle w:val="ListParagraph"/>
              <w:numPr>
                <w:ilvl w:val="0"/>
                <w:numId w:val="62"/>
              </w:numPr>
              <w:spacing w:after="0" w:line="240" w:lineRule="auto"/>
              <w:ind w:left="220" w:hanging="284"/>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US"/>
              </w:rPr>
            </w:pPr>
            <w:r>
              <w:rPr>
                <w:rFonts w:ascii="Times New Roman" w:hAnsi="Times New Roman"/>
                <w:noProof/>
                <w:sz w:val="20"/>
                <w:szCs w:val="20"/>
                <w:lang w:val="en-US"/>
              </w:rPr>
              <w:t>To diminish pesticide use by 20% in all MCs</w:t>
            </w:r>
          </w:p>
          <w:p>
            <w:pPr>
              <w:pStyle w:val="ListParagraph"/>
              <w:numPr>
                <w:ilvl w:val="0"/>
                <w:numId w:val="62"/>
              </w:numPr>
              <w:spacing w:after="0" w:line="240" w:lineRule="auto"/>
              <w:ind w:left="220" w:hanging="284"/>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US"/>
              </w:rPr>
            </w:pPr>
            <w:r>
              <w:rPr>
                <w:rFonts w:ascii="Times New Roman" w:hAnsi="Times New Roman"/>
                <w:noProof/>
                <w:sz w:val="20"/>
                <w:szCs w:val="20"/>
                <w:lang w:val="en-US"/>
              </w:rPr>
              <w:t>Reduction of the 50% of pest outbreaks</w:t>
            </w:r>
          </w:p>
          <w:p>
            <w:pPr>
              <w:pStyle w:val="ListParagraph"/>
              <w:numPr>
                <w:ilvl w:val="0"/>
                <w:numId w:val="62"/>
              </w:numPr>
              <w:spacing w:after="0" w:line="240" w:lineRule="auto"/>
              <w:ind w:left="220" w:hanging="284"/>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lang w:val="en-US"/>
              </w:rPr>
              <w:t>Reduction of pesticide residues in terrestrial and aquatic ecosystems, drinking water and the food chain by 30%</w:t>
            </w:r>
          </w:p>
        </w:tc>
        <w:tc>
          <w:tcPr>
            <w:tcW w:w="804" w:type="dxa"/>
          </w:tcPr>
          <w:p>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US"/>
              </w:rPr>
            </w:pPr>
            <w:r>
              <w:rPr>
                <w:rFonts w:ascii="Times New Roman" w:hAnsi="Times New Roman"/>
                <w:noProof/>
                <w:sz w:val="20"/>
                <w:szCs w:val="20"/>
                <w:lang w:val="en-US"/>
              </w:rPr>
              <w:t>2</w:t>
            </w:r>
          </w:p>
        </w:tc>
      </w:tr>
      <w:tr>
        <w:trPr>
          <w:cnfStyle w:val="000000010000" w:firstRow="0" w:lastRow="0" w:firstColumn="0" w:lastColumn="0" w:oddVBand="0" w:evenVBand="0" w:oddHBand="0" w:evenHBand="1" w:firstRowFirstColumn="0" w:firstRowLastColumn="0" w:lastRowFirstColumn="0" w:lastRowLastColumn="0"/>
          <w:trHeight w:val="1317"/>
        </w:trPr>
        <w:tc>
          <w:tcPr>
            <w:cnfStyle w:val="001000000000" w:firstRow="0" w:lastRow="0" w:firstColumn="1" w:lastColumn="0" w:oddVBand="0" w:evenVBand="0" w:oddHBand="0" w:evenHBand="0" w:firstRowFirstColumn="0" w:firstRowLastColumn="0" w:lastRowFirstColumn="0" w:lastRowLastColumn="0"/>
            <w:tcW w:w="3584" w:type="dxa"/>
          </w:tcPr>
          <w:p>
            <w:pPr>
              <w:jc w:val="both"/>
              <w:rPr>
                <w:rFonts w:ascii="Times New Roman" w:hAnsi="Times New Roman"/>
                <w:noProof/>
                <w:sz w:val="20"/>
                <w:szCs w:val="20"/>
                <w:lang w:val="en-US"/>
              </w:rPr>
            </w:pPr>
            <w:r>
              <w:rPr>
                <w:rFonts w:ascii="Times New Roman" w:hAnsi="Times New Roman"/>
                <w:noProof/>
                <w:sz w:val="20"/>
                <w:szCs w:val="20"/>
                <w:lang w:val="en-US"/>
              </w:rPr>
              <w:t xml:space="preserve">6. To conceive and implement innovative, quality oriented models in agro-business as potential sources of new jobs and economic growth </w:t>
            </w:r>
          </w:p>
        </w:tc>
        <w:tc>
          <w:tcPr>
            <w:tcW w:w="5395" w:type="dxa"/>
          </w:tcPr>
          <w:p>
            <w:pPr>
              <w:pStyle w:val="ListParagraph"/>
              <w:numPr>
                <w:ilvl w:val="0"/>
                <w:numId w:val="62"/>
              </w:numPr>
              <w:spacing w:after="0" w:line="240" w:lineRule="auto"/>
              <w:ind w:left="220" w:hanging="284"/>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lang w:val="en-US"/>
              </w:rPr>
            </w:pPr>
            <w:r>
              <w:rPr>
                <w:rFonts w:ascii="Times New Roman" w:hAnsi="Times New Roman"/>
                <w:noProof/>
                <w:sz w:val="20"/>
                <w:szCs w:val="20"/>
                <w:lang w:val="en-US"/>
              </w:rPr>
              <w:t>Agricultural Value Added per worker:  For those countries with AVApW&lt;5000 US$ the target is AVApW&gt; 5000 US$; the other countries should at least maintain the same number of jobs and the same AVApW.</w:t>
            </w:r>
          </w:p>
        </w:tc>
        <w:tc>
          <w:tcPr>
            <w:tcW w:w="804" w:type="dxa"/>
          </w:tcPr>
          <w:p>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lang w:val="en-US"/>
              </w:rPr>
            </w:pPr>
            <w:r>
              <w:rPr>
                <w:rFonts w:ascii="Times New Roman" w:hAnsi="Times New Roman"/>
                <w:noProof/>
                <w:sz w:val="20"/>
                <w:szCs w:val="20"/>
                <w:lang w:val="en-US"/>
              </w:rPr>
              <w:t>8</w:t>
            </w:r>
          </w:p>
          <w:p>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lang w:val="en-US"/>
              </w:rPr>
            </w:pPr>
            <w:r>
              <w:rPr>
                <w:rFonts w:ascii="Times New Roman" w:hAnsi="Times New Roman"/>
                <w:noProof/>
                <w:sz w:val="20"/>
                <w:szCs w:val="20"/>
                <w:lang w:val="en-US"/>
              </w:rPr>
              <w:t>12</w:t>
            </w:r>
          </w:p>
        </w:tc>
      </w:tr>
      <w:tr>
        <w:trPr>
          <w:cnfStyle w:val="000000100000" w:firstRow="0" w:lastRow="0" w:firstColumn="0" w:lastColumn="0" w:oddVBand="0" w:evenVBand="0" w:oddHBand="1" w:evenHBand="0" w:firstRowFirstColumn="0" w:firstRowLastColumn="0" w:lastRowFirstColumn="0" w:lastRowLastColumn="0"/>
          <w:trHeight w:val="1236"/>
        </w:trPr>
        <w:tc>
          <w:tcPr>
            <w:cnfStyle w:val="001000000000" w:firstRow="0" w:lastRow="0" w:firstColumn="1" w:lastColumn="0" w:oddVBand="0" w:evenVBand="0" w:oddHBand="0" w:evenHBand="0" w:firstRowFirstColumn="0" w:firstRowLastColumn="0" w:lastRowFirstColumn="0" w:lastRowLastColumn="0"/>
            <w:tcW w:w="3584" w:type="dxa"/>
          </w:tcPr>
          <w:p>
            <w:pPr>
              <w:jc w:val="both"/>
              <w:rPr>
                <w:rFonts w:ascii="Times New Roman" w:hAnsi="Times New Roman"/>
                <w:noProof/>
                <w:sz w:val="20"/>
                <w:szCs w:val="20"/>
                <w:lang w:val="en-US"/>
              </w:rPr>
            </w:pPr>
            <w:r>
              <w:rPr>
                <w:rFonts w:ascii="Times New Roman" w:hAnsi="Times New Roman"/>
                <w:noProof/>
                <w:sz w:val="20"/>
                <w:szCs w:val="20"/>
                <w:lang w:val="en-US"/>
              </w:rPr>
              <w:t xml:space="preserve">7. To improve sustainability of land and water use in arid and semi-arid areas </w:t>
            </w:r>
          </w:p>
        </w:tc>
        <w:tc>
          <w:tcPr>
            <w:tcW w:w="5395" w:type="dxa"/>
          </w:tcPr>
          <w:p>
            <w:pPr>
              <w:pStyle w:val="ListParagraph"/>
              <w:numPr>
                <w:ilvl w:val="0"/>
                <w:numId w:val="62"/>
              </w:numPr>
              <w:spacing w:after="0" w:line="240" w:lineRule="auto"/>
              <w:ind w:left="220" w:hanging="284"/>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US"/>
              </w:rPr>
            </w:pPr>
            <w:r>
              <w:rPr>
                <w:rFonts w:ascii="Times New Roman" w:hAnsi="Times New Roman"/>
                <w:noProof/>
                <w:sz w:val="20"/>
                <w:szCs w:val="20"/>
                <w:lang w:val="en-US"/>
              </w:rPr>
              <w:t>Population using safely managed water and sanitation services in rural areas: &gt;90% for all MCs and at least maintaining the present situation.</w:t>
            </w:r>
          </w:p>
          <w:p>
            <w:pPr>
              <w:pStyle w:val="ListParagraph"/>
              <w:numPr>
                <w:ilvl w:val="0"/>
                <w:numId w:val="62"/>
              </w:numPr>
              <w:spacing w:after="0" w:line="240" w:lineRule="auto"/>
              <w:ind w:left="220" w:hanging="284"/>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US"/>
              </w:rPr>
            </w:pPr>
            <w:r>
              <w:rPr>
                <w:rFonts w:ascii="Times New Roman" w:hAnsi="Times New Roman"/>
                <w:noProof/>
                <w:sz w:val="20"/>
                <w:szCs w:val="20"/>
                <w:lang w:val="en-US"/>
              </w:rPr>
              <w:t>Do not diminish the percentage of forested areas in each country</w:t>
            </w:r>
          </w:p>
        </w:tc>
        <w:tc>
          <w:tcPr>
            <w:tcW w:w="804" w:type="dxa"/>
          </w:tcPr>
          <w:p>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US"/>
              </w:rPr>
            </w:pPr>
            <w:r>
              <w:rPr>
                <w:rFonts w:ascii="Times New Roman" w:hAnsi="Times New Roman"/>
                <w:noProof/>
                <w:sz w:val="20"/>
                <w:szCs w:val="20"/>
                <w:lang w:val="en-US"/>
              </w:rPr>
              <w:t>15</w:t>
            </w:r>
          </w:p>
        </w:tc>
      </w:tr>
      <w:tr>
        <w:trPr>
          <w:cnfStyle w:val="000000010000" w:firstRow="0" w:lastRow="0" w:firstColumn="0" w:lastColumn="0" w:oddVBand="0" w:evenVBand="0" w:oddHBand="0" w:evenHBand="1" w:firstRowFirstColumn="0" w:firstRowLastColumn="0" w:lastRowFirstColumn="0" w:lastRowLastColumn="0"/>
          <w:trHeight w:val="1301"/>
        </w:trPr>
        <w:tc>
          <w:tcPr>
            <w:cnfStyle w:val="001000000000" w:firstRow="0" w:lastRow="0" w:firstColumn="1" w:lastColumn="0" w:oddVBand="0" w:evenVBand="0" w:oddHBand="0" w:evenHBand="0" w:firstRowFirstColumn="0" w:firstRowLastColumn="0" w:lastRowFirstColumn="0" w:lastRowLastColumn="0"/>
            <w:tcW w:w="3584" w:type="dxa"/>
          </w:tcPr>
          <w:p>
            <w:pPr>
              <w:jc w:val="both"/>
              <w:rPr>
                <w:rFonts w:ascii="Times New Roman" w:hAnsi="Times New Roman"/>
                <w:noProof/>
                <w:sz w:val="20"/>
                <w:szCs w:val="20"/>
                <w:lang w:val="en-US"/>
              </w:rPr>
            </w:pPr>
            <w:r>
              <w:rPr>
                <w:rFonts w:ascii="Times New Roman" w:hAnsi="Times New Roman"/>
                <w:noProof/>
                <w:sz w:val="20"/>
                <w:szCs w:val="20"/>
                <w:lang w:val="en-US"/>
              </w:rPr>
              <w:t xml:space="preserve">8. </w:t>
            </w:r>
            <w:r>
              <w:rPr>
                <w:rFonts w:ascii="Times New Roman" w:hAnsi="Times New Roman"/>
                <w:noProof/>
                <w:sz w:val="20"/>
                <w:szCs w:val="20"/>
              </w:rPr>
              <w:t>To elaborate and stimulate adoption of new models for the governance of water management systems</w:t>
            </w:r>
          </w:p>
        </w:tc>
        <w:tc>
          <w:tcPr>
            <w:tcW w:w="5395" w:type="dxa"/>
          </w:tcPr>
          <w:p>
            <w:pPr>
              <w:pStyle w:val="ListParagraph"/>
              <w:numPr>
                <w:ilvl w:val="0"/>
                <w:numId w:val="62"/>
              </w:numPr>
              <w:spacing w:after="0" w:line="240" w:lineRule="auto"/>
              <w:ind w:left="220" w:hanging="284"/>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lang w:val="en-US"/>
              </w:rPr>
            </w:pPr>
            <w:r>
              <w:rPr>
                <w:rFonts w:ascii="Times New Roman" w:hAnsi="Times New Roman"/>
                <w:noProof/>
                <w:sz w:val="20"/>
                <w:szCs w:val="20"/>
                <w:lang w:val="en-US"/>
              </w:rPr>
              <w:t xml:space="preserve">Adoption of a national database for water footprint in all MCs </w:t>
            </w:r>
          </w:p>
          <w:p>
            <w:pPr>
              <w:pStyle w:val="ListParagraph"/>
              <w:numPr>
                <w:ilvl w:val="0"/>
                <w:numId w:val="62"/>
              </w:numPr>
              <w:spacing w:after="0" w:line="240" w:lineRule="auto"/>
              <w:ind w:left="220" w:hanging="284"/>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lang w:val="en-US"/>
              </w:rPr>
            </w:pPr>
            <w:r>
              <w:rPr>
                <w:rFonts w:ascii="Times New Roman" w:hAnsi="Times New Roman"/>
                <w:noProof/>
                <w:sz w:val="20"/>
                <w:szCs w:val="20"/>
                <w:lang w:val="en-US"/>
              </w:rPr>
              <w:t>Signature of a Euro-Mediterranean trans-national declaration on water management in food production to be adopted in at least 10 MCs</w:t>
            </w:r>
          </w:p>
        </w:tc>
        <w:tc>
          <w:tcPr>
            <w:tcW w:w="804" w:type="dxa"/>
          </w:tcPr>
          <w:p>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lang w:val="en-US"/>
              </w:rPr>
            </w:pPr>
            <w:r>
              <w:rPr>
                <w:rFonts w:ascii="Times New Roman" w:hAnsi="Times New Roman"/>
                <w:noProof/>
                <w:sz w:val="20"/>
                <w:szCs w:val="20"/>
                <w:lang w:val="en-US"/>
              </w:rPr>
              <w:t>6</w:t>
            </w:r>
          </w:p>
        </w:tc>
      </w:tr>
    </w:tbl>
    <w:p>
      <w:pPr>
        <w:tabs>
          <w:tab w:val="left" w:pos="1330"/>
        </w:tabs>
        <w:spacing w:after="120" w:line="240" w:lineRule="auto"/>
        <w:ind w:hanging="142"/>
        <w:jc w:val="both"/>
        <w:rPr>
          <w:rFonts w:ascii="Times New Roman" w:hAnsi="Times New Roman"/>
          <w:noProof/>
          <w:sz w:val="18"/>
          <w:szCs w:val="18"/>
          <w:lang w:val="en-US"/>
        </w:rPr>
      </w:pPr>
      <w:r>
        <w:rPr>
          <w:rFonts w:ascii="Times New Roman" w:hAnsi="Times New Roman"/>
          <w:noProof/>
          <w:sz w:val="18"/>
          <w:szCs w:val="18"/>
          <w:lang w:val="en-US"/>
        </w:rPr>
        <w:t>Abbreviations: AC=Associated Country; MC=Mediterranean Country; MPC=Mediterranean Partner Country; MS=EU Member State.</w:t>
      </w:r>
    </w:p>
    <w:p>
      <w:pPr>
        <w:spacing w:after="0" w:line="240" w:lineRule="auto"/>
        <w:rPr>
          <w:rFonts w:ascii="Times New Roman" w:hAnsi="Times New Roman"/>
          <w:b/>
          <w:noProof/>
          <w:sz w:val="20"/>
          <w:szCs w:val="20"/>
        </w:rPr>
      </w:pPr>
      <w:r>
        <w:rPr>
          <w:rFonts w:ascii="Times New Roman" w:hAnsi="Times New Roman"/>
          <w:b/>
          <w:noProof/>
          <w:sz w:val="20"/>
          <w:szCs w:val="20"/>
        </w:rPr>
        <w:t xml:space="preserve">Table 7.2: PRIMA operational objectives, targets to be achieved and SDGs </w:t>
      </w:r>
    </w:p>
    <w:p>
      <w:pPr>
        <w:pStyle w:val="Heading1"/>
        <w:numPr>
          <w:ilvl w:val="2"/>
          <w:numId w:val="7"/>
        </w:numPr>
        <w:spacing w:before="120" w:after="120" w:line="240" w:lineRule="auto"/>
        <w:rPr>
          <w:rFonts w:ascii="Times New Roman" w:hAnsi="Times New Roman"/>
          <w:noProof/>
          <w:color w:val="auto"/>
          <w:sz w:val="24"/>
          <w:szCs w:val="24"/>
        </w:rPr>
      </w:pPr>
      <w:bookmarkStart w:id="271" w:name="_Toc455850982"/>
      <w:bookmarkStart w:id="272" w:name="_Toc455851081"/>
      <w:bookmarkStart w:id="273" w:name="_Toc455850983"/>
      <w:bookmarkStart w:id="274" w:name="_Toc455851082"/>
      <w:bookmarkStart w:id="275" w:name="_Toc455571150"/>
      <w:bookmarkStart w:id="276" w:name="_Toc457466073"/>
      <w:bookmarkEnd w:id="271"/>
      <w:bookmarkEnd w:id="272"/>
      <w:bookmarkEnd w:id="273"/>
      <w:bookmarkEnd w:id="274"/>
      <w:r>
        <w:rPr>
          <w:rFonts w:ascii="Times New Roman" w:hAnsi="Times New Roman"/>
          <w:noProof/>
          <w:color w:val="auto"/>
          <w:sz w:val="24"/>
          <w:szCs w:val="24"/>
        </w:rPr>
        <w:t>Verification of monitoring arrangements</w:t>
      </w:r>
      <w:bookmarkEnd w:id="275"/>
      <w:bookmarkEnd w:id="276"/>
      <w:r>
        <w:rPr>
          <w:rFonts w:ascii="Times New Roman" w:hAnsi="Times New Roman"/>
          <w:noProof/>
          <w:color w:val="auto"/>
          <w:sz w:val="24"/>
          <w:szCs w:val="24"/>
        </w:rPr>
        <w:t xml:space="preserve"> </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An Article 185 initiative needs to be evaluated at mid-term as well as ex-post, as already mentioned. The conditions and data requirements for these evaluations need to be specified at the start of the initiative as an Article 185, as it requires a DIS that manages the programme and oversees the adoption of common rules for the implementation of the programme. Resources will need to be reserved to set up the monitoring and evaluation essentials, such as a </w:t>
      </w:r>
      <w:r>
        <w:rPr>
          <w:rFonts w:ascii="Times New Roman" w:hAnsi="Times New Roman"/>
          <w:b/>
          <w:noProof/>
          <w:sz w:val="24"/>
          <w:szCs w:val="24"/>
        </w:rPr>
        <w:t>data collection system and a baseline study</w:t>
      </w:r>
      <w:r>
        <w:rPr>
          <w:rFonts w:ascii="Times New Roman" w:hAnsi="Times New Roman"/>
          <w:noProof/>
          <w:sz w:val="24"/>
          <w:szCs w:val="24"/>
        </w:rPr>
        <w:t xml:space="preserve"> of the situation at the start of the initiative. In terms of mapping international collaborations, some work has already been done by previous ERA-NETs and INCO-NETs, but more work tailored to the topics related specifically to water provision and food system in the Mediterranean area is needed. Indicators to be defined at the outset need to closely fit the main policy objectives of the initiative.</w:t>
      </w:r>
    </w:p>
    <w:p>
      <w:pPr>
        <w:spacing w:after="120" w:line="240" w:lineRule="auto"/>
        <w:jc w:val="both"/>
        <w:rPr>
          <w:rFonts w:ascii="Times New Roman" w:hAnsi="Times New Roman"/>
          <w:noProof/>
          <w:sz w:val="24"/>
          <w:szCs w:val="24"/>
        </w:rPr>
      </w:pPr>
    </w:p>
    <w:p>
      <w:pPr>
        <w:pStyle w:val="Heading1"/>
        <w:numPr>
          <w:ilvl w:val="1"/>
          <w:numId w:val="7"/>
        </w:numPr>
        <w:spacing w:before="120" w:after="120" w:line="240" w:lineRule="auto"/>
        <w:rPr>
          <w:rFonts w:ascii="Times New Roman" w:hAnsi="Times New Roman"/>
          <w:noProof/>
          <w:color w:val="auto"/>
          <w:sz w:val="24"/>
          <w:szCs w:val="24"/>
        </w:rPr>
      </w:pPr>
      <w:bookmarkStart w:id="277" w:name="_Toc452727268"/>
      <w:bookmarkStart w:id="278" w:name="_Toc455571151"/>
      <w:bookmarkStart w:id="279" w:name="_Toc455731824"/>
      <w:bookmarkStart w:id="280" w:name="_Toc455825251"/>
      <w:bookmarkStart w:id="281" w:name="_Toc457466074"/>
      <w:r>
        <w:rPr>
          <w:rFonts w:ascii="Times New Roman" w:hAnsi="Times New Roman"/>
          <w:noProof/>
          <w:color w:val="auto"/>
          <w:sz w:val="24"/>
          <w:szCs w:val="24"/>
        </w:rPr>
        <w:t>Monitoring and feedback process of Article 185</w:t>
      </w:r>
      <w:bookmarkEnd w:id="277"/>
      <w:bookmarkEnd w:id="278"/>
      <w:bookmarkEnd w:id="279"/>
      <w:bookmarkEnd w:id="280"/>
      <w:bookmarkEnd w:id="281"/>
      <w:r>
        <w:rPr>
          <w:rFonts w:ascii="Times New Roman" w:hAnsi="Times New Roman"/>
          <w:noProof/>
          <w:color w:val="auto"/>
          <w:sz w:val="24"/>
          <w:szCs w:val="24"/>
        </w:rPr>
        <w:t xml:space="preserve"> </w:t>
      </w:r>
    </w:p>
    <w:p>
      <w:pPr>
        <w:spacing w:after="120" w:line="240" w:lineRule="auto"/>
        <w:jc w:val="both"/>
        <w:rPr>
          <w:rFonts w:ascii="Times New Roman" w:hAnsi="Times New Roman"/>
          <w:noProof/>
          <w:sz w:val="24"/>
          <w:szCs w:val="24"/>
        </w:rPr>
      </w:pPr>
      <w:r>
        <w:rPr>
          <w:rFonts w:ascii="Times New Roman" w:hAnsi="Times New Roman"/>
          <w:noProof/>
          <w:sz w:val="24"/>
          <w:szCs w:val="24"/>
        </w:rPr>
        <w:t>For an Article 185, the results of the monitoring exercise should feedback continuously into the daily management of the initiative, as should the results of the mid-term evaluation. The results of both the mid-term and the ex-post evaluation should feed into future policy formulation and the design of future policy initiatives.</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Results will be used by the European Commission and the Participating States to better improve performance, including </w:t>
      </w:r>
      <w:r>
        <w:rPr>
          <w:rFonts w:ascii="Times New Roman" w:hAnsi="Times New Roman"/>
          <w:b/>
          <w:noProof/>
          <w:sz w:val="24"/>
          <w:szCs w:val="24"/>
        </w:rPr>
        <w:t>fine-tuned measurements of key performance indicators</w:t>
      </w:r>
      <w:r>
        <w:rPr>
          <w:rFonts w:ascii="Times New Roman" w:hAnsi="Times New Roman"/>
          <w:noProof/>
          <w:sz w:val="24"/>
          <w:szCs w:val="24"/>
        </w:rPr>
        <w:t>. Key principles of the monitoring and evaluation system are the following:</w:t>
      </w:r>
    </w:p>
    <w:p>
      <w:pPr>
        <w:pStyle w:val="ListParagraph"/>
        <w:numPr>
          <w:ilvl w:val="0"/>
          <w:numId w:val="9"/>
        </w:numPr>
        <w:spacing w:after="120" w:line="240" w:lineRule="auto"/>
        <w:ind w:left="360"/>
        <w:rPr>
          <w:rFonts w:ascii="Times New Roman" w:hAnsi="Times New Roman"/>
          <w:noProof/>
          <w:sz w:val="24"/>
          <w:szCs w:val="24"/>
        </w:rPr>
      </w:pPr>
      <w:r>
        <w:rPr>
          <w:rFonts w:ascii="Times New Roman" w:hAnsi="Times New Roman"/>
          <w:noProof/>
          <w:sz w:val="24"/>
          <w:szCs w:val="24"/>
        </w:rPr>
        <w:t>Evidence and quality-based (e.g. indicators).</w:t>
      </w:r>
    </w:p>
    <w:p>
      <w:pPr>
        <w:pStyle w:val="ListParagraph"/>
        <w:numPr>
          <w:ilvl w:val="0"/>
          <w:numId w:val="9"/>
        </w:numPr>
        <w:spacing w:after="120" w:line="240" w:lineRule="auto"/>
        <w:ind w:left="360"/>
        <w:rPr>
          <w:rFonts w:ascii="Times New Roman" w:hAnsi="Times New Roman"/>
          <w:noProof/>
          <w:sz w:val="24"/>
          <w:szCs w:val="24"/>
        </w:rPr>
      </w:pPr>
      <w:r>
        <w:rPr>
          <w:rFonts w:ascii="Times New Roman" w:hAnsi="Times New Roman"/>
          <w:noProof/>
          <w:sz w:val="24"/>
          <w:szCs w:val="24"/>
        </w:rPr>
        <w:t>Comprehensive in the following sense:</w:t>
      </w:r>
    </w:p>
    <w:p>
      <w:pPr>
        <w:pStyle w:val="ListParagraph"/>
        <w:numPr>
          <w:ilvl w:val="0"/>
          <w:numId w:val="56"/>
        </w:numPr>
        <w:spacing w:after="120" w:line="240" w:lineRule="auto"/>
        <w:ind w:left="709"/>
        <w:rPr>
          <w:rFonts w:ascii="Times New Roman" w:hAnsi="Times New Roman"/>
          <w:noProof/>
          <w:sz w:val="24"/>
          <w:szCs w:val="24"/>
        </w:rPr>
      </w:pPr>
      <w:r>
        <w:rPr>
          <w:rFonts w:ascii="Times New Roman" w:hAnsi="Times New Roman"/>
          <w:noProof/>
          <w:sz w:val="24"/>
          <w:szCs w:val="24"/>
        </w:rPr>
        <w:t xml:space="preserve">Indicators updated and published annually by Participating States. </w:t>
      </w:r>
    </w:p>
    <w:p>
      <w:pPr>
        <w:pStyle w:val="ListParagraph"/>
        <w:numPr>
          <w:ilvl w:val="0"/>
          <w:numId w:val="56"/>
        </w:numPr>
        <w:spacing w:after="120" w:line="240" w:lineRule="auto"/>
        <w:ind w:left="709"/>
        <w:rPr>
          <w:rFonts w:ascii="Times New Roman" w:hAnsi="Times New Roman"/>
          <w:noProof/>
          <w:sz w:val="24"/>
          <w:szCs w:val="24"/>
        </w:rPr>
      </w:pPr>
      <w:r>
        <w:rPr>
          <w:rFonts w:ascii="Times New Roman" w:hAnsi="Times New Roman"/>
          <w:noProof/>
          <w:sz w:val="24"/>
          <w:szCs w:val="24"/>
        </w:rPr>
        <w:t>Annual reports on the implementation of the initiative giving details on its performance and progress towards targets.</w:t>
      </w:r>
    </w:p>
    <w:p>
      <w:pPr>
        <w:pStyle w:val="ListParagraph"/>
        <w:numPr>
          <w:ilvl w:val="0"/>
          <w:numId w:val="56"/>
        </w:numPr>
        <w:spacing w:after="120" w:line="240" w:lineRule="auto"/>
        <w:ind w:left="709"/>
        <w:rPr>
          <w:rFonts w:ascii="Times New Roman" w:hAnsi="Times New Roman"/>
          <w:noProof/>
          <w:sz w:val="24"/>
          <w:szCs w:val="24"/>
        </w:rPr>
      </w:pPr>
      <w:r>
        <w:rPr>
          <w:rFonts w:ascii="Times New Roman" w:hAnsi="Times New Roman"/>
          <w:noProof/>
          <w:sz w:val="24"/>
          <w:szCs w:val="24"/>
        </w:rPr>
        <w:t>Initiative assessed through an interim evaluation, carried out by an expert panel convened by the Commission, conducted no later than 2021, with a specific focus on implementation, quality of R&amp;I, progress towards objectives and targets, and recommendations for possible improvements.</w:t>
      </w:r>
    </w:p>
    <w:p>
      <w:pPr>
        <w:pStyle w:val="ListParagraph"/>
        <w:numPr>
          <w:ilvl w:val="0"/>
          <w:numId w:val="56"/>
        </w:numPr>
        <w:spacing w:after="120" w:line="240" w:lineRule="auto"/>
        <w:ind w:left="709"/>
        <w:rPr>
          <w:rFonts w:ascii="Times New Roman" w:hAnsi="Times New Roman"/>
          <w:noProof/>
          <w:sz w:val="24"/>
          <w:szCs w:val="24"/>
        </w:rPr>
      </w:pPr>
      <w:r>
        <w:rPr>
          <w:rFonts w:ascii="Times New Roman" w:hAnsi="Times New Roman"/>
          <w:noProof/>
          <w:sz w:val="24"/>
          <w:szCs w:val="24"/>
        </w:rPr>
        <w:t>At the end of the programmes, and not later than 2028, an independent evaluation conducted to reviewing quality and performance of the implementation and performance, and funded activities.</w:t>
      </w:r>
    </w:p>
    <w:p>
      <w:pPr>
        <w:pStyle w:val="ListParagraph"/>
        <w:numPr>
          <w:ilvl w:val="0"/>
          <w:numId w:val="56"/>
        </w:numPr>
        <w:spacing w:after="120" w:line="240" w:lineRule="auto"/>
        <w:ind w:left="709"/>
        <w:rPr>
          <w:rFonts w:ascii="Times New Roman" w:hAnsi="Times New Roman"/>
          <w:noProof/>
          <w:sz w:val="24"/>
          <w:szCs w:val="24"/>
        </w:rPr>
      </w:pPr>
      <w:r>
        <w:rPr>
          <w:rFonts w:ascii="Times New Roman" w:hAnsi="Times New Roman"/>
          <w:noProof/>
          <w:sz w:val="24"/>
          <w:szCs w:val="24"/>
        </w:rPr>
        <w:t>A final independent evaluation conducted no later than 2030.</w:t>
      </w:r>
    </w:p>
    <w:p>
      <w:pPr>
        <w:spacing w:after="120" w:line="240" w:lineRule="auto"/>
        <w:jc w:val="both"/>
        <w:rPr>
          <w:rFonts w:ascii="Times New Roman" w:hAnsi="Times New Roman"/>
          <w:noProof/>
          <w:sz w:val="24"/>
          <w:szCs w:val="24"/>
        </w:rPr>
      </w:pPr>
      <w:r>
        <w:rPr>
          <w:rFonts w:ascii="Times New Roman" w:hAnsi="Times New Roman"/>
          <w:noProof/>
          <w:sz w:val="24"/>
          <w:szCs w:val="24"/>
        </w:rPr>
        <w:t>Participating States have to provide detailed evidence on the nature and volume of direct and indirect contributions to the joint programme annually. The Commission will also ensure that all actions taken and supported in the context of the initiative respect the Charter of Fundamental Rights of the EU.</w:t>
      </w:r>
    </w:p>
    <w:p>
      <w:pPr>
        <w:spacing w:after="120" w:line="240" w:lineRule="auto"/>
        <w:jc w:val="both"/>
        <w:rPr>
          <w:rFonts w:ascii="Times New Roman" w:hAnsi="Times New Roman"/>
          <w:noProof/>
          <w:sz w:val="24"/>
          <w:szCs w:val="24"/>
        </w:rPr>
      </w:pPr>
    </w:p>
    <w:p>
      <w:pPr>
        <w:pStyle w:val="Heading1"/>
        <w:numPr>
          <w:ilvl w:val="1"/>
          <w:numId w:val="7"/>
        </w:numPr>
        <w:spacing w:before="120" w:after="120" w:line="240" w:lineRule="auto"/>
        <w:rPr>
          <w:rFonts w:ascii="Times New Roman" w:hAnsi="Times New Roman"/>
          <w:noProof/>
          <w:color w:val="auto"/>
          <w:sz w:val="24"/>
          <w:szCs w:val="24"/>
        </w:rPr>
      </w:pPr>
      <w:bookmarkStart w:id="282" w:name="_Toc455731825"/>
      <w:bookmarkStart w:id="283" w:name="_Toc455825252"/>
      <w:bookmarkStart w:id="284" w:name="_Toc457466075"/>
      <w:r>
        <w:rPr>
          <w:rFonts w:ascii="Times New Roman" w:hAnsi="Times New Roman"/>
          <w:noProof/>
          <w:color w:val="auto"/>
          <w:sz w:val="24"/>
          <w:szCs w:val="24"/>
        </w:rPr>
        <w:t>Monitoring and audit mechanisms</w:t>
      </w:r>
      <w:bookmarkEnd w:id="282"/>
      <w:bookmarkEnd w:id="283"/>
      <w:bookmarkEnd w:id="284"/>
    </w:p>
    <w:p>
      <w:pPr>
        <w:spacing w:after="120" w:line="240" w:lineRule="auto"/>
        <w:jc w:val="both"/>
        <w:rPr>
          <w:rFonts w:ascii="Times New Roman" w:hAnsi="Times New Roman"/>
          <w:noProof/>
          <w:sz w:val="24"/>
          <w:szCs w:val="24"/>
        </w:rPr>
      </w:pPr>
      <w:r>
        <w:rPr>
          <w:rFonts w:ascii="Times New Roman" w:hAnsi="Times New Roman"/>
          <w:noProof/>
          <w:sz w:val="24"/>
          <w:szCs w:val="24"/>
        </w:rPr>
        <w:t>DG RTD has adopted standard supervision arrangements for initiatives pursuant to Article 185 TFEU that will apply equally to the PRIMA Joint Programme. The key elements are described below.</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With respect to monitoring and audit mechanisms, a distinction has to be made between the responsibilities of the Commission Services and those of the DIS and the Participating States. They will be defined in the basic act and at the level of the delegation agreement between the Commission and the DIS. </w:t>
      </w:r>
    </w:p>
    <w:p>
      <w:pPr>
        <w:spacing w:after="120" w:line="240" w:lineRule="auto"/>
        <w:jc w:val="both"/>
        <w:rPr>
          <w:rFonts w:ascii="Times New Roman" w:hAnsi="Times New Roman"/>
          <w:noProof/>
          <w:sz w:val="24"/>
        </w:rPr>
      </w:pPr>
      <w:r>
        <w:rPr>
          <w:rFonts w:ascii="Times New Roman" w:hAnsi="Times New Roman"/>
          <w:noProof/>
          <w:sz w:val="24"/>
        </w:rPr>
        <w:t xml:space="preserve">The </w:t>
      </w:r>
      <w:r>
        <w:rPr>
          <w:rFonts w:ascii="Times New Roman" w:hAnsi="Times New Roman"/>
          <w:b/>
          <w:noProof/>
          <w:sz w:val="24"/>
        </w:rPr>
        <w:t xml:space="preserve">DIS </w:t>
      </w:r>
      <w:r>
        <w:rPr>
          <w:rFonts w:ascii="Times New Roman" w:hAnsi="Times New Roman"/>
          <w:b/>
          <w:noProof/>
          <w:sz w:val="24"/>
          <w:szCs w:val="24"/>
        </w:rPr>
        <w:t>will be subject</w:t>
      </w:r>
      <w:r>
        <w:rPr>
          <w:rFonts w:ascii="Times New Roman" w:hAnsi="Times New Roman"/>
          <w:b/>
          <w:noProof/>
          <w:sz w:val="24"/>
        </w:rPr>
        <w:t xml:space="preserve"> to an ex-ante assessment in accordance with the requirements set out in article 61 </w:t>
      </w:r>
      <w:r>
        <w:rPr>
          <w:rFonts w:ascii="Times New Roman" w:hAnsi="Times New Roman"/>
          <w:b/>
          <w:noProof/>
          <w:sz w:val="24"/>
          <w:szCs w:val="24"/>
        </w:rPr>
        <w:t>of the Financial Regulation</w:t>
      </w:r>
      <w:r>
        <w:rPr>
          <w:rFonts w:ascii="Times New Roman" w:hAnsi="Times New Roman"/>
          <w:b/>
          <w:noProof/>
          <w:sz w:val="24"/>
        </w:rPr>
        <w:t xml:space="preserve"> </w:t>
      </w:r>
      <w:r>
        <w:rPr>
          <w:rFonts w:ascii="Times New Roman" w:hAnsi="Times New Roman"/>
          <w:noProof/>
          <w:sz w:val="24"/>
        </w:rPr>
        <w:t xml:space="preserve">before the delegation agreement is signed, in order to </w:t>
      </w:r>
      <w:r>
        <w:rPr>
          <w:rFonts w:ascii="Times New Roman" w:hAnsi="Times New Roman"/>
          <w:noProof/>
          <w:sz w:val="24"/>
          <w:szCs w:val="24"/>
        </w:rPr>
        <w:t>assess</w:t>
      </w:r>
      <w:r>
        <w:rPr>
          <w:rFonts w:ascii="Times New Roman" w:hAnsi="Times New Roman"/>
          <w:noProof/>
          <w:sz w:val="24"/>
        </w:rPr>
        <w:t xml:space="preserve"> its capacity to implement the programme, including receiving, allocating and monitoring the Union’s financial contribution in the framework of indirect management of the Union budget. The DIS provides comprehensive annual reporting including </w:t>
      </w:r>
      <w:r>
        <w:rPr>
          <w:rFonts w:ascii="Times New Roman" w:hAnsi="Times New Roman"/>
          <w:noProof/>
          <w:sz w:val="24"/>
          <w:szCs w:val="24"/>
        </w:rPr>
        <w:t>auditor</w:t>
      </w:r>
      <w:r>
        <w:rPr>
          <w:rFonts w:ascii="Times New Roman" w:hAnsi="Times New Roman"/>
          <w:noProof/>
          <w:sz w:val="24"/>
        </w:rPr>
        <w:t xml:space="preserve"> opinions and </w:t>
      </w:r>
      <w:r>
        <w:rPr>
          <w:rFonts w:ascii="Times New Roman" w:hAnsi="Times New Roman"/>
          <w:noProof/>
          <w:sz w:val="24"/>
          <w:szCs w:val="24"/>
        </w:rPr>
        <w:t xml:space="preserve">a </w:t>
      </w:r>
      <w:r>
        <w:rPr>
          <w:rFonts w:ascii="Times New Roman" w:hAnsi="Times New Roman"/>
          <w:noProof/>
          <w:sz w:val="24"/>
        </w:rPr>
        <w:t xml:space="preserve">management declaration. The DIS is furthermore responsible for the ex-ante audit of expenditure of all indirect actions funded by the DIS. </w:t>
      </w:r>
    </w:p>
    <w:p>
      <w:pPr>
        <w:spacing w:after="120" w:line="240" w:lineRule="auto"/>
        <w:jc w:val="both"/>
        <w:rPr>
          <w:rFonts w:ascii="Times New Roman" w:hAnsi="Times New Roman"/>
          <w:noProof/>
          <w:sz w:val="24"/>
        </w:rPr>
      </w:pPr>
      <w:r>
        <w:rPr>
          <w:rFonts w:ascii="Times New Roman" w:hAnsi="Times New Roman"/>
          <w:noProof/>
          <w:sz w:val="24"/>
        </w:rPr>
        <w:t xml:space="preserve">The </w:t>
      </w:r>
      <w:r>
        <w:rPr>
          <w:rFonts w:ascii="Times New Roman" w:hAnsi="Times New Roman"/>
          <w:b/>
          <w:noProof/>
          <w:sz w:val="24"/>
        </w:rPr>
        <w:t>Participating States</w:t>
      </w:r>
      <w:r>
        <w:rPr>
          <w:rFonts w:ascii="Times New Roman" w:hAnsi="Times New Roman"/>
          <w:noProof/>
          <w:sz w:val="24"/>
        </w:rPr>
        <w:t xml:space="preserve"> will determine the costs of their activities in accordance with the usual accounting practices and accounting standards of the concerned </w:t>
      </w:r>
      <w:r>
        <w:rPr>
          <w:rFonts w:ascii="Times New Roman" w:hAnsi="Times New Roman"/>
          <w:noProof/>
          <w:sz w:val="24"/>
          <w:szCs w:val="24"/>
        </w:rPr>
        <w:t>Participating States</w:t>
      </w:r>
      <w:r>
        <w:rPr>
          <w:rFonts w:ascii="Times New Roman" w:hAnsi="Times New Roman"/>
          <w:noProof/>
          <w:sz w:val="24"/>
        </w:rPr>
        <w:t xml:space="preserve"> and </w:t>
      </w:r>
      <w:r>
        <w:rPr>
          <w:rFonts w:ascii="Times New Roman" w:hAnsi="Times New Roman"/>
          <w:noProof/>
          <w:sz w:val="24"/>
          <w:szCs w:val="24"/>
        </w:rPr>
        <w:t>with</w:t>
      </w:r>
      <w:r>
        <w:rPr>
          <w:rFonts w:ascii="Times New Roman" w:hAnsi="Times New Roman"/>
          <w:noProof/>
          <w:sz w:val="24"/>
        </w:rPr>
        <w:t xml:space="preserve"> applicable International Accounting Standards/International Financial Reporting Standards. These include audit certificates and </w:t>
      </w:r>
      <w:r>
        <w:rPr>
          <w:rFonts w:ascii="Times New Roman" w:hAnsi="Times New Roman"/>
          <w:noProof/>
          <w:sz w:val="24"/>
          <w:szCs w:val="24"/>
        </w:rPr>
        <w:t xml:space="preserve">a </w:t>
      </w:r>
      <w:r>
        <w:rPr>
          <w:rFonts w:ascii="Times New Roman" w:hAnsi="Times New Roman"/>
          <w:noProof/>
          <w:sz w:val="24"/>
        </w:rPr>
        <w:t>management declaration.</w:t>
      </w:r>
    </w:p>
    <w:p>
      <w:pPr>
        <w:spacing w:after="120" w:line="240" w:lineRule="auto"/>
        <w:jc w:val="both"/>
        <w:rPr>
          <w:rFonts w:ascii="Times New Roman" w:hAnsi="Times New Roman"/>
          <w:noProof/>
          <w:sz w:val="24"/>
        </w:rPr>
      </w:pPr>
      <w:r>
        <w:rPr>
          <w:rFonts w:ascii="Times New Roman" w:hAnsi="Times New Roman"/>
          <w:noProof/>
          <w:sz w:val="24"/>
        </w:rPr>
        <w:t xml:space="preserve">The </w:t>
      </w:r>
      <w:r>
        <w:rPr>
          <w:rFonts w:ascii="Times New Roman" w:hAnsi="Times New Roman"/>
          <w:b/>
          <w:noProof/>
          <w:sz w:val="24"/>
        </w:rPr>
        <w:t>Commission</w:t>
      </w:r>
      <w:r>
        <w:rPr>
          <w:rFonts w:ascii="Times New Roman" w:hAnsi="Times New Roman"/>
          <w:noProof/>
          <w:sz w:val="24"/>
        </w:rPr>
        <w:t xml:space="preserve"> is observer in the decision</w:t>
      </w:r>
      <w:r>
        <w:rPr>
          <w:rFonts w:ascii="Times New Roman" w:hAnsi="Times New Roman"/>
          <w:noProof/>
          <w:sz w:val="24"/>
          <w:szCs w:val="24"/>
        </w:rPr>
        <w:t>-</w:t>
      </w:r>
      <w:r>
        <w:rPr>
          <w:rFonts w:ascii="Times New Roman" w:hAnsi="Times New Roman"/>
          <w:noProof/>
          <w:sz w:val="24"/>
        </w:rPr>
        <w:t xml:space="preserve">making body of the DIS (without voting rights) and verifies and approves the AWP and related budget plans by Commission decision. Commission Services receive, examine and accept </w:t>
      </w:r>
      <w:r>
        <w:rPr>
          <w:rFonts w:ascii="Times New Roman" w:hAnsi="Times New Roman"/>
          <w:noProof/>
          <w:sz w:val="24"/>
          <w:szCs w:val="24"/>
        </w:rPr>
        <w:t xml:space="preserve">the </w:t>
      </w:r>
      <w:r>
        <w:rPr>
          <w:rFonts w:ascii="Times New Roman" w:hAnsi="Times New Roman"/>
          <w:noProof/>
          <w:sz w:val="24"/>
        </w:rPr>
        <w:t>comprehensive annual reporting. If the accounts cannot be accepted then follow</w:t>
      </w:r>
      <w:r>
        <w:rPr>
          <w:rFonts w:ascii="Times New Roman" w:hAnsi="Times New Roman"/>
          <w:noProof/>
          <w:sz w:val="24"/>
          <w:szCs w:val="24"/>
        </w:rPr>
        <w:t>-</w:t>
      </w:r>
      <w:r>
        <w:rPr>
          <w:rFonts w:ascii="Times New Roman" w:hAnsi="Times New Roman"/>
          <w:noProof/>
          <w:sz w:val="24"/>
        </w:rPr>
        <w:t xml:space="preserve">up action will be taken </w:t>
      </w:r>
      <w:r>
        <w:rPr>
          <w:rFonts w:ascii="Times New Roman" w:hAnsi="Times New Roman"/>
          <w:noProof/>
          <w:sz w:val="24"/>
          <w:szCs w:val="24"/>
        </w:rPr>
        <w:t xml:space="preserve">in order </w:t>
      </w:r>
      <w:r>
        <w:rPr>
          <w:rFonts w:ascii="Times New Roman" w:hAnsi="Times New Roman"/>
          <w:noProof/>
          <w:sz w:val="24"/>
        </w:rPr>
        <w:t xml:space="preserve">to mitigate any financial and reputational risks to the Commission. Where necessary, payments to the DIS will be suspended and/or recovered, if necessary by drawing on the financial guarantees provided by the </w:t>
      </w:r>
      <w:r>
        <w:rPr>
          <w:rFonts w:ascii="Times New Roman" w:hAnsi="Times New Roman"/>
          <w:noProof/>
          <w:sz w:val="24"/>
          <w:szCs w:val="24"/>
        </w:rPr>
        <w:t>Participating States</w:t>
      </w:r>
      <w:r>
        <w:rPr>
          <w:rFonts w:ascii="Times New Roman" w:hAnsi="Times New Roman"/>
          <w:noProof/>
          <w:sz w:val="24"/>
        </w:rPr>
        <w:t xml:space="preserve">. If all </w:t>
      </w:r>
      <w:r>
        <w:rPr>
          <w:rFonts w:ascii="Times New Roman" w:hAnsi="Times New Roman"/>
          <w:noProof/>
          <w:sz w:val="24"/>
          <w:szCs w:val="24"/>
        </w:rPr>
        <w:t xml:space="preserve">of </w:t>
      </w:r>
      <w:r>
        <w:rPr>
          <w:rFonts w:ascii="Times New Roman" w:hAnsi="Times New Roman"/>
          <w:noProof/>
          <w:sz w:val="24"/>
        </w:rPr>
        <w:t xml:space="preserve">the above steps are inadequate to protect the financial </w:t>
      </w:r>
      <w:r>
        <w:rPr>
          <w:rFonts w:ascii="Times New Roman" w:hAnsi="Times New Roman"/>
          <w:noProof/>
          <w:sz w:val="24"/>
          <w:szCs w:val="24"/>
        </w:rPr>
        <w:t>interests</w:t>
      </w:r>
      <w:r>
        <w:rPr>
          <w:rFonts w:ascii="Times New Roman" w:hAnsi="Times New Roman"/>
          <w:noProof/>
          <w:sz w:val="24"/>
        </w:rPr>
        <w:t xml:space="preserve"> of the Union or to ensure that policy objectives are properly </w:t>
      </w:r>
      <w:r>
        <w:rPr>
          <w:rFonts w:ascii="Times New Roman" w:hAnsi="Times New Roman"/>
          <w:noProof/>
          <w:sz w:val="24"/>
          <w:szCs w:val="24"/>
        </w:rPr>
        <w:t>achieved</w:t>
      </w:r>
      <w:r>
        <w:rPr>
          <w:rFonts w:ascii="Times New Roman" w:hAnsi="Times New Roman"/>
          <w:noProof/>
          <w:sz w:val="24"/>
        </w:rPr>
        <w:t xml:space="preserve"> then, after due consideration, an audit of the DIS may be performed. Furthermore</w:t>
      </w:r>
      <w:r>
        <w:rPr>
          <w:rFonts w:ascii="Times New Roman" w:hAnsi="Times New Roman"/>
          <w:noProof/>
          <w:sz w:val="24"/>
          <w:szCs w:val="24"/>
        </w:rPr>
        <w:t>,</w:t>
      </w:r>
      <w:r>
        <w:rPr>
          <w:rFonts w:ascii="Times New Roman" w:hAnsi="Times New Roman"/>
          <w:noProof/>
          <w:sz w:val="24"/>
        </w:rPr>
        <w:t xml:space="preserve"> the Commission may decide if necessary to suspend the implementation or terminate the Delegation Agreement.</w:t>
      </w:r>
    </w:p>
    <w:p>
      <w:pPr>
        <w:spacing w:after="120" w:line="240" w:lineRule="auto"/>
        <w:jc w:val="both"/>
        <w:rPr>
          <w:rFonts w:ascii="Times New Roman" w:hAnsi="Times New Roman"/>
          <w:noProof/>
          <w:sz w:val="24"/>
          <w:szCs w:val="24"/>
        </w:rPr>
      </w:pPr>
      <w:r>
        <w:rPr>
          <w:rFonts w:ascii="Times New Roman" w:hAnsi="Times New Roman"/>
          <w:noProof/>
          <w:sz w:val="24"/>
        </w:rPr>
        <w:t xml:space="preserve">In addition </w:t>
      </w:r>
      <w:r>
        <w:rPr>
          <w:rFonts w:ascii="Times New Roman" w:hAnsi="Times New Roman"/>
          <w:b/>
          <w:noProof/>
          <w:sz w:val="24"/>
        </w:rPr>
        <w:t>interim and final evaluations</w:t>
      </w:r>
      <w:r>
        <w:rPr>
          <w:rFonts w:ascii="Times New Roman" w:hAnsi="Times New Roman"/>
          <w:noProof/>
          <w:sz w:val="24"/>
        </w:rPr>
        <w:t xml:space="preserve"> of the initiative will be undertaken.</w:t>
      </w:r>
    </w:p>
    <w:p>
      <w:pPr>
        <w:spacing w:after="120" w:line="240" w:lineRule="auto"/>
        <w:jc w:val="both"/>
        <w:rPr>
          <w:rFonts w:ascii="Times New Roman" w:hAnsi="Times New Roman"/>
          <w:noProof/>
          <w:sz w:val="24"/>
          <w:szCs w:val="24"/>
        </w:rPr>
      </w:pPr>
      <w:r>
        <w:rPr>
          <w:rFonts w:ascii="Times New Roman" w:hAnsi="Times New Roman"/>
          <w:noProof/>
          <w:sz w:val="24"/>
          <w:szCs w:val="24"/>
        </w:rPr>
        <w:br w:type="page"/>
      </w:r>
    </w:p>
    <w:tbl>
      <w:tblPr>
        <w:tblW w:w="0" w:type="auto"/>
        <w:shd w:val="clear" w:color="auto" w:fill="F2F2F2" w:themeFill="background1" w:themeFillShade="F2"/>
        <w:tblLook w:val="04A0" w:firstRow="1" w:lastRow="0" w:firstColumn="1" w:lastColumn="0" w:noHBand="0" w:noVBand="1"/>
      </w:tblPr>
      <w:tblGrid>
        <w:gridCol w:w="9747"/>
      </w:tblGrid>
      <w:tr>
        <w:tc>
          <w:tcPr>
            <w:tcW w:w="9747" w:type="dxa"/>
            <w:shd w:val="clear" w:color="auto" w:fill="F2F2F2" w:themeFill="background1" w:themeFillShade="F2"/>
          </w:tcPr>
          <w:p>
            <w:pPr>
              <w:pStyle w:val="ListParagraph"/>
              <w:keepNext/>
              <w:keepLines/>
              <w:spacing w:before="120" w:after="120" w:line="240" w:lineRule="auto"/>
              <w:ind w:left="450"/>
              <w:contextualSpacing w:val="0"/>
              <w:jc w:val="left"/>
              <w:outlineLvl w:val="0"/>
              <w:rPr>
                <w:rFonts w:ascii="Times New Roman" w:hAnsi="Times New Roman"/>
                <w:b/>
                <w:noProof/>
                <w:sz w:val="24"/>
                <w:szCs w:val="24"/>
              </w:rPr>
            </w:pPr>
            <w:bookmarkStart w:id="285" w:name="_Toc455682293"/>
            <w:bookmarkStart w:id="286" w:name="_Toc457466076"/>
            <w:bookmarkStart w:id="287" w:name="_Toc452566275"/>
            <w:bookmarkStart w:id="288" w:name="_Toc437329649"/>
            <w:bookmarkStart w:id="289" w:name="_Toc436895827"/>
            <w:bookmarkStart w:id="290" w:name="_Toc453058507"/>
            <w:bookmarkStart w:id="291" w:name="_Toc455682294"/>
            <w:r>
              <w:rPr>
                <w:rFonts w:ascii="Times New Roman" w:hAnsi="Times New Roman"/>
                <w:b/>
                <w:noProof/>
                <w:sz w:val="24"/>
                <w:szCs w:val="24"/>
              </w:rPr>
              <w:t>Annexes</w:t>
            </w:r>
            <w:bookmarkEnd w:id="285"/>
            <w:bookmarkEnd w:id="286"/>
          </w:p>
        </w:tc>
      </w:tr>
    </w:tbl>
    <w:p>
      <w:pPr>
        <w:rPr>
          <w:noProof/>
        </w:rPr>
      </w:pPr>
      <w:bookmarkStart w:id="292" w:name="_Toc455682854"/>
      <w:bookmarkEnd w:id="287"/>
      <w:bookmarkEnd w:id="288"/>
      <w:bookmarkEnd w:id="289"/>
      <w:bookmarkEnd w:id="290"/>
      <w:bookmarkEnd w:id="291"/>
    </w:p>
    <w:p>
      <w:pPr>
        <w:pStyle w:val="Heading2"/>
        <w:keepLines w:val="0"/>
        <w:suppressAutoHyphens/>
        <w:spacing w:before="0" w:after="240" w:line="240" w:lineRule="auto"/>
        <w:ind w:left="480"/>
        <w:jc w:val="both"/>
        <w:rPr>
          <w:rFonts w:ascii="Times New Roman" w:hAnsi="Times New Roman"/>
          <w:i/>
          <w:noProof/>
          <w:color w:val="auto"/>
          <w:sz w:val="24"/>
          <w:szCs w:val="24"/>
        </w:rPr>
      </w:pPr>
      <w:bookmarkStart w:id="293" w:name="_Toc457466077"/>
      <w:r>
        <w:rPr>
          <w:rFonts w:ascii="Times New Roman" w:hAnsi="Times New Roman"/>
          <w:i/>
          <w:noProof/>
          <w:color w:val="auto"/>
          <w:sz w:val="24"/>
          <w:szCs w:val="24"/>
        </w:rPr>
        <w:t>Annex 1: Procedural information</w:t>
      </w:r>
      <w:bookmarkEnd w:id="292"/>
      <w:bookmarkEnd w:id="293"/>
      <w:r>
        <w:rPr>
          <w:rFonts w:ascii="Times New Roman" w:hAnsi="Times New Roman"/>
          <w:i/>
          <w:noProof/>
          <w:color w:val="auto"/>
          <w:sz w:val="24"/>
          <w:szCs w:val="24"/>
        </w:rPr>
        <w:t xml:space="preserve"> </w:t>
      </w:r>
    </w:p>
    <w:p>
      <w:pPr>
        <w:pStyle w:val="Heading3"/>
        <w:keepLines w:val="0"/>
        <w:numPr>
          <w:ilvl w:val="1"/>
          <w:numId w:val="41"/>
        </w:numPr>
        <w:suppressAutoHyphens/>
        <w:spacing w:before="0" w:after="120" w:line="240" w:lineRule="auto"/>
        <w:jc w:val="both"/>
        <w:rPr>
          <w:rFonts w:ascii="Times New Roman" w:hAnsi="Times New Roman" w:cs="Times New Roman"/>
          <w:b w:val="0"/>
          <w:i/>
          <w:noProof/>
          <w:color w:val="auto"/>
          <w:sz w:val="24"/>
          <w:szCs w:val="24"/>
        </w:rPr>
      </w:pPr>
      <w:bookmarkStart w:id="294" w:name="_Toc452566276"/>
      <w:bookmarkStart w:id="295" w:name="_Toc437329650"/>
      <w:bookmarkStart w:id="296" w:name="_Toc436895828"/>
      <w:bookmarkStart w:id="297" w:name="_Toc453058508"/>
      <w:bookmarkStart w:id="298" w:name="_Toc455682295"/>
      <w:bookmarkStart w:id="299" w:name="_Toc455682855"/>
      <w:bookmarkStart w:id="300" w:name="_Toc457466078"/>
      <w:r>
        <w:rPr>
          <w:rFonts w:ascii="Times New Roman" w:hAnsi="Times New Roman" w:cs="Times New Roman"/>
          <w:b w:val="0"/>
          <w:i/>
          <w:noProof/>
          <w:color w:val="auto"/>
          <w:sz w:val="24"/>
          <w:szCs w:val="24"/>
        </w:rPr>
        <w:t>Identification</w:t>
      </w:r>
      <w:bookmarkEnd w:id="294"/>
      <w:bookmarkEnd w:id="295"/>
      <w:bookmarkEnd w:id="296"/>
      <w:bookmarkEnd w:id="297"/>
      <w:bookmarkEnd w:id="298"/>
      <w:bookmarkEnd w:id="299"/>
      <w:bookmarkEnd w:id="300"/>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This Staff Working Paper was prepared by the unit I2 'Eco-Innovation' of Directorate I 'Climate Action and Resource Efficiency' of Directorate General 'Research &amp; Innovation'. The RWP reference of this initiative is 2015/RTD/009. </w:t>
      </w:r>
    </w:p>
    <w:p>
      <w:pPr>
        <w:spacing w:after="120" w:line="240" w:lineRule="auto"/>
        <w:jc w:val="both"/>
        <w:rPr>
          <w:rFonts w:ascii="Times New Roman" w:hAnsi="Times New Roman"/>
          <w:noProof/>
          <w:sz w:val="24"/>
          <w:szCs w:val="24"/>
        </w:rPr>
      </w:pPr>
    </w:p>
    <w:p>
      <w:pPr>
        <w:pStyle w:val="Heading3"/>
        <w:keepLines w:val="0"/>
        <w:numPr>
          <w:ilvl w:val="1"/>
          <w:numId w:val="41"/>
        </w:numPr>
        <w:tabs>
          <w:tab w:val="left" w:pos="2820"/>
        </w:tabs>
        <w:suppressAutoHyphens/>
        <w:spacing w:before="0" w:after="120" w:line="240" w:lineRule="auto"/>
        <w:jc w:val="both"/>
        <w:rPr>
          <w:rFonts w:ascii="Times New Roman" w:hAnsi="Times New Roman"/>
          <w:b w:val="0"/>
          <w:i/>
          <w:noProof/>
          <w:color w:val="auto"/>
          <w:sz w:val="24"/>
          <w:szCs w:val="24"/>
        </w:rPr>
      </w:pPr>
      <w:bookmarkStart w:id="301" w:name="_Toc452566277"/>
      <w:bookmarkStart w:id="302" w:name="_Toc437329651"/>
      <w:bookmarkStart w:id="303" w:name="_Toc436895829"/>
      <w:bookmarkStart w:id="304" w:name="_Toc453058509"/>
      <w:bookmarkStart w:id="305" w:name="_Toc455682296"/>
      <w:bookmarkStart w:id="306" w:name="_Toc455682856"/>
      <w:bookmarkStart w:id="307" w:name="_Toc457466079"/>
      <w:r>
        <w:rPr>
          <w:rFonts w:ascii="Times New Roman" w:hAnsi="Times New Roman" w:cs="Times New Roman"/>
          <w:b w:val="0"/>
          <w:i/>
          <w:noProof/>
          <w:color w:val="auto"/>
          <w:sz w:val="24"/>
          <w:szCs w:val="24"/>
        </w:rPr>
        <w:t>Organisation and timing</w:t>
      </w:r>
      <w:bookmarkStart w:id="308" w:name="_Toc452566278"/>
      <w:bookmarkEnd w:id="301"/>
      <w:bookmarkEnd w:id="302"/>
      <w:bookmarkEnd w:id="303"/>
      <w:bookmarkEnd w:id="304"/>
      <w:bookmarkEnd w:id="305"/>
      <w:bookmarkEnd w:id="306"/>
      <w:bookmarkEnd w:id="307"/>
      <w:bookmarkEnd w:id="308"/>
    </w:p>
    <w:p>
      <w:pPr>
        <w:jc w:val="both"/>
        <w:rPr>
          <w:rFonts w:ascii="Times New Roman" w:hAnsi="Times New Roman"/>
          <w:noProof/>
          <w:sz w:val="24"/>
          <w:szCs w:val="24"/>
        </w:rPr>
      </w:pPr>
      <w:r>
        <w:rPr>
          <w:rFonts w:ascii="Times New Roman" w:hAnsi="Times New Roman"/>
          <w:noProof/>
          <w:sz w:val="24"/>
          <w:szCs w:val="24"/>
        </w:rPr>
        <w:t>The IA has been conducted through the following steps:</w:t>
      </w:r>
    </w:p>
    <w:p>
      <w:pPr>
        <w:pStyle w:val="ListParagraph"/>
        <w:numPr>
          <w:ilvl w:val="0"/>
          <w:numId w:val="13"/>
        </w:numPr>
        <w:spacing w:after="0" w:line="240" w:lineRule="auto"/>
        <w:ind w:left="284" w:hanging="284"/>
        <w:rPr>
          <w:rFonts w:ascii="Times New Roman" w:hAnsi="Times New Roman"/>
          <w:noProof/>
          <w:sz w:val="24"/>
          <w:szCs w:val="24"/>
        </w:rPr>
      </w:pPr>
      <w:r>
        <w:rPr>
          <w:rFonts w:ascii="Times New Roman" w:hAnsi="Times New Roman"/>
          <w:noProof/>
          <w:sz w:val="24"/>
          <w:szCs w:val="24"/>
        </w:rPr>
        <w:t>An internal RTD related PRIMA Task Force (members from DG RTD including Dir. A., B, C, F, I, J and R &amp; DG AGRI.H.5) was set in March 2015 in order to discuss all the issues relevant for the IA report and beyond, including a drafting team for the IA report and preparing the contributions for the ISG meetings.</w:t>
      </w:r>
    </w:p>
    <w:p>
      <w:pPr>
        <w:pStyle w:val="ListParagraph"/>
        <w:numPr>
          <w:ilvl w:val="0"/>
          <w:numId w:val="13"/>
        </w:numPr>
        <w:spacing w:after="0" w:line="240" w:lineRule="auto"/>
        <w:ind w:left="284" w:hanging="284"/>
        <w:rPr>
          <w:rFonts w:ascii="Times New Roman" w:hAnsi="Times New Roman"/>
          <w:noProof/>
          <w:sz w:val="24"/>
          <w:szCs w:val="24"/>
        </w:rPr>
      </w:pPr>
      <w:r>
        <w:rPr>
          <w:rFonts w:ascii="Times New Roman" w:hAnsi="Times New Roman"/>
          <w:noProof/>
          <w:sz w:val="24"/>
          <w:szCs w:val="24"/>
        </w:rPr>
        <w:t>An ISG was set up in October 2015 that included the following DGs: AGRI, BUDG, CLIMA, CNECT, DEVCO, EEAS, ECHO, ENV, GROW, HOME, JRC, MARE, NEAR, REGIO, RTD, SANTE, SG and SJ. Ten meetings were organised from October 2015 to June 2016.</w:t>
      </w:r>
    </w:p>
    <w:p>
      <w:pPr>
        <w:pStyle w:val="ListParagraph"/>
        <w:numPr>
          <w:ilvl w:val="0"/>
          <w:numId w:val="13"/>
        </w:numPr>
        <w:spacing w:after="0" w:line="240" w:lineRule="auto"/>
        <w:ind w:left="284" w:hanging="284"/>
        <w:rPr>
          <w:rFonts w:ascii="Times New Roman" w:hAnsi="Times New Roman"/>
          <w:noProof/>
          <w:sz w:val="24"/>
          <w:szCs w:val="24"/>
        </w:rPr>
      </w:pPr>
      <w:r>
        <w:rPr>
          <w:rFonts w:ascii="Times New Roman" w:hAnsi="Times New Roman"/>
          <w:noProof/>
          <w:sz w:val="24"/>
          <w:szCs w:val="24"/>
        </w:rPr>
        <w:t>An Expert Group</w:t>
      </w:r>
      <w:r>
        <w:rPr>
          <w:rStyle w:val="FootnoteReference"/>
          <w:rFonts w:ascii="Times New Roman" w:hAnsi="Times New Roman"/>
          <w:noProof/>
          <w:sz w:val="24"/>
          <w:szCs w:val="24"/>
        </w:rPr>
        <w:footnoteReference w:id="72"/>
      </w:r>
      <w:r>
        <w:rPr>
          <w:rFonts w:ascii="Times New Roman" w:hAnsi="Times New Roman"/>
          <w:noProof/>
          <w:sz w:val="24"/>
          <w:szCs w:val="24"/>
        </w:rPr>
        <w:t xml:space="preserve"> was set up in October 2015 and duly registered in the SG Register. It is composed of 9 experts. Their mandate was to support an informed and evidence-based decision-making processs especially with regard to the desired economic, environmental and social impacts of the proposed initiative, taking into account the impacts on the integration of national research and innovation systems in a common initiative. They submitted a first final draft report in April (final version in May 2016) This report provided results of different analyses and date in support of the IA report.</w:t>
      </w:r>
    </w:p>
    <w:p>
      <w:pPr>
        <w:pStyle w:val="ListParagraph"/>
        <w:numPr>
          <w:ilvl w:val="0"/>
          <w:numId w:val="13"/>
        </w:numPr>
        <w:spacing w:after="0" w:line="240" w:lineRule="auto"/>
        <w:ind w:left="284" w:hanging="284"/>
        <w:rPr>
          <w:rFonts w:ascii="Times New Roman" w:hAnsi="Times New Roman"/>
          <w:noProof/>
          <w:sz w:val="24"/>
          <w:szCs w:val="24"/>
        </w:rPr>
      </w:pPr>
      <w:r>
        <w:rPr>
          <w:rFonts w:ascii="Times New Roman" w:hAnsi="Times New Roman"/>
          <w:noProof/>
          <w:sz w:val="24"/>
          <w:szCs w:val="24"/>
        </w:rPr>
        <w:t>Public Consultation: an online Public Consultation was launched on the 1st February up to 24 April 2016. It has been complemented by dedicated events in particular a 'Public Consultation Stakeholder Event' in Malta on 17 March.</w:t>
      </w:r>
    </w:p>
    <w:p>
      <w:pPr>
        <w:pStyle w:val="ListParagraph"/>
        <w:numPr>
          <w:ilvl w:val="0"/>
          <w:numId w:val="13"/>
        </w:numPr>
        <w:spacing w:after="0" w:line="240" w:lineRule="auto"/>
        <w:ind w:left="284" w:hanging="284"/>
        <w:rPr>
          <w:rFonts w:ascii="Times New Roman" w:hAnsi="Times New Roman"/>
          <w:noProof/>
          <w:sz w:val="24"/>
          <w:szCs w:val="24"/>
        </w:rPr>
      </w:pPr>
      <w:r>
        <w:rPr>
          <w:rFonts w:ascii="Times New Roman" w:hAnsi="Times New Roman"/>
          <w:noProof/>
          <w:sz w:val="24"/>
          <w:szCs w:val="24"/>
        </w:rPr>
        <w:t>The PRIMA Consortium sent an Addendum on 29 February 2016 to the initial Joint Proposal as requested by Robert-Jan Smits' letter on 25 November 2016.</w:t>
      </w:r>
    </w:p>
    <w:p>
      <w:pPr>
        <w:jc w:val="both"/>
        <w:rPr>
          <w:rFonts w:ascii="Times New Roman" w:hAnsi="Times New Roman"/>
          <w:noProof/>
          <w:sz w:val="24"/>
          <w:szCs w:val="24"/>
        </w:rPr>
      </w:pPr>
    </w:p>
    <w:p>
      <w:pPr>
        <w:jc w:val="both"/>
        <w:rPr>
          <w:rFonts w:ascii="Times New Roman" w:hAnsi="Times New Roman"/>
          <w:noProof/>
          <w:sz w:val="24"/>
          <w:szCs w:val="24"/>
        </w:rPr>
      </w:pPr>
      <w:r>
        <w:rPr>
          <w:rFonts w:ascii="Times New Roman" w:hAnsi="Times New Roman"/>
          <w:noProof/>
          <w:sz w:val="24"/>
          <w:szCs w:val="24"/>
        </w:rPr>
        <w:t>Each inter-service group meeting was dedicated to clarify different issues.</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402"/>
        <w:gridCol w:w="3402"/>
      </w:tblGrid>
      <w:tr>
        <w:trPr>
          <w:jc w:val="center"/>
        </w:trPr>
        <w:tc>
          <w:tcPr>
            <w:tcW w:w="26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spacing w:after="0" w:line="240" w:lineRule="auto"/>
              <w:jc w:val="both"/>
              <w:rPr>
                <w:rFonts w:ascii="Times New Roman" w:hAnsi="Times New Roman"/>
                <w:b/>
                <w:noProof/>
                <w:szCs w:val="24"/>
              </w:rPr>
            </w:pPr>
            <w:r>
              <w:rPr>
                <w:rFonts w:ascii="Times New Roman" w:hAnsi="Times New Roman"/>
                <w:b/>
                <w:noProof/>
                <w:szCs w:val="24"/>
              </w:rPr>
              <w:t>Inter-service group meeting</w:t>
            </w:r>
          </w:p>
        </w:tc>
        <w:tc>
          <w:tcPr>
            <w:tcW w:w="3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spacing w:after="0" w:line="240" w:lineRule="auto"/>
              <w:jc w:val="both"/>
              <w:rPr>
                <w:rFonts w:ascii="Times New Roman" w:hAnsi="Times New Roman"/>
                <w:b/>
                <w:noProof/>
                <w:szCs w:val="24"/>
              </w:rPr>
            </w:pPr>
            <w:r>
              <w:rPr>
                <w:rFonts w:ascii="Times New Roman" w:hAnsi="Times New Roman"/>
                <w:b/>
                <w:noProof/>
                <w:szCs w:val="24"/>
              </w:rPr>
              <w:t>Main issues</w:t>
            </w:r>
          </w:p>
        </w:tc>
        <w:tc>
          <w:tcPr>
            <w:tcW w:w="3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spacing w:after="0" w:line="240" w:lineRule="auto"/>
              <w:jc w:val="both"/>
              <w:rPr>
                <w:rFonts w:ascii="Times New Roman" w:hAnsi="Times New Roman"/>
                <w:b/>
                <w:noProof/>
                <w:szCs w:val="24"/>
              </w:rPr>
            </w:pPr>
            <w:r>
              <w:rPr>
                <w:rFonts w:ascii="Times New Roman" w:hAnsi="Times New Roman"/>
                <w:b/>
                <w:noProof/>
                <w:szCs w:val="24"/>
              </w:rPr>
              <w:t>Inputs to the IA report</w:t>
            </w:r>
          </w:p>
        </w:tc>
      </w:tr>
      <w:tr>
        <w:trPr>
          <w:jc w:val="center"/>
        </w:trPr>
        <w:tc>
          <w:tcPr>
            <w:tcW w:w="2660" w:type="dxa"/>
            <w:tcBorders>
              <w:top w:val="single" w:sz="4" w:space="0" w:color="auto"/>
              <w:left w:val="single" w:sz="4" w:space="0" w:color="auto"/>
              <w:bottom w:val="single" w:sz="4" w:space="0" w:color="auto"/>
              <w:right w:val="single" w:sz="4" w:space="0" w:color="auto"/>
            </w:tcBorders>
            <w:hideMark/>
          </w:tcPr>
          <w:p>
            <w:pPr>
              <w:spacing w:after="0" w:line="240" w:lineRule="auto"/>
              <w:jc w:val="both"/>
              <w:rPr>
                <w:rFonts w:ascii="Times New Roman" w:hAnsi="Times New Roman"/>
                <w:noProof/>
                <w:szCs w:val="24"/>
              </w:rPr>
            </w:pPr>
            <w:r>
              <w:rPr>
                <w:rFonts w:ascii="Times New Roman" w:hAnsi="Times New Roman"/>
                <w:noProof/>
                <w:szCs w:val="24"/>
              </w:rPr>
              <w:t>1 – 21/10/2015</w:t>
            </w:r>
          </w:p>
        </w:tc>
        <w:tc>
          <w:tcPr>
            <w:tcW w:w="3402" w:type="dxa"/>
            <w:tcBorders>
              <w:top w:val="single" w:sz="4" w:space="0" w:color="auto"/>
              <w:left w:val="single" w:sz="4" w:space="0" w:color="auto"/>
              <w:bottom w:val="single" w:sz="4" w:space="0" w:color="auto"/>
              <w:right w:val="single" w:sz="4" w:space="0" w:color="auto"/>
            </w:tcBorders>
            <w:hideMark/>
          </w:tcPr>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Timeline presentation and discussion</w:t>
            </w:r>
          </w:p>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PRIMA initiative presentation and discussions</w:t>
            </w:r>
          </w:p>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Agreement on policy options based on IIA</w:t>
            </w:r>
          </w:p>
        </w:tc>
        <w:tc>
          <w:tcPr>
            <w:tcW w:w="3402" w:type="dxa"/>
            <w:tcBorders>
              <w:top w:val="single" w:sz="4" w:space="0" w:color="auto"/>
              <w:left w:val="single" w:sz="4" w:space="0" w:color="auto"/>
              <w:bottom w:val="single" w:sz="4" w:space="0" w:color="auto"/>
              <w:right w:val="single" w:sz="4" w:space="0" w:color="auto"/>
            </w:tcBorders>
            <w:hideMark/>
          </w:tcPr>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Comments and inputs of the final version of IIA to be approved</w:t>
            </w:r>
          </w:p>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Integration of comments from ISG members</w:t>
            </w:r>
          </w:p>
        </w:tc>
      </w:tr>
      <w:tr>
        <w:trPr>
          <w:jc w:val="center"/>
        </w:trPr>
        <w:tc>
          <w:tcPr>
            <w:tcW w:w="2660" w:type="dxa"/>
            <w:tcBorders>
              <w:top w:val="single" w:sz="4" w:space="0" w:color="auto"/>
              <w:left w:val="single" w:sz="4" w:space="0" w:color="auto"/>
              <w:bottom w:val="single" w:sz="4" w:space="0" w:color="auto"/>
              <w:right w:val="single" w:sz="4" w:space="0" w:color="auto"/>
            </w:tcBorders>
            <w:hideMark/>
          </w:tcPr>
          <w:p>
            <w:pPr>
              <w:spacing w:after="0" w:line="240" w:lineRule="auto"/>
              <w:jc w:val="both"/>
              <w:rPr>
                <w:rFonts w:ascii="Times New Roman" w:hAnsi="Times New Roman"/>
                <w:noProof/>
                <w:szCs w:val="24"/>
              </w:rPr>
            </w:pPr>
            <w:r>
              <w:rPr>
                <w:rFonts w:ascii="Times New Roman" w:hAnsi="Times New Roman"/>
                <w:noProof/>
                <w:szCs w:val="24"/>
              </w:rPr>
              <w:t>2 – 25/11/2015</w:t>
            </w:r>
          </w:p>
        </w:tc>
        <w:tc>
          <w:tcPr>
            <w:tcW w:w="3402" w:type="dxa"/>
            <w:tcBorders>
              <w:top w:val="single" w:sz="4" w:space="0" w:color="auto"/>
              <w:left w:val="single" w:sz="4" w:space="0" w:color="auto"/>
              <w:bottom w:val="single" w:sz="4" w:space="0" w:color="auto"/>
              <w:right w:val="single" w:sz="4" w:space="0" w:color="auto"/>
            </w:tcBorders>
            <w:hideMark/>
          </w:tcPr>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Discussion on the Inception Impact Assessment (IIA) in view of its approval by the ISG</w:t>
            </w:r>
          </w:p>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Public Stakeholders' consultation</w:t>
            </w:r>
          </w:p>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Information on work of the Expert Group for the IIA</w:t>
            </w:r>
          </w:p>
        </w:tc>
        <w:tc>
          <w:tcPr>
            <w:tcW w:w="3402" w:type="dxa"/>
            <w:tcBorders>
              <w:top w:val="single" w:sz="4" w:space="0" w:color="auto"/>
              <w:left w:val="single" w:sz="4" w:space="0" w:color="auto"/>
              <w:bottom w:val="single" w:sz="4" w:space="0" w:color="auto"/>
              <w:right w:val="single" w:sz="4" w:space="0" w:color="auto"/>
            </w:tcBorders>
          </w:tcPr>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Discussion on the need of extra information from the PRIMA Consortium to be received by the 29/02/2016</w:t>
            </w:r>
          </w:p>
          <w:p>
            <w:pPr>
              <w:pStyle w:val="ListParagraph"/>
              <w:numPr>
                <w:ilvl w:val="0"/>
                <w:numId w:val="14"/>
              </w:numPr>
              <w:spacing w:after="0" w:line="240" w:lineRule="auto"/>
              <w:ind w:left="165" w:hanging="165"/>
              <w:rPr>
                <w:rFonts w:ascii="Times New Roman" w:hAnsi="Times New Roman"/>
                <w:noProof/>
                <w:szCs w:val="24"/>
              </w:rPr>
            </w:pPr>
            <w:r>
              <w:rPr>
                <w:rFonts w:ascii="Times New Roman" w:hAnsi="Times New Roman"/>
                <w:noProof/>
                <w:szCs w:val="24"/>
              </w:rPr>
              <w:t xml:space="preserve">Revised version of the IIA </w:t>
            </w:r>
          </w:p>
          <w:p>
            <w:pPr>
              <w:spacing w:after="0" w:line="240" w:lineRule="auto"/>
              <w:jc w:val="both"/>
              <w:rPr>
                <w:rFonts w:ascii="Times New Roman" w:hAnsi="Times New Roman"/>
                <w:noProof/>
                <w:szCs w:val="24"/>
              </w:rPr>
            </w:pPr>
          </w:p>
        </w:tc>
      </w:tr>
      <w:tr>
        <w:trPr>
          <w:jc w:val="center"/>
        </w:trPr>
        <w:tc>
          <w:tcPr>
            <w:tcW w:w="2660" w:type="dxa"/>
            <w:tcBorders>
              <w:top w:val="single" w:sz="4" w:space="0" w:color="auto"/>
              <w:left w:val="single" w:sz="4" w:space="0" w:color="auto"/>
              <w:bottom w:val="single" w:sz="4" w:space="0" w:color="auto"/>
              <w:right w:val="single" w:sz="4" w:space="0" w:color="auto"/>
            </w:tcBorders>
            <w:hideMark/>
          </w:tcPr>
          <w:p>
            <w:pPr>
              <w:spacing w:after="0" w:line="240" w:lineRule="auto"/>
              <w:jc w:val="both"/>
              <w:rPr>
                <w:rFonts w:ascii="Times New Roman" w:hAnsi="Times New Roman"/>
                <w:noProof/>
                <w:szCs w:val="24"/>
              </w:rPr>
            </w:pPr>
            <w:r>
              <w:rPr>
                <w:rFonts w:ascii="Times New Roman" w:hAnsi="Times New Roman"/>
                <w:noProof/>
                <w:szCs w:val="24"/>
              </w:rPr>
              <w:t>3 – 16/12/2015</w:t>
            </w:r>
          </w:p>
        </w:tc>
        <w:tc>
          <w:tcPr>
            <w:tcW w:w="3402" w:type="dxa"/>
            <w:tcBorders>
              <w:top w:val="single" w:sz="4" w:space="0" w:color="auto"/>
              <w:left w:val="single" w:sz="4" w:space="0" w:color="auto"/>
              <w:bottom w:val="single" w:sz="4" w:space="0" w:color="auto"/>
              <w:right w:val="single" w:sz="4" w:space="0" w:color="auto"/>
            </w:tcBorders>
            <w:hideMark/>
          </w:tcPr>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 xml:space="preserve">Discussion around Consultation Strategy </w:t>
            </w:r>
          </w:p>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 xml:space="preserve">Presentation of the Expert Group </w:t>
            </w:r>
          </w:p>
        </w:tc>
        <w:tc>
          <w:tcPr>
            <w:tcW w:w="3402" w:type="dxa"/>
            <w:tcBorders>
              <w:top w:val="single" w:sz="4" w:space="0" w:color="auto"/>
              <w:left w:val="single" w:sz="4" w:space="0" w:color="auto"/>
              <w:bottom w:val="single" w:sz="4" w:space="0" w:color="auto"/>
              <w:right w:val="single" w:sz="4" w:space="0" w:color="auto"/>
            </w:tcBorders>
            <w:hideMark/>
          </w:tcPr>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Validation of the IIA</w:t>
            </w:r>
          </w:p>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Discussion with the Expert Group</w:t>
            </w:r>
          </w:p>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Discussion Stakeholders' consultation</w:t>
            </w:r>
          </w:p>
        </w:tc>
      </w:tr>
      <w:tr>
        <w:trPr>
          <w:jc w:val="center"/>
        </w:trPr>
        <w:tc>
          <w:tcPr>
            <w:tcW w:w="2660" w:type="dxa"/>
            <w:tcBorders>
              <w:top w:val="single" w:sz="4" w:space="0" w:color="auto"/>
              <w:left w:val="single" w:sz="4" w:space="0" w:color="auto"/>
              <w:bottom w:val="single" w:sz="4" w:space="0" w:color="auto"/>
              <w:right w:val="single" w:sz="4" w:space="0" w:color="auto"/>
            </w:tcBorders>
            <w:hideMark/>
          </w:tcPr>
          <w:p>
            <w:pPr>
              <w:spacing w:after="0" w:line="240" w:lineRule="auto"/>
              <w:jc w:val="both"/>
              <w:rPr>
                <w:rFonts w:ascii="Times New Roman" w:hAnsi="Times New Roman"/>
                <w:noProof/>
                <w:szCs w:val="24"/>
              </w:rPr>
            </w:pPr>
            <w:r>
              <w:rPr>
                <w:rFonts w:ascii="Times New Roman" w:hAnsi="Times New Roman"/>
                <w:noProof/>
                <w:szCs w:val="24"/>
              </w:rPr>
              <w:t>4 – 13/01/2016</w:t>
            </w:r>
          </w:p>
        </w:tc>
        <w:tc>
          <w:tcPr>
            <w:tcW w:w="3402" w:type="dxa"/>
            <w:tcBorders>
              <w:top w:val="single" w:sz="4" w:space="0" w:color="auto"/>
              <w:left w:val="single" w:sz="4" w:space="0" w:color="auto"/>
              <w:bottom w:val="single" w:sz="4" w:space="0" w:color="auto"/>
              <w:right w:val="single" w:sz="4" w:space="0" w:color="auto"/>
            </w:tcBorders>
            <w:hideMark/>
          </w:tcPr>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Public consultation: questionnaire and press package</w:t>
            </w:r>
          </w:p>
        </w:tc>
        <w:tc>
          <w:tcPr>
            <w:tcW w:w="3402" w:type="dxa"/>
            <w:tcBorders>
              <w:top w:val="single" w:sz="4" w:space="0" w:color="auto"/>
              <w:left w:val="single" w:sz="4" w:space="0" w:color="auto"/>
              <w:bottom w:val="single" w:sz="4" w:space="0" w:color="auto"/>
              <w:right w:val="single" w:sz="4" w:space="0" w:color="auto"/>
            </w:tcBorders>
            <w:hideMark/>
          </w:tcPr>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Communication related activities</w:t>
            </w:r>
          </w:p>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Validation of the Consultation strategy</w:t>
            </w:r>
          </w:p>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 xml:space="preserve">Draft questionnaire </w:t>
            </w:r>
          </w:p>
        </w:tc>
      </w:tr>
      <w:tr>
        <w:trPr>
          <w:jc w:val="center"/>
        </w:trPr>
        <w:tc>
          <w:tcPr>
            <w:tcW w:w="2660" w:type="dxa"/>
            <w:tcBorders>
              <w:top w:val="single" w:sz="4" w:space="0" w:color="auto"/>
              <w:left w:val="single" w:sz="4" w:space="0" w:color="auto"/>
              <w:bottom w:val="single" w:sz="4" w:space="0" w:color="auto"/>
              <w:right w:val="single" w:sz="4" w:space="0" w:color="auto"/>
            </w:tcBorders>
            <w:hideMark/>
          </w:tcPr>
          <w:p>
            <w:pPr>
              <w:spacing w:after="0" w:line="240" w:lineRule="auto"/>
              <w:jc w:val="both"/>
              <w:rPr>
                <w:rFonts w:ascii="Times New Roman" w:hAnsi="Times New Roman"/>
                <w:noProof/>
                <w:szCs w:val="24"/>
              </w:rPr>
            </w:pPr>
            <w:r>
              <w:rPr>
                <w:rFonts w:ascii="Times New Roman" w:hAnsi="Times New Roman"/>
                <w:noProof/>
                <w:szCs w:val="24"/>
              </w:rPr>
              <w:t>5 – 17/02/2016</w:t>
            </w:r>
          </w:p>
        </w:tc>
        <w:tc>
          <w:tcPr>
            <w:tcW w:w="3402" w:type="dxa"/>
            <w:tcBorders>
              <w:top w:val="single" w:sz="4" w:space="0" w:color="auto"/>
              <w:left w:val="single" w:sz="4" w:space="0" w:color="auto"/>
              <w:bottom w:val="single" w:sz="4" w:space="0" w:color="auto"/>
              <w:right w:val="single" w:sz="4" w:space="0" w:color="auto"/>
            </w:tcBorders>
            <w:hideMark/>
          </w:tcPr>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Discussion on the experts' methodology (in presence of the Expert Group)</w:t>
            </w:r>
          </w:p>
        </w:tc>
        <w:tc>
          <w:tcPr>
            <w:tcW w:w="3402" w:type="dxa"/>
            <w:tcBorders>
              <w:top w:val="single" w:sz="4" w:space="0" w:color="auto"/>
              <w:left w:val="single" w:sz="4" w:space="0" w:color="auto"/>
              <w:bottom w:val="single" w:sz="4" w:space="0" w:color="auto"/>
              <w:right w:val="single" w:sz="4" w:space="0" w:color="auto"/>
            </w:tcBorders>
            <w:hideMark/>
          </w:tcPr>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Finalise consultation related activities</w:t>
            </w:r>
          </w:p>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Validation of the Expert Group work methodology</w:t>
            </w:r>
          </w:p>
        </w:tc>
      </w:tr>
      <w:tr>
        <w:trPr>
          <w:jc w:val="center"/>
        </w:trPr>
        <w:tc>
          <w:tcPr>
            <w:tcW w:w="2660" w:type="dxa"/>
            <w:tcBorders>
              <w:top w:val="single" w:sz="4" w:space="0" w:color="auto"/>
              <w:left w:val="single" w:sz="4" w:space="0" w:color="auto"/>
              <w:bottom w:val="single" w:sz="4" w:space="0" w:color="auto"/>
              <w:right w:val="single" w:sz="4" w:space="0" w:color="auto"/>
            </w:tcBorders>
            <w:hideMark/>
          </w:tcPr>
          <w:p>
            <w:pPr>
              <w:spacing w:after="0" w:line="240" w:lineRule="auto"/>
              <w:jc w:val="both"/>
              <w:rPr>
                <w:rFonts w:ascii="Times New Roman" w:hAnsi="Times New Roman"/>
                <w:noProof/>
                <w:szCs w:val="24"/>
              </w:rPr>
            </w:pPr>
            <w:r>
              <w:rPr>
                <w:rFonts w:ascii="Times New Roman" w:hAnsi="Times New Roman"/>
                <w:noProof/>
                <w:szCs w:val="24"/>
              </w:rPr>
              <w:t>6 – 14/03/2016</w:t>
            </w:r>
          </w:p>
        </w:tc>
        <w:tc>
          <w:tcPr>
            <w:tcW w:w="3402" w:type="dxa"/>
            <w:tcBorders>
              <w:top w:val="single" w:sz="4" w:space="0" w:color="auto"/>
              <w:left w:val="single" w:sz="4" w:space="0" w:color="auto"/>
              <w:bottom w:val="single" w:sz="4" w:space="0" w:color="auto"/>
              <w:right w:val="single" w:sz="4" w:space="0" w:color="auto"/>
            </w:tcBorders>
          </w:tcPr>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Consultation and Stakeholders event</w:t>
            </w:r>
          </w:p>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First outline IA report</w:t>
            </w:r>
          </w:p>
        </w:tc>
        <w:tc>
          <w:tcPr>
            <w:tcW w:w="3402" w:type="dxa"/>
            <w:tcBorders>
              <w:top w:val="single" w:sz="4" w:space="0" w:color="auto"/>
              <w:left w:val="single" w:sz="4" w:space="0" w:color="auto"/>
              <w:bottom w:val="single" w:sz="4" w:space="0" w:color="auto"/>
              <w:right w:val="single" w:sz="4" w:space="0" w:color="auto"/>
            </w:tcBorders>
            <w:hideMark/>
          </w:tcPr>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Analysis of contribution from the PRIMA Consortium in their addendum sent on 29/02/2016</w:t>
            </w:r>
          </w:p>
        </w:tc>
      </w:tr>
      <w:tr>
        <w:trPr>
          <w:jc w:val="center"/>
        </w:trPr>
        <w:tc>
          <w:tcPr>
            <w:tcW w:w="2660" w:type="dxa"/>
            <w:tcBorders>
              <w:top w:val="single" w:sz="4" w:space="0" w:color="auto"/>
              <w:left w:val="single" w:sz="4" w:space="0" w:color="auto"/>
              <w:bottom w:val="single" w:sz="4" w:space="0" w:color="auto"/>
              <w:right w:val="single" w:sz="4" w:space="0" w:color="auto"/>
            </w:tcBorders>
            <w:hideMark/>
          </w:tcPr>
          <w:p>
            <w:pPr>
              <w:spacing w:after="0" w:line="240" w:lineRule="auto"/>
              <w:jc w:val="both"/>
              <w:rPr>
                <w:rFonts w:ascii="Times New Roman" w:hAnsi="Times New Roman"/>
                <w:noProof/>
                <w:szCs w:val="24"/>
              </w:rPr>
            </w:pPr>
            <w:r>
              <w:rPr>
                <w:rFonts w:ascii="Times New Roman" w:hAnsi="Times New Roman"/>
                <w:noProof/>
                <w:szCs w:val="24"/>
              </w:rPr>
              <w:t>7 – 04/04/2016</w:t>
            </w:r>
          </w:p>
        </w:tc>
        <w:tc>
          <w:tcPr>
            <w:tcW w:w="3402" w:type="dxa"/>
            <w:tcBorders>
              <w:top w:val="single" w:sz="4" w:space="0" w:color="auto"/>
              <w:left w:val="single" w:sz="4" w:space="0" w:color="auto"/>
              <w:bottom w:val="single" w:sz="4" w:space="0" w:color="auto"/>
              <w:right w:val="single" w:sz="4" w:space="0" w:color="auto"/>
            </w:tcBorders>
            <w:hideMark/>
          </w:tcPr>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Public Consultation Stakeholders event</w:t>
            </w:r>
          </w:p>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IA report - Problem definition and drivers</w:t>
            </w:r>
          </w:p>
        </w:tc>
        <w:tc>
          <w:tcPr>
            <w:tcW w:w="3402" w:type="dxa"/>
            <w:tcBorders>
              <w:top w:val="single" w:sz="4" w:space="0" w:color="auto"/>
              <w:left w:val="single" w:sz="4" w:space="0" w:color="auto"/>
              <w:bottom w:val="single" w:sz="4" w:space="0" w:color="auto"/>
              <w:right w:val="single" w:sz="4" w:space="0" w:color="auto"/>
            </w:tcBorders>
            <w:hideMark/>
          </w:tcPr>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Integration of the inputs of the Addendum of the PRIMA Consortium into the draft IA report</w:t>
            </w:r>
          </w:p>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Integration of comments from ISG into the draft IA report</w:t>
            </w:r>
          </w:p>
        </w:tc>
      </w:tr>
      <w:tr>
        <w:trPr>
          <w:jc w:val="center"/>
        </w:trPr>
        <w:tc>
          <w:tcPr>
            <w:tcW w:w="2660" w:type="dxa"/>
            <w:tcBorders>
              <w:top w:val="single" w:sz="4" w:space="0" w:color="auto"/>
              <w:left w:val="single" w:sz="4" w:space="0" w:color="auto"/>
              <w:bottom w:val="single" w:sz="4" w:space="0" w:color="auto"/>
              <w:right w:val="single" w:sz="4" w:space="0" w:color="auto"/>
            </w:tcBorders>
            <w:hideMark/>
          </w:tcPr>
          <w:p>
            <w:pPr>
              <w:spacing w:after="0" w:line="240" w:lineRule="auto"/>
              <w:jc w:val="both"/>
              <w:rPr>
                <w:rFonts w:ascii="Times New Roman" w:hAnsi="Times New Roman"/>
                <w:noProof/>
                <w:szCs w:val="24"/>
              </w:rPr>
            </w:pPr>
            <w:r>
              <w:rPr>
                <w:rFonts w:ascii="Times New Roman" w:hAnsi="Times New Roman"/>
                <w:noProof/>
                <w:szCs w:val="24"/>
              </w:rPr>
              <w:t>8 – 04/05/2016</w:t>
            </w:r>
          </w:p>
        </w:tc>
        <w:tc>
          <w:tcPr>
            <w:tcW w:w="3402" w:type="dxa"/>
            <w:tcBorders>
              <w:top w:val="single" w:sz="4" w:space="0" w:color="auto"/>
              <w:left w:val="single" w:sz="4" w:space="0" w:color="auto"/>
              <w:bottom w:val="single" w:sz="4" w:space="0" w:color="auto"/>
              <w:right w:val="single" w:sz="4" w:space="0" w:color="auto"/>
            </w:tcBorders>
            <w:hideMark/>
          </w:tcPr>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 xml:space="preserve">Draft IA report </w:t>
            </w:r>
          </w:p>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Legal aspects of the DIS proposed by the PRIMA Consortium</w:t>
            </w:r>
          </w:p>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 xml:space="preserve">Grant management and funding model </w:t>
            </w:r>
          </w:p>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Discussion on the Short Summary report of the Stakeholders consultation</w:t>
            </w:r>
          </w:p>
        </w:tc>
        <w:tc>
          <w:tcPr>
            <w:tcW w:w="3402" w:type="dxa"/>
            <w:tcBorders>
              <w:top w:val="single" w:sz="4" w:space="0" w:color="auto"/>
              <w:left w:val="single" w:sz="4" w:space="0" w:color="auto"/>
              <w:bottom w:val="single" w:sz="4" w:space="0" w:color="auto"/>
              <w:right w:val="single" w:sz="4" w:space="0" w:color="auto"/>
            </w:tcBorders>
            <w:hideMark/>
          </w:tcPr>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First final report from the Experts Group (30/04/2016)</w:t>
            </w:r>
          </w:p>
        </w:tc>
      </w:tr>
      <w:tr>
        <w:trPr>
          <w:jc w:val="center"/>
        </w:trPr>
        <w:tc>
          <w:tcPr>
            <w:tcW w:w="2660" w:type="dxa"/>
            <w:tcBorders>
              <w:top w:val="single" w:sz="4" w:space="0" w:color="auto"/>
              <w:left w:val="single" w:sz="4" w:space="0" w:color="auto"/>
              <w:bottom w:val="single" w:sz="4" w:space="0" w:color="auto"/>
              <w:right w:val="single" w:sz="4" w:space="0" w:color="auto"/>
            </w:tcBorders>
            <w:hideMark/>
          </w:tcPr>
          <w:p>
            <w:pPr>
              <w:spacing w:after="0" w:line="240" w:lineRule="auto"/>
              <w:jc w:val="both"/>
              <w:rPr>
                <w:rFonts w:ascii="Times New Roman" w:hAnsi="Times New Roman"/>
                <w:noProof/>
                <w:szCs w:val="24"/>
              </w:rPr>
            </w:pPr>
            <w:r>
              <w:rPr>
                <w:rFonts w:ascii="Times New Roman" w:hAnsi="Times New Roman"/>
                <w:noProof/>
                <w:szCs w:val="24"/>
              </w:rPr>
              <w:t>9 – 13/05/2016</w:t>
            </w:r>
          </w:p>
        </w:tc>
        <w:tc>
          <w:tcPr>
            <w:tcW w:w="3402" w:type="dxa"/>
            <w:tcBorders>
              <w:top w:val="single" w:sz="4" w:space="0" w:color="auto"/>
              <w:left w:val="single" w:sz="4" w:space="0" w:color="auto"/>
              <w:bottom w:val="single" w:sz="4" w:space="0" w:color="auto"/>
              <w:right w:val="single" w:sz="4" w:space="0" w:color="auto"/>
            </w:tcBorders>
            <w:hideMark/>
          </w:tcPr>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Discussion with the rapporteur of the Expert Group</w:t>
            </w:r>
          </w:p>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Discussion on the international agreements</w:t>
            </w:r>
          </w:p>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Discussion on the letter sent by R.J. Smits (DG) to the PRIMA Consortium on the financial and grant management and the DIS</w:t>
            </w:r>
          </w:p>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Discussion of the IA report sections (1, 2, 3 &amp; 4) and deadlines</w:t>
            </w:r>
          </w:p>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 xml:space="preserve">Planning for the consolidated IA report </w:t>
            </w:r>
          </w:p>
        </w:tc>
        <w:tc>
          <w:tcPr>
            <w:tcW w:w="3402" w:type="dxa"/>
            <w:tcBorders>
              <w:top w:val="single" w:sz="4" w:space="0" w:color="auto"/>
              <w:left w:val="single" w:sz="4" w:space="0" w:color="auto"/>
              <w:bottom w:val="single" w:sz="4" w:space="0" w:color="auto"/>
              <w:right w:val="single" w:sz="4" w:space="0" w:color="auto"/>
            </w:tcBorders>
            <w:hideMark/>
          </w:tcPr>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 xml:space="preserve">Revised Short Summary Report of the Public Stakeholders consultation taking into account comments from the ISG </w:t>
            </w:r>
          </w:p>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First final report from the Experts Group (09/05/2016)</w:t>
            </w:r>
          </w:p>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Agreement of the methodology for the inputs to the IA report during following weeks</w:t>
            </w:r>
          </w:p>
        </w:tc>
      </w:tr>
      <w:tr>
        <w:trPr>
          <w:jc w:val="center"/>
        </w:trPr>
        <w:tc>
          <w:tcPr>
            <w:tcW w:w="2660" w:type="dxa"/>
            <w:tcBorders>
              <w:top w:val="single" w:sz="4" w:space="0" w:color="auto"/>
              <w:left w:val="single" w:sz="4" w:space="0" w:color="auto"/>
              <w:bottom w:val="single" w:sz="4" w:space="0" w:color="auto"/>
              <w:right w:val="single" w:sz="4" w:space="0" w:color="auto"/>
            </w:tcBorders>
            <w:hideMark/>
          </w:tcPr>
          <w:p>
            <w:pPr>
              <w:spacing w:after="0" w:line="240" w:lineRule="auto"/>
              <w:jc w:val="both"/>
              <w:rPr>
                <w:rFonts w:ascii="Times New Roman" w:hAnsi="Times New Roman"/>
                <w:noProof/>
                <w:szCs w:val="24"/>
              </w:rPr>
            </w:pPr>
            <w:r>
              <w:rPr>
                <w:rFonts w:ascii="Times New Roman" w:hAnsi="Times New Roman"/>
                <w:noProof/>
                <w:szCs w:val="24"/>
              </w:rPr>
              <w:t>10 – 01 and 6/06/2016</w:t>
            </w:r>
          </w:p>
        </w:tc>
        <w:tc>
          <w:tcPr>
            <w:tcW w:w="3402" w:type="dxa"/>
            <w:tcBorders>
              <w:top w:val="single" w:sz="4" w:space="0" w:color="auto"/>
              <w:left w:val="single" w:sz="4" w:space="0" w:color="auto"/>
              <w:bottom w:val="single" w:sz="4" w:space="0" w:color="auto"/>
              <w:right w:val="single" w:sz="4" w:space="0" w:color="auto"/>
            </w:tcBorders>
          </w:tcPr>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 xml:space="preserve">Discussion on the final Synopsis Report </w:t>
            </w:r>
          </w:p>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Discussion on the IA Report, section by section.</w:t>
            </w:r>
          </w:p>
        </w:tc>
        <w:tc>
          <w:tcPr>
            <w:tcW w:w="3402" w:type="dxa"/>
            <w:tcBorders>
              <w:top w:val="single" w:sz="4" w:space="0" w:color="auto"/>
              <w:left w:val="single" w:sz="4" w:space="0" w:color="auto"/>
              <w:bottom w:val="single" w:sz="4" w:space="0" w:color="auto"/>
              <w:right w:val="single" w:sz="4" w:space="0" w:color="auto"/>
            </w:tcBorders>
            <w:hideMark/>
          </w:tcPr>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Comments to be integrated on the IA report to be sent to the RSB.</w:t>
            </w:r>
          </w:p>
          <w:p>
            <w:pPr>
              <w:pStyle w:val="ListParagraph"/>
              <w:numPr>
                <w:ilvl w:val="0"/>
                <w:numId w:val="14"/>
              </w:numPr>
              <w:spacing w:after="0" w:line="240" w:lineRule="auto"/>
              <w:ind w:left="165" w:hanging="165"/>
              <w:jc w:val="left"/>
              <w:rPr>
                <w:rFonts w:ascii="Times New Roman" w:hAnsi="Times New Roman"/>
                <w:noProof/>
                <w:szCs w:val="24"/>
              </w:rPr>
            </w:pPr>
            <w:r>
              <w:rPr>
                <w:rFonts w:ascii="Times New Roman" w:hAnsi="Times New Roman"/>
                <w:noProof/>
                <w:szCs w:val="24"/>
              </w:rPr>
              <w:t>Agreement on the procedural follow up</w:t>
            </w:r>
          </w:p>
        </w:tc>
      </w:tr>
    </w:tbl>
    <w:p>
      <w:pPr>
        <w:spacing w:after="0" w:line="240" w:lineRule="auto"/>
        <w:jc w:val="both"/>
        <w:rPr>
          <w:rFonts w:ascii="Times New Roman" w:hAnsi="Times New Roman"/>
          <w:noProof/>
          <w:sz w:val="28"/>
          <w:szCs w:val="24"/>
        </w:rPr>
      </w:pPr>
    </w:p>
    <w:p>
      <w:pPr>
        <w:pStyle w:val="Heading3"/>
        <w:keepLines w:val="0"/>
        <w:numPr>
          <w:ilvl w:val="1"/>
          <w:numId w:val="41"/>
        </w:numPr>
        <w:tabs>
          <w:tab w:val="left" w:pos="2820"/>
        </w:tabs>
        <w:suppressAutoHyphens/>
        <w:spacing w:before="0" w:after="120" w:line="240" w:lineRule="auto"/>
        <w:jc w:val="both"/>
        <w:rPr>
          <w:rFonts w:ascii="Times New Roman" w:hAnsi="Times New Roman" w:cs="Times New Roman"/>
          <w:b w:val="0"/>
          <w:i/>
          <w:noProof/>
          <w:color w:val="auto"/>
          <w:sz w:val="24"/>
          <w:szCs w:val="24"/>
        </w:rPr>
      </w:pPr>
      <w:bookmarkStart w:id="309" w:name="_Toc452566279"/>
      <w:bookmarkStart w:id="310" w:name="_Toc437329653"/>
      <w:bookmarkStart w:id="311" w:name="_Toc436895831"/>
      <w:bookmarkStart w:id="312" w:name="_Toc453058510"/>
      <w:bookmarkStart w:id="313" w:name="_Toc455682297"/>
      <w:bookmarkStart w:id="314" w:name="_Toc455682857"/>
      <w:bookmarkStart w:id="315" w:name="_Toc457466080"/>
      <w:r>
        <w:rPr>
          <w:rFonts w:ascii="Times New Roman" w:hAnsi="Times New Roman" w:cs="Times New Roman"/>
          <w:b w:val="0"/>
          <w:i/>
          <w:noProof/>
          <w:color w:val="auto"/>
          <w:sz w:val="24"/>
          <w:szCs w:val="24"/>
        </w:rPr>
        <w:t>Evidence</w:t>
      </w:r>
      <w:bookmarkEnd w:id="309"/>
      <w:bookmarkEnd w:id="310"/>
      <w:bookmarkEnd w:id="311"/>
      <w:bookmarkEnd w:id="312"/>
      <w:bookmarkEnd w:id="313"/>
      <w:bookmarkEnd w:id="314"/>
      <w:bookmarkEnd w:id="315"/>
    </w:p>
    <w:p>
      <w:pPr>
        <w:rPr>
          <w:rFonts w:ascii="Times New Roman" w:hAnsi="Times New Roman"/>
          <w:noProof/>
          <w:sz w:val="24"/>
        </w:rPr>
      </w:pPr>
      <w:r>
        <w:rPr>
          <w:rFonts w:ascii="Times New Roman" w:hAnsi="Times New Roman"/>
          <w:noProof/>
          <w:sz w:val="24"/>
        </w:rPr>
        <w:t>The whole report and the options considered in the IA report were designed by taking into account the following documents:</w:t>
      </w:r>
    </w:p>
    <w:p>
      <w:pPr>
        <w:pStyle w:val="Default"/>
        <w:numPr>
          <w:ilvl w:val="0"/>
          <w:numId w:val="15"/>
        </w:numPr>
        <w:adjustRightInd/>
        <w:ind w:left="284" w:hanging="284"/>
        <w:jc w:val="left"/>
        <w:rPr>
          <w:rFonts w:ascii="Times New Roman" w:hAnsi="Times New Roman" w:cs="Times New Roman"/>
          <w:noProof/>
          <w:szCs w:val="22"/>
        </w:rPr>
      </w:pPr>
      <w:r>
        <w:rPr>
          <w:rFonts w:ascii="Times New Roman" w:hAnsi="Times New Roman" w:cs="Times New Roman"/>
          <w:noProof/>
          <w:szCs w:val="22"/>
        </w:rPr>
        <w:t>Science, Research and Innovation performance of the EU – A contribution to the Open Innovation, Open Science, Open to the World agenda – 2016 (</w:t>
      </w:r>
      <w:hyperlink r:id="rId32" w:history="1">
        <w:r>
          <w:rPr>
            <w:rStyle w:val="Hyperlink"/>
            <w:rFonts w:ascii="Times New Roman" w:hAnsi="Times New Roman"/>
            <w:noProof/>
            <w:szCs w:val="22"/>
          </w:rPr>
          <w:t>http://bookshop.europa.eu/en/science-research-and-innovation-performance-of-the-eu)</w:t>
        </w:r>
      </w:hyperlink>
    </w:p>
    <w:p>
      <w:pPr>
        <w:pStyle w:val="Default"/>
        <w:numPr>
          <w:ilvl w:val="0"/>
          <w:numId w:val="15"/>
        </w:numPr>
        <w:adjustRightInd/>
        <w:ind w:left="284" w:hanging="284"/>
        <w:jc w:val="left"/>
        <w:rPr>
          <w:rFonts w:ascii="Times New Roman" w:hAnsi="Times New Roman" w:cs="Times New Roman"/>
          <w:noProof/>
          <w:szCs w:val="22"/>
        </w:rPr>
      </w:pPr>
      <w:r>
        <w:rPr>
          <w:rFonts w:ascii="Times New Roman" w:hAnsi="Times New Roman" w:cs="Times New Roman"/>
          <w:noProof/>
          <w:szCs w:val="22"/>
        </w:rPr>
        <w:t>Ex-Post Evaluation of the Seventh Framework Programme-SWD(2016) 2 final  (</w:t>
      </w:r>
      <w:hyperlink r:id="rId33" w:history="1">
        <w:r>
          <w:rPr>
            <w:rStyle w:val="Hyperlink"/>
            <w:rFonts w:ascii="Times New Roman" w:hAnsi="Times New Roman"/>
            <w:noProof/>
            <w:szCs w:val="22"/>
          </w:rPr>
          <w:t>https://ec.europa.eu/research/evaluations/index_en.cfm</w:t>
        </w:r>
      </w:hyperlink>
      <w:r>
        <w:rPr>
          <w:rFonts w:ascii="Times New Roman" w:hAnsi="Times New Roman" w:cs="Times New Roman"/>
          <w:noProof/>
          <w:szCs w:val="22"/>
        </w:rPr>
        <w:t>)</w:t>
      </w:r>
    </w:p>
    <w:p>
      <w:pPr>
        <w:pStyle w:val="ListParagraph"/>
        <w:numPr>
          <w:ilvl w:val="0"/>
          <w:numId w:val="15"/>
        </w:numPr>
        <w:spacing w:after="0" w:line="240" w:lineRule="auto"/>
        <w:ind w:left="284" w:hanging="284"/>
        <w:jc w:val="left"/>
        <w:rPr>
          <w:rFonts w:ascii="Times New Roman" w:hAnsi="Times New Roman"/>
          <w:noProof/>
          <w:sz w:val="24"/>
        </w:rPr>
      </w:pPr>
      <w:r>
        <w:rPr>
          <w:rFonts w:ascii="Times New Roman" w:hAnsi="Times New Roman"/>
          <w:noProof/>
          <w:color w:val="000000"/>
          <w:sz w:val="24"/>
        </w:rPr>
        <w:t>Horizon 2020 Monitoring Report 2014</w:t>
      </w:r>
      <w:r>
        <w:rPr>
          <w:rFonts w:ascii="Times New Roman" w:hAnsi="Times New Roman"/>
          <w:noProof/>
          <w:sz w:val="24"/>
        </w:rPr>
        <w:t xml:space="preserve"> (</w:t>
      </w:r>
      <w:hyperlink r:id="rId34" w:history="1">
        <w:r>
          <w:rPr>
            <w:rStyle w:val="Hyperlink"/>
            <w:rFonts w:ascii="Times New Roman" w:hAnsi="Times New Roman"/>
            <w:noProof/>
            <w:sz w:val="24"/>
          </w:rPr>
          <w:t>https://ec.europa.eu/research/evaluations/pdf/archive/Horizon 2020_monitoring_reports/first_Horizon 2020_annual_monitoring_report.pdf</w:t>
        </w:r>
      </w:hyperlink>
      <w:r>
        <w:rPr>
          <w:rFonts w:ascii="Times New Roman" w:hAnsi="Times New Roman"/>
          <w:noProof/>
          <w:sz w:val="24"/>
        </w:rPr>
        <w:t xml:space="preserve">) </w:t>
      </w:r>
    </w:p>
    <w:p>
      <w:pPr>
        <w:pStyle w:val="ListParagraph"/>
        <w:numPr>
          <w:ilvl w:val="0"/>
          <w:numId w:val="15"/>
        </w:numPr>
        <w:spacing w:after="0" w:line="240" w:lineRule="auto"/>
        <w:ind w:left="284" w:hanging="284"/>
        <w:jc w:val="left"/>
        <w:rPr>
          <w:rFonts w:ascii="Times New Roman" w:hAnsi="Times New Roman"/>
          <w:noProof/>
          <w:sz w:val="24"/>
        </w:rPr>
      </w:pPr>
      <w:r>
        <w:rPr>
          <w:rFonts w:ascii="Times New Roman" w:hAnsi="Times New Roman"/>
          <w:noProof/>
          <w:sz w:val="24"/>
        </w:rPr>
        <w:t>PRIMA Joint Programme Proposal – December 2014</w:t>
      </w:r>
    </w:p>
    <w:p>
      <w:pPr>
        <w:pStyle w:val="ListParagraph"/>
        <w:numPr>
          <w:ilvl w:val="0"/>
          <w:numId w:val="15"/>
        </w:numPr>
        <w:spacing w:after="0" w:line="240" w:lineRule="auto"/>
        <w:ind w:left="284" w:hanging="284"/>
        <w:jc w:val="left"/>
        <w:rPr>
          <w:rFonts w:ascii="Times New Roman" w:hAnsi="Times New Roman"/>
          <w:noProof/>
          <w:sz w:val="24"/>
        </w:rPr>
      </w:pPr>
      <w:r>
        <w:rPr>
          <w:rFonts w:ascii="Times New Roman" w:hAnsi="Times New Roman"/>
          <w:noProof/>
          <w:sz w:val="24"/>
        </w:rPr>
        <w:t>Addendum to the PRIMA Joint Programme – February 2016</w:t>
      </w:r>
    </w:p>
    <w:p>
      <w:pPr>
        <w:pStyle w:val="ListParagraph"/>
        <w:numPr>
          <w:ilvl w:val="0"/>
          <w:numId w:val="15"/>
        </w:numPr>
        <w:spacing w:after="0" w:line="240" w:lineRule="auto"/>
        <w:ind w:left="284" w:hanging="284"/>
        <w:jc w:val="left"/>
        <w:rPr>
          <w:rFonts w:ascii="Times New Roman" w:hAnsi="Times New Roman"/>
          <w:noProof/>
          <w:sz w:val="24"/>
        </w:rPr>
      </w:pPr>
      <w:r>
        <w:rPr>
          <w:rFonts w:ascii="Times New Roman" w:hAnsi="Times New Roman"/>
          <w:noProof/>
          <w:sz w:val="24"/>
        </w:rPr>
        <w:t>Experts Group Final Report – May 2016</w:t>
      </w:r>
    </w:p>
    <w:p>
      <w:pPr>
        <w:pStyle w:val="ListParagraph"/>
        <w:numPr>
          <w:ilvl w:val="0"/>
          <w:numId w:val="15"/>
        </w:numPr>
        <w:spacing w:after="0" w:line="240" w:lineRule="auto"/>
        <w:ind w:left="284" w:hanging="284"/>
        <w:jc w:val="left"/>
        <w:rPr>
          <w:rFonts w:ascii="Times New Roman" w:hAnsi="Times New Roman"/>
          <w:noProof/>
          <w:sz w:val="24"/>
        </w:rPr>
      </w:pPr>
      <w:r>
        <w:rPr>
          <w:rFonts w:ascii="Times New Roman" w:hAnsi="Times New Roman"/>
          <w:noProof/>
          <w:sz w:val="24"/>
        </w:rPr>
        <w:t>Public Stakeholders Event – March 2016</w:t>
      </w:r>
    </w:p>
    <w:p>
      <w:pPr>
        <w:pStyle w:val="ListParagraph"/>
        <w:numPr>
          <w:ilvl w:val="0"/>
          <w:numId w:val="15"/>
        </w:numPr>
        <w:spacing w:after="120" w:line="240" w:lineRule="auto"/>
        <w:ind w:left="284" w:hanging="284"/>
        <w:jc w:val="left"/>
        <w:rPr>
          <w:rFonts w:ascii="Times New Roman" w:hAnsi="Times New Roman"/>
          <w:noProof/>
          <w:sz w:val="24"/>
        </w:rPr>
      </w:pPr>
      <w:r>
        <w:rPr>
          <w:rFonts w:ascii="Times New Roman" w:hAnsi="Times New Roman"/>
          <w:noProof/>
          <w:sz w:val="24"/>
        </w:rPr>
        <w:t>'EC Contributions to Sustainable Development Goals' workshop – February 2016</w:t>
      </w:r>
    </w:p>
    <w:p>
      <w:pPr>
        <w:spacing w:line="240" w:lineRule="auto"/>
        <w:rPr>
          <w:rFonts w:ascii="Times New Roman" w:hAnsi="Times New Roman"/>
          <w:noProof/>
          <w:sz w:val="24"/>
        </w:rPr>
      </w:pPr>
      <w:r>
        <w:rPr>
          <w:rFonts w:ascii="Times New Roman" w:hAnsi="Times New Roman"/>
          <w:noProof/>
          <w:sz w:val="24"/>
        </w:rPr>
        <w:t>The sources are clearly indicated in the bibliography and range from academic papers to industry figures and estimates.</w:t>
      </w:r>
    </w:p>
    <w:p>
      <w:pPr>
        <w:spacing w:line="240" w:lineRule="auto"/>
        <w:rPr>
          <w:rFonts w:ascii="Times New Roman" w:hAnsi="Times New Roman"/>
          <w:noProof/>
          <w:sz w:val="24"/>
        </w:rPr>
      </w:pPr>
    </w:p>
    <w:p>
      <w:pPr>
        <w:pStyle w:val="Heading3"/>
        <w:keepLines w:val="0"/>
        <w:numPr>
          <w:ilvl w:val="1"/>
          <w:numId w:val="41"/>
        </w:numPr>
        <w:tabs>
          <w:tab w:val="left" w:pos="2820"/>
        </w:tabs>
        <w:suppressAutoHyphens/>
        <w:spacing w:before="0" w:after="120" w:line="240" w:lineRule="auto"/>
        <w:jc w:val="both"/>
        <w:rPr>
          <w:rFonts w:ascii="Times New Roman" w:hAnsi="Times New Roman" w:cs="Times New Roman"/>
          <w:b w:val="0"/>
          <w:i/>
          <w:noProof/>
          <w:color w:val="auto"/>
          <w:sz w:val="24"/>
          <w:szCs w:val="24"/>
        </w:rPr>
      </w:pPr>
      <w:bookmarkStart w:id="316" w:name="_Toc452566280"/>
      <w:bookmarkStart w:id="317" w:name="_Toc437329654"/>
      <w:bookmarkStart w:id="318" w:name="_Toc436895832"/>
      <w:bookmarkStart w:id="319" w:name="_Toc453058511"/>
      <w:bookmarkStart w:id="320" w:name="_Toc455682298"/>
      <w:bookmarkStart w:id="321" w:name="_Toc455682858"/>
      <w:bookmarkStart w:id="322" w:name="_Toc457466081"/>
      <w:r>
        <w:rPr>
          <w:rFonts w:ascii="Times New Roman" w:hAnsi="Times New Roman" w:cs="Times New Roman"/>
          <w:b w:val="0"/>
          <w:i/>
          <w:noProof/>
          <w:color w:val="auto"/>
          <w:sz w:val="24"/>
          <w:szCs w:val="24"/>
        </w:rPr>
        <w:t>External expertise</w:t>
      </w:r>
      <w:bookmarkEnd w:id="316"/>
      <w:bookmarkEnd w:id="317"/>
      <w:bookmarkEnd w:id="318"/>
      <w:bookmarkEnd w:id="319"/>
      <w:bookmarkEnd w:id="320"/>
      <w:bookmarkEnd w:id="321"/>
      <w:bookmarkEnd w:id="322"/>
    </w:p>
    <w:p>
      <w:pPr>
        <w:spacing w:after="120" w:line="240" w:lineRule="auto"/>
        <w:jc w:val="both"/>
        <w:rPr>
          <w:rFonts w:ascii="Times New Roman" w:hAnsi="Times New Roman"/>
          <w:noProof/>
          <w:sz w:val="24"/>
        </w:rPr>
      </w:pPr>
      <w:r>
        <w:rPr>
          <w:rFonts w:ascii="Times New Roman" w:hAnsi="Times New Roman"/>
          <w:noProof/>
          <w:sz w:val="24"/>
        </w:rPr>
        <w:t>The European Commission sought external expertise on the technical field, on Horizon instruments as well as on environmental and socio-economic impacts.</w:t>
      </w:r>
    </w:p>
    <w:p>
      <w:pPr>
        <w:spacing w:after="120" w:line="240" w:lineRule="auto"/>
        <w:jc w:val="both"/>
        <w:rPr>
          <w:rFonts w:ascii="Times New Roman" w:hAnsi="Times New Roman"/>
          <w:noProof/>
          <w:sz w:val="24"/>
        </w:rPr>
      </w:pPr>
      <w:r>
        <w:rPr>
          <w:rFonts w:ascii="Times New Roman" w:hAnsi="Times New Roman"/>
          <w:noProof/>
          <w:sz w:val="24"/>
        </w:rPr>
        <w:t>An Expert Group was set up in October 2016 and duly registered in the SG Register. It is composed of 9 experts coming from Mediterranean MS, non-Mediterranean MS and Third Countries. The members of the Expert Group have covered a wide and complementary field of competences: water technologies and management, agriculture, food systems, sustainability, sociology, policy, econometrics, impact assessment, migration, Mediterranean, and SMEs.</w:t>
      </w:r>
    </w:p>
    <w:p>
      <w:pPr>
        <w:spacing w:after="120" w:line="240" w:lineRule="auto"/>
        <w:jc w:val="both"/>
        <w:rPr>
          <w:rFonts w:ascii="Times New Roman" w:hAnsi="Times New Roman"/>
          <w:noProof/>
          <w:sz w:val="24"/>
        </w:rPr>
      </w:pPr>
      <w:r>
        <w:rPr>
          <w:rFonts w:ascii="Times New Roman" w:hAnsi="Times New Roman"/>
          <w:noProof/>
          <w:sz w:val="24"/>
        </w:rPr>
        <w:t>Five out of the nine members of the PRIMA Expert Group are based in countries participating in PRIMA. The organisation these five experts currently work for could eventually become grant beneficiaries of actions launched in the context of PRIMA. All of the experts have a senior R&amp;I background, and have long been involved in activities and initiatives related to the different Framework Programmes, with an emphasis on Mediterranean issues and cooperation. At this point of their careers, most of them have high-level management responsibilities. As a consequence, these five members could have more of an indirect interest in PRIMA rather than a direct one.</w:t>
      </w:r>
    </w:p>
    <w:p>
      <w:pPr>
        <w:spacing w:after="120" w:line="240" w:lineRule="auto"/>
        <w:jc w:val="both"/>
        <w:rPr>
          <w:rFonts w:ascii="Times New Roman" w:hAnsi="Times New Roman"/>
          <w:noProof/>
          <w:sz w:val="24"/>
        </w:rPr>
      </w:pPr>
      <w:r>
        <w:rPr>
          <w:rFonts w:ascii="Times New Roman" w:hAnsi="Times New Roman"/>
          <w:noProof/>
          <w:sz w:val="24"/>
        </w:rPr>
        <w:t>The Expert Group collected evidence and drew their conclusions and recommendations based on:</w:t>
      </w:r>
    </w:p>
    <w:p>
      <w:pPr>
        <w:pStyle w:val="ListParagraph"/>
        <w:numPr>
          <w:ilvl w:val="0"/>
          <w:numId w:val="13"/>
        </w:numPr>
        <w:spacing w:after="0" w:line="240" w:lineRule="auto"/>
        <w:ind w:left="284" w:hanging="284"/>
        <w:rPr>
          <w:rFonts w:ascii="Times New Roman" w:hAnsi="Times New Roman"/>
          <w:noProof/>
          <w:sz w:val="24"/>
          <w:szCs w:val="24"/>
        </w:rPr>
      </w:pPr>
      <w:r>
        <w:rPr>
          <w:rFonts w:ascii="Times New Roman" w:hAnsi="Times New Roman"/>
          <w:noProof/>
          <w:sz w:val="24"/>
          <w:szCs w:val="24"/>
        </w:rPr>
        <w:t>the analysis of an extensive set of policy and research documents related to PRIMA. This resulted in a thematic CIRCA repository with over a hundred documents and 188 references to external documents in the Expert Group Report;</w:t>
      </w:r>
    </w:p>
    <w:p>
      <w:pPr>
        <w:pStyle w:val="ListParagraph"/>
        <w:numPr>
          <w:ilvl w:val="0"/>
          <w:numId w:val="13"/>
        </w:numPr>
        <w:spacing w:after="0" w:line="240" w:lineRule="auto"/>
        <w:ind w:left="284" w:hanging="284"/>
        <w:rPr>
          <w:rFonts w:ascii="Times New Roman" w:hAnsi="Times New Roman"/>
          <w:noProof/>
          <w:sz w:val="24"/>
          <w:szCs w:val="24"/>
        </w:rPr>
      </w:pPr>
      <w:r>
        <w:rPr>
          <w:rFonts w:ascii="Times New Roman" w:hAnsi="Times New Roman"/>
          <w:noProof/>
          <w:sz w:val="24"/>
          <w:szCs w:val="24"/>
        </w:rPr>
        <w:t>20 open-ended interviews and six questionnaires with relevant external stakeholders;</w:t>
      </w:r>
    </w:p>
    <w:p>
      <w:pPr>
        <w:pStyle w:val="ListParagraph"/>
        <w:numPr>
          <w:ilvl w:val="0"/>
          <w:numId w:val="13"/>
        </w:numPr>
        <w:spacing w:after="0" w:line="240" w:lineRule="auto"/>
        <w:ind w:left="284" w:hanging="284"/>
        <w:rPr>
          <w:rFonts w:ascii="Times New Roman" w:hAnsi="Times New Roman"/>
          <w:noProof/>
          <w:sz w:val="24"/>
          <w:szCs w:val="24"/>
        </w:rPr>
      </w:pPr>
      <w:r>
        <w:rPr>
          <w:rFonts w:ascii="Times New Roman" w:hAnsi="Times New Roman"/>
          <w:noProof/>
          <w:sz w:val="24"/>
          <w:szCs w:val="24"/>
        </w:rPr>
        <w:t>a review of the existing initiatives for cross-border R&amp;I collaboration in the PRIMA domain;</w:t>
      </w:r>
    </w:p>
    <w:p>
      <w:pPr>
        <w:pStyle w:val="ListParagraph"/>
        <w:numPr>
          <w:ilvl w:val="0"/>
          <w:numId w:val="13"/>
        </w:numPr>
        <w:spacing w:after="0" w:line="240" w:lineRule="auto"/>
        <w:ind w:left="284" w:hanging="284"/>
        <w:rPr>
          <w:rFonts w:ascii="Times New Roman" w:hAnsi="Times New Roman"/>
          <w:noProof/>
          <w:sz w:val="24"/>
          <w:szCs w:val="24"/>
        </w:rPr>
      </w:pPr>
      <w:r>
        <w:rPr>
          <w:rFonts w:ascii="Times New Roman" w:hAnsi="Times New Roman"/>
          <w:noProof/>
          <w:sz w:val="24"/>
          <w:szCs w:val="24"/>
        </w:rPr>
        <w:t>a bibliometric analysis of Mediterranean scientific cooperation, including Article 185 initiatives AAL and BONUS;</w:t>
      </w:r>
    </w:p>
    <w:p>
      <w:pPr>
        <w:pStyle w:val="ListParagraph"/>
        <w:numPr>
          <w:ilvl w:val="0"/>
          <w:numId w:val="13"/>
        </w:numPr>
        <w:spacing w:after="0" w:line="240" w:lineRule="auto"/>
        <w:ind w:left="284" w:hanging="284"/>
        <w:rPr>
          <w:rFonts w:ascii="Times New Roman" w:hAnsi="Times New Roman"/>
          <w:noProof/>
          <w:sz w:val="24"/>
          <w:szCs w:val="24"/>
        </w:rPr>
      </w:pPr>
      <w:r>
        <w:rPr>
          <w:rFonts w:ascii="Times New Roman" w:hAnsi="Times New Roman"/>
          <w:noProof/>
          <w:sz w:val="24"/>
          <w:szCs w:val="24"/>
        </w:rPr>
        <w:t>an analysis of FP7 projects in the Themes of the PRIMA operational objectives;</w:t>
      </w:r>
    </w:p>
    <w:p>
      <w:pPr>
        <w:pStyle w:val="ListParagraph"/>
        <w:numPr>
          <w:ilvl w:val="0"/>
          <w:numId w:val="13"/>
        </w:numPr>
        <w:spacing w:after="120" w:line="240" w:lineRule="auto"/>
        <w:ind w:left="284" w:hanging="284"/>
        <w:rPr>
          <w:rFonts w:ascii="Times New Roman" w:hAnsi="Times New Roman"/>
          <w:noProof/>
          <w:sz w:val="24"/>
          <w:szCs w:val="24"/>
        </w:rPr>
      </w:pPr>
      <w:r>
        <w:rPr>
          <w:rFonts w:ascii="Times New Roman" w:hAnsi="Times New Roman"/>
          <w:noProof/>
          <w:sz w:val="24"/>
          <w:szCs w:val="24"/>
        </w:rPr>
        <w:t>an analysis on the demand for R&amp;I projects in the Mediterranean Region.</w:t>
      </w:r>
    </w:p>
    <w:p>
      <w:pPr>
        <w:spacing w:after="120" w:line="240" w:lineRule="auto"/>
        <w:jc w:val="both"/>
        <w:rPr>
          <w:rFonts w:ascii="Times New Roman" w:hAnsi="Times New Roman"/>
          <w:noProof/>
          <w:sz w:val="24"/>
        </w:rPr>
      </w:pPr>
      <w:r>
        <w:rPr>
          <w:rFonts w:ascii="Times New Roman" w:hAnsi="Times New Roman"/>
          <w:noProof/>
          <w:sz w:val="24"/>
        </w:rPr>
        <w:t xml:space="preserve">The methodology followed by the expert group was shared and discussed in a constant interaction with the PRIMA ISG. </w:t>
      </w:r>
    </w:p>
    <w:p>
      <w:pPr>
        <w:spacing w:after="120" w:line="240" w:lineRule="auto"/>
        <w:jc w:val="both"/>
        <w:rPr>
          <w:rFonts w:ascii="Times New Roman" w:hAnsi="Times New Roman"/>
          <w:noProof/>
          <w:sz w:val="24"/>
        </w:rPr>
      </w:pPr>
      <w:r>
        <w:rPr>
          <w:rFonts w:ascii="Times New Roman" w:hAnsi="Times New Roman"/>
          <w:noProof/>
          <w:sz w:val="24"/>
        </w:rPr>
        <w:t>The experts met five times:</w:t>
      </w:r>
    </w:p>
    <w:p>
      <w:pPr>
        <w:pStyle w:val="ListParagraph"/>
        <w:numPr>
          <w:ilvl w:val="0"/>
          <w:numId w:val="13"/>
        </w:numPr>
        <w:spacing w:after="0" w:line="240" w:lineRule="auto"/>
        <w:ind w:left="284" w:hanging="284"/>
        <w:rPr>
          <w:rFonts w:ascii="Times New Roman" w:hAnsi="Times New Roman"/>
          <w:noProof/>
          <w:sz w:val="24"/>
          <w:szCs w:val="24"/>
        </w:rPr>
      </w:pPr>
      <w:r>
        <w:rPr>
          <w:rFonts w:ascii="Times New Roman" w:hAnsi="Times New Roman"/>
          <w:noProof/>
          <w:sz w:val="24"/>
          <w:szCs w:val="24"/>
        </w:rPr>
        <w:t>1</w:t>
      </w:r>
      <w:r>
        <w:rPr>
          <w:rFonts w:ascii="Times New Roman" w:hAnsi="Times New Roman"/>
          <w:noProof/>
          <w:sz w:val="24"/>
          <w:szCs w:val="24"/>
          <w:vertAlign w:val="superscript"/>
        </w:rPr>
        <w:t>st</w:t>
      </w:r>
      <w:r>
        <w:rPr>
          <w:rFonts w:ascii="Times New Roman" w:hAnsi="Times New Roman"/>
          <w:noProof/>
          <w:sz w:val="24"/>
          <w:szCs w:val="24"/>
        </w:rPr>
        <w:t xml:space="preserve"> meeting on 6 November 2015.</w:t>
      </w:r>
    </w:p>
    <w:p>
      <w:pPr>
        <w:pStyle w:val="ListParagraph"/>
        <w:numPr>
          <w:ilvl w:val="0"/>
          <w:numId w:val="13"/>
        </w:numPr>
        <w:spacing w:after="0" w:line="240" w:lineRule="auto"/>
        <w:ind w:left="284" w:hanging="284"/>
        <w:rPr>
          <w:rFonts w:ascii="Times New Roman" w:hAnsi="Times New Roman"/>
          <w:noProof/>
          <w:sz w:val="24"/>
          <w:szCs w:val="24"/>
        </w:rPr>
      </w:pPr>
      <w:r>
        <w:rPr>
          <w:rFonts w:ascii="Times New Roman" w:hAnsi="Times New Roman"/>
          <w:noProof/>
          <w:sz w:val="24"/>
          <w:szCs w:val="24"/>
        </w:rPr>
        <w:t>2</w:t>
      </w:r>
      <w:r>
        <w:rPr>
          <w:rFonts w:ascii="Times New Roman" w:hAnsi="Times New Roman"/>
          <w:noProof/>
          <w:sz w:val="24"/>
          <w:szCs w:val="24"/>
          <w:vertAlign w:val="superscript"/>
        </w:rPr>
        <w:t>nd</w:t>
      </w:r>
      <w:r>
        <w:rPr>
          <w:rFonts w:ascii="Times New Roman" w:hAnsi="Times New Roman"/>
          <w:noProof/>
          <w:sz w:val="24"/>
          <w:szCs w:val="24"/>
        </w:rPr>
        <w:t xml:space="preserve"> meeting on 16 December 2015.</w:t>
      </w:r>
    </w:p>
    <w:p>
      <w:pPr>
        <w:pStyle w:val="ListParagraph"/>
        <w:numPr>
          <w:ilvl w:val="0"/>
          <w:numId w:val="13"/>
        </w:numPr>
        <w:spacing w:after="0" w:line="240" w:lineRule="auto"/>
        <w:ind w:left="284" w:hanging="284"/>
        <w:rPr>
          <w:rFonts w:ascii="Times New Roman" w:hAnsi="Times New Roman"/>
          <w:noProof/>
          <w:sz w:val="24"/>
          <w:szCs w:val="24"/>
        </w:rPr>
      </w:pPr>
      <w:r>
        <w:rPr>
          <w:rFonts w:ascii="Times New Roman" w:hAnsi="Times New Roman"/>
          <w:noProof/>
          <w:sz w:val="24"/>
          <w:szCs w:val="24"/>
        </w:rPr>
        <w:t>3</w:t>
      </w:r>
      <w:r>
        <w:rPr>
          <w:rFonts w:ascii="Times New Roman" w:hAnsi="Times New Roman"/>
          <w:noProof/>
          <w:sz w:val="24"/>
          <w:szCs w:val="24"/>
          <w:vertAlign w:val="superscript"/>
        </w:rPr>
        <w:t>rd</w:t>
      </w:r>
      <w:r>
        <w:rPr>
          <w:rFonts w:ascii="Times New Roman" w:hAnsi="Times New Roman"/>
          <w:noProof/>
          <w:sz w:val="24"/>
          <w:szCs w:val="24"/>
        </w:rPr>
        <w:t xml:space="preserve"> meeting on 4 February 2016. The meeting was held in conjunction with the Workshop one EC Contributions to the Sustainable Development Goals' and included a first meeting of the Expert Group with the PRIMA Consortium.</w:t>
      </w:r>
    </w:p>
    <w:p>
      <w:pPr>
        <w:pStyle w:val="ListParagraph"/>
        <w:numPr>
          <w:ilvl w:val="0"/>
          <w:numId w:val="13"/>
        </w:numPr>
        <w:spacing w:after="0" w:line="240" w:lineRule="auto"/>
        <w:ind w:left="284" w:hanging="284"/>
        <w:rPr>
          <w:rFonts w:ascii="Times New Roman" w:hAnsi="Times New Roman"/>
          <w:noProof/>
          <w:sz w:val="24"/>
          <w:szCs w:val="24"/>
        </w:rPr>
      </w:pPr>
      <w:r>
        <w:rPr>
          <w:rFonts w:ascii="Times New Roman" w:hAnsi="Times New Roman"/>
          <w:noProof/>
          <w:sz w:val="24"/>
          <w:szCs w:val="24"/>
        </w:rPr>
        <w:t>4</w:t>
      </w:r>
      <w:r>
        <w:rPr>
          <w:rFonts w:ascii="Times New Roman" w:hAnsi="Times New Roman"/>
          <w:noProof/>
          <w:sz w:val="24"/>
          <w:szCs w:val="24"/>
          <w:vertAlign w:val="superscript"/>
        </w:rPr>
        <w:t>th</w:t>
      </w:r>
      <w:r>
        <w:rPr>
          <w:rFonts w:ascii="Times New Roman" w:hAnsi="Times New Roman"/>
          <w:noProof/>
          <w:sz w:val="24"/>
          <w:szCs w:val="24"/>
        </w:rPr>
        <w:t xml:space="preserve"> meeting on 8 March 2016.</w:t>
      </w:r>
    </w:p>
    <w:p>
      <w:pPr>
        <w:pStyle w:val="ListParagraph"/>
        <w:numPr>
          <w:ilvl w:val="0"/>
          <w:numId w:val="13"/>
        </w:numPr>
        <w:spacing w:after="120" w:line="240" w:lineRule="auto"/>
        <w:ind w:left="284" w:hanging="284"/>
        <w:rPr>
          <w:rFonts w:ascii="Times New Roman" w:hAnsi="Times New Roman"/>
          <w:noProof/>
          <w:sz w:val="24"/>
          <w:szCs w:val="24"/>
        </w:rPr>
      </w:pPr>
      <w:r>
        <w:rPr>
          <w:rFonts w:ascii="Times New Roman" w:hAnsi="Times New Roman"/>
          <w:noProof/>
          <w:sz w:val="24"/>
          <w:szCs w:val="24"/>
        </w:rPr>
        <w:t>5</w:t>
      </w:r>
      <w:r>
        <w:rPr>
          <w:rFonts w:ascii="Times New Roman" w:hAnsi="Times New Roman"/>
          <w:noProof/>
          <w:sz w:val="24"/>
          <w:szCs w:val="24"/>
          <w:vertAlign w:val="superscript"/>
        </w:rPr>
        <w:t>th</w:t>
      </w:r>
      <w:r>
        <w:rPr>
          <w:rFonts w:ascii="Times New Roman" w:hAnsi="Times New Roman"/>
          <w:noProof/>
          <w:sz w:val="24"/>
          <w:szCs w:val="24"/>
        </w:rPr>
        <w:t xml:space="preserve"> meeting on 14 and 15 April 2016.</w:t>
      </w:r>
    </w:p>
    <w:p>
      <w:pPr>
        <w:spacing w:after="120" w:line="240" w:lineRule="auto"/>
        <w:jc w:val="both"/>
        <w:rPr>
          <w:rFonts w:ascii="Times New Roman" w:hAnsi="Times New Roman"/>
          <w:noProof/>
          <w:sz w:val="24"/>
        </w:rPr>
      </w:pPr>
      <w:r>
        <w:rPr>
          <w:rFonts w:ascii="Times New Roman" w:hAnsi="Times New Roman"/>
          <w:noProof/>
          <w:sz w:val="24"/>
        </w:rPr>
        <w:t>Additionally:</w:t>
      </w:r>
    </w:p>
    <w:p>
      <w:pPr>
        <w:pStyle w:val="ListParagraph"/>
        <w:numPr>
          <w:ilvl w:val="0"/>
          <w:numId w:val="13"/>
        </w:numPr>
        <w:spacing w:after="0" w:line="240" w:lineRule="auto"/>
        <w:ind w:left="284" w:hanging="284"/>
        <w:rPr>
          <w:rFonts w:ascii="Times New Roman" w:hAnsi="Times New Roman"/>
          <w:noProof/>
          <w:sz w:val="24"/>
          <w:szCs w:val="24"/>
        </w:rPr>
      </w:pPr>
      <w:r>
        <w:rPr>
          <w:rFonts w:ascii="Times New Roman" w:hAnsi="Times New Roman"/>
          <w:noProof/>
          <w:sz w:val="24"/>
          <w:szCs w:val="24"/>
        </w:rPr>
        <w:t>The Chair of the Expert Group addressed the inter-service group on 16 December 2015, 17 February 2016, and the Rapporteur on 13 May 2016.</w:t>
      </w:r>
    </w:p>
    <w:p>
      <w:pPr>
        <w:pStyle w:val="ListParagraph"/>
        <w:numPr>
          <w:ilvl w:val="0"/>
          <w:numId w:val="13"/>
        </w:numPr>
        <w:spacing w:after="120" w:line="240" w:lineRule="auto"/>
        <w:ind w:left="284" w:hanging="284"/>
        <w:rPr>
          <w:rFonts w:ascii="Times New Roman" w:hAnsi="Times New Roman"/>
          <w:noProof/>
          <w:sz w:val="24"/>
          <w:szCs w:val="24"/>
        </w:rPr>
      </w:pPr>
      <w:r>
        <w:rPr>
          <w:rFonts w:ascii="Times New Roman" w:hAnsi="Times New Roman"/>
          <w:noProof/>
          <w:sz w:val="24"/>
          <w:szCs w:val="24"/>
        </w:rPr>
        <w:t>The PRIMA Expert Group was represented at the PRIMA Stakeholders Event, which took place in Malta on 17 March 2016.</w:t>
      </w:r>
    </w:p>
    <w:p>
      <w:pPr>
        <w:spacing w:after="120" w:line="240" w:lineRule="auto"/>
        <w:jc w:val="both"/>
        <w:rPr>
          <w:rFonts w:ascii="Times New Roman" w:hAnsi="Times New Roman"/>
          <w:noProof/>
          <w:sz w:val="24"/>
        </w:rPr>
      </w:pPr>
      <w:r>
        <w:rPr>
          <w:rFonts w:ascii="Times New Roman" w:hAnsi="Times New Roman"/>
          <w:noProof/>
          <w:sz w:val="24"/>
        </w:rPr>
        <w:t>The inputs from the Expert Group's report were duly taken into account in the elaboration of the final IA Report and compared with the findings from other sources (e.g., literature review carried out by the EC services and results of the online public consultation).</w:t>
      </w:r>
    </w:p>
    <w:p>
      <w:pPr>
        <w:spacing w:after="120" w:line="240" w:lineRule="auto"/>
        <w:jc w:val="both"/>
        <w:rPr>
          <w:rFonts w:ascii="Times New Roman" w:hAnsi="Times New Roman"/>
          <w:noProof/>
          <w:sz w:val="24"/>
        </w:rPr>
      </w:pPr>
      <w:r>
        <w:rPr>
          <w:rFonts w:ascii="Times New Roman" w:hAnsi="Times New Roman"/>
          <w:noProof/>
          <w:sz w:val="24"/>
        </w:rPr>
        <w:br w:type="page"/>
      </w:r>
    </w:p>
    <w:p>
      <w:pPr>
        <w:pStyle w:val="Heading2"/>
        <w:keepLines w:val="0"/>
        <w:suppressAutoHyphens/>
        <w:spacing w:before="0" w:after="240" w:line="240" w:lineRule="auto"/>
        <w:ind w:left="480"/>
        <w:jc w:val="both"/>
        <w:rPr>
          <w:rFonts w:ascii="Times New Roman" w:hAnsi="Times New Roman"/>
          <w:i/>
          <w:noProof/>
          <w:color w:val="auto"/>
          <w:sz w:val="24"/>
          <w:szCs w:val="24"/>
        </w:rPr>
      </w:pPr>
      <w:bookmarkStart w:id="323" w:name="_Toc453056115"/>
      <w:bookmarkStart w:id="324" w:name="_Toc453058055"/>
      <w:bookmarkStart w:id="325" w:name="_Toc453058512"/>
      <w:bookmarkStart w:id="326" w:name="_Toc453067042"/>
      <w:bookmarkStart w:id="327" w:name="_Toc453068076"/>
      <w:bookmarkStart w:id="328" w:name="_Toc437329655"/>
      <w:bookmarkStart w:id="329" w:name="_Toc436895833"/>
      <w:bookmarkStart w:id="330" w:name="_Toc452566281"/>
      <w:bookmarkStart w:id="331" w:name="_Toc453058513"/>
      <w:bookmarkStart w:id="332" w:name="_Toc455682299"/>
      <w:bookmarkStart w:id="333" w:name="_Toc455682859"/>
      <w:bookmarkStart w:id="334" w:name="_Toc457466082"/>
      <w:bookmarkEnd w:id="323"/>
      <w:bookmarkEnd w:id="324"/>
      <w:bookmarkEnd w:id="325"/>
      <w:bookmarkEnd w:id="326"/>
      <w:bookmarkEnd w:id="327"/>
      <w:r>
        <w:rPr>
          <w:rFonts w:ascii="Times New Roman" w:hAnsi="Times New Roman"/>
          <w:i/>
          <w:noProof/>
          <w:color w:val="auto"/>
          <w:sz w:val="24"/>
          <w:szCs w:val="24"/>
        </w:rPr>
        <w:t>Annex 2: Stakeholder consultation</w:t>
      </w:r>
      <w:bookmarkEnd w:id="328"/>
      <w:bookmarkEnd w:id="329"/>
      <w:r>
        <w:rPr>
          <w:rFonts w:ascii="Times New Roman" w:hAnsi="Times New Roman"/>
          <w:i/>
          <w:noProof/>
          <w:color w:val="auto"/>
          <w:sz w:val="24"/>
          <w:szCs w:val="24"/>
        </w:rPr>
        <w:t xml:space="preserve"> – Synopsis Report</w:t>
      </w:r>
      <w:bookmarkEnd w:id="330"/>
      <w:bookmarkEnd w:id="331"/>
      <w:bookmarkEnd w:id="332"/>
      <w:bookmarkEnd w:id="333"/>
      <w:bookmarkEnd w:id="334"/>
    </w:p>
    <w:p>
      <w:pPr>
        <w:keepNext/>
        <w:numPr>
          <w:ilvl w:val="1"/>
          <w:numId w:val="79"/>
        </w:numPr>
        <w:tabs>
          <w:tab w:val="num" w:pos="1833"/>
        </w:tabs>
        <w:suppressAutoHyphens/>
        <w:spacing w:after="120" w:line="240" w:lineRule="auto"/>
        <w:jc w:val="both"/>
        <w:outlineLvl w:val="2"/>
        <w:rPr>
          <w:rFonts w:ascii="Times New Roman" w:eastAsia="Times New Roman" w:hAnsi="Times New Roman"/>
          <w:i/>
          <w:noProof/>
          <w:sz w:val="24"/>
          <w:szCs w:val="20"/>
          <w:lang w:eastAsia="ar-SA"/>
        </w:rPr>
      </w:pPr>
      <w:bookmarkStart w:id="335" w:name="_Toc452566282"/>
      <w:bookmarkStart w:id="336" w:name="_Toc453058514"/>
      <w:bookmarkStart w:id="337" w:name="_Toc455682300"/>
      <w:bookmarkStart w:id="338" w:name="_Toc455682860"/>
      <w:bookmarkStart w:id="339" w:name="_Toc457466083"/>
      <w:r>
        <w:rPr>
          <w:rFonts w:ascii="Times New Roman" w:eastAsia="Times New Roman" w:hAnsi="Times New Roman"/>
          <w:i/>
          <w:noProof/>
          <w:sz w:val="24"/>
          <w:szCs w:val="20"/>
          <w:lang w:eastAsia="ar-SA"/>
        </w:rPr>
        <w:t>Stakeholder consultation strategy</w:t>
      </w:r>
      <w:bookmarkEnd w:id="335"/>
      <w:bookmarkEnd w:id="336"/>
      <w:bookmarkEnd w:id="337"/>
      <w:bookmarkEnd w:id="338"/>
      <w:bookmarkEnd w:id="339"/>
    </w:p>
    <w:p>
      <w:pPr>
        <w:spacing w:after="120" w:line="240" w:lineRule="auto"/>
        <w:jc w:val="both"/>
        <w:rPr>
          <w:rFonts w:ascii="Times New Roman" w:hAnsi="Times New Roman"/>
          <w:noProof/>
          <w:sz w:val="24"/>
          <w:szCs w:val="24"/>
        </w:rPr>
      </w:pPr>
      <w:r>
        <w:rPr>
          <w:rFonts w:ascii="Times New Roman" w:hAnsi="Times New Roman"/>
          <w:noProof/>
          <w:sz w:val="24"/>
          <w:szCs w:val="24"/>
        </w:rPr>
        <w:t>In their meeting of 13 January 2016, the members of the PRIMA Impact Assessment (PRIMA IA) Inter-Service Group (ISG) agreed on a Consultation Strategy</w:t>
      </w:r>
      <w:r>
        <w:rPr>
          <w:rFonts w:ascii="Times New Roman" w:hAnsi="Times New Roman"/>
          <w:noProof/>
          <w:sz w:val="24"/>
          <w:szCs w:val="24"/>
          <w:vertAlign w:val="superscript"/>
        </w:rPr>
        <w:footnoteReference w:id="73"/>
      </w:r>
      <w:r>
        <w:rPr>
          <w:rFonts w:ascii="Times New Roman" w:hAnsi="Times New Roman"/>
          <w:noProof/>
          <w:sz w:val="24"/>
          <w:szCs w:val="24"/>
        </w:rPr>
        <w:t>, aiming at ensuring the inclusiveness and full transparency of the IA process and collecting the views of those directly or indirectly affected by the PRIMA initiative. More specifically, the Consultation Strategy was designed with the purpose of collecting:</w:t>
      </w:r>
    </w:p>
    <w:p>
      <w:pPr>
        <w:numPr>
          <w:ilvl w:val="0"/>
          <w:numId w:val="18"/>
        </w:numPr>
        <w:spacing w:after="120" w:line="240" w:lineRule="auto"/>
        <w:jc w:val="both"/>
        <w:rPr>
          <w:rFonts w:ascii="Times New Roman" w:hAnsi="Times New Roman"/>
          <w:noProof/>
          <w:sz w:val="24"/>
          <w:szCs w:val="24"/>
        </w:rPr>
      </w:pPr>
      <w:r>
        <w:rPr>
          <w:rFonts w:ascii="Times New Roman" w:hAnsi="Times New Roman"/>
          <w:noProof/>
          <w:sz w:val="24"/>
          <w:szCs w:val="24"/>
        </w:rPr>
        <w:t>data and information on the state-of-the-art of research and innovation in the field of water and food systems in the Mediterranean area;</w:t>
      </w:r>
    </w:p>
    <w:p>
      <w:pPr>
        <w:numPr>
          <w:ilvl w:val="0"/>
          <w:numId w:val="18"/>
        </w:numPr>
        <w:spacing w:after="120" w:line="240" w:lineRule="auto"/>
        <w:jc w:val="both"/>
        <w:rPr>
          <w:rFonts w:ascii="Times New Roman" w:hAnsi="Times New Roman"/>
          <w:noProof/>
          <w:sz w:val="24"/>
          <w:szCs w:val="24"/>
        </w:rPr>
      </w:pPr>
      <w:r>
        <w:rPr>
          <w:rFonts w:ascii="Times New Roman" w:hAnsi="Times New Roman"/>
          <w:noProof/>
          <w:sz w:val="24"/>
          <w:szCs w:val="24"/>
        </w:rPr>
        <w:t>input on the problem definition and on the scope of a potential EU intervention;</w:t>
      </w:r>
    </w:p>
    <w:p>
      <w:pPr>
        <w:numPr>
          <w:ilvl w:val="0"/>
          <w:numId w:val="18"/>
        </w:numPr>
        <w:spacing w:after="120" w:line="240" w:lineRule="auto"/>
        <w:jc w:val="both"/>
        <w:rPr>
          <w:rFonts w:ascii="Times New Roman" w:hAnsi="Times New Roman"/>
          <w:noProof/>
          <w:sz w:val="24"/>
          <w:szCs w:val="24"/>
        </w:rPr>
      </w:pPr>
      <w:r>
        <w:rPr>
          <w:rFonts w:ascii="Times New Roman" w:hAnsi="Times New Roman"/>
          <w:noProof/>
          <w:sz w:val="24"/>
          <w:szCs w:val="24"/>
        </w:rPr>
        <w:t>feedback on the different options for future research and innovation in the field of water and food systems in the Mediterranean area (including their impact).</w:t>
      </w:r>
    </w:p>
    <w:p>
      <w:pPr>
        <w:spacing w:after="120" w:line="240" w:lineRule="auto"/>
        <w:jc w:val="both"/>
        <w:rPr>
          <w:rFonts w:ascii="Times New Roman" w:hAnsi="Times New Roman"/>
          <w:noProof/>
          <w:sz w:val="24"/>
          <w:szCs w:val="24"/>
        </w:rPr>
      </w:pPr>
      <w:r>
        <w:rPr>
          <w:rFonts w:ascii="Times New Roman" w:hAnsi="Times New Roman"/>
          <w:noProof/>
          <w:sz w:val="24"/>
          <w:szCs w:val="24"/>
        </w:rPr>
        <w:t>The following categories of stakeholders have been considered as particularly relevant for the purpose of the PRIMA IA: research organisations and associations of research organisations; universities and associations of universities; public authorities (including regional/local administrations); local communities; farmer associations; large businesses; SMEs; business associations; inter-governmental organisations; non-governmental organisations (NGOs), and individual citizens. Giving the potential area of intervention of PRIMA, both European and third countries' stakeholders (with a particular focus on Mediterranean countries) have been targeted.</w:t>
      </w:r>
    </w:p>
    <w:p>
      <w:pPr>
        <w:spacing w:after="120" w:line="240" w:lineRule="auto"/>
        <w:jc w:val="both"/>
        <w:rPr>
          <w:rFonts w:ascii="Times New Roman" w:hAnsi="Times New Roman"/>
          <w:noProof/>
          <w:sz w:val="24"/>
          <w:szCs w:val="24"/>
        </w:rPr>
      </w:pPr>
      <w:r>
        <w:rPr>
          <w:rFonts w:ascii="Times New Roman" w:hAnsi="Times New Roman"/>
          <w:noProof/>
          <w:sz w:val="24"/>
          <w:szCs w:val="24"/>
        </w:rPr>
        <w:t>In line with the provisions of the Consultation Strategy, two main consultation activities were organised in the context of the PRIMA IA:</w:t>
      </w:r>
    </w:p>
    <w:p>
      <w:pPr>
        <w:pStyle w:val="Default"/>
        <w:numPr>
          <w:ilvl w:val="0"/>
          <w:numId w:val="19"/>
        </w:numPr>
        <w:spacing w:after="120"/>
        <w:rPr>
          <w:rFonts w:ascii="Times New Roman" w:hAnsi="Times New Roman"/>
          <w:noProof/>
        </w:rPr>
      </w:pPr>
      <w:r>
        <w:rPr>
          <w:rFonts w:ascii="Times New Roman" w:hAnsi="Times New Roman"/>
          <w:noProof/>
        </w:rPr>
        <w:t>a 12-week online public consultation, running from 1 February to 24 April 2016;</w:t>
      </w:r>
    </w:p>
    <w:p>
      <w:pPr>
        <w:pStyle w:val="Default"/>
        <w:numPr>
          <w:ilvl w:val="0"/>
          <w:numId w:val="19"/>
        </w:numPr>
        <w:spacing w:after="120"/>
        <w:rPr>
          <w:rFonts w:ascii="Times New Roman" w:hAnsi="Times New Roman"/>
          <w:noProof/>
        </w:rPr>
      </w:pPr>
      <w:r>
        <w:rPr>
          <w:rFonts w:ascii="Times New Roman" w:hAnsi="Times New Roman"/>
          <w:noProof/>
        </w:rPr>
        <w:t xml:space="preserve">a stakeholder event which took place in Malta on 17 March 2016. </w:t>
      </w:r>
    </w:p>
    <w:p>
      <w:pPr>
        <w:spacing w:after="120" w:line="240" w:lineRule="auto"/>
        <w:jc w:val="both"/>
        <w:rPr>
          <w:rFonts w:ascii="Times New Roman" w:hAnsi="Times New Roman"/>
          <w:noProof/>
          <w:sz w:val="24"/>
          <w:szCs w:val="24"/>
        </w:rPr>
      </w:pPr>
      <w:r>
        <w:rPr>
          <w:rFonts w:ascii="Times New Roman" w:hAnsi="Times New Roman"/>
          <w:noProof/>
          <w:sz w:val="24"/>
          <w:szCs w:val="24"/>
        </w:rPr>
        <w:t>Both these activities, as well as the whole PRIMA IA process, have been actively disseminated through: a webpage dedicated to the PRIMA initiative</w:t>
      </w:r>
      <w:r>
        <w:rPr>
          <w:rFonts w:ascii="Times New Roman" w:hAnsi="Times New Roman"/>
          <w:noProof/>
          <w:sz w:val="24"/>
          <w:szCs w:val="24"/>
          <w:vertAlign w:val="superscript"/>
        </w:rPr>
        <w:footnoteReference w:id="74"/>
      </w:r>
      <w:r>
        <w:rPr>
          <w:rFonts w:ascii="Times New Roman" w:hAnsi="Times New Roman"/>
          <w:noProof/>
          <w:sz w:val="24"/>
          <w:szCs w:val="24"/>
        </w:rPr>
        <w:t>; the mailing lists of the different members of the PRIMA IA ISG; social media (Facebook, Yammer, LinkedIn and Twitter); a press package sent to EU representations and delegations; the mailing list of some ongoing FP7 and Horizon 2020 ERA-NET projects focusing on the Mediterranean Area; and a news alert sent in the occasion of the launch of the online public consultation. The online public consultation was published on Your Voice in Europe. The members of the PRIMA Expert Group (PRIMA EG) also contributed to disseminate the different consultation activities via their network of contacts.</w:t>
      </w:r>
    </w:p>
    <w:p>
      <w:pPr>
        <w:spacing w:after="120" w:line="240" w:lineRule="auto"/>
        <w:jc w:val="both"/>
        <w:rPr>
          <w:rFonts w:ascii="Times New Roman" w:hAnsi="Times New Roman"/>
          <w:noProof/>
          <w:sz w:val="24"/>
          <w:szCs w:val="24"/>
        </w:rPr>
      </w:pPr>
      <w:r>
        <w:rPr>
          <w:rFonts w:ascii="Times New Roman" w:hAnsi="Times New Roman"/>
          <w:noProof/>
          <w:sz w:val="24"/>
          <w:szCs w:val="24"/>
        </w:rPr>
        <w:t>Members of the internal PRIMA Task Force were also invited to present the PRIMA IA process and the different consultation activities at the following events:</w:t>
      </w:r>
    </w:p>
    <w:p>
      <w:pPr>
        <w:numPr>
          <w:ilvl w:val="0"/>
          <w:numId w:val="20"/>
        </w:numPr>
        <w:spacing w:after="120" w:line="240" w:lineRule="auto"/>
        <w:jc w:val="both"/>
        <w:rPr>
          <w:rFonts w:ascii="Times New Roman" w:hAnsi="Times New Roman"/>
          <w:noProof/>
          <w:sz w:val="24"/>
          <w:szCs w:val="24"/>
        </w:rPr>
      </w:pPr>
      <w:r>
        <w:rPr>
          <w:rFonts w:ascii="Times New Roman" w:hAnsi="Times New Roman"/>
          <w:noProof/>
          <w:sz w:val="24"/>
          <w:szCs w:val="24"/>
        </w:rPr>
        <w:t>11 February, Brussels: Spanish Office of Science and Technology (SOST), short session dedicated to the PRIMA IA;</w:t>
      </w:r>
    </w:p>
    <w:p>
      <w:pPr>
        <w:numPr>
          <w:ilvl w:val="0"/>
          <w:numId w:val="20"/>
        </w:numPr>
        <w:spacing w:after="120" w:line="240" w:lineRule="auto"/>
        <w:jc w:val="both"/>
        <w:rPr>
          <w:rFonts w:ascii="Times New Roman" w:hAnsi="Times New Roman"/>
          <w:noProof/>
          <w:sz w:val="24"/>
        </w:rPr>
      </w:pPr>
      <w:r>
        <w:rPr>
          <w:rFonts w:ascii="Times New Roman" w:hAnsi="Times New Roman"/>
          <w:noProof/>
          <w:sz w:val="24"/>
        </w:rPr>
        <w:t>16 February, Brussels: UfM Senior Officials' Meeting (SOM);</w:t>
      </w:r>
    </w:p>
    <w:p>
      <w:pPr>
        <w:numPr>
          <w:ilvl w:val="0"/>
          <w:numId w:val="20"/>
        </w:numPr>
        <w:spacing w:after="120" w:line="240" w:lineRule="auto"/>
        <w:jc w:val="both"/>
        <w:rPr>
          <w:rFonts w:ascii="Times New Roman" w:hAnsi="Times New Roman"/>
          <w:noProof/>
          <w:sz w:val="24"/>
        </w:rPr>
      </w:pPr>
      <w:r>
        <w:rPr>
          <w:rFonts w:ascii="Times New Roman" w:hAnsi="Times New Roman"/>
          <w:noProof/>
          <w:sz w:val="24"/>
        </w:rPr>
        <w:t>1 March, Brussels: IGLO (Informal Group of RTD Liaison Offices) Open event;</w:t>
      </w:r>
    </w:p>
    <w:p>
      <w:pPr>
        <w:numPr>
          <w:ilvl w:val="0"/>
          <w:numId w:val="20"/>
        </w:numPr>
        <w:spacing w:after="120" w:line="240" w:lineRule="auto"/>
        <w:jc w:val="both"/>
        <w:rPr>
          <w:rFonts w:ascii="Times New Roman" w:hAnsi="Times New Roman"/>
          <w:noProof/>
          <w:sz w:val="24"/>
        </w:rPr>
      </w:pPr>
      <w:r>
        <w:rPr>
          <w:rFonts w:ascii="Times New Roman" w:hAnsi="Times New Roman"/>
          <w:noProof/>
          <w:sz w:val="24"/>
        </w:rPr>
        <w:t>15 March, Lisbon: final conference ARIMNet project and kick-off ARIMnet2 project;</w:t>
      </w:r>
    </w:p>
    <w:p>
      <w:pPr>
        <w:numPr>
          <w:ilvl w:val="0"/>
          <w:numId w:val="20"/>
        </w:numPr>
        <w:spacing w:after="120" w:line="240" w:lineRule="auto"/>
        <w:jc w:val="both"/>
        <w:rPr>
          <w:rFonts w:ascii="Times New Roman" w:hAnsi="Times New Roman"/>
          <w:noProof/>
          <w:sz w:val="24"/>
        </w:rPr>
      </w:pPr>
      <w:r>
        <w:rPr>
          <w:rFonts w:ascii="Times New Roman" w:hAnsi="Times New Roman"/>
          <w:noProof/>
          <w:sz w:val="24"/>
        </w:rPr>
        <w:t>16 March, Brussels: UNIMED event.</w:t>
      </w:r>
    </w:p>
    <w:p>
      <w:pPr>
        <w:spacing w:after="120" w:line="240" w:lineRule="auto"/>
        <w:jc w:val="both"/>
        <w:rPr>
          <w:rFonts w:ascii="Times New Roman" w:hAnsi="Times New Roman"/>
          <w:noProof/>
          <w:sz w:val="24"/>
        </w:rPr>
      </w:pPr>
      <w:r>
        <w:rPr>
          <w:rFonts w:ascii="Times New Roman" w:hAnsi="Times New Roman"/>
          <w:noProof/>
          <w:sz w:val="24"/>
        </w:rPr>
        <w:t>In order to ensure the transparency of the whole IA process, the outcome of the two main consultation activities were published in the webpage dedicated to the PRIMA initiative as short summary reports</w:t>
      </w:r>
      <w:r>
        <w:rPr>
          <w:rFonts w:ascii="Times New Roman" w:hAnsi="Times New Roman"/>
          <w:noProof/>
          <w:sz w:val="24"/>
          <w:vertAlign w:val="superscript"/>
        </w:rPr>
        <w:footnoteReference w:id="75"/>
      </w:r>
      <w:r>
        <w:rPr>
          <w:rFonts w:ascii="Times New Roman" w:hAnsi="Times New Roman"/>
          <w:noProof/>
          <w:sz w:val="24"/>
        </w:rPr>
        <w:t xml:space="preserve"> </w:t>
      </w:r>
      <w:r>
        <w:rPr>
          <w:rFonts w:ascii="Times New Roman" w:hAnsi="Times New Roman"/>
          <w:noProof/>
          <w:sz w:val="24"/>
          <w:vertAlign w:val="superscript"/>
        </w:rPr>
        <w:footnoteReference w:id="76"/>
      </w:r>
      <w:r>
        <w:rPr>
          <w:rFonts w:ascii="Times New Roman" w:hAnsi="Times New Roman"/>
          <w:noProof/>
          <w:sz w:val="24"/>
        </w:rPr>
        <w:t>. Furthermore, the participants of the PRIMA stakeholder event in Malta were given the possibility to provide a feedback on the initiative via a post-event questionnaire. The feedback received via the post-event questionnaire was also included in the short summary report of the stakeholder event.</w:t>
      </w:r>
    </w:p>
    <w:p>
      <w:pPr>
        <w:spacing w:after="120" w:line="240" w:lineRule="auto"/>
        <w:jc w:val="both"/>
        <w:rPr>
          <w:rFonts w:ascii="Times New Roman" w:hAnsi="Times New Roman"/>
          <w:noProof/>
          <w:sz w:val="24"/>
        </w:rPr>
      </w:pPr>
      <w:r>
        <w:rPr>
          <w:rFonts w:ascii="Times New Roman" w:hAnsi="Times New Roman"/>
          <w:noProof/>
          <w:sz w:val="24"/>
        </w:rPr>
        <w:t xml:space="preserve">During the whole IA process, external stakeholders </w:t>
      </w:r>
      <w:r>
        <w:rPr>
          <w:rFonts w:ascii="Times New Roman" w:hAnsi="Times New Roman"/>
          <w:noProof/>
          <w:sz w:val="24"/>
          <w:szCs w:val="24"/>
        </w:rPr>
        <w:t xml:space="preserve">have been given the opportunity to interact with the EC services via the functional mailbox </w:t>
      </w:r>
      <w:hyperlink r:id="rId35" w:history="1">
        <w:r>
          <w:rPr>
            <w:rStyle w:val="Hyperlink"/>
            <w:rFonts w:ascii="Times New Roman" w:hAnsi="Times New Roman"/>
            <w:noProof/>
            <w:sz w:val="24"/>
            <w:szCs w:val="24"/>
          </w:rPr>
          <w:t>RTD-PRIMA-STAKEHOLDER-CONSULTATION@ec.europa.eu</w:t>
        </w:r>
      </w:hyperlink>
      <w:r>
        <w:rPr>
          <w:rFonts w:ascii="Times New Roman" w:hAnsi="Times New Roman"/>
          <w:noProof/>
          <w:sz w:val="24"/>
          <w:szCs w:val="24"/>
        </w:rPr>
        <w:t>. In addition to this, and</w:t>
      </w:r>
      <w:r>
        <w:rPr>
          <w:rFonts w:ascii="Times New Roman" w:hAnsi="Times New Roman"/>
          <w:noProof/>
          <w:sz w:val="24"/>
        </w:rPr>
        <w:t xml:space="preserve"> in line with the provisions of the Better Regulation Package, external stakeholders have been given the possibility to provide feedback on the PRIMA Inception Impact Assessment (PRIMA IIA) via the dedicated webpage</w:t>
      </w:r>
      <w:r>
        <w:rPr>
          <w:rFonts w:ascii="Times New Roman" w:hAnsi="Times New Roman"/>
          <w:noProof/>
          <w:sz w:val="24"/>
          <w:vertAlign w:val="superscript"/>
        </w:rPr>
        <w:footnoteReference w:id="77"/>
      </w:r>
      <w:r>
        <w:rPr>
          <w:rFonts w:ascii="Times New Roman" w:hAnsi="Times New Roman"/>
          <w:noProof/>
          <w:sz w:val="24"/>
        </w:rPr>
        <w:t xml:space="preserve">. </w:t>
      </w:r>
    </w:p>
    <w:p>
      <w:pPr>
        <w:spacing w:after="120" w:line="240" w:lineRule="auto"/>
        <w:jc w:val="both"/>
        <w:rPr>
          <w:rFonts w:ascii="Times New Roman" w:hAnsi="Times New Roman"/>
          <w:noProof/>
          <w:sz w:val="24"/>
        </w:rPr>
      </w:pPr>
    </w:p>
    <w:p>
      <w:pPr>
        <w:keepNext/>
        <w:numPr>
          <w:ilvl w:val="1"/>
          <w:numId w:val="79"/>
        </w:numPr>
        <w:tabs>
          <w:tab w:val="num" w:pos="1833"/>
        </w:tabs>
        <w:suppressAutoHyphens/>
        <w:spacing w:after="120" w:line="240" w:lineRule="auto"/>
        <w:jc w:val="both"/>
        <w:outlineLvl w:val="2"/>
        <w:rPr>
          <w:rFonts w:ascii="Times New Roman" w:eastAsia="Times New Roman" w:hAnsi="Times New Roman"/>
          <w:i/>
          <w:noProof/>
          <w:sz w:val="24"/>
          <w:szCs w:val="20"/>
          <w:lang w:eastAsia="ar-SA"/>
        </w:rPr>
      </w:pPr>
      <w:bookmarkStart w:id="340" w:name="_Toc453056118"/>
      <w:bookmarkStart w:id="341" w:name="_Toc453058058"/>
      <w:bookmarkStart w:id="342" w:name="_Toc453058515"/>
      <w:bookmarkStart w:id="343" w:name="_Toc453067045"/>
      <w:bookmarkStart w:id="344" w:name="_Toc453068079"/>
      <w:bookmarkStart w:id="345" w:name="_Toc452566283"/>
      <w:bookmarkStart w:id="346" w:name="_Toc453058516"/>
      <w:bookmarkStart w:id="347" w:name="_Toc455682301"/>
      <w:bookmarkStart w:id="348" w:name="_Toc455682861"/>
      <w:bookmarkStart w:id="349" w:name="_Toc457466084"/>
      <w:bookmarkEnd w:id="340"/>
      <w:bookmarkEnd w:id="341"/>
      <w:bookmarkEnd w:id="342"/>
      <w:bookmarkEnd w:id="343"/>
      <w:bookmarkEnd w:id="344"/>
      <w:r>
        <w:rPr>
          <w:rFonts w:ascii="Times New Roman" w:eastAsia="Times New Roman" w:hAnsi="Times New Roman"/>
          <w:i/>
          <w:noProof/>
          <w:sz w:val="24"/>
          <w:szCs w:val="20"/>
          <w:lang w:eastAsia="ar-SA"/>
        </w:rPr>
        <w:t>The questionnaire</w:t>
      </w:r>
      <w:bookmarkEnd w:id="345"/>
      <w:bookmarkEnd w:id="346"/>
      <w:bookmarkEnd w:id="347"/>
      <w:bookmarkEnd w:id="348"/>
      <w:bookmarkEnd w:id="349"/>
      <w:r>
        <w:rPr>
          <w:rFonts w:ascii="Times New Roman" w:eastAsia="Times New Roman" w:hAnsi="Times New Roman"/>
          <w:i/>
          <w:noProof/>
          <w:sz w:val="24"/>
          <w:szCs w:val="20"/>
          <w:lang w:eastAsia="ar-SA"/>
        </w:rPr>
        <w:t xml:space="preserve"> </w:t>
      </w:r>
    </w:p>
    <w:p>
      <w:pPr>
        <w:spacing w:after="120" w:line="240" w:lineRule="auto"/>
        <w:jc w:val="both"/>
        <w:rPr>
          <w:rFonts w:ascii="Times New Roman" w:hAnsi="Times New Roman"/>
          <w:noProof/>
          <w:sz w:val="24"/>
        </w:rPr>
      </w:pPr>
      <w:r>
        <w:rPr>
          <w:rFonts w:ascii="Times New Roman" w:hAnsi="Times New Roman"/>
          <w:noProof/>
          <w:sz w:val="24"/>
        </w:rPr>
        <w:t>Following the discussions taking place at Inter-Service Group (ISG) level, the questionnaire of the online public consultation on PRIMA</w:t>
      </w:r>
      <w:r>
        <w:rPr>
          <w:rFonts w:ascii="Times New Roman" w:hAnsi="Times New Roman"/>
          <w:noProof/>
          <w:sz w:val="24"/>
          <w:vertAlign w:val="superscript"/>
        </w:rPr>
        <w:footnoteReference w:id="78"/>
      </w:r>
      <w:r>
        <w:rPr>
          <w:rFonts w:ascii="Times New Roman" w:hAnsi="Times New Roman"/>
          <w:noProof/>
          <w:sz w:val="24"/>
        </w:rPr>
        <w:t xml:space="preserve"> was structured around the following seven sections: Respondent profile; Problem definition; Core objectives; R&amp;I priorities; Actions; Impacts and Policy options. Some inputs and suggestions from the PRIMA EG have also been incorporated in the final version of the questionnaire.</w:t>
      </w:r>
    </w:p>
    <w:p>
      <w:pPr>
        <w:spacing w:after="120" w:line="240" w:lineRule="auto"/>
        <w:jc w:val="both"/>
        <w:rPr>
          <w:rFonts w:ascii="Times New Roman" w:hAnsi="Times New Roman"/>
          <w:noProof/>
          <w:sz w:val="24"/>
        </w:rPr>
      </w:pPr>
      <w:r>
        <w:rPr>
          <w:rFonts w:ascii="Times New Roman" w:hAnsi="Times New Roman"/>
          <w:noProof/>
          <w:sz w:val="24"/>
        </w:rPr>
        <w:t xml:space="preserve">The questionnaire served as a source of inspiration for the parallel tables which were organised during the afternoon session of the PRIMA stakeholder event in Malta. The participants were asked to choose among 4 parallel discussion tables focusing on the following topics: Problem Definition; Objectives and R&amp;I Priorities; Actions and Impacts, and Policy Options. A copy of the questionnaire was distributed to the participants at the beginning of the session with no obligation for them to follow and/or base their discussions on the text of the questionnaire. </w:t>
      </w:r>
    </w:p>
    <w:p>
      <w:pPr>
        <w:spacing w:after="120" w:line="240" w:lineRule="auto"/>
        <w:jc w:val="both"/>
        <w:rPr>
          <w:rFonts w:ascii="Times New Roman" w:hAnsi="Times New Roman"/>
          <w:noProof/>
          <w:sz w:val="24"/>
        </w:rPr>
      </w:pPr>
    </w:p>
    <w:p>
      <w:pPr>
        <w:keepNext/>
        <w:numPr>
          <w:ilvl w:val="1"/>
          <w:numId w:val="79"/>
        </w:numPr>
        <w:tabs>
          <w:tab w:val="num" w:pos="1833"/>
        </w:tabs>
        <w:suppressAutoHyphens/>
        <w:spacing w:after="120" w:line="240" w:lineRule="auto"/>
        <w:jc w:val="both"/>
        <w:outlineLvl w:val="2"/>
        <w:rPr>
          <w:rFonts w:ascii="Times New Roman" w:eastAsia="Times New Roman" w:hAnsi="Times New Roman"/>
          <w:i/>
          <w:noProof/>
          <w:sz w:val="24"/>
          <w:szCs w:val="20"/>
          <w:lang w:eastAsia="ar-SA"/>
        </w:rPr>
      </w:pPr>
      <w:bookmarkStart w:id="350" w:name="_Toc453056120"/>
      <w:bookmarkStart w:id="351" w:name="_Toc453058060"/>
      <w:bookmarkStart w:id="352" w:name="_Toc453058517"/>
      <w:bookmarkStart w:id="353" w:name="_Toc453067047"/>
      <w:bookmarkStart w:id="354" w:name="_Toc453068081"/>
      <w:bookmarkStart w:id="355" w:name="_Toc452566284"/>
      <w:bookmarkStart w:id="356" w:name="_Toc453058518"/>
      <w:bookmarkStart w:id="357" w:name="_Toc455682302"/>
      <w:bookmarkStart w:id="358" w:name="_Toc455682862"/>
      <w:bookmarkStart w:id="359" w:name="_Toc457466085"/>
      <w:bookmarkEnd w:id="350"/>
      <w:bookmarkEnd w:id="351"/>
      <w:bookmarkEnd w:id="352"/>
      <w:bookmarkEnd w:id="353"/>
      <w:bookmarkEnd w:id="354"/>
      <w:r>
        <w:rPr>
          <w:rFonts w:ascii="Times New Roman" w:eastAsia="Times New Roman" w:hAnsi="Times New Roman"/>
          <w:i/>
          <w:noProof/>
          <w:sz w:val="24"/>
          <w:szCs w:val="20"/>
          <w:lang w:eastAsia="ar-SA"/>
        </w:rPr>
        <w:t>Feedback and analysis</w:t>
      </w:r>
      <w:bookmarkEnd w:id="355"/>
      <w:bookmarkEnd w:id="356"/>
      <w:bookmarkEnd w:id="357"/>
      <w:bookmarkEnd w:id="358"/>
      <w:bookmarkEnd w:id="359"/>
    </w:p>
    <w:p>
      <w:pPr>
        <w:spacing w:after="120" w:line="240" w:lineRule="auto"/>
        <w:jc w:val="both"/>
        <w:rPr>
          <w:rFonts w:ascii="Times New Roman" w:hAnsi="Times New Roman"/>
          <w:noProof/>
          <w:sz w:val="24"/>
        </w:rPr>
      </w:pPr>
      <w:r>
        <w:rPr>
          <w:rFonts w:ascii="Times New Roman" w:hAnsi="Times New Roman"/>
          <w:noProof/>
          <w:sz w:val="24"/>
        </w:rPr>
        <w:t xml:space="preserve">The contributions received from both the PRIMA online public consultation and the PRIMA stakeholder event were duly considered and analysed. </w:t>
      </w:r>
    </w:p>
    <w:p>
      <w:pPr>
        <w:spacing w:after="120" w:line="240" w:lineRule="auto"/>
        <w:jc w:val="both"/>
        <w:rPr>
          <w:rFonts w:ascii="Times New Roman" w:hAnsi="Times New Roman"/>
          <w:noProof/>
          <w:sz w:val="24"/>
        </w:rPr>
      </w:pPr>
      <w:r>
        <w:rPr>
          <w:rFonts w:ascii="Times New Roman" w:hAnsi="Times New Roman"/>
          <w:noProof/>
          <w:sz w:val="24"/>
        </w:rPr>
        <w:t>In the specific case of the PRIMA online public consultation, a quality check of the replies was carried out at the end of the consultation period. In case of more than one contribution from the same respondent, the respondent was contacted and asked to choose which contribution had to be finally retained. In the absence of a reply, the most recent reply only was taken into account, on the assumption that this reply was submitted with the purpose of amending the less recent one (-s). In the case of some organisations (mainly, universities), replies from different departments members or persons somehow related to the particular organisation were received. These replies were sent mostly on each respondent's personal behalf and their individual content is different from one another. These replies were therefore considered as separate replies. One contribution was not taken into account since its content appeared as automatically generated and not linked to this particular online public consultation. A statistical analysis of the replies was carried out with the aim of identifying the most recurrent answers and their distribution among typologies of respondents. The results of this statistical analysis were included as an annex in the Short Summary Report of the online public consultation.</w:t>
      </w:r>
    </w:p>
    <w:p>
      <w:pPr>
        <w:spacing w:after="120" w:line="240" w:lineRule="auto"/>
        <w:jc w:val="both"/>
        <w:rPr>
          <w:rFonts w:ascii="Times New Roman" w:hAnsi="Times New Roman"/>
          <w:noProof/>
          <w:sz w:val="24"/>
        </w:rPr>
      </w:pPr>
      <w:r>
        <w:rPr>
          <w:rFonts w:ascii="Times New Roman" w:hAnsi="Times New Roman"/>
          <w:noProof/>
          <w:sz w:val="24"/>
        </w:rPr>
        <w:t xml:space="preserve">In the summary of each stakeholder consultation activity, an effort was made to provide a complete overview of the different inputs received, by reporting the full range of the collected options without discarding possible minority views. </w:t>
      </w:r>
    </w:p>
    <w:p>
      <w:pPr>
        <w:spacing w:after="120" w:line="240" w:lineRule="auto"/>
        <w:jc w:val="both"/>
        <w:rPr>
          <w:rFonts w:ascii="Times New Roman" w:hAnsi="Times New Roman"/>
          <w:noProof/>
          <w:sz w:val="24"/>
        </w:rPr>
      </w:pPr>
      <w:r>
        <w:rPr>
          <w:rFonts w:ascii="Times New Roman" w:hAnsi="Times New Roman"/>
          <w:noProof/>
          <w:sz w:val="24"/>
        </w:rPr>
        <w:t>The main findings of the PRIMA online public consultation and the PRIMA stakeholder event were then compared and grouped according to the seven sections of the questionnaire. The results of this comparison are presented in the paragraphs that follow.</w:t>
      </w:r>
    </w:p>
    <w:p>
      <w:pPr>
        <w:spacing w:after="120" w:line="240" w:lineRule="auto"/>
        <w:jc w:val="both"/>
        <w:rPr>
          <w:rFonts w:ascii="Times New Roman" w:hAnsi="Times New Roman"/>
          <w:noProof/>
          <w:sz w:val="24"/>
        </w:rPr>
      </w:pPr>
      <w:r>
        <w:rPr>
          <w:rFonts w:ascii="Times New Roman" w:hAnsi="Times New Roman"/>
          <w:noProof/>
          <w:sz w:val="24"/>
        </w:rPr>
        <w:t xml:space="preserve">The views and perspectives of the external stakeholders have been incorporated in the final version of the IA Report and carefully taken into account in the formulation of a potential EU intervention in support of PRIMA. </w:t>
      </w:r>
    </w:p>
    <w:p>
      <w:pPr>
        <w:spacing w:after="120" w:line="240" w:lineRule="auto"/>
        <w:jc w:val="both"/>
        <w:rPr>
          <w:rFonts w:ascii="Times New Roman" w:hAnsi="Times New Roman"/>
          <w:noProof/>
          <w:sz w:val="24"/>
        </w:rPr>
      </w:pPr>
    </w:p>
    <w:p>
      <w:pPr>
        <w:keepNext/>
        <w:numPr>
          <w:ilvl w:val="1"/>
          <w:numId w:val="79"/>
        </w:numPr>
        <w:tabs>
          <w:tab w:val="num" w:pos="1833"/>
        </w:tabs>
        <w:suppressAutoHyphens/>
        <w:spacing w:after="120" w:line="240" w:lineRule="auto"/>
        <w:jc w:val="both"/>
        <w:outlineLvl w:val="2"/>
        <w:rPr>
          <w:rFonts w:ascii="Times New Roman" w:eastAsia="Times New Roman" w:hAnsi="Times New Roman"/>
          <w:i/>
          <w:noProof/>
          <w:sz w:val="24"/>
          <w:szCs w:val="20"/>
          <w:lang w:eastAsia="ar-SA"/>
        </w:rPr>
      </w:pPr>
      <w:bookmarkStart w:id="360" w:name="_Toc453056122"/>
      <w:bookmarkStart w:id="361" w:name="_Toc453058062"/>
      <w:bookmarkStart w:id="362" w:name="_Toc453058519"/>
      <w:bookmarkStart w:id="363" w:name="_Toc453066834"/>
      <w:bookmarkStart w:id="364" w:name="_Toc453066962"/>
      <w:bookmarkStart w:id="365" w:name="_Toc453067049"/>
      <w:bookmarkStart w:id="366" w:name="_Toc453068083"/>
      <w:bookmarkStart w:id="367" w:name="_Toc452566285"/>
      <w:bookmarkStart w:id="368" w:name="_Toc453058520"/>
      <w:bookmarkStart w:id="369" w:name="_Toc455682303"/>
      <w:bookmarkStart w:id="370" w:name="_Toc455682863"/>
      <w:bookmarkStart w:id="371" w:name="_Toc457466086"/>
      <w:bookmarkEnd w:id="360"/>
      <w:bookmarkEnd w:id="361"/>
      <w:bookmarkEnd w:id="362"/>
      <w:bookmarkEnd w:id="363"/>
      <w:bookmarkEnd w:id="364"/>
      <w:bookmarkEnd w:id="365"/>
      <w:bookmarkEnd w:id="366"/>
      <w:r>
        <w:rPr>
          <w:rFonts w:ascii="Times New Roman" w:eastAsia="Times New Roman" w:hAnsi="Times New Roman"/>
          <w:i/>
          <w:noProof/>
          <w:sz w:val="24"/>
          <w:szCs w:val="20"/>
          <w:lang w:eastAsia="ar-SA"/>
        </w:rPr>
        <w:t>Stakeholder profile</w:t>
      </w:r>
      <w:bookmarkEnd w:id="367"/>
      <w:bookmarkEnd w:id="368"/>
      <w:bookmarkEnd w:id="369"/>
      <w:bookmarkEnd w:id="370"/>
      <w:bookmarkEnd w:id="371"/>
    </w:p>
    <w:p>
      <w:pPr>
        <w:spacing w:after="120" w:line="240" w:lineRule="auto"/>
        <w:jc w:val="both"/>
        <w:rPr>
          <w:rFonts w:ascii="Times New Roman" w:hAnsi="Times New Roman"/>
          <w:noProof/>
          <w:sz w:val="24"/>
        </w:rPr>
      </w:pPr>
      <w:r>
        <w:rPr>
          <w:rFonts w:ascii="Times New Roman" w:hAnsi="Times New Roman"/>
          <w:noProof/>
          <w:sz w:val="24"/>
        </w:rPr>
        <w:t>A total number of 562 replies to the PRIMA online public consultation were received and 86 people participated in the stakeholder event which was held in Malta on 17 March 2016. 29 out of the 86 participants of the stakeholder event also sent their contribution, under their individual name or on behalf of their organisation, to the PRIMA online public consultation.</w:t>
      </w:r>
    </w:p>
    <w:p>
      <w:pPr>
        <w:spacing w:after="120" w:line="240" w:lineRule="auto"/>
        <w:jc w:val="both"/>
        <w:rPr>
          <w:rFonts w:ascii="Times New Roman" w:hAnsi="Times New Roman"/>
          <w:noProof/>
          <w:sz w:val="24"/>
        </w:rPr>
      </w:pPr>
      <w:r>
        <w:rPr>
          <w:rFonts w:ascii="Times New Roman" w:hAnsi="Times New Roman"/>
          <w:noProof/>
          <w:sz w:val="24"/>
        </w:rPr>
        <w:t>The online public consultation registered a large majority of replies from EU countries (86.5% of the total). third countries countries were relatively more represented at the Malta event, accounting for 28% of the total number of participants.</w:t>
      </w:r>
    </w:p>
    <w:p>
      <w:pPr>
        <w:spacing w:after="120" w:line="240" w:lineRule="auto"/>
        <w:jc w:val="both"/>
        <w:rPr>
          <w:rFonts w:ascii="Times New Roman" w:hAnsi="Times New Roman"/>
          <w:noProof/>
          <w:sz w:val="24"/>
        </w:rPr>
      </w:pPr>
      <w:r>
        <w:rPr>
          <w:rFonts w:ascii="Times New Roman" w:hAnsi="Times New Roman"/>
          <w:noProof/>
          <w:sz w:val="24"/>
        </w:rPr>
        <w:t xml:space="preserve">At the time of writing, no feedback on the PRIMA Inception Impact Assessment document has been received via the dedicated webpage. One position paper – signed by The Netherlands' Ministry of Economic Affairs, Ministry of Infrastructure and the Environment and Ministry of Education, Culture and Science – was sent to the IA functional mailbox. The same stakeholders also sent a contribution to the PRIMA online public consultation. The only difference between the two contributions lies in the preferred policy option: while the baseline scenario was chosen in the case of the online public consultation, Co-fund action was selected as preferable policy option in the position paper. </w:t>
      </w:r>
    </w:p>
    <w:p>
      <w:pPr>
        <w:spacing w:after="120" w:line="240" w:lineRule="auto"/>
        <w:jc w:val="both"/>
        <w:rPr>
          <w:rFonts w:ascii="Times New Roman" w:hAnsi="Times New Roman"/>
          <w:noProof/>
          <w:sz w:val="24"/>
        </w:rPr>
      </w:pPr>
      <w:r>
        <w:rPr>
          <w:rFonts w:ascii="Times New Roman" w:hAnsi="Times New Roman"/>
          <w:noProof/>
          <w:sz w:val="24"/>
        </w:rPr>
        <w:t>In terms of typology of respondents/participants, public authorities, research organisations and universities were the most represented categories at the Malta event, whereas individual citizens resulted as the largest contributor (33.8% of the total number of replies) in the online public consultation. From an analysis of their replies and contact details, many of these individual citizens who took part in the online public consultation appear to be staff of universities and research organisations who replied on their personal behalf. Their professional affiliation probably explains why more than half of them are, to various degrees, familiar with the Framework Programmes for Research and Innovation of the European Commission and with the PRIMA initiative.</w:t>
      </w:r>
    </w:p>
    <w:p>
      <w:pPr>
        <w:spacing w:after="120" w:line="240" w:lineRule="auto"/>
        <w:jc w:val="both"/>
        <w:rPr>
          <w:rFonts w:ascii="Times New Roman" w:hAnsi="Times New Roman"/>
          <w:noProof/>
          <w:sz w:val="24"/>
        </w:rPr>
      </w:pPr>
      <w:r>
        <w:rPr>
          <w:rFonts w:ascii="Times New Roman" w:hAnsi="Times New Roman"/>
          <w:noProof/>
          <w:sz w:val="24"/>
        </w:rPr>
        <w:t>With the exception of organisations representing local communities, all the targeted categories of stakeholders appear to have been reached out by the consultation activities which were put in place. The high response from citizens in the online public consultation is considered to somehow partially compensate the lack of replies from local community organisations. Small-sized and more local actors like SMEs and farmer associations have also been reached out: SMEs were 7% of the participants in the Malta event and 3.7% of the replies to the online public consultation; the representative of one farmer association from Malta was present at the stakeholder event and three other EU farmer associations replied to the online public consultation.</w:t>
      </w:r>
    </w:p>
    <w:p>
      <w:pPr>
        <w:keepNext/>
        <w:numPr>
          <w:ilvl w:val="1"/>
          <w:numId w:val="79"/>
        </w:numPr>
        <w:tabs>
          <w:tab w:val="num" w:pos="1833"/>
        </w:tabs>
        <w:suppressAutoHyphens/>
        <w:spacing w:after="120" w:line="240" w:lineRule="auto"/>
        <w:jc w:val="both"/>
        <w:outlineLvl w:val="2"/>
        <w:rPr>
          <w:rFonts w:ascii="Times New Roman" w:eastAsia="Times New Roman" w:hAnsi="Times New Roman"/>
          <w:i/>
          <w:noProof/>
          <w:sz w:val="24"/>
          <w:szCs w:val="20"/>
          <w:lang w:eastAsia="ar-SA"/>
        </w:rPr>
      </w:pPr>
      <w:bookmarkStart w:id="372" w:name="_Toc453056124"/>
      <w:bookmarkStart w:id="373" w:name="_Toc453058064"/>
      <w:bookmarkStart w:id="374" w:name="_Toc453058521"/>
      <w:bookmarkStart w:id="375" w:name="_Toc453067051"/>
      <w:bookmarkStart w:id="376" w:name="_Toc453068085"/>
      <w:bookmarkStart w:id="377" w:name="_Toc452566286"/>
      <w:bookmarkStart w:id="378" w:name="_Toc453058522"/>
      <w:bookmarkStart w:id="379" w:name="_Toc455682304"/>
      <w:bookmarkStart w:id="380" w:name="_Toc455682864"/>
      <w:bookmarkStart w:id="381" w:name="_Toc457466087"/>
      <w:bookmarkEnd w:id="372"/>
      <w:bookmarkEnd w:id="373"/>
      <w:bookmarkEnd w:id="374"/>
      <w:bookmarkEnd w:id="375"/>
      <w:bookmarkEnd w:id="376"/>
      <w:r>
        <w:rPr>
          <w:rFonts w:ascii="Times New Roman" w:eastAsia="Times New Roman" w:hAnsi="Times New Roman"/>
          <w:i/>
          <w:noProof/>
          <w:sz w:val="24"/>
          <w:szCs w:val="20"/>
          <w:lang w:eastAsia="ar-SA"/>
        </w:rPr>
        <w:t>Problem definition</w:t>
      </w:r>
      <w:bookmarkEnd w:id="377"/>
      <w:bookmarkEnd w:id="378"/>
      <w:bookmarkEnd w:id="379"/>
      <w:bookmarkEnd w:id="380"/>
      <w:bookmarkEnd w:id="381"/>
    </w:p>
    <w:p>
      <w:pPr>
        <w:spacing w:after="120" w:line="240" w:lineRule="auto"/>
        <w:jc w:val="both"/>
        <w:rPr>
          <w:rFonts w:ascii="Times New Roman" w:hAnsi="Times New Roman"/>
          <w:noProof/>
          <w:sz w:val="24"/>
        </w:rPr>
      </w:pPr>
      <w:r>
        <w:rPr>
          <w:rFonts w:ascii="Times New Roman" w:hAnsi="Times New Roman"/>
          <w:noProof/>
          <w:sz w:val="24"/>
        </w:rPr>
        <w:t>The difficulty to implement innovative solutions due to the lack of effective cooperation among countries and actors, as well as inadequate R&amp;I investments and R&amp;I governance structures, emerge as the most relevant issues for R&amp;I in the Mediterranean area.</w:t>
      </w:r>
    </w:p>
    <w:p>
      <w:pPr>
        <w:spacing w:after="120" w:line="240" w:lineRule="auto"/>
        <w:jc w:val="both"/>
        <w:rPr>
          <w:rFonts w:ascii="Times New Roman" w:hAnsi="Times New Roman"/>
          <w:noProof/>
          <w:sz w:val="24"/>
        </w:rPr>
      </w:pPr>
      <w:r>
        <w:rPr>
          <w:rFonts w:ascii="Times New Roman" w:hAnsi="Times New Roman"/>
          <w:noProof/>
          <w:sz w:val="24"/>
        </w:rPr>
        <w:t>More specifically, in the online public consultation the following three problem statements were identified as the most relevant R&amp;I challenges in the field of sustainable food production and water resources management in the Mediterranean area:</w:t>
      </w:r>
    </w:p>
    <w:p>
      <w:pPr>
        <w:numPr>
          <w:ilvl w:val="0"/>
          <w:numId w:val="21"/>
        </w:numPr>
        <w:spacing w:after="120" w:line="240" w:lineRule="auto"/>
        <w:jc w:val="both"/>
        <w:rPr>
          <w:rFonts w:ascii="Times New Roman" w:hAnsi="Times New Roman"/>
          <w:noProof/>
          <w:sz w:val="24"/>
        </w:rPr>
      </w:pPr>
      <w:r>
        <w:rPr>
          <w:rFonts w:ascii="Times New Roman" w:hAnsi="Times New Roman"/>
          <w:noProof/>
          <w:sz w:val="24"/>
        </w:rPr>
        <w:t>lack of coordination and cooperation between countries and research organisations and duplication of research efforts;</w:t>
      </w:r>
    </w:p>
    <w:p>
      <w:pPr>
        <w:numPr>
          <w:ilvl w:val="0"/>
          <w:numId w:val="21"/>
        </w:numPr>
        <w:spacing w:after="120" w:line="240" w:lineRule="auto"/>
        <w:jc w:val="both"/>
        <w:rPr>
          <w:rFonts w:ascii="Times New Roman" w:hAnsi="Times New Roman"/>
          <w:noProof/>
          <w:sz w:val="24"/>
        </w:rPr>
      </w:pPr>
      <w:r>
        <w:rPr>
          <w:rFonts w:ascii="Times New Roman" w:hAnsi="Times New Roman"/>
          <w:noProof/>
          <w:sz w:val="24"/>
        </w:rPr>
        <w:t>lack of cooperation between academic and non-academic actors;</w:t>
      </w:r>
    </w:p>
    <w:p>
      <w:pPr>
        <w:numPr>
          <w:ilvl w:val="0"/>
          <w:numId w:val="21"/>
        </w:numPr>
        <w:spacing w:after="120" w:line="240" w:lineRule="auto"/>
        <w:jc w:val="both"/>
        <w:rPr>
          <w:rFonts w:ascii="Times New Roman" w:hAnsi="Times New Roman"/>
          <w:noProof/>
          <w:sz w:val="24"/>
        </w:rPr>
      </w:pPr>
      <w:r>
        <w:rPr>
          <w:rFonts w:ascii="Times New Roman" w:hAnsi="Times New Roman"/>
          <w:noProof/>
          <w:sz w:val="24"/>
        </w:rPr>
        <w:t>insufficient investments in R&amp;I.</w:t>
      </w:r>
    </w:p>
    <w:p>
      <w:pPr>
        <w:spacing w:after="120" w:line="240" w:lineRule="auto"/>
        <w:jc w:val="both"/>
        <w:rPr>
          <w:rFonts w:ascii="Times New Roman" w:hAnsi="Times New Roman"/>
          <w:noProof/>
          <w:sz w:val="24"/>
        </w:rPr>
      </w:pPr>
      <w:r>
        <w:rPr>
          <w:rFonts w:ascii="Times New Roman" w:hAnsi="Times New Roman"/>
          <w:noProof/>
          <w:sz w:val="24"/>
        </w:rPr>
        <w:t>More funding for R&amp;I investments emerges as a less critical factor, above all among third countries respondents. According to the majority of respondents, encouraging synergies among countries and actors is considered essential to ensure the benefits of additional R&amp;I funding.</w:t>
      </w:r>
    </w:p>
    <w:p>
      <w:pPr>
        <w:spacing w:after="120" w:line="240" w:lineRule="auto"/>
        <w:jc w:val="both"/>
        <w:rPr>
          <w:rFonts w:ascii="Times New Roman" w:hAnsi="Times New Roman"/>
          <w:noProof/>
          <w:sz w:val="24"/>
        </w:rPr>
      </w:pPr>
      <w:r>
        <w:rPr>
          <w:rFonts w:ascii="Times New Roman" w:hAnsi="Times New Roman"/>
          <w:noProof/>
          <w:sz w:val="24"/>
        </w:rPr>
        <w:t>Similar conclusions can be drawn from the discussions on Problem Definition which took place during the Malta event. Inadequate R&amp;I governance structures and processes to address common and inter-related problems and the insufficient implementation of innovative solutions emerged as the most relevant challenges for R&amp;I in the field of food production and water resources management in the Mediterranean area, with the first one being the most difficult challenge to implement. Insufficient investments in R&amp;I was included among the five most relevant R&amp;I challenges but it was considered as the least relevant one, with no particular implementation issues.</w:t>
      </w:r>
    </w:p>
    <w:p>
      <w:pPr>
        <w:spacing w:after="120" w:line="240" w:lineRule="auto"/>
        <w:jc w:val="both"/>
        <w:rPr>
          <w:rFonts w:ascii="Times New Roman" w:hAnsi="Times New Roman"/>
          <w:noProof/>
          <w:sz w:val="24"/>
        </w:rPr>
      </w:pPr>
    </w:p>
    <w:p>
      <w:pPr>
        <w:keepNext/>
        <w:numPr>
          <w:ilvl w:val="1"/>
          <w:numId w:val="79"/>
        </w:numPr>
        <w:tabs>
          <w:tab w:val="num" w:pos="1833"/>
        </w:tabs>
        <w:suppressAutoHyphens/>
        <w:spacing w:after="120" w:line="240" w:lineRule="auto"/>
        <w:jc w:val="both"/>
        <w:outlineLvl w:val="2"/>
        <w:rPr>
          <w:rFonts w:ascii="Times New Roman" w:eastAsia="Times New Roman" w:hAnsi="Times New Roman"/>
          <w:i/>
          <w:noProof/>
          <w:sz w:val="24"/>
          <w:szCs w:val="20"/>
          <w:lang w:eastAsia="ar-SA"/>
        </w:rPr>
      </w:pPr>
      <w:bookmarkStart w:id="382" w:name="_Toc453056126"/>
      <w:bookmarkStart w:id="383" w:name="_Toc453058066"/>
      <w:bookmarkStart w:id="384" w:name="_Toc453058523"/>
      <w:bookmarkStart w:id="385" w:name="_Toc453066837"/>
      <w:bookmarkStart w:id="386" w:name="_Toc453066965"/>
      <w:bookmarkStart w:id="387" w:name="_Toc453067053"/>
      <w:bookmarkStart w:id="388" w:name="_Toc453068087"/>
      <w:bookmarkStart w:id="389" w:name="_Toc452566287"/>
      <w:bookmarkStart w:id="390" w:name="_Toc453058524"/>
      <w:bookmarkStart w:id="391" w:name="_Toc455682305"/>
      <w:bookmarkStart w:id="392" w:name="_Toc455682865"/>
      <w:bookmarkStart w:id="393" w:name="_Toc457466088"/>
      <w:bookmarkEnd w:id="382"/>
      <w:bookmarkEnd w:id="383"/>
      <w:bookmarkEnd w:id="384"/>
      <w:bookmarkEnd w:id="385"/>
      <w:bookmarkEnd w:id="386"/>
      <w:bookmarkEnd w:id="387"/>
      <w:bookmarkEnd w:id="388"/>
      <w:r>
        <w:rPr>
          <w:rFonts w:ascii="Times New Roman" w:eastAsia="Times New Roman" w:hAnsi="Times New Roman"/>
          <w:i/>
          <w:noProof/>
          <w:sz w:val="24"/>
          <w:szCs w:val="20"/>
          <w:lang w:eastAsia="ar-SA"/>
        </w:rPr>
        <w:t>Core objectives</w:t>
      </w:r>
      <w:bookmarkEnd w:id="389"/>
      <w:bookmarkEnd w:id="390"/>
      <w:bookmarkEnd w:id="391"/>
      <w:bookmarkEnd w:id="392"/>
      <w:bookmarkEnd w:id="393"/>
    </w:p>
    <w:p>
      <w:pPr>
        <w:spacing w:after="120" w:line="240" w:lineRule="auto"/>
        <w:jc w:val="both"/>
        <w:rPr>
          <w:rFonts w:ascii="Times New Roman" w:hAnsi="Times New Roman"/>
          <w:noProof/>
          <w:sz w:val="24"/>
        </w:rPr>
      </w:pPr>
      <w:r>
        <w:rPr>
          <w:rFonts w:ascii="Times New Roman" w:hAnsi="Times New Roman"/>
          <w:noProof/>
          <w:sz w:val="24"/>
        </w:rPr>
        <w:t xml:space="preserve">Supporting the development and application of innovative solutions in the field of sustainable food production and water resources management in the Mediterranean region was identified as the most relevant objective for PRIMA by both the respondents to the online public consultation and the participants in the stakeholder event in Malta. There appears to be a general consensus on the importance of this objective, independently on the country of origin (EU or third countries) of the respondent/participant. </w:t>
      </w:r>
    </w:p>
    <w:p>
      <w:pPr>
        <w:spacing w:after="120" w:line="240" w:lineRule="auto"/>
        <w:jc w:val="both"/>
        <w:rPr>
          <w:rFonts w:ascii="Times New Roman" w:hAnsi="Times New Roman"/>
          <w:noProof/>
          <w:sz w:val="24"/>
        </w:rPr>
      </w:pPr>
      <w:r>
        <w:rPr>
          <w:rFonts w:ascii="Times New Roman" w:hAnsi="Times New Roman"/>
          <w:noProof/>
          <w:sz w:val="24"/>
        </w:rPr>
        <w:t>Another objective which was particularly emphasised is the need to reinforce cooperation not just among Euro-Mediterranean countries but also among sectors and regions. Knowledge sharing and transfer (e.g., via a dedicated platform), capacity building, support to knowledge-based jobs and competences and ensuring research quality were also mentioned as relevant objectives for PRIMA.</w:t>
      </w:r>
    </w:p>
    <w:p>
      <w:pPr>
        <w:spacing w:after="120" w:line="240" w:lineRule="auto"/>
        <w:jc w:val="both"/>
        <w:rPr>
          <w:rFonts w:ascii="Times New Roman" w:hAnsi="Times New Roman"/>
          <w:noProof/>
          <w:sz w:val="24"/>
        </w:rPr>
      </w:pPr>
    </w:p>
    <w:p>
      <w:pPr>
        <w:keepNext/>
        <w:numPr>
          <w:ilvl w:val="1"/>
          <w:numId w:val="79"/>
        </w:numPr>
        <w:tabs>
          <w:tab w:val="num" w:pos="1833"/>
        </w:tabs>
        <w:suppressAutoHyphens/>
        <w:spacing w:after="120" w:line="240" w:lineRule="auto"/>
        <w:jc w:val="both"/>
        <w:outlineLvl w:val="2"/>
        <w:rPr>
          <w:rFonts w:ascii="Times New Roman" w:eastAsia="Times New Roman" w:hAnsi="Times New Roman"/>
          <w:i/>
          <w:noProof/>
          <w:sz w:val="24"/>
          <w:szCs w:val="20"/>
          <w:lang w:eastAsia="ar-SA"/>
        </w:rPr>
      </w:pPr>
      <w:bookmarkStart w:id="394" w:name="_Toc453056128"/>
      <w:bookmarkStart w:id="395" w:name="_Toc453058068"/>
      <w:bookmarkStart w:id="396" w:name="_Toc453058525"/>
      <w:bookmarkStart w:id="397" w:name="_Toc453067055"/>
      <w:bookmarkStart w:id="398" w:name="_Toc453068089"/>
      <w:bookmarkStart w:id="399" w:name="_Toc452566288"/>
      <w:bookmarkStart w:id="400" w:name="_Toc453058526"/>
      <w:bookmarkStart w:id="401" w:name="_Toc455682306"/>
      <w:bookmarkStart w:id="402" w:name="_Toc455682866"/>
      <w:bookmarkStart w:id="403" w:name="_Toc457466089"/>
      <w:bookmarkEnd w:id="394"/>
      <w:bookmarkEnd w:id="395"/>
      <w:bookmarkEnd w:id="396"/>
      <w:bookmarkEnd w:id="397"/>
      <w:bookmarkEnd w:id="398"/>
      <w:r>
        <w:rPr>
          <w:rFonts w:ascii="Times New Roman" w:eastAsia="Times New Roman" w:hAnsi="Times New Roman"/>
          <w:i/>
          <w:noProof/>
          <w:sz w:val="24"/>
          <w:szCs w:val="20"/>
          <w:lang w:eastAsia="ar-SA"/>
        </w:rPr>
        <w:t>R&amp;I priorities</w:t>
      </w:r>
      <w:bookmarkEnd w:id="399"/>
      <w:bookmarkEnd w:id="400"/>
      <w:bookmarkEnd w:id="401"/>
      <w:bookmarkEnd w:id="402"/>
      <w:bookmarkEnd w:id="403"/>
    </w:p>
    <w:p>
      <w:pPr>
        <w:spacing w:after="120" w:line="240" w:lineRule="auto"/>
        <w:jc w:val="both"/>
        <w:rPr>
          <w:rFonts w:ascii="Times New Roman" w:hAnsi="Times New Roman"/>
          <w:noProof/>
          <w:sz w:val="24"/>
        </w:rPr>
      </w:pPr>
      <w:r>
        <w:rPr>
          <w:rFonts w:ascii="Times New Roman" w:hAnsi="Times New Roman"/>
          <w:noProof/>
          <w:sz w:val="24"/>
        </w:rPr>
        <w:t>As for the most relevant R&amp;I priorities for the PRIMA initiative, a slightly different feedback was provided by the respondents to the online public consultation, on the one hand, and the participants in the stakeholder event in Malta, on the other.</w:t>
      </w:r>
    </w:p>
    <w:p>
      <w:pPr>
        <w:spacing w:after="120" w:line="240" w:lineRule="auto"/>
        <w:jc w:val="both"/>
        <w:rPr>
          <w:rFonts w:ascii="Times New Roman" w:hAnsi="Times New Roman"/>
          <w:noProof/>
          <w:sz w:val="24"/>
        </w:rPr>
      </w:pPr>
      <w:r>
        <w:rPr>
          <w:rFonts w:ascii="Times New Roman" w:hAnsi="Times New Roman"/>
          <w:noProof/>
          <w:sz w:val="24"/>
        </w:rPr>
        <w:t>According to both EU and third countries replies to the online public consultation, finding context-adapted solutions capable of increasing food and water chain efficiency and reducing losses and waste in the region is the most relevant R&amp;I priority for a Partnership for Research and Innovation geared towards improving the efficiency and sustainability of food production and processing and water resources management in the Mediterranean basin. In addition to this, EU respondents underlined the importance of supporting the common development of smart and sustainable farming systems capable of maintaining natural resources and increasing production efficiency as well as the need to test and stimulate the application of context-tailored water-saving solutions, particularly in agriculture. From EU respondents, there was also the suggestion to address within PRIMA the whole water-food-energy nexus, thus adding energy as an area of intervention. As for third countries respondents, they strongly emphasised the need to improve land and water sustainability in arid and semi-arid environments.</w:t>
      </w:r>
    </w:p>
    <w:p>
      <w:pPr>
        <w:spacing w:after="120" w:line="240" w:lineRule="auto"/>
        <w:jc w:val="both"/>
        <w:rPr>
          <w:rFonts w:ascii="Times New Roman" w:hAnsi="Times New Roman"/>
          <w:noProof/>
          <w:sz w:val="24"/>
        </w:rPr>
      </w:pPr>
      <w:r>
        <w:rPr>
          <w:rFonts w:ascii="Times New Roman" w:hAnsi="Times New Roman"/>
          <w:noProof/>
          <w:sz w:val="24"/>
        </w:rPr>
        <w:t>As already mentioned, slightly different R&amp;I priorities were identified as a result of the dedicated discussion table which took place during the Malta event. Participants highlighted the importance of supporting the development of:</w:t>
      </w:r>
    </w:p>
    <w:p>
      <w:pPr>
        <w:numPr>
          <w:ilvl w:val="0"/>
          <w:numId w:val="21"/>
        </w:numPr>
        <w:spacing w:after="120" w:line="240" w:lineRule="auto"/>
        <w:jc w:val="both"/>
        <w:rPr>
          <w:rFonts w:ascii="Times New Roman" w:hAnsi="Times New Roman"/>
          <w:noProof/>
          <w:sz w:val="24"/>
        </w:rPr>
      </w:pPr>
      <w:r>
        <w:rPr>
          <w:rFonts w:ascii="Times New Roman" w:hAnsi="Times New Roman"/>
          <w:noProof/>
          <w:sz w:val="24"/>
        </w:rPr>
        <w:t>tools for knowledge capitalisation;</w:t>
      </w:r>
    </w:p>
    <w:p>
      <w:pPr>
        <w:numPr>
          <w:ilvl w:val="0"/>
          <w:numId w:val="21"/>
        </w:numPr>
        <w:spacing w:after="120" w:line="240" w:lineRule="auto"/>
        <w:jc w:val="both"/>
        <w:rPr>
          <w:rFonts w:ascii="Times New Roman" w:hAnsi="Times New Roman"/>
          <w:noProof/>
          <w:sz w:val="24"/>
        </w:rPr>
      </w:pPr>
      <w:r>
        <w:rPr>
          <w:rFonts w:ascii="Times New Roman" w:hAnsi="Times New Roman"/>
          <w:noProof/>
          <w:sz w:val="24"/>
        </w:rPr>
        <w:t>climate modelling / services for end-users;</w:t>
      </w:r>
    </w:p>
    <w:p>
      <w:pPr>
        <w:numPr>
          <w:ilvl w:val="0"/>
          <w:numId w:val="21"/>
        </w:numPr>
        <w:spacing w:after="120" w:line="240" w:lineRule="auto"/>
        <w:jc w:val="both"/>
        <w:rPr>
          <w:rFonts w:ascii="Times New Roman" w:hAnsi="Times New Roman"/>
          <w:noProof/>
          <w:sz w:val="24"/>
        </w:rPr>
      </w:pPr>
      <w:r>
        <w:rPr>
          <w:rFonts w:ascii="Times New Roman" w:hAnsi="Times New Roman"/>
          <w:noProof/>
          <w:sz w:val="24"/>
        </w:rPr>
        <w:t>collaborative projects including different stakeholders.</w:t>
      </w:r>
    </w:p>
    <w:p>
      <w:pPr>
        <w:spacing w:after="120" w:line="240" w:lineRule="auto"/>
        <w:ind w:left="1080"/>
        <w:jc w:val="both"/>
        <w:rPr>
          <w:rFonts w:ascii="Times New Roman" w:hAnsi="Times New Roman"/>
          <w:noProof/>
          <w:sz w:val="24"/>
        </w:rPr>
      </w:pPr>
    </w:p>
    <w:p>
      <w:pPr>
        <w:keepNext/>
        <w:numPr>
          <w:ilvl w:val="1"/>
          <w:numId w:val="79"/>
        </w:numPr>
        <w:tabs>
          <w:tab w:val="num" w:pos="1833"/>
        </w:tabs>
        <w:suppressAutoHyphens/>
        <w:spacing w:after="120" w:line="240" w:lineRule="auto"/>
        <w:jc w:val="both"/>
        <w:outlineLvl w:val="2"/>
        <w:rPr>
          <w:rFonts w:ascii="Times New Roman" w:eastAsia="Times New Roman" w:hAnsi="Times New Roman"/>
          <w:i/>
          <w:noProof/>
          <w:sz w:val="24"/>
          <w:szCs w:val="20"/>
          <w:lang w:eastAsia="ar-SA"/>
        </w:rPr>
      </w:pPr>
      <w:bookmarkStart w:id="404" w:name="_Toc453056130"/>
      <w:bookmarkStart w:id="405" w:name="_Toc453058070"/>
      <w:bookmarkStart w:id="406" w:name="_Toc453058527"/>
      <w:bookmarkStart w:id="407" w:name="_Toc453067057"/>
      <w:bookmarkStart w:id="408" w:name="_Toc453068091"/>
      <w:bookmarkStart w:id="409" w:name="_Toc452566289"/>
      <w:bookmarkStart w:id="410" w:name="_Toc453058528"/>
      <w:bookmarkStart w:id="411" w:name="_Toc455682307"/>
      <w:bookmarkStart w:id="412" w:name="_Toc455682867"/>
      <w:bookmarkStart w:id="413" w:name="_Toc457466090"/>
      <w:bookmarkEnd w:id="404"/>
      <w:bookmarkEnd w:id="405"/>
      <w:bookmarkEnd w:id="406"/>
      <w:bookmarkEnd w:id="407"/>
      <w:bookmarkEnd w:id="408"/>
      <w:r>
        <w:rPr>
          <w:rFonts w:ascii="Times New Roman" w:eastAsia="Times New Roman" w:hAnsi="Times New Roman"/>
          <w:i/>
          <w:noProof/>
          <w:sz w:val="24"/>
          <w:szCs w:val="20"/>
          <w:lang w:eastAsia="ar-SA"/>
        </w:rPr>
        <w:t>Actions</w:t>
      </w:r>
      <w:bookmarkEnd w:id="409"/>
      <w:bookmarkEnd w:id="410"/>
      <w:bookmarkEnd w:id="411"/>
      <w:bookmarkEnd w:id="412"/>
      <w:bookmarkEnd w:id="413"/>
    </w:p>
    <w:p>
      <w:pPr>
        <w:spacing w:after="120" w:line="240" w:lineRule="auto"/>
        <w:jc w:val="both"/>
        <w:rPr>
          <w:rFonts w:ascii="Times New Roman" w:hAnsi="Times New Roman"/>
          <w:noProof/>
          <w:sz w:val="24"/>
        </w:rPr>
      </w:pPr>
      <w:r>
        <w:rPr>
          <w:rFonts w:ascii="Times New Roman" w:hAnsi="Times New Roman"/>
          <w:noProof/>
          <w:sz w:val="24"/>
        </w:rPr>
        <w:t>Asked about the most relevant actions for PRIMA to achieve its objectives, both the respondents to the online public consultation and the participants in the Malta event valued as very important the development of pilot projects. Respondents to the online public consultation also considered as particularly relevant the following two actions: public sector's direct investments in R&amp;I and the support to networking and coordination/cooperation activities. Training for researchers and career development was identified by third countries replies as a very important element for PRIMA to achieve its objectives. In addition to the need of developing and supporting pilot projects, participants in the stakeholder event underlined the relevance for PRIMA of having the private sector investing in R&amp;I, with the public sector facilitating these investments.</w:t>
      </w:r>
    </w:p>
    <w:p>
      <w:pPr>
        <w:spacing w:after="120" w:line="240" w:lineRule="auto"/>
        <w:jc w:val="both"/>
        <w:rPr>
          <w:rFonts w:ascii="Times New Roman" w:hAnsi="Times New Roman"/>
          <w:noProof/>
          <w:sz w:val="24"/>
        </w:rPr>
      </w:pPr>
      <w:r>
        <w:rPr>
          <w:rFonts w:ascii="Times New Roman" w:hAnsi="Times New Roman"/>
          <w:noProof/>
          <w:sz w:val="24"/>
        </w:rPr>
        <w:t>It is here worth mentioning that, in the optional box dedicated to any potential additional actions which might be relevant for PRIMA to achieve its objectives, respondents to the online public consultation – and EU stakeholders in particular – strongly underlined the need to set up those synergies among actors whose importance was emphasised in the problem definition section. For a R&amp;I initiative to be successful, local actors and end-users need to be involved from the very early stage of the process and specific training programmes and schemes need to be designed and implemented.</w:t>
      </w:r>
    </w:p>
    <w:p>
      <w:pPr>
        <w:spacing w:after="120" w:line="240" w:lineRule="auto"/>
        <w:jc w:val="both"/>
        <w:rPr>
          <w:rFonts w:ascii="Times New Roman" w:hAnsi="Times New Roman"/>
          <w:noProof/>
          <w:sz w:val="24"/>
        </w:rPr>
      </w:pPr>
    </w:p>
    <w:p>
      <w:pPr>
        <w:keepNext/>
        <w:numPr>
          <w:ilvl w:val="1"/>
          <w:numId w:val="79"/>
        </w:numPr>
        <w:tabs>
          <w:tab w:val="num" w:pos="1833"/>
        </w:tabs>
        <w:suppressAutoHyphens/>
        <w:spacing w:after="120" w:line="240" w:lineRule="auto"/>
        <w:jc w:val="both"/>
        <w:outlineLvl w:val="2"/>
        <w:rPr>
          <w:rFonts w:ascii="Times New Roman" w:eastAsia="Times New Roman" w:hAnsi="Times New Roman"/>
          <w:i/>
          <w:noProof/>
          <w:sz w:val="24"/>
          <w:szCs w:val="20"/>
          <w:lang w:eastAsia="ar-SA"/>
        </w:rPr>
      </w:pPr>
      <w:bookmarkStart w:id="414" w:name="_Toc453056132"/>
      <w:bookmarkStart w:id="415" w:name="_Toc453058072"/>
      <w:bookmarkStart w:id="416" w:name="_Toc453058529"/>
      <w:bookmarkStart w:id="417" w:name="_Toc453067059"/>
      <w:bookmarkStart w:id="418" w:name="_Toc453068093"/>
      <w:bookmarkStart w:id="419" w:name="_Toc452566290"/>
      <w:bookmarkStart w:id="420" w:name="_Toc453058530"/>
      <w:bookmarkStart w:id="421" w:name="_Toc455682308"/>
      <w:bookmarkStart w:id="422" w:name="_Toc455682868"/>
      <w:bookmarkStart w:id="423" w:name="_Toc457466091"/>
      <w:bookmarkEnd w:id="414"/>
      <w:bookmarkEnd w:id="415"/>
      <w:bookmarkEnd w:id="416"/>
      <w:bookmarkEnd w:id="417"/>
      <w:bookmarkEnd w:id="418"/>
      <w:r>
        <w:rPr>
          <w:rFonts w:ascii="Times New Roman" w:eastAsia="Times New Roman" w:hAnsi="Times New Roman"/>
          <w:i/>
          <w:noProof/>
          <w:sz w:val="24"/>
          <w:szCs w:val="20"/>
          <w:lang w:eastAsia="ar-SA"/>
        </w:rPr>
        <w:t>Impacts</w:t>
      </w:r>
      <w:bookmarkEnd w:id="419"/>
      <w:bookmarkEnd w:id="420"/>
      <w:bookmarkEnd w:id="421"/>
      <w:bookmarkEnd w:id="422"/>
      <w:bookmarkEnd w:id="423"/>
    </w:p>
    <w:p>
      <w:pPr>
        <w:spacing w:after="120" w:line="240" w:lineRule="auto"/>
        <w:jc w:val="both"/>
        <w:rPr>
          <w:rFonts w:ascii="Times New Roman" w:hAnsi="Times New Roman"/>
          <w:noProof/>
          <w:sz w:val="24"/>
        </w:rPr>
      </w:pPr>
      <w:r>
        <w:rPr>
          <w:rFonts w:ascii="Times New Roman" w:hAnsi="Times New Roman"/>
          <w:noProof/>
          <w:sz w:val="24"/>
        </w:rPr>
        <w:t>Respondents to the online public consultation and participants in the Malta event considered as relevant all the impacts listed in the questionnaire of the PRIMA online public consultation. Particular importance is attributed by external stakeholders to the introduction and dissemination of innovative products, technologies and production methods adapted to the specific socio-economic conditions of the Mediterranean area.</w:t>
      </w:r>
    </w:p>
    <w:p>
      <w:pPr>
        <w:spacing w:after="120" w:line="240" w:lineRule="auto"/>
        <w:jc w:val="both"/>
        <w:rPr>
          <w:rFonts w:ascii="Times New Roman" w:hAnsi="Times New Roman"/>
          <w:noProof/>
          <w:sz w:val="24"/>
        </w:rPr>
      </w:pPr>
      <w:r>
        <w:rPr>
          <w:rFonts w:ascii="Times New Roman" w:hAnsi="Times New Roman"/>
          <w:noProof/>
          <w:sz w:val="24"/>
        </w:rPr>
        <w:t xml:space="preserve">According to EU respondents to the online public consultation, more effective, sustainable and responsible production, food consumption patterns and use of water resources in the region emerge as the most relevant impact for PRIMA. They particularly insisted on PRIMA's potential to improve wellbeing and quality of life in Mediterranean Countries (especially in the Southern shore), thus contributing to mitigating the current migration crisis. Improving wellbeing is also very present in the comments regarding additional potential impacts for PRIMA, next to raising awareness of climate change issues and boosting cooperation and synergies. As for third countries respondents, they strongly emphasised the potential for PRIMA to support economic growth in the region through job creation. </w:t>
      </w:r>
    </w:p>
    <w:p>
      <w:pPr>
        <w:spacing w:after="120" w:line="240" w:lineRule="auto"/>
        <w:jc w:val="both"/>
        <w:rPr>
          <w:rFonts w:ascii="Times New Roman" w:hAnsi="Times New Roman"/>
          <w:noProof/>
          <w:sz w:val="24"/>
        </w:rPr>
      </w:pPr>
      <w:r>
        <w:rPr>
          <w:rFonts w:ascii="Times New Roman" w:hAnsi="Times New Roman"/>
          <w:noProof/>
          <w:sz w:val="24"/>
        </w:rPr>
        <w:t>The potential for PRIMA to support job creation and economic growth, as well as to improve the competitiveness of the SMEs established in the region, was particularly stressed during the discussion table on Action &amp; Impacts which took place during the stakeholder event in Malta.</w:t>
      </w:r>
    </w:p>
    <w:p>
      <w:pPr>
        <w:spacing w:after="120" w:line="240" w:lineRule="auto"/>
        <w:jc w:val="both"/>
        <w:rPr>
          <w:rFonts w:ascii="Times New Roman" w:hAnsi="Times New Roman"/>
          <w:noProof/>
          <w:sz w:val="24"/>
        </w:rPr>
      </w:pPr>
    </w:p>
    <w:p>
      <w:pPr>
        <w:keepNext/>
        <w:numPr>
          <w:ilvl w:val="1"/>
          <w:numId w:val="79"/>
        </w:numPr>
        <w:tabs>
          <w:tab w:val="num" w:pos="1833"/>
        </w:tabs>
        <w:suppressAutoHyphens/>
        <w:spacing w:after="120" w:line="240" w:lineRule="auto"/>
        <w:jc w:val="both"/>
        <w:outlineLvl w:val="2"/>
        <w:rPr>
          <w:rFonts w:ascii="Times New Roman" w:eastAsia="Times New Roman" w:hAnsi="Times New Roman"/>
          <w:i/>
          <w:noProof/>
          <w:sz w:val="24"/>
          <w:szCs w:val="20"/>
          <w:lang w:eastAsia="ar-SA"/>
        </w:rPr>
      </w:pPr>
      <w:bookmarkStart w:id="424" w:name="_Toc453056134"/>
      <w:bookmarkStart w:id="425" w:name="_Toc453058074"/>
      <w:bookmarkStart w:id="426" w:name="_Toc453058531"/>
      <w:bookmarkStart w:id="427" w:name="_Toc453067061"/>
      <w:bookmarkStart w:id="428" w:name="_Toc453068095"/>
      <w:bookmarkStart w:id="429" w:name="_Toc452566291"/>
      <w:bookmarkStart w:id="430" w:name="_Toc453058532"/>
      <w:bookmarkStart w:id="431" w:name="_Toc455682309"/>
      <w:bookmarkStart w:id="432" w:name="_Toc455682869"/>
      <w:bookmarkStart w:id="433" w:name="_Toc457466092"/>
      <w:bookmarkEnd w:id="424"/>
      <w:bookmarkEnd w:id="425"/>
      <w:bookmarkEnd w:id="426"/>
      <w:bookmarkEnd w:id="427"/>
      <w:bookmarkEnd w:id="428"/>
      <w:r>
        <w:rPr>
          <w:rFonts w:ascii="Times New Roman" w:eastAsia="Times New Roman" w:hAnsi="Times New Roman"/>
          <w:i/>
          <w:noProof/>
          <w:sz w:val="24"/>
          <w:szCs w:val="20"/>
          <w:lang w:eastAsia="ar-SA"/>
        </w:rPr>
        <w:t>Policy options</w:t>
      </w:r>
      <w:bookmarkEnd w:id="429"/>
      <w:bookmarkEnd w:id="430"/>
      <w:bookmarkEnd w:id="431"/>
      <w:bookmarkEnd w:id="432"/>
      <w:bookmarkEnd w:id="433"/>
    </w:p>
    <w:p>
      <w:pPr>
        <w:spacing w:after="120" w:line="240" w:lineRule="auto"/>
        <w:jc w:val="both"/>
        <w:rPr>
          <w:rFonts w:ascii="Times New Roman" w:hAnsi="Times New Roman"/>
          <w:noProof/>
          <w:sz w:val="24"/>
        </w:rPr>
      </w:pPr>
      <w:r>
        <w:rPr>
          <w:rFonts w:ascii="Times New Roman" w:hAnsi="Times New Roman"/>
          <w:noProof/>
          <w:sz w:val="24"/>
        </w:rPr>
        <w:t xml:space="preserve">From the outcome of the stakeholder event in Malta and the analysis of the online public consultation results, it emerges that existing national and EU-level R&amp;I actions in the field of water resources management and food systems in the Mediterranean Area do not adequately address the problem statements highlighted by the same stakeholders in the Problem Definition section. </w:t>
      </w:r>
    </w:p>
    <w:p>
      <w:pPr>
        <w:spacing w:after="120" w:line="240" w:lineRule="auto"/>
        <w:jc w:val="both"/>
        <w:rPr>
          <w:rFonts w:ascii="Times New Roman" w:hAnsi="Times New Roman"/>
          <w:noProof/>
          <w:sz w:val="24"/>
        </w:rPr>
      </w:pPr>
      <w:r>
        <w:rPr>
          <w:rFonts w:ascii="Times New Roman" w:hAnsi="Times New Roman"/>
          <w:noProof/>
          <w:sz w:val="24"/>
        </w:rPr>
        <w:t>Only 26.5% of the total number of respondents (149 out of 562) to the online public consultation – less than one quarter of EU replies, but slightly more than half of the third countries replies – believe that the current scenario is enough to address the R&amp;I challenges in the field of sustainable food production and water resources management in the Mediterranean area. 18.5% of the total number of respondents (104 out of 562) did not express any opinion in relation to policy options. The reasons explaining the overall satisfaction of the majority of third countries respondents (43 out of 76, corresponding to 56.6%) with the current scenario could not be further investigated since none of these respondents provided any additional justification for their choice in the optional box</w:t>
      </w:r>
    </w:p>
    <w:p>
      <w:pPr>
        <w:spacing w:after="120" w:line="240" w:lineRule="auto"/>
        <w:jc w:val="both"/>
        <w:rPr>
          <w:rFonts w:ascii="Times New Roman" w:hAnsi="Times New Roman"/>
          <w:noProof/>
          <w:sz w:val="24"/>
        </w:rPr>
      </w:pPr>
      <w:r>
        <w:rPr>
          <w:rFonts w:ascii="Times New Roman" w:hAnsi="Times New Roman"/>
          <w:noProof/>
          <w:sz w:val="24"/>
        </w:rPr>
        <w:t>A positive evaluation to the current state-of-play has been interpreted by the ISG members as a preference for the baseline scenario option mentioned in the PRIMA IIA. It has not been possible though to dig more into the advantages of the baseline scenario, since none of the respondents who are positive about the current scenario provided any reason in support of their choice in the dedicated optional box.</w:t>
      </w:r>
    </w:p>
    <w:p>
      <w:pPr>
        <w:spacing w:after="120" w:line="240" w:lineRule="auto"/>
        <w:jc w:val="both"/>
        <w:rPr>
          <w:rFonts w:ascii="Times New Roman" w:hAnsi="Times New Roman"/>
          <w:noProof/>
          <w:sz w:val="24"/>
        </w:rPr>
      </w:pPr>
      <w:r>
        <w:rPr>
          <w:rFonts w:ascii="Times New Roman" w:hAnsi="Times New Roman"/>
          <w:noProof/>
          <w:sz w:val="24"/>
        </w:rPr>
        <w:t>Among those respondents not in favour of the baseline scenario, 69.3% (214 out of 309) suggest to create a permanent, dedicated structure (Article 185 TFEU), while 29.1% (90 out of 309) would opt for a Co-fund action. 1.6% of the respondents – five replies, all from EU countries – selected "Other policy option" but did not provide any alternative policy option, except for one reply suggesting to launch a series of small grants. While long-term cooperation commitment emerges as the key advantage of Article 185 TFEU, the reduced administrative cost and burden of such option (in comparison to Article 185 TFEU) is indicated as the key advantage of a Co-fund. No strong opposition from specific categories of stakeholders could be detected. All typologies of respondents are represented in almost similar proportions in all the options, with the exception of inter-governmental organisations which all opted for Article 185. For instance, individual citizens represent 26.2% of the replies in favour of the baseline scenario, 33.3% of the replies in favour of Co-fund, and 32.3% of the replies in favour of Article 185; research organisations represent 25.5% of the replies in favour of the baseline scenario, 20% of the replies in favour of Co-fund, and 21.5% of the replies in favour of Article 185; universities represent 27.5% of the replies in favour of the baseline scenario, 25.6% of the replies in favour of Co-fund, and 27.1% of the replies in favour of Article 185. As a general remark, the absence of an overwhelming majority of replies in favour of the Article 185 is likely to indicate that the stakeholders who sent their inputs to the PRIMA online public consultation do not represent a biased sample of respondents.</w:t>
      </w:r>
    </w:p>
    <w:p>
      <w:pPr>
        <w:spacing w:after="120" w:line="240" w:lineRule="auto"/>
        <w:jc w:val="both"/>
        <w:rPr>
          <w:rFonts w:ascii="Times New Roman" w:hAnsi="Times New Roman"/>
          <w:noProof/>
          <w:sz w:val="24"/>
        </w:rPr>
      </w:pPr>
      <w:r>
        <w:rPr>
          <w:rFonts w:ascii="Times New Roman" w:hAnsi="Times New Roman"/>
          <w:noProof/>
          <w:sz w:val="24"/>
        </w:rPr>
        <w:t>Article 185 TFEU emerged as the preferred policy option also from the Policy Options-dedicated discussion table at the PRIMA stakeholder event in Malta. In this case, participants were asked to identify a maximum of three suitable policy options for addressing the challenges for R&amp;I in the field of food production and water resources management in the Mediterranean area. The pros and cons of each policy option were then to be counted and a final ranking list was to be provided. The participants decided to base their discussions on the three policy options (baseline scenario, Co-fund action and Article 185 TFEU) mentioned in the questionnaire of the online public consultation. Article185 TFEU ranked as the most suitable policy option, with three pros and three cons. The three pros are: the long-term commitment, the coherence/alignment among national and international programmes that an Article 185 TFEU is expected to bring along, and the additional financial contribution from the EU. At the same time, the differences among national R&amp;I programmes, together with the legal and the implementation issues which are likely to arise, are all elements which can jeopardise the successful outcome of the initiative.</w:t>
      </w:r>
    </w:p>
    <w:p>
      <w:pPr>
        <w:spacing w:after="120" w:line="240" w:lineRule="auto"/>
        <w:jc w:val="both"/>
        <w:rPr>
          <w:rFonts w:ascii="Times New Roman" w:hAnsi="Times New Roman"/>
          <w:noProof/>
          <w:sz w:val="24"/>
        </w:rPr>
      </w:pPr>
      <w:r>
        <w:rPr>
          <w:rFonts w:ascii="Times New Roman" w:hAnsi="Times New Roman"/>
          <w:noProof/>
          <w:sz w:val="24"/>
        </w:rPr>
        <w:t>With regard to the position paper sent by The Netherlands' Ministry of Economic Affairs, Ministry of Infrastructure and the Environment and Ministry of Education, Culture and Science, and based on the text of the e-mail which accompanied the paper, it can be concluded that the preference for the Co-fund option is intended to replace the one for the baseline scenario made in the contribution by the same stakeholders to the PRIMA online public consultation. As mentioned in the paper, Co-fund is seen as the most suitable option to implement the 'virtual common pot' mechanism envisaged by PRIMA proposers. There is no rationale – the paper continues – for the EU to support an Article 185 initiative, if the PRIMA partner countries themselves do not allow for further synergies between their national programmes.</w:t>
      </w:r>
    </w:p>
    <w:p>
      <w:pPr>
        <w:rPr>
          <w:rFonts w:ascii="Times New Roman" w:hAnsi="Times New Roman"/>
          <w:noProof/>
          <w:sz w:val="20"/>
          <w:szCs w:val="20"/>
        </w:rPr>
      </w:pPr>
      <w:r>
        <w:rPr>
          <w:rFonts w:ascii="Times New Roman" w:hAnsi="Times New Roman"/>
          <w:noProof/>
          <w:sz w:val="20"/>
          <w:szCs w:val="20"/>
        </w:rPr>
        <w:br w:type="page"/>
      </w:r>
    </w:p>
    <w:p>
      <w:pPr>
        <w:pStyle w:val="Heading2"/>
        <w:keepLines w:val="0"/>
        <w:suppressAutoHyphens/>
        <w:spacing w:before="0" w:after="240" w:line="240" w:lineRule="auto"/>
        <w:ind w:left="480"/>
        <w:jc w:val="both"/>
        <w:rPr>
          <w:rFonts w:ascii="Times New Roman" w:hAnsi="Times New Roman"/>
          <w:i/>
          <w:noProof/>
          <w:color w:val="auto"/>
          <w:sz w:val="24"/>
          <w:szCs w:val="24"/>
        </w:rPr>
      </w:pPr>
      <w:bookmarkStart w:id="434" w:name="_Toc453056136"/>
      <w:bookmarkStart w:id="435" w:name="_Toc453058076"/>
      <w:bookmarkStart w:id="436" w:name="_Toc453058533"/>
      <w:bookmarkStart w:id="437" w:name="_Toc453067063"/>
      <w:bookmarkStart w:id="438" w:name="_Toc453068097"/>
      <w:bookmarkStart w:id="439" w:name="_Toc455825281"/>
      <w:bookmarkStart w:id="440" w:name="_Toc457466093"/>
      <w:bookmarkStart w:id="441" w:name="_Toc455682310"/>
      <w:bookmarkStart w:id="442" w:name="_Toc455682870"/>
      <w:bookmarkStart w:id="443" w:name="_Toc452566292"/>
      <w:bookmarkStart w:id="444" w:name="_Toc453058534"/>
      <w:bookmarkEnd w:id="434"/>
      <w:bookmarkEnd w:id="435"/>
      <w:bookmarkEnd w:id="436"/>
      <w:bookmarkEnd w:id="437"/>
      <w:bookmarkEnd w:id="438"/>
      <w:r>
        <w:rPr>
          <w:rFonts w:ascii="Times New Roman" w:hAnsi="Times New Roman"/>
          <w:i/>
          <w:noProof/>
          <w:color w:val="auto"/>
          <w:sz w:val="24"/>
          <w:szCs w:val="24"/>
        </w:rPr>
        <w:t>Annex 3: Socio-economic outlook of the Mediterranean region</w:t>
      </w:r>
      <w:bookmarkEnd w:id="439"/>
      <w:bookmarkEnd w:id="440"/>
    </w:p>
    <w:p>
      <w:pPr>
        <w:keepNext/>
        <w:numPr>
          <w:ilvl w:val="1"/>
          <w:numId w:val="88"/>
        </w:numPr>
        <w:tabs>
          <w:tab w:val="num" w:pos="1833"/>
        </w:tabs>
        <w:suppressAutoHyphens/>
        <w:spacing w:after="120" w:line="240" w:lineRule="auto"/>
        <w:jc w:val="both"/>
        <w:outlineLvl w:val="2"/>
        <w:rPr>
          <w:rFonts w:ascii="Times New Roman" w:eastAsia="Times New Roman" w:hAnsi="Times New Roman"/>
          <w:i/>
          <w:noProof/>
          <w:lang w:eastAsia="ar-SA"/>
        </w:rPr>
      </w:pPr>
      <w:bookmarkStart w:id="445" w:name="_Toc455825282"/>
      <w:bookmarkStart w:id="446" w:name="_Toc457466094"/>
      <w:r>
        <w:rPr>
          <w:rFonts w:ascii="Times New Roman" w:eastAsia="Times New Roman" w:hAnsi="Times New Roman"/>
          <w:i/>
          <w:noProof/>
          <w:lang w:eastAsia="ar-SA"/>
        </w:rPr>
        <w:t>Introduction</w:t>
      </w:r>
      <w:bookmarkEnd w:id="445"/>
      <w:bookmarkEnd w:id="446"/>
    </w:p>
    <w:p>
      <w:pPr>
        <w:spacing w:after="120" w:line="240" w:lineRule="auto"/>
        <w:jc w:val="both"/>
        <w:rPr>
          <w:rFonts w:ascii="Times New Roman" w:hAnsi="Times New Roman"/>
          <w:noProof/>
          <w:sz w:val="24"/>
        </w:rPr>
      </w:pPr>
      <w:r>
        <w:rPr>
          <w:rFonts w:ascii="Times New Roman" w:hAnsi="Times New Roman"/>
          <w:noProof/>
          <w:sz w:val="24"/>
        </w:rPr>
        <w:t>The figures here reported are intended to provide a socio-economic outlook of the Mediterranean region, which includes data on population, GDP, diversity, migration, inequality, competitiveness, unemployment, governance, easy of doing business.</w:t>
      </w:r>
    </w:p>
    <w:p>
      <w:pPr>
        <w:spacing w:after="120" w:line="240" w:lineRule="auto"/>
        <w:jc w:val="both"/>
        <w:rPr>
          <w:rFonts w:ascii="Times New Roman" w:hAnsi="Times New Roman"/>
          <w:noProof/>
          <w:sz w:val="24"/>
        </w:rPr>
      </w:pPr>
    </w:p>
    <w:p>
      <w:pPr>
        <w:keepNext/>
        <w:numPr>
          <w:ilvl w:val="1"/>
          <w:numId w:val="88"/>
        </w:numPr>
        <w:tabs>
          <w:tab w:val="num" w:pos="1833"/>
        </w:tabs>
        <w:suppressAutoHyphens/>
        <w:spacing w:after="120" w:line="240" w:lineRule="auto"/>
        <w:jc w:val="both"/>
        <w:outlineLvl w:val="2"/>
        <w:rPr>
          <w:rFonts w:ascii="Times New Roman" w:eastAsia="Times New Roman" w:hAnsi="Times New Roman"/>
          <w:i/>
          <w:noProof/>
          <w:lang w:val="fr-BE" w:eastAsia="ar-SA"/>
        </w:rPr>
      </w:pPr>
      <w:r>
        <w:rPr>
          <w:rFonts w:ascii="Times New Roman" w:eastAsia="Times New Roman" w:hAnsi="Times New Roman"/>
          <w:i/>
          <w:noProof/>
          <w:lang w:eastAsia="ar-SA"/>
        </w:rPr>
        <w:t xml:space="preserve"> </w:t>
      </w:r>
      <w:bookmarkStart w:id="447" w:name="_Toc455825283"/>
      <w:bookmarkStart w:id="448" w:name="_Toc457466095"/>
      <w:r>
        <w:rPr>
          <w:rFonts w:ascii="Times New Roman" w:eastAsia="Times New Roman" w:hAnsi="Times New Roman"/>
          <w:i/>
          <w:noProof/>
          <w:lang w:val="fr-BE" w:eastAsia="ar-SA"/>
        </w:rPr>
        <w:t>EU vs. non-EU countries</w:t>
      </w:r>
      <w:bookmarkEnd w:id="447"/>
      <w:bookmarkEnd w:id="448"/>
    </w:p>
    <w:p>
      <w:pPr>
        <w:jc w:val="center"/>
        <w:rPr>
          <w:rFonts w:ascii="Times New Roman" w:hAnsi="Times New Roman"/>
          <w:noProof/>
        </w:rPr>
      </w:pPr>
      <w:r>
        <w:rPr>
          <w:rFonts w:ascii="Times New Roman" w:hAnsi="Times New Roman"/>
          <w:noProof/>
          <w:lang w:val="en-US"/>
        </w:rPr>
        <w:drawing>
          <wp:inline distT="0" distB="0" distL="0" distR="0">
            <wp:extent cx="5361885" cy="476719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0751" cy="4775080"/>
                    </a:xfrm>
                    <a:prstGeom prst="rect">
                      <a:avLst/>
                    </a:prstGeom>
                    <a:noFill/>
                    <a:ln>
                      <a:noFill/>
                    </a:ln>
                  </pic:spPr>
                </pic:pic>
              </a:graphicData>
            </a:graphic>
          </wp:inline>
        </w:drawing>
      </w:r>
    </w:p>
    <w:p>
      <w:pPr>
        <w:spacing w:after="120" w:line="240" w:lineRule="auto"/>
        <w:jc w:val="both"/>
        <w:rPr>
          <w:rFonts w:ascii="Times New Roman" w:hAnsi="Times New Roman"/>
          <w:noProof/>
          <w:sz w:val="24"/>
          <w:lang w:val="fr-BE"/>
        </w:rPr>
      </w:pPr>
      <w:r>
        <w:rPr>
          <w:rFonts w:ascii="Times New Roman" w:hAnsi="Times New Roman"/>
          <w:b/>
          <w:noProof/>
          <w:sz w:val="24"/>
          <w:lang w:val="fr-BE"/>
        </w:rPr>
        <w:t>EU vs. non-EU Mediterranean countries (2015 data)</w:t>
      </w:r>
      <w:r>
        <w:rPr>
          <w:rStyle w:val="FootnoteReference"/>
          <w:rFonts w:ascii="Times New Roman" w:hAnsi="Times New Roman"/>
          <w:b/>
          <w:noProof/>
          <w:sz w:val="24"/>
          <w:lang w:val="fr-BE"/>
        </w:rPr>
        <w:footnoteReference w:id="79"/>
      </w:r>
    </w:p>
    <w:p>
      <w:pPr>
        <w:spacing w:after="120" w:line="240" w:lineRule="auto"/>
        <w:jc w:val="both"/>
        <w:rPr>
          <w:rFonts w:ascii="Times New Roman" w:hAnsi="Times New Roman"/>
          <w:noProof/>
          <w:sz w:val="24"/>
        </w:rPr>
      </w:pPr>
    </w:p>
    <w:p>
      <w:pPr>
        <w:spacing w:after="120" w:line="240" w:lineRule="auto"/>
        <w:jc w:val="both"/>
        <w:rPr>
          <w:rFonts w:ascii="Times New Roman" w:hAnsi="Times New Roman"/>
          <w:noProof/>
          <w:sz w:val="24"/>
        </w:rPr>
      </w:pPr>
    </w:p>
    <w:p>
      <w:pPr>
        <w:spacing w:after="120" w:line="240" w:lineRule="auto"/>
        <w:jc w:val="both"/>
        <w:rPr>
          <w:rFonts w:ascii="Times New Roman" w:hAnsi="Times New Roman"/>
          <w:noProof/>
          <w:sz w:val="24"/>
        </w:rPr>
      </w:pPr>
    </w:p>
    <w:p>
      <w:pPr>
        <w:spacing w:after="120" w:line="240" w:lineRule="auto"/>
        <w:jc w:val="both"/>
        <w:rPr>
          <w:rFonts w:ascii="Times New Roman" w:hAnsi="Times New Roman"/>
          <w:noProof/>
          <w:sz w:val="24"/>
        </w:rPr>
      </w:pPr>
    </w:p>
    <w:p>
      <w:pPr>
        <w:spacing w:after="120" w:line="240" w:lineRule="auto"/>
        <w:jc w:val="both"/>
        <w:rPr>
          <w:rFonts w:ascii="Times New Roman" w:hAnsi="Times New Roman"/>
          <w:noProof/>
          <w:sz w:val="24"/>
        </w:rPr>
      </w:pPr>
    </w:p>
    <w:p>
      <w:pPr>
        <w:keepNext/>
        <w:numPr>
          <w:ilvl w:val="1"/>
          <w:numId w:val="88"/>
        </w:numPr>
        <w:tabs>
          <w:tab w:val="num" w:pos="1833"/>
        </w:tabs>
        <w:suppressAutoHyphens/>
        <w:spacing w:after="120" w:line="240" w:lineRule="auto"/>
        <w:jc w:val="both"/>
        <w:outlineLvl w:val="2"/>
        <w:rPr>
          <w:rFonts w:ascii="Times New Roman" w:eastAsia="Times New Roman" w:hAnsi="Times New Roman"/>
          <w:i/>
          <w:noProof/>
          <w:lang w:val="fr-BE" w:eastAsia="ar-SA"/>
        </w:rPr>
      </w:pPr>
      <w:bookmarkStart w:id="449" w:name="_Toc455851007"/>
      <w:bookmarkStart w:id="450" w:name="_Toc455851106"/>
      <w:bookmarkStart w:id="451" w:name="_Toc455851008"/>
      <w:bookmarkStart w:id="452" w:name="_Toc455851107"/>
      <w:bookmarkStart w:id="453" w:name="_Toc455825284"/>
      <w:bookmarkStart w:id="454" w:name="_Toc457466096"/>
      <w:bookmarkEnd w:id="449"/>
      <w:bookmarkEnd w:id="450"/>
      <w:bookmarkEnd w:id="451"/>
      <w:bookmarkEnd w:id="452"/>
      <w:r>
        <w:rPr>
          <w:rFonts w:ascii="Times New Roman" w:eastAsia="Times New Roman" w:hAnsi="Times New Roman"/>
          <w:i/>
          <w:noProof/>
          <w:lang w:val="fr-BE" w:eastAsia="ar-SA"/>
        </w:rPr>
        <w:t>Population: density and migration</w:t>
      </w:r>
      <w:bookmarkEnd w:id="453"/>
      <w:bookmarkEnd w:id="454"/>
    </w:p>
    <w:p>
      <w:pPr>
        <w:jc w:val="center"/>
        <w:rPr>
          <w:rFonts w:ascii="Times New Roman" w:hAnsi="Times New Roman"/>
          <w:b/>
          <w:noProof/>
          <w:u w:val="single"/>
        </w:rPr>
      </w:pPr>
      <w:r>
        <w:rPr>
          <w:rFonts w:ascii="Times New Roman" w:hAnsi="Times New Roman"/>
          <w:noProof/>
          <w:lang w:val="en-US"/>
        </w:rPr>
        <w:drawing>
          <wp:inline distT="0" distB="0" distL="0" distR="0">
            <wp:extent cx="5033176" cy="355067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356" cy="3555032"/>
                    </a:xfrm>
                    <a:prstGeom prst="rect">
                      <a:avLst/>
                    </a:prstGeom>
                    <a:noFill/>
                    <a:ln>
                      <a:noFill/>
                    </a:ln>
                  </pic:spPr>
                </pic:pic>
              </a:graphicData>
            </a:graphic>
          </wp:inline>
        </w:drawing>
      </w:r>
    </w:p>
    <w:p>
      <w:pPr>
        <w:spacing w:line="240" w:lineRule="auto"/>
        <w:jc w:val="both"/>
        <w:rPr>
          <w:rFonts w:ascii="Times New Roman" w:hAnsi="Times New Roman"/>
          <w:noProof/>
          <w:sz w:val="24"/>
        </w:rPr>
      </w:pPr>
      <w:r>
        <w:rPr>
          <w:rFonts w:ascii="Times New Roman" w:hAnsi="Times New Roman"/>
          <w:b/>
          <w:noProof/>
          <w:sz w:val="24"/>
        </w:rPr>
        <w:t>Population density per country (2016)</w:t>
      </w:r>
      <w:r>
        <w:rPr>
          <w:rStyle w:val="FootnoteReference"/>
          <w:rFonts w:ascii="Times New Roman" w:hAnsi="Times New Roman"/>
          <w:b/>
          <w:noProof/>
          <w:sz w:val="24"/>
        </w:rPr>
        <w:footnoteReference w:id="80"/>
      </w:r>
    </w:p>
    <w:p>
      <w:pPr>
        <w:jc w:val="both"/>
        <w:rPr>
          <w:rFonts w:ascii="Times New Roman" w:hAnsi="Times New Roman"/>
          <w:noProof/>
        </w:rPr>
      </w:pPr>
    </w:p>
    <w:p>
      <w:pPr>
        <w:jc w:val="both"/>
        <w:rPr>
          <w:rFonts w:ascii="Times New Roman" w:hAnsi="Times New Roman"/>
          <w:noProof/>
        </w:rPr>
      </w:pPr>
    </w:p>
    <w:p>
      <w:pPr>
        <w:jc w:val="center"/>
        <w:rPr>
          <w:rFonts w:ascii="Times New Roman" w:hAnsi="Times New Roman"/>
          <w:noProof/>
        </w:rPr>
      </w:pPr>
      <w:r>
        <w:rPr>
          <w:rFonts w:ascii="Times New Roman" w:hAnsi="Times New Roman"/>
          <w:noProof/>
          <w:lang w:val="en-US"/>
        </w:rPr>
        <w:drawing>
          <wp:inline distT="0" distB="0" distL="0" distR="0">
            <wp:extent cx="5403272" cy="2057663"/>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9066" cy="2067486"/>
                    </a:xfrm>
                    <a:prstGeom prst="rect">
                      <a:avLst/>
                    </a:prstGeom>
                    <a:noFill/>
                    <a:ln>
                      <a:noFill/>
                    </a:ln>
                  </pic:spPr>
                </pic:pic>
              </a:graphicData>
            </a:graphic>
          </wp:inline>
        </w:drawing>
      </w:r>
    </w:p>
    <w:p>
      <w:pPr>
        <w:spacing w:line="240" w:lineRule="auto"/>
        <w:jc w:val="both"/>
        <w:rPr>
          <w:rFonts w:ascii="Times New Roman" w:hAnsi="Times New Roman"/>
          <w:noProof/>
          <w:sz w:val="24"/>
        </w:rPr>
      </w:pPr>
      <w:r>
        <w:rPr>
          <w:rFonts w:ascii="Times New Roman" w:hAnsi="Times New Roman"/>
          <w:b/>
          <w:noProof/>
          <w:sz w:val="24"/>
        </w:rPr>
        <w:t>Recent migration figures in the Mediterranean region</w:t>
      </w:r>
      <w:r>
        <w:rPr>
          <w:rStyle w:val="FootnoteReference"/>
          <w:rFonts w:ascii="Times New Roman" w:hAnsi="Times New Roman"/>
          <w:b/>
          <w:noProof/>
          <w:sz w:val="24"/>
        </w:rPr>
        <w:footnoteReference w:id="81"/>
      </w:r>
    </w:p>
    <w:p>
      <w:pPr>
        <w:jc w:val="center"/>
        <w:rPr>
          <w:rFonts w:ascii="Times New Roman" w:hAnsi="Times New Roman"/>
          <w:noProof/>
        </w:rPr>
      </w:pPr>
      <w:r>
        <w:rPr>
          <w:rFonts w:ascii="Times New Roman" w:hAnsi="Times New Roman"/>
          <w:noProof/>
          <w:lang w:val="en-US"/>
        </w:rPr>
        <w:drawing>
          <wp:inline distT="0" distB="0" distL="0" distR="0">
            <wp:extent cx="4695612" cy="3273136"/>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rotWithShape="1">
                    <a:blip r:embed="rId39">
                      <a:extLst>
                        <a:ext uri="{28A0092B-C50C-407E-A947-70E740481C1C}">
                          <a14:useLocalDpi xmlns:a14="http://schemas.microsoft.com/office/drawing/2010/main" val="0"/>
                        </a:ext>
                      </a:extLst>
                    </a:blip>
                    <a:srcRect b="10765"/>
                    <a:stretch/>
                  </pic:blipFill>
                  <pic:spPr bwMode="auto">
                    <a:xfrm>
                      <a:off x="0" y="0"/>
                      <a:ext cx="4702412" cy="3277876"/>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rPr>
          <w:rFonts w:ascii="Times New Roman" w:hAnsi="Times New Roman"/>
          <w:noProof/>
        </w:rPr>
      </w:pPr>
      <w:r>
        <w:rPr>
          <w:rFonts w:ascii="Times New Roman" w:hAnsi="Times New Roman"/>
          <w:noProof/>
          <w:lang w:val="en-US"/>
        </w:rPr>
        <w:drawing>
          <wp:inline distT="0" distB="0" distL="0" distR="0">
            <wp:extent cx="4691602" cy="24938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t="93201"/>
                    <a:stretch/>
                  </pic:blipFill>
                  <pic:spPr bwMode="auto">
                    <a:xfrm>
                      <a:off x="0" y="0"/>
                      <a:ext cx="4694555" cy="249539"/>
                    </a:xfrm>
                    <a:prstGeom prst="rect">
                      <a:avLst/>
                    </a:prstGeom>
                    <a:noFill/>
                    <a:ln>
                      <a:noFill/>
                    </a:ln>
                    <a:extLst>
                      <a:ext uri="{53640926-AAD7-44D8-BBD7-CCE9431645EC}">
                        <a14:shadowObscured xmlns:a14="http://schemas.microsoft.com/office/drawing/2010/main"/>
                      </a:ext>
                    </a:extLst>
                  </pic:spPr>
                </pic:pic>
              </a:graphicData>
            </a:graphic>
          </wp:inline>
        </w:drawing>
      </w:r>
    </w:p>
    <w:p>
      <w:pPr>
        <w:spacing w:line="240" w:lineRule="auto"/>
        <w:rPr>
          <w:rFonts w:ascii="Times New Roman" w:hAnsi="Times New Roman"/>
          <w:noProof/>
          <w:sz w:val="24"/>
        </w:rPr>
      </w:pPr>
      <w:r>
        <w:rPr>
          <w:rFonts w:ascii="Times New Roman" w:hAnsi="Times New Roman"/>
          <w:b/>
          <w:noProof/>
          <w:sz w:val="24"/>
        </w:rPr>
        <w:t>Migrants living in each Med country as % of population (2013 data)</w:t>
      </w:r>
      <w:r>
        <w:rPr>
          <w:rStyle w:val="FootnoteReference"/>
          <w:rFonts w:ascii="Times New Roman" w:hAnsi="Times New Roman"/>
          <w:b/>
          <w:noProof/>
          <w:sz w:val="24"/>
        </w:rPr>
        <w:footnoteReference w:id="82"/>
      </w:r>
    </w:p>
    <w:p>
      <w:pPr>
        <w:spacing w:line="240" w:lineRule="auto"/>
        <w:rPr>
          <w:rFonts w:ascii="Times New Roman" w:hAnsi="Times New Roman"/>
          <w:noProof/>
          <w:sz w:val="24"/>
        </w:rPr>
      </w:pPr>
    </w:p>
    <w:p>
      <w:pPr>
        <w:spacing w:line="240" w:lineRule="auto"/>
        <w:rPr>
          <w:rFonts w:ascii="Times New Roman" w:hAnsi="Times New Roman"/>
          <w:noProof/>
          <w:sz w:val="24"/>
        </w:rPr>
      </w:pPr>
    </w:p>
    <w:p>
      <w:pPr>
        <w:spacing w:line="240" w:lineRule="auto"/>
        <w:jc w:val="center"/>
        <w:rPr>
          <w:rFonts w:ascii="Times New Roman" w:hAnsi="Times New Roman"/>
          <w:noProof/>
          <w:sz w:val="24"/>
        </w:rPr>
      </w:pPr>
      <w:r>
        <w:rPr>
          <w:noProof/>
          <w:lang w:val="en-US"/>
        </w:rPr>
        <w:drawing>
          <wp:inline distT="0" distB="0" distL="0" distR="0">
            <wp:extent cx="5760720" cy="2470150"/>
            <wp:effectExtent l="0" t="0" r="0" b="6350"/>
            <wp:docPr id="36" name="Picture 36" descr="http://www.iom.int/sites/default/files/styles/slideshow_style/public/slideshow/Mediterranean_Update_IOM_Banner_14_June.jpg?itok=bslHtrg4"/>
            <wp:cNvGraphicFramePr/>
            <a:graphic xmlns:a="http://schemas.openxmlformats.org/drawingml/2006/main">
              <a:graphicData uri="http://schemas.openxmlformats.org/drawingml/2006/picture">
                <pic:pic xmlns:pic="http://schemas.openxmlformats.org/drawingml/2006/picture">
                  <pic:nvPicPr>
                    <pic:cNvPr id="4" name="Picture 4" descr="http://www.iom.int/sites/default/files/styles/slideshow_style/public/slideshow/Mediterranean_Update_IOM_Banner_14_June.jpg?itok=bslHtrg4"/>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2470150"/>
                    </a:xfrm>
                    <a:prstGeom prst="rect">
                      <a:avLst/>
                    </a:prstGeom>
                    <a:noFill/>
                    <a:ln>
                      <a:noFill/>
                    </a:ln>
                  </pic:spPr>
                </pic:pic>
              </a:graphicData>
            </a:graphic>
          </wp:inline>
        </w:drawing>
      </w:r>
    </w:p>
    <w:p>
      <w:pPr>
        <w:spacing w:line="240" w:lineRule="auto"/>
        <w:rPr>
          <w:rFonts w:ascii="Times New Roman" w:hAnsi="Times New Roman"/>
          <w:noProof/>
          <w:sz w:val="24"/>
        </w:rPr>
      </w:pPr>
    </w:p>
    <w:p>
      <w:pPr>
        <w:spacing w:line="240" w:lineRule="auto"/>
        <w:rPr>
          <w:rFonts w:ascii="Times New Roman" w:hAnsi="Times New Roman"/>
          <w:noProof/>
          <w:sz w:val="24"/>
        </w:rPr>
      </w:pPr>
      <w:r>
        <w:rPr>
          <w:rFonts w:ascii="Times New Roman" w:hAnsi="Times New Roman"/>
          <w:b/>
          <w:noProof/>
          <w:sz w:val="24"/>
        </w:rPr>
        <w:t>Arrivals by sea in 2016</w:t>
      </w:r>
      <w:r>
        <w:rPr>
          <w:rStyle w:val="FootnoteReference"/>
          <w:rFonts w:ascii="Times New Roman" w:hAnsi="Times New Roman"/>
          <w:b/>
          <w:noProof/>
          <w:sz w:val="24"/>
        </w:rPr>
        <w:footnoteReference w:id="83"/>
      </w:r>
    </w:p>
    <w:p>
      <w:pPr>
        <w:spacing w:line="240" w:lineRule="auto"/>
        <w:rPr>
          <w:rFonts w:ascii="Times New Roman" w:hAnsi="Times New Roman"/>
          <w:noProof/>
          <w:sz w:val="24"/>
        </w:rPr>
      </w:pPr>
    </w:p>
    <w:p>
      <w:pPr>
        <w:keepNext/>
        <w:numPr>
          <w:ilvl w:val="1"/>
          <w:numId w:val="88"/>
        </w:numPr>
        <w:tabs>
          <w:tab w:val="num" w:pos="1833"/>
        </w:tabs>
        <w:suppressAutoHyphens/>
        <w:spacing w:after="120" w:line="240" w:lineRule="auto"/>
        <w:jc w:val="both"/>
        <w:outlineLvl w:val="2"/>
        <w:rPr>
          <w:rFonts w:ascii="Times New Roman" w:eastAsia="Times New Roman" w:hAnsi="Times New Roman"/>
          <w:i/>
          <w:noProof/>
          <w:lang w:val="fr-BE" w:eastAsia="ar-SA"/>
        </w:rPr>
      </w:pPr>
      <w:bookmarkStart w:id="455" w:name="_Toc455825285"/>
      <w:bookmarkStart w:id="456" w:name="_Toc457466097"/>
      <w:r>
        <w:rPr>
          <w:rFonts w:ascii="Times New Roman" w:eastAsia="Times New Roman" w:hAnsi="Times New Roman"/>
          <w:i/>
          <w:noProof/>
          <w:lang w:val="fr-BE" w:eastAsia="ar-SA"/>
        </w:rPr>
        <w:t>GDP</w:t>
      </w:r>
      <w:bookmarkEnd w:id="455"/>
      <w:bookmarkEnd w:id="456"/>
    </w:p>
    <w:p>
      <w:pPr>
        <w:jc w:val="center"/>
        <w:rPr>
          <w:rFonts w:ascii="Times New Roman" w:hAnsi="Times New Roman"/>
          <w:noProof/>
        </w:rPr>
      </w:pPr>
      <w:r>
        <w:rPr>
          <w:rFonts w:ascii="Times New Roman" w:hAnsi="Times New Roman"/>
          <w:noProof/>
          <w:lang w:val="en-US"/>
        </w:rPr>
        <w:drawing>
          <wp:inline distT="0" distB="0" distL="0" distR="0">
            <wp:extent cx="5091545" cy="2811749"/>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93359" cy="2812751"/>
                    </a:xfrm>
                    <a:prstGeom prst="rect">
                      <a:avLst/>
                    </a:prstGeom>
                    <a:noFill/>
                    <a:ln>
                      <a:noFill/>
                    </a:ln>
                  </pic:spPr>
                </pic:pic>
              </a:graphicData>
            </a:graphic>
          </wp:inline>
        </w:drawing>
      </w:r>
    </w:p>
    <w:p>
      <w:pPr>
        <w:spacing w:line="240" w:lineRule="auto"/>
        <w:jc w:val="both"/>
        <w:rPr>
          <w:rFonts w:ascii="Times New Roman" w:hAnsi="Times New Roman"/>
          <w:noProof/>
          <w:sz w:val="24"/>
        </w:rPr>
      </w:pPr>
      <w:r>
        <w:rPr>
          <w:rFonts w:ascii="Times New Roman" w:hAnsi="Times New Roman"/>
          <w:b/>
          <w:noProof/>
          <w:sz w:val="24"/>
        </w:rPr>
        <w:t>GDP per capita (PPP US$ thousand)</w:t>
      </w:r>
      <w:r>
        <w:rPr>
          <w:rStyle w:val="FootnoteReference"/>
          <w:rFonts w:ascii="Times New Roman" w:hAnsi="Times New Roman"/>
          <w:b/>
          <w:noProof/>
          <w:sz w:val="24"/>
        </w:rPr>
        <w:footnoteReference w:id="84"/>
      </w:r>
    </w:p>
    <w:p>
      <w:pPr>
        <w:jc w:val="center"/>
        <w:rPr>
          <w:rFonts w:ascii="Times New Roman" w:hAnsi="Times New Roman"/>
          <w:noProof/>
        </w:rPr>
      </w:pPr>
      <w:r>
        <w:rPr>
          <w:rFonts w:ascii="Times New Roman" w:hAnsi="Times New Roman"/>
          <w:noProof/>
          <w:lang w:val="en-US"/>
        </w:rPr>
        <w:drawing>
          <wp:inline distT="0" distB="0" distL="0" distR="0">
            <wp:extent cx="4668131" cy="3808547"/>
            <wp:effectExtent l="0" t="0" r="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7781" cy="3824578"/>
                    </a:xfrm>
                    <a:prstGeom prst="rect">
                      <a:avLst/>
                    </a:prstGeom>
                    <a:noFill/>
                    <a:ln>
                      <a:noFill/>
                    </a:ln>
                  </pic:spPr>
                </pic:pic>
              </a:graphicData>
            </a:graphic>
          </wp:inline>
        </w:drawing>
      </w:r>
    </w:p>
    <w:p>
      <w:pPr>
        <w:spacing w:line="240" w:lineRule="auto"/>
        <w:jc w:val="both"/>
        <w:rPr>
          <w:rFonts w:ascii="Times New Roman" w:hAnsi="Times New Roman"/>
          <w:noProof/>
          <w:sz w:val="24"/>
        </w:rPr>
      </w:pPr>
      <w:r>
        <w:rPr>
          <w:rFonts w:ascii="Times New Roman" w:hAnsi="Times New Roman"/>
          <w:b/>
          <w:noProof/>
          <w:sz w:val="24"/>
        </w:rPr>
        <w:t>GDP per capita (PPP US$ thousand – latest available data for each country)</w:t>
      </w:r>
      <w:r>
        <w:rPr>
          <w:rFonts w:ascii="Times New Roman" w:hAnsi="Times New Roman"/>
          <w:b/>
          <w:noProof/>
          <w:sz w:val="24"/>
          <w:vertAlign w:val="superscript"/>
        </w:rPr>
        <w:t xml:space="preserve"> </w:t>
      </w:r>
      <w:r>
        <w:rPr>
          <w:rFonts w:ascii="Times New Roman" w:hAnsi="Times New Roman"/>
          <w:b/>
          <w:noProof/>
          <w:sz w:val="24"/>
          <w:vertAlign w:val="superscript"/>
        </w:rPr>
        <w:footnoteReference w:id="85"/>
      </w:r>
    </w:p>
    <w:p>
      <w:pPr>
        <w:jc w:val="center"/>
        <w:rPr>
          <w:rFonts w:ascii="Times New Roman" w:hAnsi="Times New Roman"/>
          <w:noProof/>
        </w:rPr>
      </w:pPr>
      <w:r>
        <w:rPr>
          <w:rFonts w:ascii="Times New Roman" w:hAnsi="Times New Roman"/>
          <w:noProof/>
          <w:lang w:val="en-US"/>
        </w:rPr>
        <w:drawing>
          <wp:inline distT="0" distB="0" distL="0" distR="0">
            <wp:extent cx="5936644" cy="4769427"/>
            <wp:effectExtent l="0" t="0" r="698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63620" cy="4791099"/>
                    </a:xfrm>
                    <a:prstGeom prst="rect">
                      <a:avLst/>
                    </a:prstGeom>
                    <a:noFill/>
                    <a:ln>
                      <a:noFill/>
                    </a:ln>
                  </pic:spPr>
                </pic:pic>
              </a:graphicData>
            </a:graphic>
          </wp:inline>
        </w:drawing>
      </w:r>
    </w:p>
    <w:p>
      <w:pPr>
        <w:spacing w:line="240" w:lineRule="auto"/>
        <w:jc w:val="both"/>
        <w:rPr>
          <w:rFonts w:ascii="Times New Roman" w:hAnsi="Times New Roman"/>
          <w:noProof/>
          <w:sz w:val="24"/>
        </w:rPr>
      </w:pPr>
      <w:r>
        <w:rPr>
          <w:rFonts w:ascii="Times New Roman" w:hAnsi="Times New Roman"/>
          <w:b/>
          <w:noProof/>
          <w:sz w:val="24"/>
        </w:rPr>
        <w:t>GDP growth forecast for 2017</w:t>
      </w:r>
      <w:r>
        <w:rPr>
          <w:rFonts w:ascii="Times New Roman" w:hAnsi="Times New Roman"/>
          <w:b/>
          <w:noProof/>
          <w:sz w:val="24"/>
          <w:vertAlign w:val="superscript"/>
        </w:rPr>
        <w:footnoteReference w:id="86"/>
      </w:r>
    </w:p>
    <w:p>
      <w:pPr>
        <w:spacing w:after="0" w:line="240" w:lineRule="auto"/>
        <w:rPr>
          <w:rFonts w:ascii="Times New Roman" w:hAnsi="Times New Roman"/>
          <w:noProof/>
          <w:sz w:val="24"/>
        </w:rPr>
      </w:pPr>
      <w:r>
        <w:rPr>
          <w:rFonts w:ascii="Times New Roman" w:hAnsi="Times New Roman"/>
          <w:noProof/>
          <w:sz w:val="24"/>
        </w:rPr>
        <w:br w:type="page"/>
      </w:r>
    </w:p>
    <w:p>
      <w:pPr>
        <w:keepNext/>
        <w:numPr>
          <w:ilvl w:val="1"/>
          <w:numId w:val="88"/>
        </w:numPr>
        <w:tabs>
          <w:tab w:val="num" w:pos="1833"/>
        </w:tabs>
        <w:suppressAutoHyphens/>
        <w:spacing w:after="120" w:line="240" w:lineRule="auto"/>
        <w:jc w:val="both"/>
        <w:outlineLvl w:val="2"/>
        <w:rPr>
          <w:rFonts w:ascii="Times New Roman" w:eastAsia="Times New Roman" w:hAnsi="Times New Roman"/>
          <w:i/>
          <w:noProof/>
          <w:lang w:val="fr-BE" w:eastAsia="ar-SA"/>
        </w:rPr>
      </w:pPr>
      <w:bookmarkStart w:id="457" w:name="_Toc455825286"/>
      <w:bookmarkStart w:id="458" w:name="_Toc457466098"/>
      <w:r>
        <w:rPr>
          <w:rFonts w:ascii="Times New Roman" w:eastAsia="Times New Roman" w:hAnsi="Times New Roman"/>
          <w:i/>
          <w:noProof/>
          <w:lang w:val="fr-BE" w:eastAsia="ar-SA"/>
        </w:rPr>
        <w:t>Unemployment</w:t>
      </w:r>
      <w:bookmarkEnd w:id="457"/>
      <w:bookmarkEnd w:id="458"/>
    </w:p>
    <w:p>
      <w:pPr>
        <w:jc w:val="center"/>
        <w:rPr>
          <w:rFonts w:ascii="Times New Roman" w:hAnsi="Times New Roman"/>
          <w:noProof/>
        </w:rPr>
      </w:pPr>
      <w:r>
        <w:rPr>
          <w:rFonts w:ascii="Times New Roman" w:hAnsi="Times New Roman"/>
          <w:noProof/>
          <w:lang w:val="en-US"/>
        </w:rPr>
        <w:drawing>
          <wp:inline distT="0" distB="0" distL="0" distR="0">
            <wp:extent cx="4717400" cy="2639291"/>
            <wp:effectExtent l="0" t="0" r="762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22259" cy="2642009"/>
                    </a:xfrm>
                    <a:prstGeom prst="rect">
                      <a:avLst/>
                    </a:prstGeom>
                    <a:noFill/>
                    <a:ln>
                      <a:noFill/>
                    </a:ln>
                  </pic:spPr>
                </pic:pic>
              </a:graphicData>
            </a:graphic>
          </wp:inline>
        </w:drawing>
      </w:r>
    </w:p>
    <w:p>
      <w:pPr>
        <w:spacing w:line="240" w:lineRule="auto"/>
        <w:jc w:val="both"/>
        <w:rPr>
          <w:rFonts w:ascii="Times New Roman" w:hAnsi="Times New Roman"/>
          <w:noProof/>
          <w:sz w:val="24"/>
        </w:rPr>
      </w:pPr>
    </w:p>
    <w:p>
      <w:pPr>
        <w:jc w:val="center"/>
        <w:rPr>
          <w:rFonts w:ascii="Times New Roman" w:hAnsi="Times New Roman"/>
          <w:noProof/>
        </w:rPr>
      </w:pPr>
      <w:r>
        <w:rPr>
          <w:rFonts w:ascii="Times New Roman" w:hAnsi="Times New Roman"/>
          <w:noProof/>
          <w:lang w:val="en-US"/>
        </w:rPr>
        <w:drawing>
          <wp:inline distT="0" distB="0" distL="0" distR="0">
            <wp:extent cx="4894118" cy="4091330"/>
            <wp:effectExtent l="0" t="0" r="1905"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00504" cy="4096669"/>
                    </a:xfrm>
                    <a:prstGeom prst="rect">
                      <a:avLst/>
                    </a:prstGeom>
                    <a:noFill/>
                    <a:ln>
                      <a:noFill/>
                    </a:ln>
                  </pic:spPr>
                </pic:pic>
              </a:graphicData>
            </a:graphic>
          </wp:inline>
        </w:drawing>
      </w:r>
    </w:p>
    <w:p>
      <w:pPr>
        <w:spacing w:line="240" w:lineRule="auto"/>
        <w:jc w:val="both"/>
        <w:rPr>
          <w:rFonts w:ascii="Times New Roman" w:hAnsi="Times New Roman"/>
          <w:noProof/>
          <w:sz w:val="24"/>
        </w:rPr>
      </w:pPr>
      <w:r>
        <w:rPr>
          <w:rFonts w:ascii="Times New Roman" w:hAnsi="Times New Roman"/>
          <w:b/>
          <w:noProof/>
          <w:sz w:val="24"/>
        </w:rPr>
        <w:t>Regional Unemployment (latest available data for each country)</w:t>
      </w:r>
      <w:r>
        <w:rPr>
          <w:rFonts w:ascii="Times New Roman" w:hAnsi="Times New Roman"/>
          <w:b/>
          <w:noProof/>
          <w:sz w:val="24"/>
          <w:vertAlign w:val="superscript"/>
        </w:rPr>
        <w:footnoteReference w:id="87"/>
      </w:r>
    </w:p>
    <w:p>
      <w:pPr>
        <w:spacing w:after="0" w:line="240" w:lineRule="auto"/>
        <w:rPr>
          <w:rFonts w:ascii="Times New Roman" w:hAnsi="Times New Roman"/>
          <w:noProof/>
          <w:sz w:val="24"/>
        </w:rPr>
      </w:pPr>
      <w:r>
        <w:rPr>
          <w:rFonts w:ascii="Times New Roman" w:hAnsi="Times New Roman"/>
          <w:noProof/>
          <w:sz w:val="24"/>
        </w:rPr>
        <w:br w:type="page"/>
      </w:r>
    </w:p>
    <w:p>
      <w:pPr>
        <w:keepNext/>
        <w:numPr>
          <w:ilvl w:val="1"/>
          <w:numId w:val="88"/>
        </w:numPr>
        <w:tabs>
          <w:tab w:val="num" w:pos="1833"/>
        </w:tabs>
        <w:suppressAutoHyphens/>
        <w:spacing w:after="120" w:line="240" w:lineRule="auto"/>
        <w:jc w:val="both"/>
        <w:outlineLvl w:val="2"/>
        <w:rPr>
          <w:rFonts w:ascii="Times New Roman" w:eastAsia="Times New Roman" w:hAnsi="Times New Roman"/>
          <w:i/>
          <w:noProof/>
          <w:lang w:val="fr-BE" w:eastAsia="ar-SA"/>
        </w:rPr>
      </w:pPr>
      <w:bookmarkStart w:id="459" w:name="_Toc455825287"/>
      <w:bookmarkStart w:id="460" w:name="_Toc457466099"/>
      <w:r>
        <w:rPr>
          <w:rFonts w:ascii="Times New Roman" w:eastAsia="Times New Roman" w:hAnsi="Times New Roman"/>
          <w:i/>
          <w:noProof/>
          <w:lang w:val="fr-BE" w:eastAsia="ar-SA"/>
        </w:rPr>
        <w:t>Governance</w:t>
      </w:r>
      <w:bookmarkEnd w:id="459"/>
      <w:bookmarkEnd w:id="460"/>
    </w:p>
    <w:p>
      <w:pPr>
        <w:jc w:val="center"/>
        <w:rPr>
          <w:rFonts w:ascii="Times New Roman" w:hAnsi="Times New Roman"/>
          <w:noProof/>
        </w:rPr>
      </w:pPr>
      <w:r>
        <w:rPr>
          <w:rFonts w:ascii="Times New Roman" w:hAnsi="Times New Roman"/>
          <w:noProof/>
          <w:lang w:val="en-US"/>
        </w:rPr>
        <w:drawing>
          <wp:inline distT="0" distB="0" distL="0" distR="0">
            <wp:extent cx="3856382" cy="3197372"/>
            <wp:effectExtent l="0" t="0" r="0"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57727" cy="3198487"/>
                    </a:xfrm>
                    <a:prstGeom prst="rect">
                      <a:avLst/>
                    </a:prstGeom>
                    <a:noFill/>
                    <a:ln>
                      <a:noFill/>
                    </a:ln>
                  </pic:spPr>
                </pic:pic>
              </a:graphicData>
            </a:graphic>
          </wp:inline>
        </w:drawing>
      </w:r>
    </w:p>
    <w:p>
      <w:pPr>
        <w:spacing w:line="240" w:lineRule="auto"/>
        <w:jc w:val="both"/>
        <w:rPr>
          <w:rFonts w:ascii="Times New Roman" w:hAnsi="Times New Roman"/>
          <w:noProof/>
          <w:sz w:val="24"/>
        </w:rPr>
      </w:pPr>
      <w:r>
        <w:rPr>
          <w:rFonts w:ascii="Times New Roman" w:hAnsi="Times New Roman"/>
          <w:b/>
          <w:noProof/>
          <w:sz w:val="24"/>
        </w:rPr>
        <w:t xml:space="preserve">Governance (2014 data) </w:t>
      </w:r>
      <w:r>
        <w:rPr>
          <w:rFonts w:ascii="Times New Roman" w:hAnsi="Times New Roman"/>
          <w:b/>
          <w:noProof/>
          <w:sz w:val="24"/>
          <w:vertAlign w:val="superscript"/>
        </w:rPr>
        <w:footnoteReference w:id="88"/>
      </w:r>
    </w:p>
    <w:p>
      <w:pPr>
        <w:spacing w:line="240" w:lineRule="auto"/>
        <w:jc w:val="both"/>
        <w:rPr>
          <w:rFonts w:ascii="Times New Roman" w:hAnsi="Times New Roman"/>
          <w:noProof/>
          <w:sz w:val="24"/>
        </w:rPr>
      </w:pPr>
    </w:p>
    <w:p>
      <w:pPr>
        <w:keepNext/>
        <w:numPr>
          <w:ilvl w:val="1"/>
          <w:numId w:val="88"/>
        </w:numPr>
        <w:tabs>
          <w:tab w:val="num" w:pos="1833"/>
        </w:tabs>
        <w:suppressAutoHyphens/>
        <w:spacing w:after="120" w:line="240" w:lineRule="auto"/>
        <w:jc w:val="both"/>
        <w:outlineLvl w:val="2"/>
        <w:rPr>
          <w:rFonts w:ascii="Times New Roman" w:eastAsia="Times New Roman" w:hAnsi="Times New Roman"/>
          <w:i/>
          <w:noProof/>
          <w:lang w:val="fr-BE" w:eastAsia="ar-SA"/>
        </w:rPr>
      </w:pPr>
      <w:bookmarkStart w:id="461" w:name="_Toc455825288"/>
      <w:bookmarkStart w:id="462" w:name="_Toc457466100"/>
      <w:r>
        <w:rPr>
          <w:rFonts w:ascii="Times New Roman" w:eastAsia="Times New Roman" w:hAnsi="Times New Roman"/>
          <w:i/>
          <w:noProof/>
          <w:lang w:val="fr-BE" w:eastAsia="ar-SA"/>
        </w:rPr>
        <w:t>Competitiveness</w:t>
      </w:r>
      <w:bookmarkEnd w:id="461"/>
      <w:bookmarkEnd w:id="462"/>
    </w:p>
    <w:p>
      <w:pPr>
        <w:jc w:val="center"/>
        <w:rPr>
          <w:rFonts w:ascii="Times New Roman" w:hAnsi="Times New Roman"/>
          <w:noProof/>
        </w:rPr>
      </w:pPr>
      <w:r>
        <w:rPr>
          <w:rFonts w:ascii="Times New Roman" w:hAnsi="Times New Roman"/>
          <w:noProof/>
          <w:lang w:val="en-US"/>
        </w:rPr>
        <w:drawing>
          <wp:inline distT="0" distB="0" distL="0" distR="0">
            <wp:extent cx="3730336" cy="2972189"/>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32209" cy="2973682"/>
                    </a:xfrm>
                    <a:prstGeom prst="rect">
                      <a:avLst/>
                    </a:prstGeom>
                    <a:noFill/>
                    <a:ln>
                      <a:noFill/>
                    </a:ln>
                  </pic:spPr>
                </pic:pic>
              </a:graphicData>
            </a:graphic>
          </wp:inline>
        </w:drawing>
      </w:r>
    </w:p>
    <w:p>
      <w:pPr>
        <w:spacing w:line="240" w:lineRule="auto"/>
        <w:jc w:val="both"/>
        <w:rPr>
          <w:rFonts w:ascii="Times New Roman" w:hAnsi="Times New Roman"/>
          <w:noProof/>
          <w:sz w:val="24"/>
        </w:rPr>
      </w:pPr>
      <w:r>
        <w:rPr>
          <w:rFonts w:ascii="Times New Roman" w:hAnsi="Times New Roman"/>
          <w:b/>
          <w:noProof/>
          <w:sz w:val="24"/>
        </w:rPr>
        <w:t>Global competitiveness index ranking (2015 data)</w:t>
      </w:r>
      <w:r>
        <w:rPr>
          <w:rFonts w:ascii="Times New Roman" w:hAnsi="Times New Roman"/>
          <w:b/>
          <w:noProof/>
          <w:sz w:val="24"/>
          <w:vertAlign w:val="superscript"/>
        </w:rPr>
        <w:footnoteReference w:id="89"/>
      </w:r>
    </w:p>
    <w:p>
      <w:pPr>
        <w:jc w:val="center"/>
        <w:rPr>
          <w:rFonts w:ascii="Times New Roman" w:hAnsi="Times New Roman"/>
          <w:noProof/>
        </w:rPr>
      </w:pPr>
      <w:r>
        <w:rPr>
          <w:rFonts w:ascii="Times New Roman" w:hAnsi="Times New Roman"/>
          <w:noProof/>
          <w:lang w:val="en-US"/>
        </w:rPr>
        <w:drawing>
          <wp:inline distT="0" distB="0" distL="0" distR="0">
            <wp:extent cx="5729352" cy="4759036"/>
            <wp:effectExtent l="0" t="0" r="508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5489" cy="4755827"/>
                    </a:xfrm>
                    <a:prstGeom prst="rect">
                      <a:avLst/>
                    </a:prstGeom>
                    <a:noFill/>
                    <a:ln>
                      <a:noFill/>
                    </a:ln>
                  </pic:spPr>
                </pic:pic>
              </a:graphicData>
            </a:graphic>
          </wp:inline>
        </w:drawing>
      </w:r>
    </w:p>
    <w:p>
      <w:pPr>
        <w:spacing w:line="240" w:lineRule="auto"/>
        <w:jc w:val="both"/>
        <w:rPr>
          <w:rFonts w:ascii="Times New Roman" w:hAnsi="Times New Roman"/>
          <w:b/>
          <w:noProof/>
          <w:sz w:val="24"/>
        </w:rPr>
      </w:pPr>
      <w:r>
        <w:rPr>
          <w:rFonts w:ascii="Times New Roman" w:hAnsi="Times New Roman"/>
          <w:b/>
          <w:noProof/>
          <w:sz w:val="24"/>
        </w:rPr>
        <w:t>Ease of doing business ranking (2015 data)</w:t>
      </w:r>
      <w:r>
        <w:rPr>
          <w:rFonts w:ascii="Times New Roman" w:hAnsi="Times New Roman"/>
          <w:b/>
          <w:noProof/>
          <w:sz w:val="24"/>
          <w:vertAlign w:val="superscript"/>
        </w:rPr>
        <w:footnoteReference w:id="90"/>
      </w:r>
    </w:p>
    <w:p>
      <w:pPr>
        <w:spacing w:line="240" w:lineRule="auto"/>
        <w:jc w:val="both"/>
        <w:rPr>
          <w:rFonts w:ascii="Times New Roman" w:hAnsi="Times New Roman"/>
          <w:noProof/>
          <w:sz w:val="24"/>
        </w:rPr>
      </w:pPr>
    </w:p>
    <w:p>
      <w:pPr>
        <w:keepNext/>
        <w:numPr>
          <w:ilvl w:val="1"/>
          <w:numId w:val="88"/>
        </w:numPr>
        <w:tabs>
          <w:tab w:val="num" w:pos="1833"/>
        </w:tabs>
        <w:suppressAutoHyphens/>
        <w:spacing w:after="120" w:line="240" w:lineRule="auto"/>
        <w:jc w:val="both"/>
        <w:outlineLvl w:val="2"/>
        <w:rPr>
          <w:rFonts w:ascii="Times New Roman" w:eastAsia="Times New Roman" w:hAnsi="Times New Roman"/>
          <w:i/>
          <w:noProof/>
          <w:lang w:val="fr-BE" w:eastAsia="ar-SA"/>
        </w:rPr>
      </w:pPr>
      <w:bookmarkStart w:id="463" w:name="_Toc455825289"/>
      <w:bookmarkStart w:id="464" w:name="_Toc457466101"/>
      <w:r>
        <w:rPr>
          <w:rFonts w:ascii="Times New Roman" w:eastAsia="Times New Roman" w:hAnsi="Times New Roman"/>
          <w:i/>
          <w:noProof/>
          <w:lang w:val="fr-BE" w:eastAsia="ar-SA"/>
        </w:rPr>
        <w:t>Trade</w:t>
      </w:r>
      <w:bookmarkEnd w:id="463"/>
      <w:bookmarkEnd w:id="464"/>
    </w:p>
    <w:p>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b/>
          <w:noProof/>
          <w:sz w:val="24"/>
        </w:rPr>
      </w:pPr>
      <w:r>
        <w:rPr>
          <w:rFonts w:ascii="Times New Roman" w:hAnsi="Times New Roman"/>
          <w:b/>
          <w:noProof/>
          <w:sz w:val="24"/>
        </w:rPr>
        <w:t xml:space="preserve">International trade accounts for between 20%-40% of GDP for most Mediterranean countries </w:t>
      </w:r>
    </w:p>
    <w:p>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noProof/>
          <w:sz w:val="24"/>
        </w:rPr>
      </w:pPr>
      <w:r>
        <w:rPr>
          <w:rFonts w:ascii="Times New Roman" w:hAnsi="Times New Roman"/>
          <w:b/>
          <w:noProof/>
          <w:sz w:val="24"/>
        </w:rPr>
        <w:t>Less than a third of total international trade in the region is between Med countries, leaving substantial scope for expansion in intra-Med economic ties in the future</w:t>
      </w:r>
      <w:r>
        <w:rPr>
          <w:rFonts w:ascii="Times New Roman" w:hAnsi="Times New Roman"/>
          <w:b/>
          <w:noProof/>
          <w:sz w:val="24"/>
          <w:vertAlign w:val="superscript"/>
        </w:rPr>
        <w:footnoteReference w:id="91"/>
      </w:r>
    </w:p>
    <w:p>
      <w:pPr>
        <w:jc w:val="center"/>
        <w:rPr>
          <w:rFonts w:ascii="Times New Roman" w:hAnsi="Times New Roman"/>
          <w:noProof/>
        </w:rPr>
      </w:pPr>
      <w:r>
        <w:rPr>
          <w:rFonts w:ascii="Times New Roman" w:hAnsi="Times New Roman"/>
          <w:noProof/>
          <w:lang w:val="en-US"/>
        </w:rPr>
        <w:drawing>
          <wp:inline distT="0" distB="0" distL="0" distR="0">
            <wp:extent cx="3625795" cy="2983799"/>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7487" cy="2985191"/>
                    </a:xfrm>
                    <a:prstGeom prst="rect">
                      <a:avLst/>
                    </a:prstGeom>
                    <a:noFill/>
                    <a:ln>
                      <a:noFill/>
                    </a:ln>
                  </pic:spPr>
                </pic:pic>
              </a:graphicData>
            </a:graphic>
          </wp:inline>
        </w:drawing>
      </w:r>
    </w:p>
    <w:p>
      <w:pPr>
        <w:spacing w:line="240" w:lineRule="auto"/>
        <w:jc w:val="both"/>
        <w:rPr>
          <w:rFonts w:ascii="Times New Roman" w:hAnsi="Times New Roman"/>
          <w:b/>
          <w:noProof/>
          <w:sz w:val="24"/>
        </w:rPr>
      </w:pPr>
      <w:r>
        <w:rPr>
          <w:rFonts w:ascii="Times New Roman" w:hAnsi="Times New Roman"/>
          <w:b/>
          <w:noProof/>
          <w:sz w:val="24"/>
        </w:rPr>
        <w:t>High technology exports (2014 data)</w:t>
      </w:r>
      <w:r>
        <w:rPr>
          <w:rFonts w:ascii="Times New Roman" w:hAnsi="Times New Roman"/>
          <w:b/>
          <w:noProof/>
          <w:sz w:val="24"/>
          <w:vertAlign w:val="superscript"/>
        </w:rPr>
        <w:footnoteReference w:id="92"/>
      </w:r>
    </w:p>
    <w:p>
      <w:pPr>
        <w:spacing w:line="240" w:lineRule="auto"/>
        <w:jc w:val="both"/>
        <w:rPr>
          <w:rFonts w:ascii="Times New Roman" w:hAnsi="Times New Roman"/>
          <w:noProof/>
          <w:sz w:val="24"/>
        </w:rPr>
      </w:pPr>
    </w:p>
    <w:p>
      <w:pPr>
        <w:keepNext/>
        <w:numPr>
          <w:ilvl w:val="1"/>
          <w:numId w:val="88"/>
        </w:numPr>
        <w:tabs>
          <w:tab w:val="num" w:pos="1833"/>
        </w:tabs>
        <w:suppressAutoHyphens/>
        <w:spacing w:after="120" w:line="240" w:lineRule="auto"/>
        <w:jc w:val="both"/>
        <w:outlineLvl w:val="2"/>
        <w:rPr>
          <w:rFonts w:ascii="Times New Roman" w:eastAsia="Times New Roman" w:hAnsi="Times New Roman"/>
          <w:i/>
          <w:noProof/>
          <w:lang w:val="fr-BE" w:eastAsia="ar-SA"/>
        </w:rPr>
      </w:pPr>
      <w:bookmarkStart w:id="465" w:name="_Toc455825290"/>
      <w:bookmarkStart w:id="466" w:name="_Toc457466102"/>
      <w:r>
        <w:rPr>
          <w:rFonts w:ascii="Times New Roman" w:eastAsia="Times New Roman" w:hAnsi="Times New Roman"/>
          <w:i/>
          <w:noProof/>
          <w:lang w:val="fr-BE" w:eastAsia="ar-SA"/>
        </w:rPr>
        <w:t>Inequality</w:t>
      </w:r>
      <w:bookmarkEnd w:id="465"/>
      <w:bookmarkEnd w:id="466"/>
    </w:p>
    <w:p>
      <w:pPr>
        <w:jc w:val="center"/>
        <w:rPr>
          <w:rFonts w:ascii="Times New Roman" w:hAnsi="Times New Roman"/>
          <w:noProof/>
        </w:rPr>
      </w:pPr>
      <w:r>
        <w:rPr>
          <w:rFonts w:ascii="Times New Roman" w:hAnsi="Times New Roman"/>
          <w:noProof/>
          <w:lang w:val="en-US"/>
        </w:rPr>
        <w:drawing>
          <wp:inline distT="0" distB="0" distL="0" distR="0">
            <wp:extent cx="3427013" cy="2829375"/>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9783" cy="2831662"/>
                    </a:xfrm>
                    <a:prstGeom prst="rect">
                      <a:avLst/>
                    </a:prstGeom>
                    <a:noFill/>
                    <a:ln>
                      <a:noFill/>
                    </a:ln>
                  </pic:spPr>
                </pic:pic>
              </a:graphicData>
            </a:graphic>
          </wp:inline>
        </w:drawing>
      </w:r>
    </w:p>
    <w:p>
      <w:pPr>
        <w:spacing w:after="0" w:line="240" w:lineRule="auto"/>
        <w:rPr>
          <w:rFonts w:ascii="Times New Roman" w:eastAsia="Times New Roman" w:hAnsi="Times New Roman"/>
          <w:b/>
          <w:bCs/>
          <w:i/>
          <w:noProof/>
          <w:sz w:val="24"/>
          <w:szCs w:val="24"/>
        </w:rPr>
      </w:pPr>
      <w:r>
        <w:rPr>
          <w:rFonts w:ascii="Times New Roman" w:hAnsi="Times New Roman"/>
          <w:b/>
          <w:noProof/>
          <w:sz w:val="24"/>
          <w:szCs w:val="24"/>
        </w:rPr>
        <w:t>Inequality (Gini coefficient – latest available data for each country)</w:t>
      </w:r>
      <w:r>
        <w:rPr>
          <w:rFonts w:ascii="Times New Roman" w:hAnsi="Times New Roman"/>
          <w:b/>
          <w:noProof/>
          <w:sz w:val="24"/>
          <w:vertAlign w:val="superscript"/>
        </w:rPr>
        <w:t xml:space="preserve"> </w:t>
      </w:r>
      <w:r>
        <w:rPr>
          <w:rFonts w:ascii="Times New Roman" w:hAnsi="Times New Roman"/>
          <w:b/>
          <w:noProof/>
          <w:sz w:val="24"/>
          <w:szCs w:val="24"/>
          <w:vertAlign w:val="superscript"/>
        </w:rPr>
        <w:footnoteReference w:id="93"/>
      </w:r>
      <w:r>
        <w:rPr>
          <w:rFonts w:ascii="Times New Roman" w:hAnsi="Times New Roman"/>
          <w:i/>
          <w:noProof/>
          <w:sz w:val="24"/>
          <w:szCs w:val="24"/>
        </w:rPr>
        <w:br w:type="page"/>
      </w:r>
    </w:p>
    <w:p>
      <w:pPr>
        <w:pStyle w:val="Heading2"/>
        <w:keepLines w:val="0"/>
        <w:suppressAutoHyphens/>
        <w:spacing w:before="0" w:after="240" w:line="240" w:lineRule="auto"/>
        <w:ind w:left="480"/>
        <w:jc w:val="both"/>
        <w:rPr>
          <w:rFonts w:ascii="Times New Roman" w:hAnsi="Times New Roman"/>
          <w:i/>
          <w:noProof/>
          <w:color w:val="auto"/>
          <w:sz w:val="24"/>
          <w:szCs w:val="24"/>
        </w:rPr>
      </w:pPr>
      <w:bookmarkStart w:id="467" w:name="_Toc457466103"/>
      <w:r>
        <w:rPr>
          <w:rFonts w:ascii="Times New Roman" w:hAnsi="Times New Roman"/>
          <w:i/>
          <w:noProof/>
          <w:color w:val="auto"/>
          <w:sz w:val="24"/>
          <w:szCs w:val="24"/>
        </w:rPr>
        <w:t>Annex 4: Mapping of on-going programmes in areas to be addressed by the PRIMA Joint Programme (other than Horizon 2020)</w:t>
      </w:r>
      <w:bookmarkEnd w:id="441"/>
      <w:bookmarkEnd w:id="442"/>
      <w:bookmarkEnd w:id="467"/>
    </w:p>
    <w:p>
      <w:pPr>
        <w:jc w:val="both"/>
        <w:rPr>
          <w:rFonts w:ascii="Times New Roman" w:hAnsi="Times New Roman"/>
          <w:noProof/>
          <w:spacing w:val="-6"/>
        </w:rPr>
      </w:pPr>
      <w:r>
        <w:rPr>
          <w:rFonts w:ascii="Times New Roman" w:hAnsi="Times New Roman"/>
          <w:noProof/>
          <w:spacing w:val="-6"/>
        </w:rPr>
        <w:t>A non-exhaustive list of the main programmes of scientific and technological collaboration between EU Member States and third countries in areas to be addressed by the PRIMA Joint Programme is shown below.</w:t>
      </w:r>
    </w:p>
    <w:tbl>
      <w:tblPr>
        <w:tblW w:w="9840" w:type="dxa"/>
        <w:jc w:val="center"/>
        <w:tblInd w:w="-1016" w:type="dxa"/>
        <w:tblCellMar>
          <w:left w:w="28" w:type="dxa"/>
          <w:right w:w="28" w:type="dxa"/>
        </w:tblCellMar>
        <w:tblLook w:val="04A0" w:firstRow="1" w:lastRow="0" w:firstColumn="1" w:lastColumn="0" w:noHBand="0" w:noVBand="1"/>
      </w:tblPr>
      <w:tblGrid>
        <w:gridCol w:w="2354"/>
        <w:gridCol w:w="299"/>
        <w:gridCol w:w="299"/>
        <w:gridCol w:w="335"/>
        <w:gridCol w:w="335"/>
        <w:gridCol w:w="335"/>
        <w:gridCol w:w="335"/>
        <w:gridCol w:w="335"/>
        <w:gridCol w:w="335"/>
        <w:gridCol w:w="335"/>
        <w:gridCol w:w="335"/>
        <w:gridCol w:w="306"/>
        <w:gridCol w:w="305"/>
        <w:gridCol w:w="474"/>
        <w:gridCol w:w="319"/>
        <w:gridCol w:w="403"/>
        <w:gridCol w:w="305"/>
        <w:gridCol w:w="305"/>
        <w:gridCol w:w="425"/>
        <w:gridCol w:w="1514"/>
      </w:tblGrid>
      <w:tr>
        <w:trPr>
          <w:trHeight w:val="425"/>
          <w:jc w:val="center"/>
        </w:trPr>
        <w:tc>
          <w:tcPr>
            <w:tcW w:w="2354" w:type="dxa"/>
            <w:tcBorders>
              <w:top w:val="nil"/>
              <w:left w:val="nil"/>
              <w:bottom w:val="nil"/>
              <w:right w:val="single" w:sz="4" w:space="0" w:color="auto"/>
            </w:tcBorders>
            <w:shd w:val="clear" w:color="auto" w:fill="auto"/>
            <w:noWrap/>
            <w:vAlign w:val="bottom"/>
            <w:hideMark/>
          </w:tcPr>
          <w:p>
            <w:pPr>
              <w:spacing w:after="0" w:line="240" w:lineRule="auto"/>
              <w:jc w:val="center"/>
              <w:rPr>
                <w:rFonts w:ascii="Times New Roman" w:eastAsia="Times New Roman" w:hAnsi="Times New Roman"/>
                <w:b/>
                <w:noProof/>
                <w:color w:val="000000"/>
                <w:sz w:val="20"/>
                <w:szCs w:val="20"/>
                <w:lang w:eastAsia="en-GB"/>
              </w:rPr>
            </w:pPr>
            <w:r>
              <w:rPr>
                <w:rFonts w:ascii="Times New Roman" w:eastAsia="Times New Roman" w:hAnsi="Times New Roman"/>
                <w:b/>
                <w:noProof/>
                <w:color w:val="000000"/>
                <w:sz w:val="20"/>
                <w:szCs w:val="20"/>
                <w:lang w:eastAsia="en-GB"/>
              </w:rPr>
              <w:t> </w:t>
            </w:r>
          </w:p>
        </w:tc>
        <w:tc>
          <w:tcPr>
            <w:tcW w:w="0" w:type="auto"/>
            <w:gridSpan w:val="2"/>
            <w:tcBorders>
              <w:top w:val="single" w:sz="4" w:space="0" w:color="auto"/>
              <w:left w:val="nil"/>
              <w:bottom w:val="single" w:sz="4" w:space="0" w:color="auto"/>
              <w:right w:val="single" w:sz="4" w:space="0" w:color="auto"/>
            </w:tcBorders>
            <w:shd w:val="clear" w:color="000000" w:fill="E6B8B7"/>
            <w:noWrap/>
            <w:vAlign w:val="center"/>
            <w:hideMark/>
          </w:tcPr>
          <w:p>
            <w:pPr>
              <w:spacing w:after="0" w:line="240" w:lineRule="auto"/>
              <w:jc w:val="center"/>
              <w:rPr>
                <w:rFonts w:ascii="Times New Roman" w:eastAsia="Times New Roman" w:hAnsi="Times New Roman"/>
                <w:b/>
                <w:noProof/>
                <w:color w:val="000000"/>
                <w:sz w:val="20"/>
                <w:szCs w:val="20"/>
                <w:lang w:eastAsia="en-GB"/>
              </w:rPr>
            </w:pPr>
            <w:r>
              <w:rPr>
                <w:rFonts w:ascii="Times New Roman" w:eastAsia="Times New Roman" w:hAnsi="Times New Roman"/>
                <w:b/>
                <w:noProof/>
                <w:color w:val="000000"/>
                <w:sz w:val="20"/>
                <w:szCs w:val="20"/>
                <w:lang w:eastAsia="en-GB"/>
              </w:rPr>
              <w:t>TYPE</w:t>
            </w:r>
          </w:p>
        </w:tc>
        <w:tc>
          <w:tcPr>
            <w:tcW w:w="0" w:type="auto"/>
            <w:gridSpan w:val="8"/>
            <w:tcBorders>
              <w:top w:val="single" w:sz="4" w:space="0" w:color="auto"/>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b/>
                <w:noProof/>
                <w:color w:val="000000"/>
                <w:sz w:val="20"/>
                <w:szCs w:val="20"/>
                <w:lang w:eastAsia="en-GB"/>
              </w:rPr>
            </w:pPr>
            <w:r>
              <w:rPr>
                <w:rFonts w:ascii="Times New Roman" w:eastAsia="Times New Roman" w:hAnsi="Times New Roman"/>
                <w:b/>
                <w:noProof/>
                <w:color w:val="000000"/>
                <w:sz w:val="20"/>
                <w:szCs w:val="20"/>
                <w:lang w:eastAsia="en-GB"/>
              </w:rPr>
              <w:t>PRIMA THIRD COUNTRIES</w:t>
            </w:r>
          </w:p>
        </w:tc>
        <w:tc>
          <w:tcPr>
            <w:tcW w:w="1404" w:type="dxa"/>
            <w:gridSpan w:val="4"/>
            <w:tcBorders>
              <w:top w:val="single" w:sz="4" w:space="0" w:color="auto"/>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b/>
                <w:noProof/>
                <w:color w:val="000000"/>
                <w:sz w:val="20"/>
                <w:szCs w:val="20"/>
                <w:lang w:eastAsia="en-GB"/>
              </w:rPr>
            </w:pPr>
            <w:r>
              <w:rPr>
                <w:rFonts w:ascii="Times New Roman" w:eastAsia="Times New Roman" w:hAnsi="Times New Roman"/>
                <w:b/>
                <w:noProof/>
                <w:color w:val="000000"/>
                <w:sz w:val="20"/>
                <w:szCs w:val="20"/>
                <w:lang w:eastAsia="en-GB"/>
              </w:rPr>
              <w:t>TOPIC</w:t>
            </w:r>
          </w:p>
        </w:tc>
        <w:tc>
          <w:tcPr>
            <w:tcW w:w="1438" w:type="dxa"/>
            <w:gridSpan w:val="4"/>
            <w:tcBorders>
              <w:top w:val="single" w:sz="4" w:space="0" w:color="auto"/>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b/>
                <w:noProof/>
                <w:color w:val="000000"/>
                <w:sz w:val="20"/>
                <w:szCs w:val="20"/>
                <w:lang w:eastAsia="en-GB"/>
              </w:rPr>
            </w:pPr>
            <w:r>
              <w:rPr>
                <w:rFonts w:ascii="Times New Roman" w:eastAsia="Times New Roman" w:hAnsi="Times New Roman"/>
                <w:b/>
                <w:noProof/>
                <w:color w:val="000000"/>
                <w:sz w:val="20"/>
                <w:szCs w:val="20"/>
                <w:lang w:eastAsia="en-GB"/>
              </w:rPr>
              <w:t>INSTRUMENT</w:t>
            </w:r>
          </w:p>
        </w:tc>
        <w:tc>
          <w:tcPr>
            <w:tcW w:w="1514" w:type="dxa"/>
            <w:tcBorders>
              <w:top w:val="single" w:sz="4" w:space="0" w:color="auto"/>
              <w:left w:val="nil"/>
              <w:bottom w:val="single" w:sz="4" w:space="0" w:color="auto"/>
              <w:right w:val="single" w:sz="4" w:space="0" w:color="auto"/>
            </w:tcBorders>
            <w:shd w:val="clear" w:color="000000" w:fill="F4ECBC"/>
            <w:noWrap/>
            <w:vAlign w:val="center"/>
            <w:hideMark/>
          </w:tcPr>
          <w:p>
            <w:pPr>
              <w:spacing w:after="0" w:line="240" w:lineRule="auto"/>
              <w:jc w:val="center"/>
              <w:rPr>
                <w:rFonts w:ascii="Times New Roman" w:eastAsia="Times New Roman" w:hAnsi="Times New Roman"/>
                <w:b/>
                <w:noProof/>
                <w:color w:val="000000"/>
                <w:sz w:val="20"/>
                <w:szCs w:val="20"/>
                <w:lang w:eastAsia="en-GB"/>
              </w:rPr>
            </w:pPr>
            <w:r>
              <w:rPr>
                <w:rFonts w:ascii="Times New Roman" w:eastAsia="Times New Roman" w:hAnsi="Times New Roman"/>
                <w:b/>
                <w:noProof/>
                <w:color w:val="000000"/>
                <w:sz w:val="20"/>
                <w:szCs w:val="20"/>
                <w:lang w:eastAsia="en-GB"/>
              </w:rPr>
              <w:t>BUDGET</w:t>
            </w:r>
          </w:p>
        </w:tc>
      </w:tr>
      <w:tr>
        <w:trPr>
          <w:trHeight w:val="1551"/>
          <w:jc w:val="center"/>
        </w:trPr>
        <w:tc>
          <w:tcPr>
            <w:tcW w:w="2354"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b/>
                <w:iCs/>
                <w:noProof/>
                <w:color w:val="000000"/>
                <w:sz w:val="20"/>
                <w:szCs w:val="20"/>
                <w:lang w:eastAsia="en-GB"/>
              </w:rPr>
            </w:pPr>
            <w:r>
              <w:rPr>
                <w:rFonts w:ascii="Times New Roman" w:eastAsia="Times New Roman" w:hAnsi="Times New Roman"/>
                <w:b/>
                <w:iCs/>
                <w:noProof/>
                <w:color w:val="000000"/>
                <w:sz w:val="20"/>
                <w:szCs w:val="20"/>
                <w:lang w:eastAsia="en-GB"/>
              </w:rPr>
              <w:t>Name of the initiative</w:t>
            </w:r>
          </w:p>
        </w:tc>
        <w:tc>
          <w:tcPr>
            <w:tcW w:w="0" w:type="auto"/>
            <w:tcBorders>
              <w:top w:val="nil"/>
              <w:left w:val="nil"/>
              <w:bottom w:val="single" w:sz="4" w:space="0" w:color="auto"/>
              <w:right w:val="single" w:sz="4" w:space="0" w:color="auto"/>
            </w:tcBorders>
            <w:shd w:val="clear" w:color="000000" w:fill="E6B8B7"/>
            <w:textDirection w:val="btLr"/>
            <w:vAlign w:val="center"/>
            <w:hideMark/>
          </w:tcPr>
          <w:p>
            <w:pPr>
              <w:spacing w:after="0" w:line="240" w:lineRule="auto"/>
              <w:jc w:val="center"/>
              <w:rPr>
                <w:rFonts w:ascii="Times New Roman" w:eastAsia="Times New Roman" w:hAnsi="Times New Roman"/>
                <w:b/>
                <w:noProof/>
                <w:color w:val="000000"/>
                <w:sz w:val="20"/>
                <w:szCs w:val="20"/>
                <w:lang w:eastAsia="en-GB"/>
              </w:rPr>
            </w:pPr>
            <w:r>
              <w:rPr>
                <w:rFonts w:ascii="Times New Roman" w:eastAsia="Times New Roman" w:hAnsi="Times New Roman"/>
                <w:b/>
                <w:noProof/>
                <w:color w:val="000000"/>
                <w:sz w:val="20"/>
                <w:szCs w:val="20"/>
                <w:lang w:eastAsia="en-GB"/>
              </w:rPr>
              <w:t>EU Multilateral</w:t>
            </w:r>
          </w:p>
        </w:tc>
        <w:tc>
          <w:tcPr>
            <w:tcW w:w="0" w:type="auto"/>
            <w:tcBorders>
              <w:top w:val="nil"/>
              <w:left w:val="nil"/>
              <w:bottom w:val="single" w:sz="4" w:space="0" w:color="auto"/>
              <w:right w:val="single" w:sz="4" w:space="0" w:color="auto"/>
            </w:tcBorders>
            <w:shd w:val="clear" w:color="000000" w:fill="E6B8B7"/>
            <w:textDirection w:val="btLr"/>
            <w:vAlign w:val="center"/>
            <w:hideMark/>
          </w:tcPr>
          <w:p>
            <w:pPr>
              <w:spacing w:after="0" w:line="240" w:lineRule="auto"/>
              <w:jc w:val="center"/>
              <w:rPr>
                <w:rFonts w:ascii="Times New Roman" w:eastAsia="Times New Roman" w:hAnsi="Times New Roman"/>
                <w:b/>
                <w:noProof/>
                <w:color w:val="000000"/>
                <w:sz w:val="20"/>
                <w:szCs w:val="20"/>
                <w:lang w:eastAsia="en-GB"/>
              </w:rPr>
            </w:pPr>
            <w:r>
              <w:rPr>
                <w:rFonts w:ascii="Times New Roman" w:eastAsia="Times New Roman" w:hAnsi="Times New Roman"/>
                <w:b/>
                <w:noProof/>
                <w:color w:val="000000"/>
                <w:sz w:val="20"/>
                <w:szCs w:val="20"/>
                <w:lang w:eastAsia="en-GB"/>
              </w:rPr>
              <w:t>Bilateral</w:t>
            </w:r>
          </w:p>
        </w:tc>
        <w:tc>
          <w:tcPr>
            <w:tcW w:w="0" w:type="auto"/>
            <w:tcBorders>
              <w:top w:val="nil"/>
              <w:left w:val="nil"/>
              <w:bottom w:val="single" w:sz="4" w:space="0" w:color="auto"/>
              <w:right w:val="single" w:sz="4" w:space="0" w:color="auto"/>
            </w:tcBorders>
            <w:shd w:val="clear" w:color="000000" w:fill="C5D9F1"/>
            <w:textDirection w:val="btLr"/>
            <w:vAlign w:val="center"/>
            <w:hideMark/>
          </w:tcPr>
          <w:p>
            <w:pPr>
              <w:spacing w:after="0" w:line="240" w:lineRule="auto"/>
              <w:jc w:val="center"/>
              <w:rPr>
                <w:rFonts w:ascii="Times New Roman" w:eastAsia="Times New Roman" w:hAnsi="Times New Roman"/>
                <w:b/>
                <w:noProof/>
                <w:color w:val="000000"/>
                <w:sz w:val="20"/>
                <w:szCs w:val="20"/>
                <w:lang w:eastAsia="en-GB"/>
              </w:rPr>
            </w:pPr>
            <w:r>
              <w:rPr>
                <w:rFonts w:ascii="Times New Roman" w:eastAsia="Times New Roman" w:hAnsi="Times New Roman"/>
                <w:b/>
                <w:noProof/>
                <w:color w:val="000000"/>
                <w:sz w:val="20"/>
                <w:szCs w:val="20"/>
                <w:lang w:eastAsia="en-GB"/>
              </w:rPr>
              <w:t>Algeria</w:t>
            </w:r>
          </w:p>
        </w:tc>
        <w:tc>
          <w:tcPr>
            <w:tcW w:w="0" w:type="auto"/>
            <w:tcBorders>
              <w:top w:val="nil"/>
              <w:left w:val="nil"/>
              <w:bottom w:val="single" w:sz="4" w:space="0" w:color="auto"/>
              <w:right w:val="single" w:sz="4" w:space="0" w:color="auto"/>
            </w:tcBorders>
            <w:shd w:val="clear" w:color="000000" w:fill="C5D9F1"/>
            <w:textDirection w:val="btLr"/>
            <w:vAlign w:val="center"/>
            <w:hideMark/>
          </w:tcPr>
          <w:p>
            <w:pPr>
              <w:spacing w:after="0" w:line="240" w:lineRule="auto"/>
              <w:jc w:val="center"/>
              <w:rPr>
                <w:rFonts w:ascii="Times New Roman" w:eastAsia="Times New Roman" w:hAnsi="Times New Roman"/>
                <w:b/>
                <w:noProof/>
                <w:color w:val="000000"/>
                <w:sz w:val="20"/>
                <w:szCs w:val="20"/>
                <w:lang w:eastAsia="en-GB"/>
              </w:rPr>
            </w:pPr>
            <w:r>
              <w:rPr>
                <w:rFonts w:ascii="Times New Roman" w:eastAsia="Times New Roman" w:hAnsi="Times New Roman"/>
                <w:b/>
                <w:noProof/>
                <w:color w:val="000000"/>
                <w:sz w:val="20"/>
                <w:szCs w:val="20"/>
                <w:lang w:eastAsia="en-GB"/>
              </w:rPr>
              <w:t>Egypt</w:t>
            </w:r>
          </w:p>
        </w:tc>
        <w:tc>
          <w:tcPr>
            <w:tcW w:w="0" w:type="auto"/>
            <w:tcBorders>
              <w:top w:val="nil"/>
              <w:left w:val="nil"/>
              <w:bottom w:val="single" w:sz="4" w:space="0" w:color="auto"/>
              <w:right w:val="single" w:sz="4" w:space="0" w:color="auto"/>
            </w:tcBorders>
            <w:shd w:val="clear" w:color="000000" w:fill="C5D9F1"/>
            <w:textDirection w:val="btLr"/>
            <w:vAlign w:val="center"/>
            <w:hideMark/>
          </w:tcPr>
          <w:p>
            <w:pPr>
              <w:spacing w:after="0" w:line="240" w:lineRule="auto"/>
              <w:jc w:val="center"/>
              <w:rPr>
                <w:rFonts w:ascii="Times New Roman" w:eastAsia="Times New Roman" w:hAnsi="Times New Roman"/>
                <w:b/>
                <w:noProof/>
                <w:color w:val="000000"/>
                <w:sz w:val="20"/>
                <w:szCs w:val="20"/>
                <w:lang w:eastAsia="en-GB"/>
              </w:rPr>
            </w:pPr>
            <w:r>
              <w:rPr>
                <w:rFonts w:ascii="Times New Roman" w:eastAsia="Times New Roman" w:hAnsi="Times New Roman"/>
                <w:b/>
                <w:noProof/>
                <w:color w:val="000000"/>
                <w:sz w:val="20"/>
                <w:szCs w:val="20"/>
                <w:lang w:eastAsia="en-GB"/>
              </w:rPr>
              <w:t>Israel</w:t>
            </w:r>
          </w:p>
        </w:tc>
        <w:tc>
          <w:tcPr>
            <w:tcW w:w="0" w:type="auto"/>
            <w:tcBorders>
              <w:top w:val="nil"/>
              <w:left w:val="nil"/>
              <w:bottom w:val="single" w:sz="4" w:space="0" w:color="auto"/>
              <w:right w:val="single" w:sz="4" w:space="0" w:color="auto"/>
            </w:tcBorders>
            <w:shd w:val="clear" w:color="000000" w:fill="C5D9F1"/>
            <w:textDirection w:val="btLr"/>
            <w:vAlign w:val="center"/>
            <w:hideMark/>
          </w:tcPr>
          <w:p>
            <w:pPr>
              <w:spacing w:after="0" w:line="240" w:lineRule="auto"/>
              <w:jc w:val="center"/>
              <w:rPr>
                <w:rFonts w:ascii="Times New Roman" w:eastAsia="Times New Roman" w:hAnsi="Times New Roman"/>
                <w:b/>
                <w:noProof/>
                <w:color w:val="000000"/>
                <w:sz w:val="20"/>
                <w:szCs w:val="20"/>
                <w:lang w:eastAsia="en-GB"/>
              </w:rPr>
            </w:pPr>
            <w:r>
              <w:rPr>
                <w:rFonts w:ascii="Times New Roman" w:eastAsia="Times New Roman" w:hAnsi="Times New Roman"/>
                <w:b/>
                <w:noProof/>
                <w:color w:val="000000"/>
                <w:sz w:val="20"/>
                <w:szCs w:val="20"/>
                <w:lang w:eastAsia="en-GB"/>
              </w:rPr>
              <w:t>Jordan</w:t>
            </w:r>
          </w:p>
        </w:tc>
        <w:tc>
          <w:tcPr>
            <w:tcW w:w="0" w:type="auto"/>
            <w:tcBorders>
              <w:top w:val="nil"/>
              <w:left w:val="nil"/>
              <w:bottom w:val="single" w:sz="4" w:space="0" w:color="auto"/>
              <w:right w:val="single" w:sz="4" w:space="0" w:color="auto"/>
            </w:tcBorders>
            <w:shd w:val="clear" w:color="000000" w:fill="C5D9F1"/>
            <w:textDirection w:val="btLr"/>
            <w:vAlign w:val="center"/>
            <w:hideMark/>
          </w:tcPr>
          <w:p>
            <w:pPr>
              <w:spacing w:after="0" w:line="240" w:lineRule="auto"/>
              <w:jc w:val="center"/>
              <w:rPr>
                <w:rFonts w:ascii="Times New Roman" w:eastAsia="Times New Roman" w:hAnsi="Times New Roman"/>
                <w:b/>
                <w:noProof/>
                <w:color w:val="000000"/>
                <w:sz w:val="20"/>
                <w:szCs w:val="20"/>
                <w:lang w:eastAsia="en-GB"/>
              </w:rPr>
            </w:pPr>
            <w:r>
              <w:rPr>
                <w:rFonts w:ascii="Times New Roman" w:eastAsia="Times New Roman" w:hAnsi="Times New Roman"/>
                <w:b/>
                <w:noProof/>
                <w:color w:val="000000"/>
                <w:sz w:val="20"/>
                <w:szCs w:val="20"/>
                <w:lang w:eastAsia="en-GB"/>
              </w:rPr>
              <w:t>Lebanon</w:t>
            </w:r>
          </w:p>
        </w:tc>
        <w:tc>
          <w:tcPr>
            <w:tcW w:w="0" w:type="auto"/>
            <w:tcBorders>
              <w:top w:val="nil"/>
              <w:left w:val="nil"/>
              <w:bottom w:val="single" w:sz="4" w:space="0" w:color="auto"/>
              <w:right w:val="single" w:sz="4" w:space="0" w:color="auto"/>
            </w:tcBorders>
            <w:shd w:val="clear" w:color="000000" w:fill="C5D9F1"/>
            <w:textDirection w:val="btLr"/>
            <w:vAlign w:val="center"/>
            <w:hideMark/>
          </w:tcPr>
          <w:p>
            <w:pPr>
              <w:spacing w:after="0" w:line="240" w:lineRule="auto"/>
              <w:jc w:val="center"/>
              <w:rPr>
                <w:rFonts w:ascii="Times New Roman" w:eastAsia="Times New Roman" w:hAnsi="Times New Roman"/>
                <w:b/>
                <w:noProof/>
                <w:color w:val="000000"/>
                <w:sz w:val="20"/>
                <w:szCs w:val="20"/>
                <w:lang w:eastAsia="en-GB"/>
              </w:rPr>
            </w:pPr>
            <w:r>
              <w:rPr>
                <w:rFonts w:ascii="Times New Roman" w:eastAsia="Times New Roman" w:hAnsi="Times New Roman"/>
                <w:b/>
                <w:noProof/>
                <w:color w:val="000000"/>
                <w:sz w:val="20"/>
                <w:szCs w:val="20"/>
                <w:lang w:eastAsia="en-GB"/>
              </w:rPr>
              <w:t>Morocco</w:t>
            </w:r>
          </w:p>
        </w:tc>
        <w:tc>
          <w:tcPr>
            <w:tcW w:w="0" w:type="auto"/>
            <w:tcBorders>
              <w:top w:val="nil"/>
              <w:left w:val="nil"/>
              <w:bottom w:val="single" w:sz="4" w:space="0" w:color="auto"/>
              <w:right w:val="single" w:sz="4" w:space="0" w:color="auto"/>
            </w:tcBorders>
            <w:shd w:val="clear" w:color="000000" w:fill="C5D9F1"/>
            <w:textDirection w:val="btLr"/>
            <w:vAlign w:val="center"/>
            <w:hideMark/>
          </w:tcPr>
          <w:p>
            <w:pPr>
              <w:spacing w:after="0" w:line="240" w:lineRule="auto"/>
              <w:jc w:val="center"/>
              <w:rPr>
                <w:rFonts w:ascii="Times New Roman" w:eastAsia="Times New Roman" w:hAnsi="Times New Roman"/>
                <w:b/>
                <w:noProof/>
                <w:color w:val="000000"/>
                <w:sz w:val="20"/>
                <w:szCs w:val="20"/>
                <w:lang w:eastAsia="en-GB"/>
              </w:rPr>
            </w:pPr>
            <w:r>
              <w:rPr>
                <w:rFonts w:ascii="Times New Roman" w:eastAsia="Times New Roman" w:hAnsi="Times New Roman"/>
                <w:b/>
                <w:noProof/>
                <w:color w:val="000000"/>
                <w:sz w:val="20"/>
                <w:szCs w:val="20"/>
                <w:lang w:eastAsia="en-GB"/>
              </w:rPr>
              <w:t>Tunisia</w:t>
            </w:r>
          </w:p>
        </w:tc>
        <w:tc>
          <w:tcPr>
            <w:tcW w:w="0" w:type="auto"/>
            <w:tcBorders>
              <w:top w:val="nil"/>
              <w:left w:val="nil"/>
              <w:bottom w:val="single" w:sz="4" w:space="0" w:color="auto"/>
              <w:right w:val="single" w:sz="4" w:space="0" w:color="auto"/>
            </w:tcBorders>
            <w:shd w:val="clear" w:color="000000" w:fill="C5D9F1"/>
            <w:textDirection w:val="btLr"/>
            <w:vAlign w:val="center"/>
            <w:hideMark/>
          </w:tcPr>
          <w:p>
            <w:pPr>
              <w:spacing w:after="0" w:line="240" w:lineRule="auto"/>
              <w:jc w:val="center"/>
              <w:rPr>
                <w:rFonts w:ascii="Times New Roman" w:eastAsia="Times New Roman" w:hAnsi="Times New Roman"/>
                <w:b/>
                <w:noProof/>
                <w:color w:val="000000"/>
                <w:sz w:val="20"/>
                <w:szCs w:val="20"/>
                <w:lang w:eastAsia="en-GB"/>
              </w:rPr>
            </w:pPr>
            <w:r>
              <w:rPr>
                <w:rFonts w:ascii="Times New Roman" w:eastAsia="Times New Roman" w:hAnsi="Times New Roman"/>
                <w:b/>
                <w:noProof/>
                <w:color w:val="000000"/>
                <w:sz w:val="20"/>
                <w:szCs w:val="20"/>
                <w:lang w:eastAsia="en-GB"/>
              </w:rPr>
              <w:t>Turkey</w:t>
            </w:r>
          </w:p>
        </w:tc>
        <w:tc>
          <w:tcPr>
            <w:tcW w:w="0" w:type="auto"/>
            <w:tcBorders>
              <w:top w:val="nil"/>
              <w:left w:val="nil"/>
              <w:bottom w:val="single" w:sz="4" w:space="0" w:color="auto"/>
              <w:right w:val="single" w:sz="4" w:space="0" w:color="auto"/>
            </w:tcBorders>
            <w:shd w:val="clear" w:color="000000" w:fill="B1A0C7"/>
            <w:textDirection w:val="btLr"/>
            <w:vAlign w:val="center"/>
            <w:hideMark/>
          </w:tcPr>
          <w:p>
            <w:pPr>
              <w:spacing w:after="0" w:line="240" w:lineRule="auto"/>
              <w:jc w:val="center"/>
              <w:rPr>
                <w:rFonts w:ascii="Times New Roman" w:eastAsia="Times New Roman" w:hAnsi="Times New Roman"/>
                <w:b/>
                <w:noProof/>
                <w:color w:val="000000"/>
                <w:sz w:val="20"/>
                <w:szCs w:val="20"/>
                <w:lang w:eastAsia="en-GB"/>
              </w:rPr>
            </w:pPr>
            <w:r>
              <w:rPr>
                <w:rFonts w:ascii="Times New Roman" w:eastAsia="Times New Roman" w:hAnsi="Times New Roman"/>
                <w:b/>
                <w:noProof/>
                <w:color w:val="000000"/>
                <w:sz w:val="20"/>
                <w:szCs w:val="20"/>
                <w:lang w:eastAsia="en-GB"/>
              </w:rPr>
              <w:t>Water Provision</w:t>
            </w:r>
          </w:p>
        </w:tc>
        <w:tc>
          <w:tcPr>
            <w:tcW w:w="0" w:type="auto"/>
            <w:tcBorders>
              <w:top w:val="nil"/>
              <w:left w:val="nil"/>
              <w:bottom w:val="single" w:sz="4" w:space="0" w:color="auto"/>
              <w:right w:val="single" w:sz="4" w:space="0" w:color="auto"/>
            </w:tcBorders>
            <w:shd w:val="clear" w:color="000000" w:fill="B1A0C7"/>
            <w:textDirection w:val="btLr"/>
            <w:vAlign w:val="center"/>
            <w:hideMark/>
          </w:tcPr>
          <w:p>
            <w:pPr>
              <w:spacing w:after="0" w:line="240" w:lineRule="auto"/>
              <w:jc w:val="center"/>
              <w:rPr>
                <w:rFonts w:ascii="Times New Roman" w:eastAsia="Times New Roman" w:hAnsi="Times New Roman"/>
                <w:b/>
                <w:noProof/>
                <w:color w:val="000000"/>
                <w:sz w:val="20"/>
                <w:szCs w:val="20"/>
                <w:lang w:eastAsia="en-GB"/>
              </w:rPr>
            </w:pPr>
            <w:r>
              <w:rPr>
                <w:rFonts w:ascii="Times New Roman" w:eastAsia="Times New Roman" w:hAnsi="Times New Roman"/>
                <w:b/>
                <w:noProof/>
                <w:color w:val="000000"/>
                <w:sz w:val="20"/>
                <w:szCs w:val="20"/>
                <w:lang w:eastAsia="en-GB"/>
              </w:rPr>
              <w:t>Food Systems</w:t>
            </w:r>
          </w:p>
        </w:tc>
        <w:tc>
          <w:tcPr>
            <w:tcW w:w="465" w:type="dxa"/>
            <w:tcBorders>
              <w:top w:val="nil"/>
              <w:left w:val="nil"/>
              <w:bottom w:val="single" w:sz="4" w:space="0" w:color="auto"/>
              <w:right w:val="single" w:sz="4" w:space="0" w:color="auto"/>
            </w:tcBorders>
            <w:shd w:val="clear" w:color="000000" w:fill="B1A0C7"/>
            <w:textDirection w:val="btLr"/>
            <w:vAlign w:val="center"/>
            <w:hideMark/>
          </w:tcPr>
          <w:p>
            <w:pPr>
              <w:spacing w:after="0" w:line="220" w:lineRule="exact"/>
              <w:jc w:val="center"/>
              <w:rPr>
                <w:rFonts w:ascii="Times New Roman" w:eastAsia="Times New Roman" w:hAnsi="Times New Roman"/>
                <w:b/>
                <w:noProof/>
                <w:color w:val="000000"/>
                <w:sz w:val="20"/>
                <w:szCs w:val="20"/>
                <w:lang w:eastAsia="en-GB"/>
              </w:rPr>
            </w:pPr>
            <w:r>
              <w:rPr>
                <w:rFonts w:ascii="Times New Roman" w:eastAsia="Times New Roman" w:hAnsi="Times New Roman"/>
                <w:b/>
                <w:noProof/>
                <w:color w:val="000000"/>
                <w:sz w:val="20"/>
                <w:szCs w:val="20"/>
                <w:lang w:eastAsia="en-GB"/>
              </w:rPr>
              <w:t>Sustainable Development</w:t>
            </w:r>
          </w:p>
        </w:tc>
        <w:tc>
          <w:tcPr>
            <w:tcW w:w="313" w:type="dxa"/>
            <w:tcBorders>
              <w:top w:val="nil"/>
              <w:left w:val="nil"/>
              <w:bottom w:val="single" w:sz="4" w:space="0" w:color="auto"/>
              <w:right w:val="single" w:sz="4" w:space="0" w:color="auto"/>
            </w:tcBorders>
            <w:shd w:val="clear" w:color="000000" w:fill="B1A0C7"/>
            <w:textDirection w:val="btLr"/>
            <w:vAlign w:val="center"/>
            <w:hideMark/>
          </w:tcPr>
          <w:p>
            <w:pPr>
              <w:spacing w:after="0" w:line="240" w:lineRule="auto"/>
              <w:jc w:val="center"/>
              <w:rPr>
                <w:rFonts w:ascii="Times New Roman" w:eastAsia="Times New Roman" w:hAnsi="Times New Roman"/>
                <w:b/>
                <w:noProof/>
                <w:color w:val="000000"/>
                <w:sz w:val="20"/>
                <w:szCs w:val="20"/>
                <w:lang w:eastAsia="en-GB"/>
              </w:rPr>
            </w:pPr>
            <w:r>
              <w:rPr>
                <w:rFonts w:ascii="Times New Roman" w:eastAsia="Times New Roman" w:hAnsi="Times New Roman"/>
                <w:b/>
                <w:noProof/>
                <w:color w:val="000000"/>
                <w:sz w:val="20"/>
                <w:szCs w:val="20"/>
                <w:lang w:eastAsia="en-GB"/>
              </w:rPr>
              <w:t>Other</w:t>
            </w:r>
          </w:p>
        </w:tc>
        <w:tc>
          <w:tcPr>
            <w:tcW w:w="395" w:type="dxa"/>
            <w:tcBorders>
              <w:top w:val="nil"/>
              <w:left w:val="nil"/>
              <w:bottom w:val="single" w:sz="4" w:space="0" w:color="auto"/>
              <w:right w:val="single" w:sz="4" w:space="0" w:color="auto"/>
            </w:tcBorders>
            <w:shd w:val="clear" w:color="000000" w:fill="D8E4BC"/>
            <w:textDirection w:val="btLr"/>
            <w:vAlign w:val="center"/>
            <w:hideMark/>
          </w:tcPr>
          <w:p>
            <w:pPr>
              <w:spacing w:after="0" w:line="220" w:lineRule="exact"/>
              <w:jc w:val="center"/>
              <w:rPr>
                <w:rFonts w:ascii="Times New Roman" w:eastAsia="Times New Roman" w:hAnsi="Times New Roman"/>
                <w:b/>
                <w:noProof/>
                <w:color w:val="000000"/>
                <w:sz w:val="20"/>
                <w:szCs w:val="20"/>
                <w:lang w:eastAsia="en-GB"/>
              </w:rPr>
            </w:pPr>
            <w:r>
              <w:rPr>
                <w:rFonts w:ascii="Times New Roman" w:eastAsia="Times New Roman" w:hAnsi="Times New Roman"/>
                <w:b/>
                <w:noProof/>
                <w:color w:val="000000"/>
                <w:sz w:val="20"/>
                <w:szCs w:val="20"/>
                <w:lang w:eastAsia="en-GB"/>
              </w:rPr>
              <w:t>Collaborative Research</w:t>
            </w:r>
          </w:p>
        </w:tc>
        <w:tc>
          <w:tcPr>
            <w:tcW w:w="0" w:type="auto"/>
            <w:tcBorders>
              <w:top w:val="nil"/>
              <w:left w:val="nil"/>
              <w:bottom w:val="single" w:sz="4" w:space="0" w:color="auto"/>
              <w:right w:val="single" w:sz="4" w:space="0" w:color="auto"/>
            </w:tcBorders>
            <w:shd w:val="clear" w:color="000000" w:fill="D8E4BC"/>
            <w:textDirection w:val="btLr"/>
            <w:vAlign w:val="center"/>
            <w:hideMark/>
          </w:tcPr>
          <w:p>
            <w:pPr>
              <w:spacing w:after="0" w:line="240" w:lineRule="auto"/>
              <w:jc w:val="center"/>
              <w:rPr>
                <w:rFonts w:ascii="Times New Roman" w:eastAsia="Times New Roman" w:hAnsi="Times New Roman"/>
                <w:b/>
                <w:noProof/>
                <w:color w:val="000000"/>
                <w:sz w:val="20"/>
                <w:szCs w:val="20"/>
                <w:lang w:eastAsia="en-GB"/>
              </w:rPr>
            </w:pPr>
            <w:r>
              <w:rPr>
                <w:rFonts w:ascii="Times New Roman" w:eastAsia="Times New Roman" w:hAnsi="Times New Roman"/>
                <w:b/>
                <w:noProof/>
                <w:color w:val="000000"/>
                <w:sz w:val="20"/>
                <w:szCs w:val="20"/>
                <w:lang w:eastAsia="en-GB"/>
              </w:rPr>
              <w:t>Demonstration</w:t>
            </w:r>
          </w:p>
        </w:tc>
        <w:tc>
          <w:tcPr>
            <w:tcW w:w="0" w:type="auto"/>
            <w:tcBorders>
              <w:top w:val="nil"/>
              <w:left w:val="nil"/>
              <w:bottom w:val="single" w:sz="4" w:space="0" w:color="auto"/>
              <w:right w:val="single" w:sz="4" w:space="0" w:color="auto"/>
            </w:tcBorders>
            <w:shd w:val="clear" w:color="000000" w:fill="D8E4BC"/>
            <w:textDirection w:val="btLr"/>
            <w:vAlign w:val="center"/>
            <w:hideMark/>
          </w:tcPr>
          <w:p>
            <w:pPr>
              <w:spacing w:after="0" w:line="240" w:lineRule="auto"/>
              <w:jc w:val="center"/>
              <w:rPr>
                <w:rFonts w:ascii="Times New Roman" w:eastAsia="Times New Roman" w:hAnsi="Times New Roman"/>
                <w:b/>
                <w:noProof/>
                <w:color w:val="000000"/>
                <w:sz w:val="20"/>
                <w:szCs w:val="20"/>
                <w:lang w:eastAsia="en-GB"/>
              </w:rPr>
            </w:pPr>
            <w:r>
              <w:rPr>
                <w:rFonts w:ascii="Times New Roman" w:eastAsia="Times New Roman" w:hAnsi="Times New Roman"/>
                <w:b/>
                <w:noProof/>
                <w:color w:val="000000"/>
                <w:sz w:val="20"/>
                <w:szCs w:val="20"/>
                <w:lang w:eastAsia="en-GB"/>
              </w:rPr>
              <w:t>Mobility</w:t>
            </w:r>
          </w:p>
        </w:tc>
        <w:tc>
          <w:tcPr>
            <w:tcW w:w="417" w:type="dxa"/>
            <w:tcBorders>
              <w:top w:val="nil"/>
              <w:left w:val="nil"/>
              <w:bottom w:val="single" w:sz="4" w:space="0" w:color="auto"/>
              <w:right w:val="single" w:sz="4" w:space="0" w:color="auto"/>
            </w:tcBorders>
            <w:shd w:val="clear" w:color="000000" w:fill="D8E4BC"/>
            <w:textDirection w:val="btLr"/>
            <w:vAlign w:val="center"/>
            <w:hideMark/>
          </w:tcPr>
          <w:p>
            <w:pPr>
              <w:spacing w:after="0" w:line="240" w:lineRule="auto"/>
              <w:jc w:val="center"/>
              <w:rPr>
                <w:rFonts w:ascii="Times New Roman" w:eastAsia="Times New Roman" w:hAnsi="Times New Roman"/>
                <w:b/>
                <w:noProof/>
                <w:color w:val="000000"/>
                <w:sz w:val="20"/>
                <w:szCs w:val="20"/>
                <w:lang w:eastAsia="en-GB"/>
              </w:rPr>
            </w:pPr>
            <w:r>
              <w:rPr>
                <w:rFonts w:ascii="Times New Roman" w:eastAsia="Times New Roman" w:hAnsi="Times New Roman"/>
                <w:b/>
                <w:noProof/>
                <w:color w:val="000000"/>
                <w:sz w:val="20"/>
                <w:szCs w:val="20"/>
                <w:lang w:eastAsia="en-GB"/>
              </w:rPr>
              <w:t>Policy Dialogue</w:t>
            </w:r>
          </w:p>
        </w:tc>
        <w:tc>
          <w:tcPr>
            <w:tcW w:w="1514" w:type="dxa"/>
            <w:tcBorders>
              <w:top w:val="nil"/>
              <w:left w:val="nil"/>
              <w:bottom w:val="single" w:sz="4" w:space="0" w:color="auto"/>
              <w:right w:val="single" w:sz="4" w:space="0" w:color="auto"/>
            </w:tcBorders>
            <w:shd w:val="clear" w:color="000000" w:fill="F4ECBC"/>
            <w:vAlign w:val="center"/>
            <w:hideMark/>
          </w:tcPr>
          <w:p>
            <w:pPr>
              <w:spacing w:after="0" w:line="240" w:lineRule="auto"/>
              <w:jc w:val="center"/>
              <w:rPr>
                <w:rFonts w:ascii="Times New Roman" w:eastAsia="Times New Roman" w:hAnsi="Times New Roman"/>
                <w:b/>
                <w:noProof/>
                <w:color w:val="000000"/>
                <w:sz w:val="20"/>
                <w:szCs w:val="20"/>
                <w:lang w:eastAsia="en-GB"/>
              </w:rPr>
            </w:pPr>
            <w:r>
              <w:rPr>
                <w:rFonts w:ascii="Times New Roman" w:eastAsia="Times New Roman" w:hAnsi="Times New Roman"/>
                <w:b/>
                <w:noProof/>
                <w:color w:val="000000"/>
                <w:sz w:val="20"/>
                <w:szCs w:val="20"/>
                <w:lang w:eastAsia="en-GB"/>
              </w:rPr>
              <w:t>EUR</w:t>
            </w:r>
          </w:p>
        </w:tc>
      </w:tr>
      <w:tr>
        <w:trPr>
          <w:trHeight w:val="960"/>
          <w:jc w:val="center"/>
        </w:trPr>
        <w:tc>
          <w:tcPr>
            <w:tcW w:w="2354" w:type="dxa"/>
            <w:tcBorders>
              <w:top w:val="nil"/>
              <w:left w:val="single" w:sz="4" w:space="0" w:color="auto"/>
              <w:bottom w:val="single" w:sz="4" w:space="0" w:color="auto"/>
              <w:right w:val="single" w:sz="4" w:space="0" w:color="auto"/>
            </w:tcBorders>
            <w:shd w:val="clear" w:color="000000" w:fill="EAEAEA"/>
            <w:vAlign w:val="center"/>
            <w:hideMark/>
          </w:tcPr>
          <w:p>
            <w:pPr>
              <w:spacing w:after="0" w:line="240" w:lineRule="auto"/>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The European Neighbourhood Programme for Agriculture and Rural Development (ENPARD)</w:t>
            </w:r>
          </w:p>
        </w:tc>
        <w:tc>
          <w:tcPr>
            <w:tcW w:w="0" w:type="auto"/>
            <w:tcBorders>
              <w:top w:val="nil"/>
              <w:left w:val="nil"/>
              <w:bottom w:val="single" w:sz="4" w:space="0" w:color="auto"/>
              <w:right w:val="single" w:sz="4" w:space="0" w:color="auto"/>
            </w:tcBorders>
            <w:shd w:val="clear" w:color="000000" w:fill="E6B8B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E6B8B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465" w:type="dxa"/>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313" w:type="dxa"/>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395" w:type="dxa"/>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417" w:type="dxa"/>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1514" w:type="dxa"/>
            <w:tcBorders>
              <w:top w:val="nil"/>
              <w:left w:val="nil"/>
              <w:bottom w:val="single" w:sz="4" w:space="0" w:color="auto"/>
              <w:right w:val="single" w:sz="4" w:space="0" w:color="auto"/>
            </w:tcBorders>
            <w:shd w:val="clear" w:color="000000" w:fill="F4ECBC"/>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4 million</w:t>
            </w:r>
          </w:p>
        </w:tc>
      </w:tr>
      <w:tr>
        <w:trPr>
          <w:trHeight w:val="438"/>
          <w:jc w:val="center"/>
        </w:trPr>
        <w:tc>
          <w:tcPr>
            <w:tcW w:w="2354" w:type="dxa"/>
            <w:tcBorders>
              <w:top w:val="nil"/>
              <w:left w:val="single" w:sz="4" w:space="0" w:color="auto"/>
              <w:bottom w:val="single" w:sz="4" w:space="0" w:color="auto"/>
              <w:right w:val="single" w:sz="4" w:space="0" w:color="auto"/>
            </w:tcBorders>
            <w:shd w:val="clear" w:color="000000" w:fill="EAEAEA"/>
            <w:vAlign w:val="center"/>
            <w:hideMark/>
          </w:tcPr>
          <w:p>
            <w:pPr>
              <w:spacing w:after="0" w:line="240" w:lineRule="auto"/>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ENI Cross-Border Co-operation (CBC) – Mediterranean Sea Basin Programme</w:t>
            </w:r>
          </w:p>
        </w:tc>
        <w:tc>
          <w:tcPr>
            <w:tcW w:w="0" w:type="auto"/>
            <w:tcBorders>
              <w:top w:val="nil"/>
              <w:left w:val="nil"/>
              <w:bottom w:val="single" w:sz="4" w:space="0" w:color="auto"/>
              <w:right w:val="single" w:sz="4" w:space="0" w:color="auto"/>
            </w:tcBorders>
            <w:shd w:val="clear" w:color="000000" w:fill="E6B8B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E6B8B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465" w:type="dxa"/>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313" w:type="dxa"/>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395" w:type="dxa"/>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417" w:type="dxa"/>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1514" w:type="dxa"/>
            <w:tcBorders>
              <w:top w:val="nil"/>
              <w:left w:val="nil"/>
              <w:bottom w:val="single" w:sz="4" w:space="0" w:color="auto"/>
              <w:right w:val="single" w:sz="4" w:space="0" w:color="auto"/>
            </w:tcBorders>
            <w:shd w:val="clear" w:color="000000" w:fill="F4ECBC"/>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209 million</w:t>
            </w:r>
          </w:p>
        </w:tc>
      </w:tr>
      <w:tr>
        <w:trPr>
          <w:trHeight w:val="750"/>
          <w:jc w:val="center"/>
        </w:trPr>
        <w:tc>
          <w:tcPr>
            <w:tcW w:w="2354" w:type="dxa"/>
            <w:tcBorders>
              <w:top w:val="nil"/>
              <w:left w:val="single" w:sz="4" w:space="0" w:color="auto"/>
              <w:bottom w:val="single" w:sz="4" w:space="0" w:color="auto"/>
              <w:right w:val="single" w:sz="4" w:space="0" w:color="auto"/>
            </w:tcBorders>
            <w:shd w:val="clear" w:color="000000" w:fill="EAEAEA"/>
            <w:vAlign w:val="center"/>
            <w:hideMark/>
          </w:tcPr>
          <w:p>
            <w:pPr>
              <w:spacing w:after="0" w:line="240" w:lineRule="auto"/>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ENPI  SWIM (Sustainable Water Integrated Management)</w:t>
            </w:r>
          </w:p>
        </w:tc>
        <w:tc>
          <w:tcPr>
            <w:tcW w:w="0" w:type="auto"/>
            <w:tcBorders>
              <w:top w:val="nil"/>
              <w:left w:val="nil"/>
              <w:bottom w:val="single" w:sz="4" w:space="0" w:color="auto"/>
              <w:right w:val="single" w:sz="4" w:space="0" w:color="auto"/>
            </w:tcBorders>
            <w:shd w:val="clear" w:color="000000" w:fill="E6B8B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E6B8B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465" w:type="dxa"/>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313" w:type="dxa"/>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395" w:type="dxa"/>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417" w:type="dxa"/>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1514" w:type="dxa"/>
            <w:tcBorders>
              <w:top w:val="nil"/>
              <w:left w:val="nil"/>
              <w:bottom w:val="single" w:sz="4" w:space="0" w:color="auto"/>
              <w:right w:val="single" w:sz="4" w:space="0" w:color="auto"/>
            </w:tcBorders>
            <w:shd w:val="clear" w:color="000000" w:fill="F4ECBC"/>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15 million</w:t>
            </w:r>
          </w:p>
        </w:tc>
      </w:tr>
      <w:tr>
        <w:trPr>
          <w:trHeight w:val="65"/>
          <w:jc w:val="center"/>
        </w:trPr>
        <w:tc>
          <w:tcPr>
            <w:tcW w:w="2354" w:type="dxa"/>
            <w:tcBorders>
              <w:top w:val="nil"/>
              <w:left w:val="single" w:sz="4" w:space="0" w:color="auto"/>
              <w:bottom w:val="single" w:sz="4" w:space="0" w:color="auto"/>
              <w:right w:val="single" w:sz="4" w:space="0" w:color="auto"/>
            </w:tcBorders>
            <w:shd w:val="clear" w:color="000000" w:fill="EAEAEA"/>
            <w:vAlign w:val="center"/>
            <w:hideMark/>
          </w:tcPr>
          <w:p>
            <w:pPr>
              <w:spacing w:after="0" w:line="240" w:lineRule="auto"/>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ENPI SWITCH</w:t>
            </w:r>
            <w:r>
              <w:rPr>
                <w:rFonts w:ascii="Cambria Math" w:eastAsia="Times New Roman" w:hAnsi="Cambria Math" w:cs="Cambria Math"/>
                <w:noProof/>
                <w:color w:val="000000"/>
                <w:sz w:val="20"/>
                <w:szCs w:val="20"/>
                <w:lang w:eastAsia="en-GB"/>
              </w:rPr>
              <w:t>‐</w:t>
            </w:r>
            <w:r>
              <w:rPr>
                <w:rFonts w:ascii="Times New Roman" w:eastAsia="Times New Roman" w:hAnsi="Times New Roman"/>
                <w:noProof/>
                <w:color w:val="000000"/>
                <w:sz w:val="20"/>
                <w:szCs w:val="20"/>
                <w:lang w:eastAsia="en-GB"/>
              </w:rPr>
              <w:t>Med Programme</w:t>
            </w:r>
          </w:p>
        </w:tc>
        <w:tc>
          <w:tcPr>
            <w:tcW w:w="0" w:type="auto"/>
            <w:tcBorders>
              <w:top w:val="nil"/>
              <w:left w:val="nil"/>
              <w:bottom w:val="single" w:sz="4" w:space="0" w:color="auto"/>
              <w:right w:val="single" w:sz="4" w:space="0" w:color="auto"/>
            </w:tcBorders>
            <w:shd w:val="clear" w:color="000000" w:fill="E6B8B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E6B8B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465" w:type="dxa"/>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313" w:type="dxa"/>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395" w:type="dxa"/>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417" w:type="dxa"/>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1514" w:type="dxa"/>
            <w:tcBorders>
              <w:top w:val="nil"/>
              <w:left w:val="nil"/>
              <w:bottom w:val="single" w:sz="4" w:space="0" w:color="auto"/>
              <w:right w:val="single" w:sz="4" w:space="0" w:color="auto"/>
            </w:tcBorders>
            <w:shd w:val="clear" w:color="000000" w:fill="F4ECBC"/>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20 million</w:t>
            </w:r>
          </w:p>
        </w:tc>
      </w:tr>
      <w:tr>
        <w:trPr>
          <w:trHeight w:val="50"/>
          <w:jc w:val="center"/>
        </w:trPr>
        <w:tc>
          <w:tcPr>
            <w:tcW w:w="2354" w:type="dxa"/>
            <w:tcBorders>
              <w:top w:val="nil"/>
              <w:left w:val="single" w:sz="4" w:space="0" w:color="auto"/>
              <w:bottom w:val="single" w:sz="4" w:space="0" w:color="auto"/>
              <w:right w:val="single" w:sz="4" w:space="0" w:color="auto"/>
            </w:tcBorders>
            <w:shd w:val="clear" w:color="000000" w:fill="EAEAEA"/>
            <w:vAlign w:val="center"/>
            <w:hideMark/>
          </w:tcPr>
          <w:p>
            <w:pPr>
              <w:spacing w:after="0" w:line="240" w:lineRule="auto"/>
              <w:rPr>
                <w:rFonts w:ascii="Times New Roman" w:eastAsia="Times New Roman" w:hAnsi="Times New Roman"/>
                <w:noProof/>
                <w:color w:val="000000"/>
                <w:sz w:val="20"/>
                <w:szCs w:val="20"/>
                <w:lang w:val="fr-BE" w:eastAsia="en-GB"/>
              </w:rPr>
            </w:pPr>
            <w:r>
              <w:rPr>
                <w:rFonts w:ascii="Times New Roman" w:eastAsia="Times New Roman" w:hAnsi="Times New Roman"/>
                <w:noProof/>
                <w:color w:val="000000"/>
                <w:sz w:val="20"/>
                <w:szCs w:val="20"/>
                <w:lang w:val="fr-BE" w:eastAsia="en-GB"/>
              </w:rPr>
              <w:t xml:space="preserve">Programmes d'Appui aux Politiques Sectorielles </w:t>
            </w:r>
          </w:p>
        </w:tc>
        <w:tc>
          <w:tcPr>
            <w:tcW w:w="0" w:type="auto"/>
            <w:tcBorders>
              <w:top w:val="nil"/>
              <w:left w:val="nil"/>
              <w:bottom w:val="single" w:sz="4" w:space="0" w:color="auto"/>
              <w:right w:val="single" w:sz="4" w:space="0" w:color="auto"/>
            </w:tcBorders>
            <w:shd w:val="clear" w:color="000000" w:fill="E6B8B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E6B8B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465" w:type="dxa"/>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313" w:type="dxa"/>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395" w:type="dxa"/>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417" w:type="dxa"/>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1514" w:type="dxa"/>
            <w:tcBorders>
              <w:top w:val="nil"/>
              <w:left w:val="nil"/>
              <w:bottom w:val="single" w:sz="4" w:space="0" w:color="auto"/>
              <w:right w:val="single" w:sz="4" w:space="0" w:color="auto"/>
            </w:tcBorders>
            <w:shd w:val="clear" w:color="000000" w:fill="F4ECBC"/>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Defined according to sectors</w:t>
            </w:r>
          </w:p>
        </w:tc>
      </w:tr>
      <w:tr>
        <w:trPr>
          <w:trHeight w:val="960"/>
          <w:jc w:val="center"/>
        </w:trPr>
        <w:tc>
          <w:tcPr>
            <w:tcW w:w="2354" w:type="dxa"/>
            <w:tcBorders>
              <w:top w:val="nil"/>
              <w:left w:val="single" w:sz="4" w:space="0" w:color="auto"/>
              <w:bottom w:val="single" w:sz="4" w:space="0" w:color="auto"/>
              <w:right w:val="single" w:sz="4" w:space="0" w:color="auto"/>
            </w:tcBorders>
            <w:shd w:val="clear" w:color="000000" w:fill="EAEAEA"/>
            <w:vAlign w:val="center"/>
            <w:hideMark/>
          </w:tcPr>
          <w:p>
            <w:pPr>
              <w:spacing w:after="0" w:line="240" w:lineRule="auto"/>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EU-Africa R&amp;I Partnership on Food and Nutrition Security and Sustainable Agriculture</w:t>
            </w:r>
          </w:p>
        </w:tc>
        <w:tc>
          <w:tcPr>
            <w:tcW w:w="0" w:type="auto"/>
            <w:tcBorders>
              <w:top w:val="nil"/>
              <w:left w:val="nil"/>
              <w:bottom w:val="single" w:sz="4" w:space="0" w:color="auto"/>
              <w:right w:val="single" w:sz="4" w:space="0" w:color="auto"/>
            </w:tcBorders>
            <w:shd w:val="clear" w:color="000000" w:fill="E6B8B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E6B8B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465" w:type="dxa"/>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313" w:type="dxa"/>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395" w:type="dxa"/>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417" w:type="dxa"/>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1514" w:type="dxa"/>
            <w:tcBorders>
              <w:top w:val="nil"/>
              <w:left w:val="nil"/>
              <w:bottom w:val="single" w:sz="4" w:space="0" w:color="auto"/>
              <w:right w:val="single" w:sz="4" w:space="0" w:color="auto"/>
            </w:tcBorders>
            <w:shd w:val="clear" w:color="000000" w:fill="F4ECBC"/>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70 million</w:t>
            </w:r>
          </w:p>
        </w:tc>
      </w:tr>
      <w:tr>
        <w:trPr>
          <w:trHeight w:val="50"/>
          <w:jc w:val="center"/>
        </w:trPr>
        <w:tc>
          <w:tcPr>
            <w:tcW w:w="2354" w:type="dxa"/>
            <w:tcBorders>
              <w:top w:val="nil"/>
              <w:left w:val="single" w:sz="4" w:space="0" w:color="auto"/>
              <w:bottom w:val="single" w:sz="4" w:space="0" w:color="auto"/>
              <w:right w:val="single" w:sz="4" w:space="0" w:color="auto"/>
            </w:tcBorders>
            <w:shd w:val="clear" w:color="000000" w:fill="EAEAEA"/>
            <w:vAlign w:val="center"/>
            <w:hideMark/>
          </w:tcPr>
          <w:p>
            <w:pPr>
              <w:spacing w:after="0" w:line="240" w:lineRule="auto"/>
              <w:rPr>
                <w:rFonts w:ascii="Times New Roman" w:eastAsia="Times New Roman" w:hAnsi="Times New Roman"/>
                <w:noProof/>
                <w:color w:val="000000"/>
                <w:sz w:val="20"/>
                <w:szCs w:val="20"/>
                <w:lang w:val="fr-BE" w:eastAsia="en-GB"/>
              </w:rPr>
            </w:pPr>
            <w:r>
              <w:rPr>
                <w:rFonts w:ascii="Times New Roman" w:eastAsia="Times New Roman" w:hAnsi="Times New Roman"/>
                <w:noProof/>
                <w:color w:val="000000"/>
                <w:sz w:val="20"/>
                <w:szCs w:val="20"/>
                <w:lang w:val="fr-BE" w:eastAsia="en-GB"/>
              </w:rPr>
              <w:t xml:space="preserve">The Nexus Dialogue EU Programme </w:t>
            </w:r>
          </w:p>
        </w:tc>
        <w:tc>
          <w:tcPr>
            <w:tcW w:w="0" w:type="auto"/>
            <w:tcBorders>
              <w:top w:val="nil"/>
              <w:left w:val="nil"/>
              <w:bottom w:val="single" w:sz="4" w:space="0" w:color="auto"/>
              <w:right w:val="single" w:sz="4" w:space="0" w:color="auto"/>
            </w:tcBorders>
            <w:shd w:val="clear" w:color="000000" w:fill="E6B8B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E6B8B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465" w:type="dxa"/>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313" w:type="dxa"/>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395" w:type="dxa"/>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417" w:type="dxa"/>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1514" w:type="dxa"/>
            <w:tcBorders>
              <w:top w:val="nil"/>
              <w:left w:val="nil"/>
              <w:bottom w:val="single" w:sz="4" w:space="0" w:color="auto"/>
              <w:right w:val="single" w:sz="4" w:space="0" w:color="auto"/>
            </w:tcBorders>
            <w:shd w:val="clear" w:color="000000" w:fill="F4ECBC"/>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6 million</w:t>
            </w:r>
          </w:p>
        </w:tc>
      </w:tr>
      <w:tr>
        <w:trPr>
          <w:trHeight w:val="371"/>
          <w:jc w:val="center"/>
        </w:trPr>
        <w:tc>
          <w:tcPr>
            <w:tcW w:w="2354" w:type="dxa"/>
            <w:tcBorders>
              <w:top w:val="nil"/>
              <w:left w:val="single" w:sz="4" w:space="0" w:color="auto"/>
              <w:bottom w:val="single" w:sz="4" w:space="0" w:color="auto"/>
              <w:right w:val="single" w:sz="4" w:space="0" w:color="auto"/>
            </w:tcBorders>
            <w:shd w:val="clear" w:color="000000" w:fill="EAEAEA"/>
            <w:vAlign w:val="center"/>
            <w:hideMark/>
          </w:tcPr>
          <w:p>
            <w:pPr>
              <w:spacing w:after="0" w:line="240" w:lineRule="auto"/>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Czech Republic – Israel Industrial R&amp;D Cooperation Framework</w:t>
            </w:r>
          </w:p>
        </w:tc>
        <w:tc>
          <w:tcPr>
            <w:tcW w:w="0" w:type="auto"/>
            <w:tcBorders>
              <w:top w:val="nil"/>
              <w:left w:val="nil"/>
              <w:bottom w:val="single" w:sz="4" w:space="0" w:color="auto"/>
              <w:right w:val="single" w:sz="4" w:space="0" w:color="auto"/>
            </w:tcBorders>
            <w:shd w:val="clear" w:color="000000" w:fill="E6B8B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E6B8B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465" w:type="dxa"/>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313" w:type="dxa"/>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395" w:type="dxa"/>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417" w:type="dxa"/>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1514" w:type="dxa"/>
            <w:tcBorders>
              <w:top w:val="nil"/>
              <w:left w:val="nil"/>
              <w:bottom w:val="single" w:sz="4" w:space="0" w:color="auto"/>
              <w:right w:val="single" w:sz="4" w:space="0" w:color="auto"/>
            </w:tcBorders>
            <w:shd w:val="clear" w:color="000000" w:fill="F4ECBC"/>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N.A.</w:t>
            </w:r>
          </w:p>
        </w:tc>
      </w:tr>
      <w:tr>
        <w:trPr>
          <w:trHeight w:val="409"/>
          <w:jc w:val="center"/>
        </w:trPr>
        <w:tc>
          <w:tcPr>
            <w:tcW w:w="2354" w:type="dxa"/>
            <w:tcBorders>
              <w:top w:val="nil"/>
              <w:left w:val="single" w:sz="4" w:space="0" w:color="auto"/>
              <w:bottom w:val="single" w:sz="4" w:space="0" w:color="auto"/>
              <w:right w:val="single" w:sz="4" w:space="0" w:color="auto"/>
            </w:tcBorders>
            <w:shd w:val="clear" w:color="000000" w:fill="EAEAEA"/>
            <w:vAlign w:val="center"/>
            <w:hideMark/>
          </w:tcPr>
          <w:p>
            <w:pPr>
              <w:spacing w:after="0" w:line="240" w:lineRule="auto"/>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France - 6 Partenariats Hubert Curien + 1 Bilateral programme with Israel</w:t>
            </w:r>
          </w:p>
        </w:tc>
        <w:tc>
          <w:tcPr>
            <w:tcW w:w="0" w:type="auto"/>
            <w:tcBorders>
              <w:top w:val="nil"/>
              <w:left w:val="nil"/>
              <w:bottom w:val="single" w:sz="4" w:space="0" w:color="auto"/>
              <w:right w:val="single" w:sz="4" w:space="0" w:color="auto"/>
            </w:tcBorders>
            <w:shd w:val="clear" w:color="000000" w:fill="E6B8B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E6B8B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465" w:type="dxa"/>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313" w:type="dxa"/>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395" w:type="dxa"/>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417" w:type="dxa"/>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1514" w:type="dxa"/>
            <w:tcBorders>
              <w:top w:val="nil"/>
              <w:left w:val="nil"/>
              <w:bottom w:val="single" w:sz="4" w:space="0" w:color="auto"/>
              <w:right w:val="single" w:sz="4" w:space="0" w:color="auto"/>
            </w:tcBorders>
            <w:shd w:val="clear" w:color="000000" w:fill="F4ECBC"/>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up to 0.6 million per year</w:t>
            </w:r>
          </w:p>
        </w:tc>
      </w:tr>
      <w:tr>
        <w:trPr>
          <w:trHeight w:val="588"/>
          <w:jc w:val="center"/>
        </w:trPr>
        <w:tc>
          <w:tcPr>
            <w:tcW w:w="2354" w:type="dxa"/>
            <w:tcBorders>
              <w:top w:val="nil"/>
              <w:left w:val="single" w:sz="4" w:space="0" w:color="auto"/>
              <w:bottom w:val="single" w:sz="4" w:space="0" w:color="auto"/>
              <w:right w:val="single" w:sz="4" w:space="0" w:color="auto"/>
            </w:tcBorders>
            <w:shd w:val="clear" w:color="000000" w:fill="EAEAEA"/>
            <w:vAlign w:val="center"/>
            <w:hideMark/>
          </w:tcPr>
          <w:p>
            <w:pPr>
              <w:spacing w:after="0" w:line="240" w:lineRule="auto"/>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Germany - Africa Strategy + 2 bilateral scientific cooperation programmes</w:t>
            </w:r>
          </w:p>
        </w:tc>
        <w:tc>
          <w:tcPr>
            <w:tcW w:w="0" w:type="auto"/>
            <w:tcBorders>
              <w:top w:val="nil"/>
              <w:left w:val="nil"/>
              <w:bottom w:val="single" w:sz="4" w:space="0" w:color="auto"/>
              <w:right w:val="single" w:sz="4" w:space="0" w:color="auto"/>
            </w:tcBorders>
            <w:shd w:val="clear" w:color="000000" w:fill="E6B8B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E6B8B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465" w:type="dxa"/>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313" w:type="dxa"/>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395" w:type="dxa"/>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417" w:type="dxa"/>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1514" w:type="dxa"/>
            <w:tcBorders>
              <w:top w:val="nil"/>
              <w:left w:val="nil"/>
              <w:bottom w:val="single" w:sz="4" w:space="0" w:color="auto"/>
              <w:right w:val="single" w:sz="4" w:space="0" w:color="auto"/>
            </w:tcBorders>
            <w:shd w:val="clear" w:color="000000" w:fill="F4ECBC"/>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1 million per year</w:t>
            </w:r>
          </w:p>
        </w:tc>
      </w:tr>
      <w:tr>
        <w:trPr>
          <w:trHeight w:val="201"/>
          <w:jc w:val="center"/>
        </w:trPr>
        <w:tc>
          <w:tcPr>
            <w:tcW w:w="2354" w:type="dxa"/>
            <w:tcBorders>
              <w:top w:val="nil"/>
              <w:left w:val="single" w:sz="4" w:space="0" w:color="auto"/>
              <w:bottom w:val="single" w:sz="4" w:space="0" w:color="auto"/>
              <w:right w:val="single" w:sz="4" w:space="0" w:color="auto"/>
            </w:tcBorders>
            <w:shd w:val="clear" w:color="000000" w:fill="EAEAEA"/>
            <w:vAlign w:val="center"/>
            <w:hideMark/>
          </w:tcPr>
          <w:p>
            <w:pPr>
              <w:spacing w:after="0" w:line="240" w:lineRule="auto"/>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Italy – Bilateral programmes</w:t>
            </w:r>
          </w:p>
        </w:tc>
        <w:tc>
          <w:tcPr>
            <w:tcW w:w="0" w:type="auto"/>
            <w:tcBorders>
              <w:top w:val="nil"/>
              <w:left w:val="nil"/>
              <w:bottom w:val="single" w:sz="4" w:space="0" w:color="auto"/>
              <w:right w:val="single" w:sz="4" w:space="0" w:color="auto"/>
            </w:tcBorders>
            <w:shd w:val="clear" w:color="000000" w:fill="E6B8B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E6B8B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465" w:type="dxa"/>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313" w:type="dxa"/>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395" w:type="dxa"/>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417" w:type="dxa"/>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1514" w:type="dxa"/>
            <w:tcBorders>
              <w:top w:val="nil"/>
              <w:left w:val="nil"/>
              <w:bottom w:val="single" w:sz="4" w:space="0" w:color="auto"/>
              <w:right w:val="single" w:sz="4" w:space="0" w:color="auto"/>
            </w:tcBorders>
            <w:shd w:val="clear" w:color="000000" w:fill="F4ECBC"/>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Defined on a yearly basis</w:t>
            </w:r>
          </w:p>
        </w:tc>
      </w:tr>
      <w:tr>
        <w:trPr>
          <w:trHeight w:val="50"/>
          <w:jc w:val="center"/>
        </w:trPr>
        <w:tc>
          <w:tcPr>
            <w:tcW w:w="2354" w:type="dxa"/>
            <w:tcBorders>
              <w:top w:val="nil"/>
              <w:left w:val="single" w:sz="4" w:space="0" w:color="auto"/>
              <w:bottom w:val="single" w:sz="4" w:space="0" w:color="auto"/>
              <w:right w:val="single" w:sz="4" w:space="0" w:color="auto"/>
            </w:tcBorders>
            <w:shd w:val="clear" w:color="000000" w:fill="EAEAEA"/>
            <w:vAlign w:val="center"/>
            <w:hideMark/>
          </w:tcPr>
          <w:p>
            <w:pPr>
              <w:spacing w:after="0" w:line="240" w:lineRule="auto"/>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Portugal – Bilateral call for mobility actions</w:t>
            </w:r>
          </w:p>
        </w:tc>
        <w:tc>
          <w:tcPr>
            <w:tcW w:w="0" w:type="auto"/>
            <w:tcBorders>
              <w:top w:val="nil"/>
              <w:left w:val="nil"/>
              <w:bottom w:val="single" w:sz="4" w:space="0" w:color="auto"/>
              <w:right w:val="single" w:sz="4" w:space="0" w:color="auto"/>
            </w:tcBorders>
            <w:shd w:val="clear" w:color="000000" w:fill="E6B8B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E6B8B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465" w:type="dxa"/>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313" w:type="dxa"/>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395" w:type="dxa"/>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417" w:type="dxa"/>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1514" w:type="dxa"/>
            <w:tcBorders>
              <w:top w:val="nil"/>
              <w:left w:val="nil"/>
              <w:bottom w:val="single" w:sz="4" w:space="0" w:color="auto"/>
              <w:right w:val="single" w:sz="4" w:space="0" w:color="auto"/>
            </w:tcBorders>
            <w:shd w:val="clear" w:color="000000" w:fill="F4ECBC"/>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6,000 per year</w:t>
            </w:r>
          </w:p>
        </w:tc>
      </w:tr>
      <w:tr>
        <w:trPr>
          <w:trHeight w:val="157"/>
          <w:jc w:val="center"/>
        </w:trPr>
        <w:tc>
          <w:tcPr>
            <w:tcW w:w="2354" w:type="dxa"/>
            <w:tcBorders>
              <w:top w:val="nil"/>
              <w:left w:val="single" w:sz="4" w:space="0" w:color="auto"/>
              <w:bottom w:val="single" w:sz="4" w:space="0" w:color="auto"/>
              <w:right w:val="single" w:sz="4" w:space="0" w:color="auto"/>
            </w:tcBorders>
            <w:shd w:val="clear" w:color="000000" w:fill="EAEAEA"/>
            <w:vAlign w:val="center"/>
            <w:hideMark/>
          </w:tcPr>
          <w:p>
            <w:pPr>
              <w:spacing w:after="0" w:line="240" w:lineRule="auto"/>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Spain – Bilateral programmes</w:t>
            </w:r>
          </w:p>
        </w:tc>
        <w:tc>
          <w:tcPr>
            <w:tcW w:w="0" w:type="auto"/>
            <w:tcBorders>
              <w:top w:val="nil"/>
              <w:left w:val="nil"/>
              <w:bottom w:val="single" w:sz="4" w:space="0" w:color="auto"/>
              <w:right w:val="single" w:sz="4" w:space="0" w:color="auto"/>
            </w:tcBorders>
            <w:shd w:val="clear" w:color="000000" w:fill="E6B8B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E6B8B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C5D9F1"/>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X</w:t>
            </w:r>
          </w:p>
        </w:tc>
        <w:tc>
          <w:tcPr>
            <w:tcW w:w="0" w:type="auto"/>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 </w:t>
            </w:r>
          </w:p>
        </w:tc>
        <w:tc>
          <w:tcPr>
            <w:tcW w:w="465" w:type="dxa"/>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313" w:type="dxa"/>
            <w:tcBorders>
              <w:top w:val="nil"/>
              <w:left w:val="nil"/>
              <w:bottom w:val="single" w:sz="4" w:space="0" w:color="auto"/>
              <w:right w:val="single" w:sz="4" w:space="0" w:color="auto"/>
            </w:tcBorders>
            <w:shd w:val="clear" w:color="000000" w:fill="B1A0C7"/>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395" w:type="dxa"/>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X</w:t>
            </w:r>
          </w:p>
        </w:tc>
        <w:tc>
          <w:tcPr>
            <w:tcW w:w="0" w:type="auto"/>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0" w:type="auto"/>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417" w:type="dxa"/>
            <w:tcBorders>
              <w:top w:val="nil"/>
              <w:left w:val="nil"/>
              <w:bottom w:val="single" w:sz="4" w:space="0" w:color="auto"/>
              <w:right w:val="single" w:sz="4" w:space="0" w:color="auto"/>
            </w:tcBorders>
            <w:shd w:val="clear" w:color="000000" w:fill="D8E4BC"/>
            <w:noWrap/>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 </w:t>
            </w:r>
          </w:p>
        </w:tc>
        <w:tc>
          <w:tcPr>
            <w:tcW w:w="1514" w:type="dxa"/>
            <w:tcBorders>
              <w:top w:val="nil"/>
              <w:left w:val="nil"/>
              <w:bottom w:val="single" w:sz="4" w:space="0" w:color="auto"/>
              <w:right w:val="single" w:sz="4" w:space="0" w:color="auto"/>
            </w:tcBorders>
            <w:shd w:val="clear" w:color="000000" w:fill="F4ECBC"/>
            <w:vAlign w:val="center"/>
            <w:hideMark/>
          </w:tcPr>
          <w:p>
            <w:pPr>
              <w:spacing w:after="0" w:line="240" w:lineRule="auto"/>
              <w:jc w:val="center"/>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according to national schemes</w:t>
            </w:r>
          </w:p>
        </w:tc>
      </w:tr>
    </w:tbl>
    <w:p>
      <w:pPr>
        <w:rPr>
          <w:rFonts w:ascii="Times New Roman" w:hAnsi="Times New Roman"/>
          <w:b/>
          <w:noProof/>
        </w:rPr>
      </w:pPr>
      <w:r>
        <w:rPr>
          <w:rFonts w:ascii="Times New Roman" w:hAnsi="Times New Roman"/>
          <w:b/>
          <w:noProof/>
        </w:rPr>
        <w:t>Table 1: Synoptic table of the main programmes of scientific and technological collaboration in areas to be addressed by the PRIMA Joint Programme</w:t>
      </w:r>
    </w:p>
    <w:p>
      <w:pPr>
        <w:rPr>
          <w:rFonts w:ascii="Times New Roman" w:hAnsi="Times New Roman"/>
          <w:noProof/>
        </w:rPr>
      </w:pPr>
      <w:r>
        <w:rPr>
          <w:rFonts w:ascii="Times New Roman" w:hAnsi="Times New Roman"/>
          <w:noProof/>
        </w:rPr>
        <w:t>The details of the identified programmes between EU Member States and third countries related to PRIMA Joint Programme are reported are tables 2 and 3.</w:t>
      </w:r>
    </w:p>
    <w:tbl>
      <w:tblPr>
        <w:tblStyle w:val="LightList-Accent1"/>
        <w:tblW w:w="0" w:type="auto"/>
        <w:jc w:val="center"/>
        <w:tblLook w:val="04A0" w:firstRow="1" w:lastRow="0" w:firstColumn="1" w:lastColumn="0" w:noHBand="0" w:noVBand="1"/>
      </w:tblPr>
      <w:tblGrid>
        <w:gridCol w:w="1242"/>
        <w:gridCol w:w="8044"/>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86" w:type="dxa"/>
            <w:gridSpan w:val="2"/>
            <w:tcBorders>
              <w:top w:val="single" w:sz="8" w:space="0" w:color="4F81BD" w:themeColor="accent1"/>
              <w:bottom w:val="single" w:sz="8" w:space="0" w:color="4F81BD" w:themeColor="accent1"/>
            </w:tcBorders>
          </w:tcPr>
          <w:p>
            <w:pPr>
              <w:spacing w:beforeLines="40" w:before="96" w:afterLines="40" w:after="96" w:line="240" w:lineRule="auto"/>
              <w:jc w:val="both"/>
              <w:rPr>
                <w:rFonts w:ascii="Times New Roman" w:hAnsi="Times New Roman"/>
                <w:noProof/>
              </w:rPr>
            </w:pPr>
            <w:r>
              <w:rPr>
                <w:rFonts w:ascii="Times New Roman" w:hAnsi="Times New Roman"/>
                <w:noProof/>
              </w:rPr>
              <w:t>The European Neighbourhood Programme for Agriculture and Rural Development (ENPARD)</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Borders>
              <w:bottom w:val="single" w:sz="4" w:space="0" w:color="4F81BD" w:themeColor="accent1"/>
              <w:right w:val="single" w:sz="4" w:space="0" w:color="4F81BD" w:themeColor="accent1"/>
            </w:tcBorders>
          </w:tcPr>
          <w:p>
            <w:pPr>
              <w:spacing w:beforeLines="40" w:before="96" w:afterLines="40" w:after="96" w:line="240" w:lineRule="auto"/>
              <w:jc w:val="both"/>
              <w:rPr>
                <w:rFonts w:ascii="Times New Roman" w:hAnsi="Times New Roman"/>
                <w:noProof/>
              </w:rPr>
            </w:pPr>
            <w:r>
              <w:rPr>
                <w:rFonts w:ascii="Times New Roman" w:hAnsi="Times New Roman"/>
                <w:noProof/>
              </w:rPr>
              <w:t xml:space="preserve">Countries </w:t>
            </w:r>
          </w:p>
        </w:tc>
        <w:tc>
          <w:tcPr>
            <w:tcW w:w="8044" w:type="dxa"/>
            <w:tcBorders>
              <w:left w:val="single" w:sz="4" w:space="0" w:color="4F81BD" w:themeColor="accent1"/>
              <w:bottom w:val="single" w:sz="4" w:space="0" w:color="4F81BD" w:themeColor="accent1"/>
            </w:tcBorders>
          </w:tcPr>
          <w:p>
            <w:pPr>
              <w:spacing w:beforeLines="40" w:before="96" w:afterLines="40" w:after="96"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lang w:val="it-IT"/>
              </w:rPr>
            </w:pPr>
            <w:r>
              <w:rPr>
                <w:rFonts w:ascii="Times New Roman" w:hAnsi="Times New Roman"/>
                <w:noProof/>
                <w:lang w:val="it-IT"/>
              </w:rPr>
              <w:t>Algeria, Egypt, Jordan, Lebanon, Morocco, Tunisia</w:t>
            </w:r>
          </w:p>
        </w:tc>
      </w:tr>
      <w:tr>
        <w:trPr>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jc w:val="both"/>
              <w:rPr>
                <w:rFonts w:ascii="Times New Roman" w:hAnsi="Times New Roman"/>
                <w:noProof/>
              </w:rPr>
            </w:pPr>
            <w:r>
              <w:rPr>
                <w:rFonts w:ascii="Times New Roman" w:hAnsi="Times New Roman"/>
                <w:noProof/>
              </w:rPr>
              <w:t>Focus</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rural livelihoods; agricultural productivity, food safety and quality standards; organisational and institutional capacities – national multi-annual programmes – no demonstration</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jc w:val="both"/>
              <w:rPr>
                <w:rFonts w:ascii="Times New Roman" w:hAnsi="Times New Roman"/>
                <w:noProof/>
              </w:rPr>
            </w:pPr>
            <w:r>
              <w:rPr>
                <w:rFonts w:ascii="Times New Roman" w:hAnsi="Times New Roman"/>
                <w:noProof/>
              </w:rPr>
              <w:t>Budget</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4 million €</w:t>
            </w:r>
          </w:p>
        </w:tc>
      </w:tr>
      <w:tr>
        <w:trPr>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jc w:val="both"/>
              <w:rPr>
                <w:rFonts w:ascii="Times New Roman" w:hAnsi="Times New Roman"/>
                <w:noProof/>
              </w:rPr>
            </w:pPr>
            <w:r>
              <w:rPr>
                <w:rFonts w:ascii="Times New Roman" w:hAnsi="Times New Roman"/>
                <w:noProof/>
              </w:rPr>
              <w:t>Duration</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 xml:space="preserve">2015-2020 </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86" w:type="dxa"/>
            <w:gridSpan w:val="2"/>
            <w:tcBorders>
              <w:top w:val="single" w:sz="4" w:space="0" w:color="4F81BD" w:themeColor="accent1"/>
              <w:bottom w:val="single" w:sz="4" w:space="0" w:color="4F81BD" w:themeColor="accent1"/>
            </w:tcBorders>
            <w:shd w:val="clear" w:color="auto" w:fill="4F81BD" w:themeFill="accent1"/>
          </w:tcPr>
          <w:p>
            <w:pPr>
              <w:tabs>
                <w:tab w:val="left" w:pos="630"/>
              </w:tabs>
              <w:spacing w:beforeLines="40" w:before="96" w:afterLines="40" w:after="96" w:line="240" w:lineRule="auto"/>
              <w:jc w:val="both"/>
              <w:rPr>
                <w:rFonts w:ascii="Times New Roman" w:hAnsi="Times New Roman"/>
                <w:noProof/>
              </w:rPr>
            </w:pPr>
            <w:r>
              <w:rPr>
                <w:rFonts w:ascii="Times New Roman" w:hAnsi="Times New Roman"/>
                <w:noProof/>
                <w:color w:val="FFFFFF" w:themeColor="background1"/>
              </w:rPr>
              <w:t>ENI: Cross-Border Co-operation (CBC) – Mediterranean Sea Basin Programme</w:t>
            </w:r>
          </w:p>
        </w:tc>
      </w:tr>
      <w:tr>
        <w:trPr>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jc w:val="both"/>
              <w:rPr>
                <w:rFonts w:ascii="Times New Roman" w:hAnsi="Times New Roman"/>
                <w:noProof/>
              </w:rPr>
            </w:pPr>
            <w:r>
              <w:rPr>
                <w:rFonts w:ascii="Times New Roman" w:hAnsi="Times New Roman"/>
                <w:noProof/>
              </w:rPr>
              <w:t>Countries</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 xml:space="preserve">Algeria, Cyprus, Egypt, France, Greece, Israel, Italy, Jordan, Lebanon, Libya, Malta, Morocco, Palestine, Portugal, Spain, Syria, Tunisia, Turkey, United Kingdom (Gibraltar) </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jc w:val="both"/>
              <w:rPr>
                <w:rFonts w:ascii="Times New Roman" w:hAnsi="Times New Roman"/>
                <w:noProof/>
              </w:rPr>
            </w:pPr>
            <w:r>
              <w:rPr>
                <w:rFonts w:ascii="Times New Roman" w:hAnsi="Times New Roman"/>
                <w:noProof/>
              </w:rPr>
              <w:t>Focus</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environmental protection and climate change adaptation and mitigation, water management – strengthening the linkages between research and industry – demonstration</w:t>
            </w:r>
          </w:p>
        </w:tc>
      </w:tr>
      <w:tr>
        <w:trPr>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jc w:val="both"/>
              <w:rPr>
                <w:rFonts w:ascii="Times New Roman" w:hAnsi="Times New Roman"/>
                <w:noProof/>
              </w:rPr>
            </w:pPr>
            <w:r>
              <w:rPr>
                <w:rFonts w:ascii="Times New Roman" w:hAnsi="Times New Roman"/>
                <w:noProof/>
              </w:rPr>
              <w:t>Budget</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 xml:space="preserve">over 209 million € </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jc w:val="both"/>
              <w:rPr>
                <w:rFonts w:ascii="Times New Roman" w:hAnsi="Times New Roman"/>
                <w:noProof/>
              </w:rPr>
            </w:pPr>
            <w:r>
              <w:rPr>
                <w:rFonts w:ascii="Times New Roman" w:hAnsi="Times New Roman"/>
                <w:noProof/>
              </w:rPr>
              <w:t>Duration</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2014-2020</w:t>
            </w:r>
          </w:p>
        </w:tc>
      </w:tr>
      <w:tr>
        <w:trPr>
          <w:jc w:val="center"/>
        </w:trPr>
        <w:tc>
          <w:tcPr>
            <w:cnfStyle w:val="001000000000" w:firstRow="0" w:lastRow="0" w:firstColumn="1" w:lastColumn="0" w:oddVBand="0" w:evenVBand="0" w:oddHBand="0" w:evenHBand="0" w:firstRowFirstColumn="0" w:firstRowLastColumn="0" w:lastRowFirstColumn="0" w:lastRowLastColumn="0"/>
            <w:tcW w:w="9286" w:type="dxa"/>
            <w:gridSpan w:val="2"/>
            <w:tcBorders>
              <w:top w:val="single" w:sz="4" w:space="0" w:color="4F81BD" w:themeColor="accent1"/>
              <w:bottom w:val="single" w:sz="4" w:space="0" w:color="4F81BD" w:themeColor="accent1"/>
            </w:tcBorders>
            <w:shd w:val="clear" w:color="auto" w:fill="4F81BD" w:themeFill="accent1"/>
          </w:tcPr>
          <w:p>
            <w:pPr>
              <w:spacing w:beforeLines="40" w:before="96" w:afterLines="40" w:after="96" w:line="240" w:lineRule="auto"/>
              <w:jc w:val="both"/>
              <w:rPr>
                <w:rFonts w:ascii="Times New Roman" w:hAnsi="Times New Roman"/>
                <w:noProof/>
                <w:color w:val="FFFFFF" w:themeColor="background1"/>
              </w:rPr>
            </w:pPr>
            <w:r>
              <w:rPr>
                <w:rFonts w:ascii="Times New Roman" w:hAnsi="Times New Roman"/>
                <w:noProof/>
                <w:color w:val="FFFFFF" w:themeColor="background1"/>
              </w:rPr>
              <w:t>ENPI: SWIM (Sustainable Water Integrated Management)  + H2020 Supporting Mechanism (Phase II) and SWIM DEMOS II</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jc w:val="both"/>
              <w:rPr>
                <w:rFonts w:ascii="Times New Roman" w:hAnsi="Times New Roman"/>
                <w:noProof/>
              </w:rPr>
            </w:pPr>
            <w:r>
              <w:rPr>
                <w:rFonts w:ascii="Times New Roman" w:hAnsi="Times New Roman"/>
                <w:noProof/>
              </w:rPr>
              <w:t>Countries</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Algeria, Egypt, Israel, Jordan, Lebanon, Libya, Morocco, Palestine, Syria, Tunisia</w:t>
            </w:r>
          </w:p>
        </w:tc>
      </w:tr>
      <w:tr>
        <w:trPr>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jc w:val="both"/>
              <w:rPr>
                <w:rFonts w:ascii="Times New Roman" w:hAnsi="Times New Roman"/>
                <w:noProof/>
              </w:rPr>
            </w:pPr>
            <w:r>
              <w:rPr>
                <w:rFonts w:ascii="Times New Roman" w:hAnsi="Times New Roman"/>
                <w:noProof/>
              </w:rPr>
              <w:t>Focus</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 xml:space="preserve">Contribute to reduced marine pollution and a more sustainable use of scarce water resources; water co-operation, river basin management, water demand management, the water-energy-food-security nexus, broad stakeholder participation and open access to data – demonstration </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jc w:val="both"/>
              <w:rPr>
                <w:rFonts w:ascii="Times New Roman" w:hAnsi="Times New Roman"/>
                <w:noProof/>
              </w:rPr>
            </w:pPr>
            <w:r>
              <w:rPr>
                <w:rFonts w:ascii="Times New Roman" w:hAnsi="Times New Roman"/>
                <w:noProof/>
              </w:rPr>
              <w:t>Budget</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18 million €</w:t>
            </w:r>
          </w:p>
        </w:tc>
      </w:tr>
      <w:tr>
        <w:trPr>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jc w:val="both"/>
              <w:rPr>
                <w:rFonts w:ascii="Times New Roman" w:hAnsi="Times New Roman"/>
                <w:noProof/>
              </w:rPr>
            </w:pPr>
            <w:r>
              <w:rPr>
                <w:rFonts w:ascii="Times New Roman" w:hAnsi="Times New Roman"/>
                <w:noProof/>
              </w:rPr>
              <w:t>Duration</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until January 2019</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86" w:type="dxa"/>
            <w:gridSpan w:val="2"/>
            <w:tcBorders>
              <w:top w:val="single" w:sz="4" w:space="0" w:color="4F81BD" w:themeColor="accent1"/>
              <w:bottom w:val="single" w:sz="4" w:space="0" w:color="4F81BD" w:themeColor="accent1"/>
            </w:tcBorders>
            <w:shd w:val="clear" w:color="auto" w:fill="4F81BD" w:themeFill="accent1"/>
          </w:tcPr>
          <w:p>
            <w:pPr>
              <w:spacing w:beforeLines="40" w:before="96" w:afterLines="40" w:after="96" w:line="240" w:lineRule="auto"/>
              <w:jc w:val="both"/>
              <w:rPr>
                <w:rFonts w:ascii="Times New Roman" w:hAnsi="Times New Roman"/>
                <w:noProof/>
                <w:color w:val="FFFFFF" w:themeColor="background1"/>
                <w:lang w:val="fr-BE"/>
              </w:rPr>
            </w:pPr>
            <w:r>
              <w:rPr>
                <w:rFonts w:ascii="Times New Roman" w:hAnsi="Times New Roman"/>
                <w:noProof/>
                <w:color w:val="FFFFFF" w:themeColor="background1"/>
                <w:lang w:val="fr-BE"/>
              </w:rPr>
              <w:t>ENPI</w:t>
            </w:r>
            <w:r>
              <w:rPr>
                <w:rFonts w:ascii="Times New Roman" w:hAnsi="Times New Roman"/>
                <w:noProof/>
                <w:color w:val="FFFFFF" w:themeColor="background1"/>
                <w:lang w:val="fr-BE"/>
              </w:rPr>
              <w:tab/>
              <w:t>SWITCH</w:t>
            </w:r>
            <w:r>
              <w:rPr>
                <w:rFonts w:ascii="Cambria Math" w:hAnsi="Cambria Math" w:cs="Cambria Math"/>
                <w:noProof/>
                <w:color w:val="FFFFFF" w:themeColor="background1"/>
                <w:lang w:val="fr-BE"/>
              </w:rPr>
              <w:t>‐</w:t>
            </w:r>
            <w:r>
              <w:rPr>
                <w:rFonts w:ascii="Times New Roman" w:hAnsi="Times New Roman"/>
                <w:noProof/>
                <w:color w:val="FFFFFF" w:themeColor="background1"/>
                <w:lang w:val="fr-BE"/>
              </w:rPr>
              <w:t>Med Programme</w:t>
            </w:r>
          </w:p>
        </w:tc>
      </w:tr>
      <w:tr>
        <w:trPr>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jc w:val="both"/>
              <w:rPr>
                <w:rFonts w:ascii="Times New Roman" w:hAnsi="Times New Roman"/>
                <w:noProof/>
              </w:rPr>
            </w:pPr>
            <w:r>
              <w:rPr>
                <w:rFonts w:ascii="Times New Roman" w:hAnsi="Times New Roman"/>
                <w:noProof/>
              </w:rPr>
              <w:t>Countries</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Algeria, Egypt, Israel, Jordan, Lebanon, Libya, Morocco, Palestine, Syria, Tunisia</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jc w:val="both"/>
              <w:rPr>
                <w:rFonts w:ascii="Times New Roman" w:hAnsi="Times New Roman"/>
                <w:noProof/>
              </w:rPr>
            </w:pPr>
            <w:r>
              <w:rPr>
                <w:rFonts w:ascii="Times New Roman" w:hAnsi="Times New Roman"/>
                <w:noProof/>
              </w:rPr>
              <w:t>Focus</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sustainable consumption and production patterns – policy support – demonstration</w:t>
            </w:r>
          </w:p>
        </w:tc>
      </w:tr>
      <w:tr>
        <w:trPr>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jc w:val="both"/>
              <w:rPr>
                <w:rFonts w:ascii="Times New Roman" w:hAnsi="Times New Roman"/>
                <w:noProof/>
              </w:rPr>
            </w:pPr>
            <w:r>
              <w:rPr>
                <w:rFonts w:ascii="Times New Roman" w:hAnsi="Times New Roman"/>
                <w:noProof/>
              </w:rPr>
              <w:t>Budget</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20 million €</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jc w:val="both"/>
              <w:rPr>
                <w:rFonts w:ascii="Times New Roman" w:hAnsi="Times New Roman"/>
                <w:noProof/>
              </w:rPr>
            </w:pPr>
            <w:r>
              <w:rPr>
                <w:rFonts w:ascii="Times New Roman" w:hAnsi="Times New Roman"/>
                <w:noProof/>
              </w:rPr>
              <w:t>Duration</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2012-2015</w:t>
            </w:r>
          </w:p>
        </w:tc>
      </w:tr>
      <w:tr>
        <w:trPr>
          <w:jc w:val="center"/>
        </w:trPr>
        <w:tc>
          <w:tcPr>
            <w:cnfStyle w:val="001000000000" w:firstRow="0" w:lastRow="0" w:firstColumn="1" w:lastColumn="0" w:oddVBand="0" w:evenVBand="0" w:oddHBand="0" w:evenHBand="0" w:firstRowFirstColumn="0" w:firstRowLastColumn="0" w:lastRowFirstColumn="0" w:lastRowLastColumn="0"/>
            <w:tcW w:w="9286" w:type="dxa"/>
            <w:gridSpan w:val="2"/>
            <w:tcBorders>
              <w:top w:val="single" w:sz="4" w:space="0" w:color="4F81BD" w:themeColor="accent1"/>
              <w:bottom w:val="single" w:sz="4" w:space="0" w:color="4F81BD" w:themeColor="accent1"/>
            </w:tcBorders>
            <w:shd w:val="clear" w:color="auto" w:fill="4F81BD" w:themeFill="accent1"/>
          </w:tcPr>
          <w:p>
            <w:pPr>
              <w:spacing w:beforeLines="40" w:before="96" w:afterLines="40" w:after="96" w:line="240" w:lineRule="auto"/>
              <w:jc w:val="both"/>
              <w:rPr>
                <w:rFonts w:ascii="Times New Roman" w:hAnsi="Times New Roman"/>
                <w:b w:val="0"/>
                <w:noProof/>
                <w:color w:val="FFFFFF" w:themeColor="background1"/>
                <w:lang w:val="fr-BE"/>
              </w:rPr>
            </w:pPr>
            <w:r>
              <w:rPr>
                <w:rFonts w:ascii="Times New Roman" w:hAnsi="Times New Roman"/>
                <w:noProof/>
                <w:color w:val="FFFFFF" w:themeColor="background1"/>
                <w:lang w:val="fr-BE"/>
              </w:rPr>
              <w:t>Programmes d'Appui aux Politiques Sectorielles (PAPS)</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jc w:val="both"/>
              <w:rPr>
                <w:rFonts w:ascii="Times New Roman" w:hAnsi="Times New Roman"/>
                <w:noProof/>
              </w:rPr>
            </w:pPr>
            <w:r>
              <w:rPr>
                <w:rFonts w:ascii="Times New Roman" w:hAnsi="Times New Roman"/>
                <w:noProof/>
              </w:rPr>
              <w:t>Countries</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Algeria, Egypt, Morocco, Tunisia</w:t>
            </w:r>
          </w:p>
        </w:tc>
      </w:tr>
      <w:tr>
        <w:trPr>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jc w:val="both"/>
              <w:rPr>
                <w:rFonts w:ascii="Times New Roman" w:hAnsi="Times New Roman"/>
                <w:noProof/>
              </w:rPr>
            </w:pPr>
            <w:r>
              <w:rPr>
                <w:rFonts w:ascii="Times New Roman" w:hAnsi="Times New Roman"/>
                <w:noProof/>
              </w:rPr>
              <w:t>Focus</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different policies, including water management, environment and research</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jc w:val="both"/>
              <w:rPr>
                <w:rFonts w:ascii="Times New Roman" w:hAnsi="Times New Roman"/>
                <w:noProof/>
              </w:rPr>
            </w:pPr>
            <w:r>
              <w:rPr>
                <w:rFonts w:ascii="Times New Roman" w:hAnsi="Times New Roman"/>
                <w:noProof/>
              </w:rPr>
              <w:t>Budget</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 xml:space="preserve">e.g. 34 million € for the Environment PAPS Algeria </w:t>
            </w:r>
          </w:p>
        </w:tc>
      </w:tr>
      <w:tr>
        <w:trPr>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jc w:val="both"/>
              <w:rPr>
                <w:rFonts w:ascii="Times New Roman" w:hAnsi="Times New Roman"/>
                <w:noProof/>
              </w:rPr>
            </w:pPr>
            <w:r>
              <w:rPr>
                <w:rFonts w:ascii="Times New Roman" w:hAnsi="Times New Roman"/>
                <w:noProof/>
              </w:rPr>
              <w:t>Duration</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e.g. 2012-2016 for the Environment PAPS Algeria</w:t>
            </w:r>
          </w:p>
        </w:tc>
      </w:tr>
      <w:tr>
        <w:tblPrEx>
          <w:tblBorders>
            <w:insideH w:val="single" w:sz="4" w:space="0" w:color="1F497D" w:themeColor="text2"/>
            <w:insideV w:val="single" w:sz="4" w:space="0" w:color="1F497D" w:themeColor="text2"/>
          </w:tblBorders>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86" w:type="dxa"/>
            <w:gridSpan w:val="2"/>
            <w:tcBorders>
              <w:top w:val="single" w:sz="4" w:space="0" w:color="4F81BD" w:themeColor="accent1"/>
              <w:bottom w:val="single" w:sz="4" w:space="0" w:color="4F81BD" w:themeColor="accent1"/>
            </w:tcBorders>
            <w:shd w:val="clear" w:color="auto" w:fill="4F81BD" w:themeFill="accent1"/>
          </w:tcPr>
          <w:p>
            <w:pPr>
              <w:spacing w:beforeLines="40" w:before="96" w:afterLines="40" w:after="96" w:line="240" w:lineRule="auto"/>
              <w:jc w:val="both"/>
              <w:rPr>
                <w:rFonts w:ascii="Times New Roman" w:hAnsi="Times New Roman"/>
                <w:b w:val="0"/>
                <w:noProof/>
                <w:color w:val="FFFFFF" w:themeColor="background1"/>
              </w:rPr>
            </w:pPr>
            <w:r>
              <w:rPr>
                <w:rFonts w:ascii="Times New Roman" w:hAnsi="Times New Roman"/>
                <w:noProof/>
                <w:color w:val="FFFFFF" w:themeColor="background1"/>
              </w:rPr>
              <w:t>EU-Africa R&amp;I Partnership on Food and Nutrition Security and Sustainable Agriculture</w:t>
            </w:r>
          </w:p>
        </w:tc>
      </w:tr>
      <w:tr>
        <w:tblPrEx>
          <w:tblBorders>
            <w:insideH w:val="single" w:sz="4" w:space="0" w:color="1F497D" w:themeColor="text2"/>
            <w:insideV w:val="single" w:sz="4" w:space="0" w:color="1F497D" w:themeColor="text2"/>
          </w:tblBorders>
        </w:tblPrEx>
        <w:trPr>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jc w:val="both"/>
              <w:rPr>
                <w:rFonts w:ascii="Times New Roman" w:hAnsi="Times New Roman"/>
                <w:noProof/>
              </w:rPr>
            </w:pPr>
            <w:r>
              <w:rPr>
                <w:rFonts w:ascii="Times New Roman" w:hAnsi="Times New Roman"/>
                <w:noProof/>
              </w:rPr>
              <w:t>Countries</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EU-Africa (including Algeria, Egypt, and Tunisia)</w:t>
            </w:r>
          </w:p>
        </w:tc>
      </w:tr>
      <w:tr>
        <w:tblPrEx>
          <w:tblBorders>
            <w:insideH w:val="single" w:sz="4" w:space="0" w:color="1F497D" w:themeColor="text2"/>
            <w:insideV w:val="single" w:sz="4" w:space="0" w:color="1F497D" w:themeColor="text2"/>
          </w:tblBorders>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jc w:val="both"/>
              <w:rPr>
                <w:rFonts w:ascii="Times New Roman" w:hAnsi="Times New Roman"/>
                <w:noProof/>
              </w:rPr>
            </w:pPr>
            <w:r>
              <w:rPr>
                <w:rFonts w:ascii="Times New Roman" w:hAnsi="Times New Roman"/>
                <w:noProof/>
              </w:rPr>
              <w:t>Focus</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food and nutrition security and sustainable agriculture</w:t>
            </w:r>
          </w:p>
        </w:tc>
      </w:tr>
      <w:tr>
        <w:tblPrEx>
          <w:tblBorders>
            <w:insideH w:val="single" w:sz="4" w:space="0" w:color="1F497D" w:themeColor="text2"/>
            <w:insideV w:val="single" w:sz="4" w:space="0" w:color="1F497D" w:themeColor="text2"/>
          </w:tblBorders>
        </w:tblPrEx>
        <w:trPr>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jc w:val="both"/>
              <w:rPr>
                <w:rFonts w:ascii="Times New Roman" w:hAnsi="Times New Roman"/>
                <w:noProof/>
              </w:rPr>
            </w:pPr>
            <w:r>
              <w:rPr>
                <w:rFonts w:ascii="Times New Roman" w:hAnsi="Times New Roman"/>
                <w:noProof/>
              </w:rPr>
              <w:t>Budget</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70 million € between 2014 and 2017</w:t>
            </w:r>
          </w:p>
        </w:tc>
      </w:tr>
      <w:tr>
        <w:tblPrEx>
          <w:tblBorders>
            <w:insideH w:val="single" w:sz="4" w:space="0" w:color="1F497D" w:themeColor="text2"/>
            <w:insideV w:val="single" w:sz="4" w:space="0" w:color="1F497D" w:themeColor="text2"/>
          </w:tblBorders>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jc w:val="both"/>
              <w:rPr>
                <w:rFonts w:ascii="Times New Roman" w:hAnsi="Times New Roman"/>
                <w:noProof/>
              </w:rPr>
            </w:pPr>
            <w:r>
              <w:rPr>
                <w:rFonts w:ascii="Times New Roman" w:hAnsi="Times New Roman"/>
                <w:noProof/>
              </w:rPr>
              <w:t>Duration</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complete establishment between 2018 and 2020, with an operational life well beyond 2020</w:t>
            </w:r>
          </w:p>
        </w:tc>
      </w:tr>
      <w:tr>
        <w:tblPrEx>
          <w:tblBorders>
            <w:insideH w:val="single" w:sz="4" w:space="0" w:color="1F497D" w:themeColor="text2"/>
            <w:insideV w:val="single" w:sz="4" w:space="0" w:color="1F497D" w:themeColor="text2"/>
          </w:tblBorders>
        </w:tblPrEx>
        <w:trPr>
          <w:jc w:val="center"/>
        </w:trPr>
        <w:tc>
          <w:tcPr>
            <w:cnfStyle w:val="001000000000" w:firstRow="0" w:lastRow="0" w:firstColumn="1" w:lastColumn="0" w:oddVBand="0" w:evenVBand="0" w:oddHBand="0" w:evenHBand="0" w:firstRowFirstColumn="0" w:firstRowLastColumn="0" w:lastRowFirstColumn="0" w:lastRowLastColumn="0"/>
            <w:tcW w:w="9286" w:type="dxa"/>
            <w:gridSpan w:val="2"/>
            <w:tcBorders>
              <w:top w:val="single" w:sz="4" w:space="0" w:color="4F81BD" w:themeColor="accent1"/>
              <w:bottom w:val="single" w:sz="4" w:space="0" w:color="4F81BD" w:themeColor="accent1"/>
            </w:tcBorders>
            <w:shd w:val="clear" w:color="auto" w:fill="4F81BD" w:themeFill="accent1"/>
          </w:tcPr>
          <w:p>
            <w:pPr>
              <w:spacing w:beforeLines="40" w:before="96" w:afterLines="40" w:after="96" w:line="240" w:lineRule="auto"/>
              <w:jc w:val="both"/>
              <w:rPr>
                <w:rFonts w:ascii="Times New Roman" w:hAnsi="Times New Roman"/>
                <w:b w:val="0"/>
                <w:noProof/>
                <w:color w:val="FFFFFF" w:themeColor="background1"/>
                <w:lang w:val="fr-BE"/>
              </w:rPr>
            </w:pPr>
            <w:r>
              <w:rPr>
                <w:rFonts w:ascii="Times New Roman" w:hAnsi="Times New Roman"/>
                <w:noProof/>
                <w:color w:val="FFFFFF" w:themeColor="background1"/>
                <w:lang w:val="fr-BE"/>
              </w:rPr>
              <w:t xml:space="preserve">The Nexus Dialogue EU Programme </w:t>
            </w:r>
          </w:p>
        </w:tc>
      </w:tr>
      <w:tr>
        <w:tblPrEx>
          <w:tblBorders>
            <w:insideH w:val="single" w:sz="4" w:space="0" w:color="1F497D" w:themeColor="text2"/>
            <w:insideV w:val="single" w:sz="4" w:space="0" w:color="1F497D" w:themeColor="text2"/>
          </w:tblBorders>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jc w:val="both"/>
              <w:rPr>
                <w:rFonts w:ascii="Times New Roman" w:hAnsi="Times New Roman"/>
                <w:noProof/>
              </w:rPr>
            </w:pPr>
            <w:r>
              <w:rPr>
                <w:rFonts w:ascii="Times New Roman" w:hAnsi="Times New Roman"/>
                <w:noProof/>
              </w:rPr>
              <w:t>Countries</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EU, Africa (Nile, Niger and SADC), Latin America (Andean Region), Asia (Mekong Area), Central Asia (Aral Sea region), Neighbourhood (with particular focus on the Mediterranean region)</w:t>
            </w:r>
          </w:p>
        </w:tc>
      </w:tr>
      <w:tr>
        <w:tblPrEx>
          <w:tblBorders>
            <w:insideH w:val="single" w:sz="4" w:space="0" w:color="1F497D" w:themeColor="text2"/>
            <w:insideV w:val="single" w:sz="4" w:space="0" w:color="1F497D" w:themeColor="text2"/>
          </w:tblBorders>
        </w:tblPrEx>
        <w:trPr>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jc w:val="both"/>
              <w:rPr>
                <w:rFonts w:ascii="Times New Roman" w:hAnsi="Times New Roman"/>
                <w:noProof/>
              </w:rPr>
            </w:pPr>
            <w:r>
              <w:rPr>
                <w:rFonts w:ascii="Times New Roman" w:hAnsi="Times New Roman"/>
                <w:noProof/>
              </w:rPr>
              <w:t>Focus</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water-energy-food nexus: policy recommendations and action plans, small pilot projects, human capacity development</w:t>
            </w:r>
          </w:p>
        </w:tc>
      </w:tr>
      <w:tr>
        <w:tblPrEx>
          <w:tblBorders>
            <w:insideH w:val="single" w:sz="4" w:space="0" w:color="1F497D" w:themeColor="text2"/>
            <w:insideV w:val="single" w:sz="4" w:space="0" w:color="1F497D" w:themeColor="text2"/>
          </w:tblBorders>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jc w:val="both"/>
              <w:rPr>
                <w:rFonts w:ascii="Times New Roman" w:hAnsi="Times New Roman"/>
                <w:noProof/>
              </w:rPr>
            </w:pPr>
            <w:r>
              <w:rPr>
                <w:rFonts w:ascii="Times New Roman" w:hAnsi="Times New Roman"/>
                <w:noProof/>
              </w:rPr>
              <w:t>Budget</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6.17 million €</w:t>
            </w:r>
          </w:p>
        </w:tc>
      </w:tr>
      <w:tr>
        <w:tblPrEx>
          <w:tblBorders>
            <w:insideH w:val="single" w:sz="4" w:space="0" w:color="1F497D" w:themeColor="text2"/>
            <w:insideV w:val="single" w:sz="4" w:space="0" w:color="1F497D" w:themeColor="text2"/>
          </w:tblBorders>
        </w:tblPrEx>
        <w:trPr>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8" w:space="0" w:color="4F81BD" w:themeColor="accent1"/>
              <w:right w:val="single" w:sz="4" w:space="0" w:color="4F81BD" w:themeColor="accent1"/>
            </w:tcBorders>
          </w:tcPr>
          <w:p>
            <w:pPr>
              <w:spacing w:beforeLines="40" w:before="96" w:afterLines="40" w:after="96" w:line="240" w:lineRule="auto"/>
              <w:jc w:val="both"/>
              <w:rPr>
                <w:rFonts w:ascii="Times New Roman" w:hAnsi="Times New Roman"/>
                <w:noProof/>
              </w:rPr>
            </w:pPr>
            <w:r>
              <w:rPr>
                <w:rFonts w:ascii="Times New Roman" w:hAnsi="Times New Roman"/>
                <w:noProof/>
              </w:rPr>
              <w:t>Duration</w:t>
            </w:r>
          </w:p>
        </w:tc>
        <w:tc>
          <w:tcPr>
            <w:tcW w:w="8044" w:type="dxa"/>
            <w:tcBorders>
              <w:top w:val="single" w:sz="4" w:space="0" w:color="4F81BD" w:themeColor="accent1"/>
              <w:left w:val="single" w:sz="4" w:space="0" w:color="4F81BD" w:themeColor="accent1"/>
              <w:bottom w:val="single" w:sz="8" w:space="0" w:color="4F81BD" w:themeColor="accent1"/>
            </w:tcBorders>
          </w:tcPr>
          <w:p>
            <w:pPr>
              <w:spacing w:beforeLines="40" w:before="96" w:afterLines="40" w:after="96"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2016-2018 (Phase I)</w:t>
            </w:r>
          </w:p>
        </w:tc>
      </w:tr>
    </w:tbl>
    <w:p>
      <w:pPr>
        <w:rPr>
          <w:rFonts w:ascii="Times New Roman" w:hAnsi="Times New Roman"/>
          <w:b/>
          <w:noProof/>
        </w:rPr>
      </w:pPr>
      <w:r>
        <w:rPr>
          <w:rFonts w:ascii="Times New Roman" w:hAnsi="Times New Roman"/>
          <w:b/>
          <w:noProof/>
        </w:rPr>
        <w:t>Table 2: Multi-lateral Programmes involving EU Member States and Third Countries</w:t>
      </w:r>
    </w:p>
    <w:p>
      <w:pPr>
        <w:rPr>
          <w:noProof/>
        </w:rPr>
      </w:pPr>
    </w:p>
    <w:tbl>
      <w:tblPr>
        <w:tblStyle w:val="LightList-Accent1"/>
        <w:tblW w:w="0" w:type="auto"/>
        <w:jc w:val="center"/>
        <w:tblBorders>
          <w:insideH w:val="single" w:sz="4" w:space="0" w:color="4F81BD" w:themeColor="accent1"/>
          <w:insideV w:val="single" w:sz="4" w:space="0" w:color="1F497D" w:themeColor="text2"/>
        </w:tblBorders>
        <w:tblLook w:val="04A0" w:firstRow="1" w:lastRow="0" w:firstColumn="1" w:lastColumn="0" w:noHBand="0" w:noVBand="1"/>
      </w:tblPr>
      <w:tblGrid>
        <w:gridCol w:w="1242"/>
        <w:gridCol w:w="8044"/>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86" w:type="dxa"/>
            <w:gridSpan w:val="2"/>
          </w:tcPr>
          <w:p>
            <w:pPr>
              <w:spacing w:beforeLines="40" w:before="96" w:afterLines="40" w:after="96" w:line="240" w:lineRule="auto"/>
              <w:rPr>
                <w:rFonts w:ascii="Times New Roman" w:hAnsi="Times New Roman"/>
                <w:noProof/>
              </w:rPr>
            </w:pPr>
            <w:r>
              <w:rPr>
                <w:rFonts w:ascii="Times New Roman" w:hAnsi="Times New Roman"/>
                <w:noProof/>
              </w:rPr>
              <w:t>Czech Republic – Israel Industrial R&amp;D Cooperation Framework</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left w:val="none" w:sz="0" w:space="0" w:color="auto"/>
              <w:bottom w:val="single" w:sz="4" w:space="0" w:color="4F81BD" w:themeColor="accent1"/>
              <w:right w:val="single" w:sz="4" w:space="0" w:color="4F81BD" w:themeColor="accent1"/>
            </w:tcBorders>
            <w:shd w:val="clear" w:color="auto" w:fill="auto"/>
          </w:tcPr>
          <w:p>
            <w:pPr>
              <w:spacing w:beforeLines="40" w:before="96" w:afterLines="40" w:after="96" w:line="240" w:lineRule="auto"/>
              <w:rPr>
                <w:rFonts w:ascii="Times New Roman" w:hAnsi="Times New Roman"/>
                <w:noProof/>
              </w:rPr>
            </w:pPr>
            <w:r>
              <w:rPr>
                <w:rFonts w:ascii="Times New Roman" w:hAnsi="Times New Roman"/>
                <w:noProof/>
              </w:rPr>
              <w:t>Countries</w:t>
            </w:r>
          </w:p>
        </w:tc>
        <w:tc>
          <w:tcPr>
            <w:tcW w:w="8044" w:type="dxa"/>
            <w:tcBorders>
              <w:top w:val="none" w:sz="0" w:space="0" w:color="auto"/>
              <w:left w:val="single" w:sz="4" w:space="0" w:color="4F81BD" w:themeColor="accent1"/>
              <w:bottom w:val="none" w:sz="0" w:space="0" w:color="auto"/>
              <w:right w:val="none" w:sz="0" w:space="0" w:color="auto"/>
            </w:tcBorders>
            <w:shd w:val="clear" w:color="auto" w:fill="auto"/>
          </w:tcPr>
          <w:p>
            <w:pPr>
              <w:spacing w:beforeLines="40" w:before="96" w:afterLines="40" w:after="96"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Israel</w:t>
            </w:r>
          </w:p>
        </w:tc>
      </w:tr>
      <w:tr>
        <w:trPr>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jc w:val="both"/>
              <w:rPr>
                <w:rFonts w:ascii="Times New Roman" w:hAnsi="Times New Roman"/>
                <w:noProof/>
              </w:rPr>
            </w:pPr>
            <w:r>
              <w:rPr>
                <w:rFonts w:ascii="Times New Roman" w:hAnsi="Times New Roman"/>
                <w:noProof/>
              </w:rPr>
              <w:t>Focus</w:t>
            </w:r>
          </w:p>
        </w:tc>
        <w:tc>
          <w:tcPr>
            <w:tcW w:w="8044" w:type="dxa"/>
            <w:tcBorders>
              <w:left w:val="single" w:sz="4" w:space="0" w:color="4F81BD" w:themeColor="accent1"/>
            </w:tcBorders>
          </w:tcPr>
          <w:p>
            <w:pPr>
              <w:spacing w:beforeLines="40" w:before="96" w:afterLines="40" w:after="96"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The program supports joint commercially-focused joint industrial R&amp;D projects between Israeli and Czech companies in all technological fields</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left w:val="none" w:sz="0" w:space="0" w:color="auto"/>
              <w:bottom w:val="single" w:sz="4" w:space="0" w:color="4F81BD" w:themeColor="accent1"/>
              <w:right w:val="single" w:sz="4" w:space="0" w:color="4F81BD" w:themeColor="accent1"/>
            </w:tcBorders>
          </w:tcPr>
          <w:p>
            <w:pPr>
              <w:spacing w:beforeLines="40" w:before="96" w:afterLines="40" w:after="96" w:line="240" w:lineRule="auto"/>
              <w:rPr>
                <w:rFonts w:ascii="Times New Roman" w:hAnsi="Times New Roman"/>
                <w:noProof/>
              </w:rPr>
            </w:pPr>
            <w:r>
              <w:rPr>
                <w:rFonts w:ascii="Times New Roman" w:hAnsi="Times New Roman"/>
                <w:noProof/>
              </w:rPr>
              <w:t>Budget</w:t>
            </w:r>
          </w:p>
        </w:tc>
        <w:tc>
          <w:tcPr>
            <w:tcW w:w="8044" w:type="dxa"/>
            <w:tcBorders>
              <w:top w:val="none" w:sz="0" w:space="0" w:color="auto"/>
              <w:left w:val="single" w:sz="4" w:space="0" w:color="4F81BD" w:themeColor="accent1"/>
              <w:bottom w:val="none" w:sz="0" w:space="0" w:color="auto"/>
              <w:right w:val="none" w:sz="0" w:space="0" w:color="auto"/>
            </w:tcBorders>
          </w:tcPr>
          <w:p>
            <w:pPr>
              <w:spacing w:beforeLines="40" w:before="96" w:afterLines="40" w:after="96"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n.a.</w:t>
            </w:r>
          </w:p>
        </w:tc>
      </w:tr>
      <w:tr>
        <w:trPr>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rPr>
                <w:rFonts w:ascii="Times New Roman" w:hAnsi="Times New Roman"/>
                <w:noProof/>
              </w:rPr>
            </w:pPr>
            <w:r>
              <w:rPr>
                <w:rFonts w:ascii="Times New Roman" w:hAnsi="Times New Roman"/>
                <w:noProof/>
              </w:rPr>
              <w:t>Duration</w:t>
            </w:r>
          </w:p>
        </w:tc>
        <w:tc>
          <w:tcPr>
            <w:tcW w:w="8044" w:type="dxa"/>
            <w:tcBorders>
              <w:left w:val="single" w:sz="4" w:space="0" w:color="4F81BD" w:themeColor="accent1"/>
            </w:tcBorders>
          </w:tcPr>
          <w:p>
            <w:pPr>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On-going</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86" w:type="dxa"/>
            <w:gridSpan w:val="2"/>
            <w:tcBorders>
              <w:top w:val="single" w:sz="4" w:space="0" w:color="4F81BD" w:themeColor="accent1"/>
              <w:bottom w:val="single" w:sz="4" w:space="0" w:color="4F81BD" w:themeColor="accent1"/>
              <w:right w:val="single" w:sz="4" w:space="0" w:color="4F81BD" w:themeColor="accent1"/>
            </w:tcBorders>
            <w:shd w:val="clear" w:color="auto" w:fill="4F81BD" w:themeFill="accent1"/>
          </w:tcPr>
          <w:p>
            <w:pPr>
              <w:spacing w:beforeLines="40" w:before="96" w:afterLines="40" w:after="96" w:line="240" w:lineRule="auto"/>
              <w:rPr>
                <w:rFonts w:ascii="Times New Roman" w:hAnsi="Times New Roman"/>
                <w:b w:val="0"/>
                <w:noProof/>
                <w:color w:val="FFFFFF" w:themeColor="background1"/>
              </w:rPr>
            </w:pPr>
            <w:r>
              <w:rPr>
                <w:rFonts w:ascii="Times New Roman" w:hAnsi="Times New Roman"/>
                <w:noProof/>
                <w:color w:val="FFFFFF" w:themeColor="background1"/>
                <w:lang w:val="fr-BE"/>
              </w:rPr>
              <w:t xml:space="preserve">France – 6 Partenariats Hubert Curien +  1 </w:t>
            </w:r>
            <w:r>
              <w:rPr>
                <w:rFonts w:ascii="Times New Roman" w:eastAsia="Times New Roman" w:hAnsi="Times New Roman"/>
                <w:noProof/>
                <w:color w:val="FFFFFF" w:themeColor="background1"/>
                <w:lang w:eastAsia="en-GB"/>
              </w:rPr>
              <w:t>Bilateral Scientific Cooperation Programmes with Israel</w:t>
            </w:r>
          </w:p>
        </w:tc>
      </w:tr>
      <w:tr>
        <w:trPr>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rPr>
                <w:rFonts w:ascii="Times New Roman" w:hAnsi="Times New Roman"/>
                <w:noProof/>
              </w:rPr>
            </w:pPr>
            <w:r>
              <w:rPr>
                <w:rFonts w:ascii="Times New Roman" w:hAnsi="Times New Roman"/>
                <w:noProof/>
              </w:rPr>
              <w:t>Countries</w:t>
            </w:r>
          </w:p>
        </w:tc>
        <w:tc>
          <w:tcPr>
            <w:tcW w:w="8044" w:type="dxa"/>
            <w:tcBorders>
              <w:left w:val="single" w:sz="4" w:space="0" w:color="4F81BD" w:themeColor="accent1"/>
            </w:tcBorders>
          </w:tcPr>
          <w:p>
            <w:pPr>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Algeria, Egypt, Lebanon, Morocco, Tunisia, Turkey + Israel</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left w:val="none" w:sz="0" w:space="0" w:color="auto"/>
              <w:bottom w:val="single" w:sz="4" w:space="0" w:color="4F81BD" w:themeColor="accent1"/>
              <w:right w:val="single" w:sz="4" w:space="0" w:color="4F81BD" w:themeColor="accent1"/>
            </w:tcBorders>
          </w:tcPr>
          <w:p>
            <w:pPr>
              <w:spacing w:beforeLines="40" w:before="96" w:afterLines="40" w:after="96" w:line="240" w:lineRule="auto"/>
              <w:rPr>
                <w:rFonts w:ascii="Times New Roman" w:hAnsi="Times New Roman"/>
                <w:noProof/>
              </w:rPr>
            </w:pPr>
            <w:r>
              <w:rPr>
                <w:rFonts w:ascii="Times New Roman" w:hAnsi="Times New Roman"/>
                <w:noProof/>
              </w:rPr>
              <w:t>Focus</w:t>
            </w:r>
          </w:p>
        </w:tc>
        <w:tc>
          <w:tcPr>
            <w:tcW w:w="8044" w:type="dxa"/>
            <w:tcBorders>
              <w:top w:val="none" w:sz="0" w:space="0" w:color="auto"/>
              <w:left w:val="single" w:sz="4" w:space="0" w:color="4F81BD" w:themeColor="accent1"/>
              <w:bottom w:val="none" w:sz="0" w:space="0" w:color="auto"/>
              <w:right w:val="none" w:sz="0" w:space="0" w:color="auto"/>
            </w:tcBorders>
          </w:tcPr>
          <w:p>
            <w:pPr>
              <w:spacing w:beforeLines="40" w:before="96" w:afterLines="40" w:after="96"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 mobility of researchers in the frame of projects only generally relevant to PRIMA, e.g. sustainable development, social sciences, environment, health (Partenariats Hubert Curien)</w:t>
            </w:r>
          </w:p>
          <w:p>
            <w:pPr>
              <w:spacing w:beforeLines="40" w:before="96" w:afterLines="40" w:after="96"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- 2014 call: R&amp;D collaboration between French and Israeli companies interested in jointly developing and commercializing new, innovative products, applications or services (Israel)</w:t>
            </w:r>
          </w:p>
        </w:tc>
      </w:tr>
      <w:tr>
        <w:trPr>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rPr>
                <w:rFonts w:ascii="Times New Roman" w:hAnsi="Times New Roman"/>
                <w:noProof/>
              </w:rPr>
            </w:pPr>
            <w:r>
              <w:rPr>
                <w:rFonts w:ascii="Times New Roman" w:hAnsi="Times New Roman"/>
                <w:noProof/>
              </w:rPr>
              <w:t>Budget</w:t>
            </w:r>
          </w:p>
        </w:tc>
        <w:tc>
          <w:tcPr>
            <w:tcW w:w="8044" w:type="dxa"/>
            <w:tcBorders>
              <w:left w:val="single" w:sz="4" w:space="0" w:color="4F81BD" w:themeColor="accent1"/>
            </w:tcBorders>
          </w:tcPr>
          <w:p>
            <w:pPr>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- 58,000 € /year - 610,000 € /year (Partenariats Hubert Curien)</w:t>
            </w:r>
          </w:p>
          <w:p>
            <w:pPr>
              <w:spacing w:beforeLines="40" w:before="96" w:afterLines="40" w:after="96"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 Funding depends on national schemes and  whether the project meets the technical and economic evaluation criteria (Israel)</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left w:val="none" w:sz="0" w:space="0" w:color="auto"/>
              <w:bottom w:val="single" w:sz="4" w:space="0" w:color="4F81BD" w:themeColor="accent1"/>
              <w:right w:val="single" w:sz="4" w:space="0" w:color="4F81BD" w:themeColor="accent1"/>
            </w:tcBorders>
          </w:tcPr>
          <w:p>
            <w:pPr>
              <w:spacing w:beforeLines="40" w:before="96" w:afterLines="40" w:after="96" w:line="240" w:lineRule="auto"/>
              <w:rPr>
                <w:rFonts w:ascii="Times New Roman" w:hAnsi="Times New Roman"/>
                <w:noProof/>
              </w:rPr>
            </w:pPr>
            <w:r>
              <w:rPr>
                <w:rFonts w:ascii="Times New Roman" w:hAnsi="Times New Roman"/>
                <w:noProof/>
              </w:rPr>
              <w:t>Duration</w:t>
            </w:r>
          </w:p>
        </w:tc>
        <w:tc>
          <w:tcPr>
            <w:tcW w:w="8044" w:type="dxa"/>
            <w:tcBorders>
              <w:top w:val="none" w:sz="0" w:space="0" w:color="auto"/>
              <w:left w:val="single" w:sz="4" w:space="0" w:color="4F81BD" w:themeColor="accent1"/>
              <w:bottom w:val="none" w:sz="0" w:space="0" w:color="auto"/>
              <w:right w:val="none" w:sz="0" w:space="0" w:color="auto"/>
            </w:tcBorders>
          </w:tcPr>
          <w:p>
            <w:pPr>
              <w:spacing w:beforeLines="40" w:before="96" w:afterLines="40" w:after="96"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On-going</w:t>
            </w:r>
          </w:p>
        </w:tc>
      </w:tr>
      <w:tr>
        <w:trPr>
          <w:jc w:val="center"/>
        </w:trPr>
        <w:tc>
          <w:tcPr>
            <w:cnfStyle w:val="001000000000" w:firstRow="0" w:lastRow="0" w:firstColumn="1" w:lastColumn="0" w:oddVBand="0" w:evenVBand="0" w:oddHBand="0" w:evenHBand="0" w:firstRowFirstColumn="0" w:firstRowLastColumn="0" w:lastRowFirstColumn="0" w:lastRowLastColumn="0"/>
            <w:tcW w:w="9286" w:type="dxa"/>
            <w:gridSpan w:val="2"/>
            <w:tcBorders>
              <w:top w:val="single" w:sz="4" w:space="0" w:color="4F81BD" w:themeColor="accent1"/>
              <w:bottom w:val="single" w:sz="4" w:space="0" w:color="4F81BD" w:themeColor="accent1"/>
              <w:right w:val="single" w:sz="4" w:space="0" w:color="4F81BD" w:themeColor="accent1"/>
            </w:tcBorders>
            <w:shd w:val="clear" w:color="auto" w:fill="4F81BD" w:themeFill="accent1"/>
          </w:tcPr>
          <w:p>
            <w:pPr>
              <w:spacing w:beforeLines="40" w:before="96" w:afterLines="40" w:after="96" w:line="240" w:lineRule="auto"/>
              <w:rPr>
                <w:rFonts w:ascii="Times New Roman" w:hAnsi="Times New Roman"/>
                <w:b w:val="0"/>
                <w:noProof/>
                <w:color w:val="FFFFFF" w:themeColor="background1"/>
              </w:rPr>
            </w:pPr>
            <w:r>
              <w:rPr>
                <w:rFonts w:ascii="Times New Roman" w:eastAsia="Times New Roman" w:hAnsi="Times New Roman"/>
                <w:noProof/>
                <w:color w:val="FFFFFF" w:themeColor="background1"/>
                <w:lang w:eastAsia="en-GB"/>
              </w:rPr>
              <w:t>GERMANY – The Africa Strategy + 3 Bilateral Scientific Cooperation Programmes</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rPr>
                <w:rFonts w:ascii="Times New Roman" w:hAnsi="Times New Roman"/>
                <w:noProof/>
              </w:rPr>
            </w:pPr>
            <w:r>
              <w:rPr>
                <w:rFonts w:ascii="Times New Roman" w:hAnsi="Times New Roman"/>
                <w:noProof/>
              </w:rPr>
              <w:t>Countries</w:t>
            </w:r>
          </w:p>
        </w:tc>
        <w:tc>
          <w:tcPr>
            <w:tcW w:w="8044" w:type="dxa"/>
            <w:tcBorders>
              <w:left w:val="single" w:sz="4" w:space="0" w:color="4F81BD" w:themeColor="accent1"/>
              <w:bottom w:val="single" w:sz="4" w:space="0" w:color="4F81BD" w:themeColor="accent1"/>
            </w:tcBorders>
          </w:tcPr>
          <w:p>
            <w:pPr>
              <w:spacing w:beforeLines="40" w:before="96" w:afterLines="40" w:after="96"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 xml:space="preserve">Algeria, Egypt, Tunisia+ Israel, Jordan, Palestine, </w:t>
            </w:r>
          </w:p>
        </w:tc>
      </w:tr>
      <w:tr>
        <w:trPr>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rPr>
                <w:rFonts w:ascii="Times New Roman" w:hAnsi="Times New Roman"/>
                <w:noProof/>
              </w:rPr>
            </w:pPr>
            <w:r>
              <w:rPr>
                <w:rFonts w:ascii="Times New Roman" w:hAnsi="Times New Roman"/>
                <w:noProof/>
              </w:rPr>
              <w:t>Focus</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water, water technology, agricultural science, natural resources management and climate change (Algeria, Israel, Jordan and Palestine)</w:t>
            </w:r>
          </w:p>
          <w:p>
            <w:pPr>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Food security, climate change, water and renewable energy (Egypt)</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rPr>
                <w:rFonts w:ascii="Times New Roman" w:hAnsi="Times New Roman"/>
                <w:noProof/>
              </w:rPr>
            </w:pPr>
            <w:r>
              <w:rPr>
                <w:rFonts w:ascii="Times New Roman" w:hAnsi="Times New Roman"/>
                <w:noProof/>
              </w:rPr>
              <w:t>Budget</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1 million € /year per side</w:t>
            </w:r>
          </w:p>
        </w:tc>
      </w:tr>
      <w:tr>
        <w:trPr>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rPr>
                <w:rFonts w:ascii="Times New Roman" w:hAnsi="Times New Roman"/>
                <w:noProof/>
              </w:rPr>
            </w:pPr>
            <w:r>
              <w:rPr>
                <w:rFonts w:ascii="Times New Roman" w:hAnsi="Times New Roman"/>
                <w:noProof/>
              </w:rPr>
              <w:t>Duration</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On-going</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86" w:type="dxa"/>
            <w:gridSpan w:val="2"/>
            <w:tcBorders>
              <w:top w:val="single" w:sz="4" w:space="0" w:color="4F81BD" w:themeColor="accent1"/>
              <w:bottom w:val="single" w:sz="4" w:space="0" w:color="4F81BD" w:themeColor="accent1"/>
              <w:right w:val="single" w:sz="4" w:space="0" w:color="4F81BD" w:themeColor="accent1"/>
            </w:tcBorders>
            <w:shd w:val="clear" w:color="auto" w:fill="4F81BD" w:themeFill="accent1"/>
          </w:tcPr>
          <w:p>
            <w:pPr>
              <w:spacing w:beforeLines="40" w:before="96" w:afterLines="40" w:after="96" w:line="240" w:lineRule="auto"/>
              <w:rPr>
                <w:rFonts w:ascii="Times New Roman" w:hAnsi="Times New Roman"/>
                <w:b w:val="0"/>
                <w:noProof/>
                <w:color w:val="FFFFFF" w:themeColor="background1"/>
              </w:rPr>
            </w:pPr>
            <w:r>
              <w:rPr>
                <w:rFonts w:ascii="Times New Roman" w:eastAsia="Times New Roman" w:hAnsi="Times New Roman"/>
                <w:noProof/>
                <w:color w:val="FFFFFF" w:themeColor="background1"/>
                <w:lang w:eastAsia="en-GB"/>
              </w:rPr>
              <w:t>ITALY – 2  Bilateral Agreement &amp; Cooperative Programmes</w:t>
            </w:r>
          </w:p>
        </w:tc>
      </w:tr>
      <w:tr>
        <w:trPr>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rPr>
                <w:rFonts w:ascii="Times New Roman" w:hAnsi="Times New Roman"/>
                <w:noProof/>
              </w:rPr>
            </w:pPr>
            <w:r>
              <w:rPr>
                <w:rFonts w:ascii="Times New Roman" w:hAnsi="Times New Roman"/>
                <w:noProof/>
              </w:rPr>
              <w:t>Countries</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lang w:val="it-IT"/>
              </w:rPr>
            </w:pPr>
            <w:r>
              <w:rPr>
                <w:rFonts w:ascii="Times New Roman" w:hAnsi="Times New Roman"/>
                <w:noProof/>
              </w:rPr>
              <w:t>Lebanon, Israel</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rPr>
                <w:rFonts w:ascii="Times New Roman" w:hAnsi="Times New Roman"/>
                <w:noProof/>
              </w:rPr>
            </w:pPr>
            <w:r>
              <w:rPr>
                <w:rFonts w:ascii="Times New Roman" w:hAnsi="Times New Roman"/>
                <w:noProof/>
              </w:rPr>
              <w:t>Focus</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Topics of the 2015 call for proposals: marine sciences &amp; biodiversity, management of natural resources, renewable energy, food security, archaeology and water (Lebanon)</w:t>
            </w:r>
          </w:p>
          <w:p>
            <w:pPr>
              <w:autoSpaceDE w:val="0"/>
              <w:autoSpaceDN w:val="0"/>
              <w:adjustRightInd w:val="0"/>
              <w:spacing w:beforeLines="40" w:before="96" w:afterLines="40" w:after="96"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Areas of the 2016 "Industrial Track" call for proposals: any other area of mutual interest, including  agriculture and food science, environment and water treatment, innovation in production processes (Israel).</w:t>
            </w:r>
          </w:p>
        </w:tc>
      </w:tr>
      <w:tr>
        <w:trPr>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rPr>
                <w:rFonts w:ascii="Times New Roman" w:hAnsi="Times New Roman"/>
                <w:noProof/>
              </w:rPr>
            </w:pPr>
            <w:r>
              <w:rPr>
                <w:rFonts w:ascii="Times New Roman" w:hAnsi="Times New Roman"/>
                <w:noProof/>
              </w:rPr>
              <w:t>Budget</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Funding availability to be set each year covering mobility costs (50-70%) and implementation costs (50-305): to date, there have been three successful calls for proposals, and a total of 12 projects have been funded (4 completed and 8 on-going) – Lebanon</w:t>
            </w:r>
          </w:p>
          <w:p>
            <w:pPr>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Each project that is selected can be financed up to 50% of the documented and eligible costs of research and development and depends on national schemes- Israel</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rPr>
                <w:rFonts w:ascii="Times New Roman" w:hAnsi="Times New Roman"/>
                <w:noProof/>
              </w:rPr>
            </w:pPr>
            <w:r>
              <w:rPr>
                <w:rFonts w:ascii="Times New Roman" w:hAnsi="Times New Roman"/>
                <w:noProof/>
              </w:rPr>
              <w:t>Duration</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On-going since 2011</w:t>
            </w:r>
          </w:p>
        </w:tc>
      </w:tr>
      <w:tr>
        <w:trPr>
          <w:jc w:val="center"/>
        </w:trPr>
        <w:tc>
          <w:tcPr>
            <w:cnfStyle w:val="001000000000" w:firstRow="0" w:lastRow="0" w:firstColumn="1" w:lastColumn="0" w:oddVBand="0" w:evenVBand="0" w:oddHBand="0" w:evenHBand="0" w:firstRowFirstColumn="0" w:firstRowLastColumn="0" w:lastRowFirstColumn="0" w:lastRowLastColumn="0"/>
            <w:tcW w:w="9286" w:type="dxa"/>
            <w:gridSpan w:val="2"/>
            <w:tcBorders>
              <w:top w:val="single" w:sz="4" w:space="0" w:color="4F81BD" w:themeColor="accent1"/>
              <w:bottom w:val="single" w:sz="4" w:space="0" w:color="4F81BD" w:themeColor="accent1"/>
              <w:right w:val="single" w:sz="4" w:space="0" w:color="4F81BD" w:themeColor="accent1"/>
            </w:tcBorders>
            <w:shd w:val="clear" w:color="auto" w:fill="4F81BD" w:themeFill="accent1"/>
          </w:tcPr>
          <w:p>
            <w:pPr>
              <w:spacing w:beforeLines="40" w:before="96" w:afterLines="40" w:after="96" w:line="240" w:lineRule="auto"/>
              <w:rPr>
                <w:rFonts w:ascii="Times New Roman" w:hAnsi="Times New Roman"/>
                <w:b w:val="0"/>
                <w:noProof/>
                <w:color w:val="FFFFFF" w:themeColor="background1"/>
              </w:rPr>
            </w:pPr>
            <w:r>
              <w:rPr>
                <w:rFonts w:ascii="Times New Roman" w:eastAsia="Times New Roman" w:hAnsi="Times New Roman"/>
                <w:noProof/>
                <w:color w:val="FFFFFF" w:themeColor="background1"/>
                <w:lang w:eastAsia="en-GB"/>
              </w:rPr>
              <w:t>PORTUGAL Bilateral call for mobility actions</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left w:val="none" w:sz="0" w:space="0" w:color="auto"/>
              <w:bottom w:val="single" w:sz="4" w:space="0" w:color="4F81BD" w:themeColor="accent1"/>
              <w:right w:val="single" w:sz="4" w:space="0" w:color="4F81BD" w:themeColor="accent1"/>
            </w:tcBorders>
          </w:tcPr>
          <w:p>
            <w:pPr>
              <w:spacing w:beforeLines="40" w:before="96" w:afterLines="40" w:after="96" w:line="240" w:lineRule="auto"/>
              <w:rPr>
                <w:rFonts w:ascii="Times New Roman" w:hAnsi="Times New Roman"/>
                <w:noProof/>
              </w:rPr>
            </w:pPr>
            <w:r>
              <w:rPr>
                <w:rFonts w:ascii="Times New Roman" w:hAnsi="Times New Roman"/>
                <w:noProof/>
              </w:rPr>
              <w:t>Countries</w:t>
            </w:r>
          </w:p>
        </w:tc>
        <w:tc>
          <w:tcPr>
            <w:tcW w:w="8044" w:type="dxa"/>
            <w:tcBorders>
              <w:top w:val="single" w:sz="4" w:space="0" w:color="4F81BD" w:themeColor="accent1"/>
              <w:left w:val="single" w:sz="4" w:space="0" w:color="4F81BD" w:themeColor="accent1"/>
              <w:bottom w:val="single" w:sz="4" w:space="0" w:color="4F81BD" w:themeColor="accent1"/>
              <w:right w:val="none" w:sz="0" w:space="0" w:color="auto"/>
            </w:tcBorders>
          </w:tcPr>
          <w:p>
            <w:pPr>
              <w:spacing w:beforeLines="40" w:before="96" w:afterLines="40" w:after="96"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Tunisia</w:t>
            </w:r>
          </w:p>
        </w:tc>
      </w:tr>
      <w:tr>
        <w:trPr>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rPr>
                <w:rFonts w:ascii="Times New Roman" w:hAnsi="Times New Roman"/>
                <w:noProof/>
              </w:rPr>
            </w:pPr>
            <w:r>
              <w:rPr>
                <w:rFonts w:ascii="Times New Roman" w:hAnsi="Times New Roman"/>
                <w:noProof/>
              </w:rPr>
              <w:t>Focus</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mobility of researchers in the frame of projects only generally relevant to PRIMA</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left w:val="none" w:sz="0" w:space="0" w:color="auto"/>
              <w:bottom w:val="single" w:sz="4" w:space="0" w:color="4F81BD" w:themeColor="accent1"/>
              <w:right w:val="single" w:sz="4" w:space="0" w:color="4F81BD" w:themeColor="accent1"/>
            </w:tcBorders>
          </w:tcPr>
          <w:p>
            <w:pPr>
              <w:spacing w:beforeLines="40" w:before="96" w:afterLines="40" w:after="96" w:line="240" w:lineRule="auto"/>
              <w:rPr>
                <w:rFonts w:ascii="Times New Roman" w:hAnsi="Times New Roman"/>
                <w:noProof/>
              </w:rPr>
            </w:pPr>
            <w:r>
              <w:rPr>
                <w:rFonts w:ascii="Times New Roman" w:hAnsi="Times New Roman"/>
                <w:noProof/>
              </w:rPr>
              <w:t>Budget</w:t>
            </w:r>
          </w:p>
        </w:tc>
        <w:tc>
          <w:tcPr>
            <w:tcW w:w="8044" w:type="dxa"/>
            <w:tcBorders>
              <w:top w:val="single" w:sz="4" w:space="0" w:color="4F81BD" w:themeColor="accent1"/>
              <w:left w:val="single" w:sz="4" w:space="0" w:color="4F81BD" w:themeColor="accent1"/>
              <w:bottom w:val="single" w:sz="4" w:space="0" w:color="4F81BD" w:themeColor="accent1"/>
              <w:right w:val="none" w:sz="0" w:space="0" w:color="auto"/>
            </w:tcBorders>
          </w:tcPr>
          <w:p>
            <w:pPr>
              <w:spacing w:beforeLines="40" w:before="96" w:afterLines="40" w:after="96"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6,000 € /year</w:t>
            </w:r>
          </w:p>
        </w:tc>
      </w:tr>
      <w:tr>
        <w:trPr>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rPr>
                <w:rFonts w:ascii="Times New Roman" w:hAnsi="Times New Roman"/>
                <w:noProof/>
              </w:rPr>
            </w:pPr>
            <w:r>
              <w:rPr>
                <w:rFonts w:ascii="Times New Roman" w:hAnsi="Times New Roman"/>
                <w:noProof/>
              </w:rPr>
              <w:t>Duration</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On-going since 2013</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86" w:type="dxa"/>
            <w:gridSpan w:val="2"/>
            <w:tcBorders>
              <w:top w:val="single" w:sz="4" w:space="0" w:color="4F81BD" w:themeColor="accent1"/>
              <w:left w:val="none" w:sz="0" w:space="0" w:color="auto"/>
              <w:bottom w:val="single" w:sz="4" w:space="0" w:color="4F81BD" w:themeColor="accent1"/>
              <w:right w:val="single" w:sz="4" w:space="0" w:color="4F81BD" w:themeColor="accent1"/>
            </w:tcBorders>
            <w:shd w:val="clear" w:color="auto" w:fill="4F81BD" w:themeFill="accent1"/>
          </w:tcPr>
          <w:p>
            <w:pPr>
              <w:spacing w:beforeLines="40" w:before="96" w:afterLines="40" w:after="96" w:line="240" w:lineRule="auto"/>
              <w:rPr>
                <w:rFonts w:ascii="Times New Roman" w:hAnsi="Times New Roman"/>
                <w:b w:val="0"/>
                <w:noProof/>
                <w:color w:val="FFFFFF" w:themeColor="background1"/>
              </w:rPr>
            </w:pPr>
            <w:r>
              <w:rPr>
                <w:rFonts w:ascii="Times New Roman" w:eastAsia="Times New Roman" w:hAnsi="Times New Roman"/>
                <w:noProof/>
                <w:color w:val="FFFFFF" w:themeColor="background1"/>
                <w:lang w:eastAsia="en-GB"/>
              </w:rPr>
              <w:t>SPAIN –  Bilateral Agreement &amp; Cooperative Programmes</w:t>
            </w:r>
          </w:p>
        </w:tc>
      </w:tr>
      <w:tr>
        <w:trPr>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rPr>
                <w:rFonts w:ascii="Times New Roman" w:hAnsi="Times New Roman"/>
                <w:noProof/>
              </w:rPr>
            </w:pPr>
            <w:r>
              <w:rPr>
                <w:rFonts w:ascii="Times New Roman" w:hAnsi="Times New Roman"/>
                <w:noProof/>
              </w:rPr>
              <w:t>Countries</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Israel</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left w:val="none" w:sz="0" w:space="0" w:color="auto"/>
              <w:bottom w:val="single" w:sz="4" w:space="0" w:color="4F81BD" w:themeColor="accent1"/>
              <w:right w:val="single" w:sz="4" w:space="0" w:color="4F81BD" w:themeColor="accent1"/>
            </w:tcBorders>
          </w:tcPr>
          <w:p>
            <w:pPr>
              <w:spacing w:beforeLines="40" w:before="96" w:afterLines="40" w:after="96" w:line="240" w:lineRule="auto"/>
              <w:rPr>
                <w:rFonts w:ascii="Times New Roman" w:hAnsi="Times New Roman"/>
                <w:noProof/>
              </w:rPr>
            </w:pPr>
            <w:r>
              <w:rPr>
                <w:rFonts w:ascii="Times New Roman" w:hAnsi="Times New Roman"/>
                <w:noProof/>
              </w:rPr>
              <w:t>Focus</w:t>
            </w:r>
          </w:p>
        </w:tc>
        <w:tc>
          <w:tcPr>
            <w:tcW w:w="8044" w:type="dxa"/>
            <w:tcBorders>
              <w:top w:val="single" w:sz="4" w:space="0" w:color="4F81BD" w:themeColor="accent1"/>
              <w:left w:val="single" w:sz="4" w:space="0" w:color="4F81BD" w:themeColor="accent1"/>
              <w:bottom w:val="single" w:sz="4" w:space="0" w:color="4F81BD" w:themeColor="accent1"/>
              <w:right w:val="none" w:sz="0" w:space="0" w:color="auto"/>
            </w:tcBorders>
          </w:tcPr>
          <w:p>
            <w:pPr>
              <w:spacing w:beforeLines="40" w:before="96" w:afterLines="40" w:after="96"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2016 Call for Proposal: developing innovative products and applications in all technological and application areas, with  special focus on agrotechnology, Biotechnology and life sciences, Cleantech (environmental, new energy sources and natural resource use and Water management technologies), ICT, Nanotechnology</w:t>
            </w:r>
          </w:p>
        </w:tc>
      </w:tr>
      <w:tr>
        <w:trPr>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bottom w:val="single" w:sz="4" w:space="0" w:color="4F81BD" w:themeColor="accent1"/>
              <w:right w:val="single" w:sz="4" w:space="0" w:color="4F81BD" w:themeColor="accent1"/>
            </w:tcBorders>
          </w:tcPr>
          <w:p>
            <w:pPr>
              <w:spacing w:beforeLines="40" w:before="96" w:afterLines="40" w:after="96" w:line="240" w:lineRule="auto"/>
              <w:rPr>
                <w:rFonts w:ascii="Times New Roman" w:hAnsi="Times New Roman"/>
                <w:noProof/>
              </w:rPr>
            </w:pPr>
            <w:r>
              <w:rPr>
                <w:rFonts w:ascii="Times New Roman" w:hAnsi="Times New Roman"/>
                <w:noProof/>
              </w:rPr>
              <w:t>Budget</w:t>
            </w:r>
          </w:p>
        </w:tc>
        <w:tc>
          <w:tcPr>
            <w:tcW w:w="8044" w:type="dxa"/>
            <w:tcBorders>
              <w:top w:val="single" w:sz="4" w:space="0" w:color="4F81BD" w:themeColor="accent1"/>
              <w:left w:val="single" w:sz="4" w:space="0" w:color="4F81BD" w:themeColor="accent1"/>
              <w:bottom w:val="single" w:sz="4" w:space="0" w:color="4F81BD" w:themeColor="accent1"/>
            </w:tcBorders>
          </w:tcPr>
          <w:p>
            <w:pPr>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Depends on national schemes</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4F81BD" w:themeColor="accent1"/>
              <w:left w:val="none" w:sz="0" w:space="0" w:color="auto"/>
              <w:right w:val="single" w:sz="4" w:space="0" w:color="4F81BD" w:themeColor="accent1"/>
            </w:tcBorders>
          </w:tcPr>
          <w:p>
            <w:pPr>
              <w:spacing w:beforeLines="40" w:before="96" w:afterLines="40" w:after="96" w:line="240" w:lineRule="auto"/>
              <w:rPr>
                <w:rFonts w:ascii="Times New Roman" w:hAnsi="Times New Roman"/>
                <w:noProof/>
              </w:rPr>
            </w:pPr>
            <w:r>
              <w:rPr>
                <w:rFonts w:ascii="Times New Roman" w:hAnsi="Times New Roman"/>
                <w:noProof/>
              </w:rPr>
              <w:t>Duration</w:t>
            </w:r>
          </w:p>
        </w:tc>
        <w:tc>
          <w:tcPr>
            <w:tcW w:w="8044" w:type="dxa"/>
            <w:tcBorders>
              <w:top w:val="single" w:sz="4" w:space="0" w:color="4F81BD" w:themeColor="accent1"/>
              <w:left w:val="single" w:sz="4" w:space="0" w:color="4F81BD" w:themeColor="accent1"/>
              <w:right w:val="none" w:sz="0" w:space="0" w:color="auto"/>
            </w:tcBorders>
          </w:tcPr>
          <w:p>
            <w:pPr>
              <w:spacing w:beforeLines="40" w:before="96" w:afterLines="40" w:after="96"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Pr>
                <w:rFonts w:ascii="Times New Roman" w:hAnsi="Times New Roman"/>
                <w:noProof/>
              </w:rPr>
              <w:t>On-going</w:t>
            </w:r>
          </w:p>
        </w:tc>
      </w:tr>
    </w:tbl>
    <w:p>
      <w:pPr>
        <w:rPr>
          <w:rFonts w:ascii="Times New Roman" w:hAnsi="Times New Roman"/>
          <w:noProof/>
        </w:rPr>
      </w:pPr>
      <w:r>
        <w:rPr>
          <w:rFonts w:ascii="Times New Roman" w:hAnsi="Times New Roman"/>
          <w:b/>
          <w:noProof/>
        </w:rPr>
        <w:t>Table 3: Bi-lateral Programmes between EU Member States and Third Countries</w:t>
      </w:r>
    </w:p>
    <w:p>
      <w:pPr>
        <w:spacing w:after="0" w:line="240" w:lineRule="auto"/>
        <w:rPr>
          <w:rFonts w:ascii="Times New Roman" w:hAnsi="Times New Roman"/>
          <w:i/>
          <w:noProof/>
          <w:sz w:val="24"/>
          <w:szCs w:val="24"/>
        </w:rPr>
      </w:pPr>
      <w:r>
        <w:rPr>
          <w:rFonts w:ascii="Times New Roman" w:hAnsi="Times New Roman"/>
          <w:i/>
          <w:noProof/>
          <w:sz w:val="24"/>
          <w:szCs w:val="24"/>
        </w:rPr>
        <w:br w:type="page"/>
      </w:r>
    </w:p>
    <w:p>
      <w:pPr>
        <w:pStyle w:val="Heading2"/>
        <w:keepLines w:val="0"/>
        <w:suppressAutoHyphens/>
        <w:spacing w:before="0" w:after="240" w:line="240" w:lineRule="auto"/>
        <w:ind w:left="480"/>
        <w:jc w:val="both"/>
        <w:rPr>
          <w:rFonts w:ascii="Times New Roman" w:hAnsi="Times New Roman"/>
          <w:i/>
          <w:noProof/>
          <w:color w:val="auto"/>
          <w:sz w:val="24"/>
          <w:szCs w:val="24"/>
        </w:rPr>
      </w:pPr>
      <w:bookmarkStart w:id="468" w:name="_Toc455682311"/>
      <w:bookmarkStart w:id="469" w:name="_Toc455682871"/>
      <w:bookmarkStart w:id="470" w:name="_Toc457466104"/>
      <w:r>
        <w:rPr>
          <w:rFonts w:ascii="Times New Roman" w:hAnsi="Times New Roman"/>
          <w:i/>
          <w:noProof/>
          <w:color w:val="auto"/>
          <w:sz w:val="24"/>
          <w:szCs w:val="24"/>
        </w:rPr>
        <w:t>Annex 5 : Analysis of FP7 Projects in the Themes of the PRIMA Operational Objectives</w:t>
      </w:r>
      <w:bookmarkEnd w:id="468"/>
      <w:bookmarkEnd w:id="469"/>
      <w:bookmarkEnd w:id="470"/>
    </w:p>
    <w:p>
      <w:pPr>
        <w:keepNext/>
        <w:numPr>
          <w:ilvl w:val="1"/>
          <w:numId w:val="86"/>
        </w:numPr>
        <w:tabs>
          <w:tab w:val="num" w:pos="1833"/>
        </w:tabs>
        <w:suppressAutoHyphens/>
        <w:spacing w:after="120" w:line="240" w:lineRule="auto"/>
        <w:jc w:val="both"/>
        <w:outlineLvl w:val="2"/>
        <w:rPr>
          <w:rFonts w:ascii="Times New Roman" w:eastAsia="Times New Roman" w:hAnsi="Times New Roman"/>
          <w:i/>
          <w:noProof/>
          <w:sz w:val="24"/>
          <w:szCs w:val="20"/>
          <w:lang w:eastAsia="ar-SA"/>
        </w:rPr>
      </w:pPr>
      <w:bookmarkStart w:id="471" w:name="_Toc440211799"/>
      <w:bookmarkStart w:id="472" w:name="_Toc449805548"/>
      <w:bookmarkStart w:id="473" w:name="_Toc455682312"/>
      <w:bookmarkStart w:id="474" w:name="_Toc455682872"/>
      <w:bookmarkStart w:id="475" w:name="_Toc457466105"/>
      <w:r>
        <w:rPr>
          <w:rFonts w:ascii="Times New Roman" w:eastAsia="Times New Roman" w:hAnsi="Times New Roman"/>
          <w:i/>
          <w:noProof/>
          <w:sz w:val="24"/>
          <w:szCs w:val="20"/>
          <w:lang w:eastAsia="ar-SA"/>
        </w:rPr>
        <w:t>Introduction</w:t>
      </w:r>
      <w:bookmarkEnd w:id="471"/>
      <w:bookmarkEnd w:id="472"/>
      <w:bookmarkEnd w:id="473"/>
      <w:bookmarkEnd w:id="474"/>
      <w:bookmarkEnd w:id="475"/>
    </w:p>
    <w:p>
      <w:pPr>
        <w:spacing w:after="120" w:line="240" w:lineRule="auto"/>
        <w:jc w:val="both"/>
        <w:rPr>
          <w:rFonts w:ascii="Times New Roman" w:hAnsi="Times New Roman"/>
          <w:noProof/>
          <w:sz w:val="24"/>
        </w:rPr>
      </w:pPr>
      <w:r>
        <w:rPr>
          <w:rFonts w:ascii="Times New Roman" w:hAnsi="Times New Roman"/>
          <w:noProof/>
          <w:sz w:val="24"/>
        </w:rPr>
        <w:t>An analysis has been performed on the participation of non-EU Mediterranean countries in FP7. The analysis performed in this Annex targeted the countries participating in the PRIMA Consortium: Algeria, Egypt, Jordan, Lebanon, Morocco, and Tunisia. It is important to note that Turkey has long been an Associated Country to the Framework Programmes. As a consequence, the participation of Turkey in FP7 is very large, and covers all programmes within FP7.</w:t>
      </w:r>
    </w:p>
    <w:p>
      <w:pPr>
        <w:spacing w:after="120" w:line="240" w:lineRule="auto"/>
        <w:jc w:val="both"/>
        <w:rPr>
          <w:rFonts w:ascii="Times New Roman" w:hAnsi="Times New Roman"/>
          <w:noProof/>
          <w:sz w:val="24"/>
        </w:rPr>
      </w:pPr>
      <w:r>
        <w:rPr>
          <w:rFonts w:ascii="Times New Roman" w:hAnsi="Times New Roman"/>
          <w:noProof/>
          <w:sz w:val="24"/>
        </w:rPr>
        <w:t>An analysis was performed of the participation of these countries in FP7. For each project related to PRIMA that had one of these countries as partner or coordinator, the acronym, the FP7 Programme and the EC Contribution were recorded. Additionally, the project was related to the closest Operational Objective of PRIMA. The eight Operational Objectives are the following:</w:t>
      </w:r>
    </w:p>
    <w:p>
      <w:pPr>
        <w:spacing w:after="120" w:line="240" w:lineRule="auto"/>
        <w:jc w:val="both"/>
        <w:rPr>
          <w:rFonts w:ascii="Times New Roman" w:hAnsi="Times New Roman"/>
          <w:noProof/>
          <w:sz w:val="24"/>
        </w:rPr>
      </w:pPr>
    </w:p>
    <w:p>
      <w:pPr>
        <w:spacing w:after="0" w:line="240" w:lineRule="auto"/>
        <w:jc w:val="center"/>
        <w:rPr>
          <w:noProof/>
        </w:rPr>
      </w:pPr>
      <w:r>
        <w:rPr>
          <w:noProof/>
          <w:lang w:val="en-US"/>
        </w:rPr>
        <w:drawing>
          <wp:inline distT="0" distB="0" distL="0" distR="0">
            <wp:extent cx="5400040" cy="4149929"/>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00040" cy="4149929"/>
                    </a:xfrm>
                    <a:prstGeom prst="rect">
                      <a:avLst/>
                    </a:prstGeom>
                  </pic:spPr>
                </pic:pic>
              </a:graphicData>
            </a:graphic>
          </wp:inline>
        </w:drawing>
      </w:r>
    </w:p>
    <w:p>
      <w:pPr>
        <w:spacing w:after="0"/>
        <w:ind w:left="284" w:hanging="284"/>
        <w:jc w:val="both"/>
        <w:rPr>
          <w:rFonts w:ascii="Times New Roman" w:hAnsi="Times New Roman"/>
          <w:noProof/>
        </w:rPr>
      </w:pPr>
      <w:r>
        <w:rPr>
          <w:rFonts w:ascii="Times New Roman" w:hAnsi="Times New Roman"/>
          <w:b/>
          <w:noProof/>
        </w:rPr>
        <w:t>Table 1.</w:t>
      </w:r>
      <w:r>
        <w:rPr>
          <w:rFonts w:ascii="Times New Roman" w:hAnsi="Times New Roman"/>
          <w:noProof/>
        </w:rPr>
        <w:t xml:space="preserve"> </w:t>
      </w:r>
      <w:r>
        <w:rPr>
          <w:rFonts w:ascii="Times New Roman" w:hAnsi="Times New Roman"/>
          <w:i/>
          <w:noProof/>
        </w:rPr>
        <w:t>The eight objectives of the PRIMA Initiative. Source: PRIMA proposal.</w:t>
      </w:r>
    </w:p>
    <w:p>
      <w:pPr>
        <w:jc w:val="both"/>
        <w:rPr>
          <w:rFonts w:ascii="Times New Roman" w:hAnsi="Times New Roman"/>
          <w:noProof/>
        </w:rPr>
      </w:pPr>
    </w:p>
    <w:p>
      <w:pPr>
        <w:spacing w:after="120" w:line="240" w:lineRule="auto"/>
        <w:jc w:val="both"/>
        <w:rPr>
          <w:rFonts w:ascii="Times New Roman" w:hAnsi="Times New Roman"/>
          <w:noProof/>
          <w:sz w:val="24"/>
        </w:rPr>
      </w:pPr>
      <w:r>
        <w:rPr>
          <w:rFonts w:ascii="Times New Roman" w:hAnsi="Times New Roman"/>
          <w:noProof/>
          <w:sz w:val="24"/>
        </w:rPr>
        <w:t>An additional Objective, Labelled “0. Horizontal” was added to classify projects related to PRIMA, but which could not be associated to any of the 8 Operational Objectives. This applied to a number of Mediterranean ERANETS and Coordination and Support Actions, as well as to projects with a wide thematic scope.</w:t>
      </w:r>
    </w:p>
    <w:p>
      <w:pPr>
        <w:spacing w:after="120" w:line="240" w:lineRule="auto"/>
        <w:jc w:val="both"/>
        <w:rPr>
          <w:rFonts w:ascii="Times New Roman" w:hAnsi="Times New Roman"/>
          <w:noProof/>
          <w:sz w:val="24"/>
        </w:rPr>
      </w:pPr>
      <w:r>
        <w:rPr>
          <w:rFonts w:ascii="Times New Roman" w:hAnsi="Times New Roman"/>
          <w:noProof/>
          <w:sz w:val="24"/>
        </w:rPr>
        <w:t>A total of 151 projects were found. An analysis was performed of the investment per Operational Objective and in total.</w:t>
      </w:r>
    </w:p>
    <w:p>
      <w:pPr>
        <w:spacing w:after="120" w:line="240" w:lineRule="auto"/>
        <w:jc w:val="both"/>
        <w:rPr>
          <w:rFonts w:ascii="Times New Roman" w:hAnsi="Times New Roman"/>
          <w:noProof/>
          <w:sz w:val="24"/>
        </w:rPr>
      </w:pPr>
      <w:r>
        <w:rPr>
          <w:rFonts w:ascii="Times New Roman" w:hAnsi="Times New Roman"/>
          <w:noProof/>
          <w:sz w:val="24"/>
        </w:rPr>
        <w:t>It is important to note that the scope of the Operational Objectives is wider than the topic of PRIMA overall aim (Food production and water provision).</w:t>
      </w:r>
    </w:p>
    <w:p>
      <w:pPr>
        <w:keepNext/>
        <w:numPr>
          <w:ilvl w:val="1"/>
          <w:numId w:val="86"/>
        </w:numPr>
        <w:tabs>
          <w:tab w:val="num" w:pos="1833"/>
        </w:tabs>
        <w:suppressAutoHyphens/>
        <w:spacing w:after="120" w:line="240" w:lineRule="auto"/>
        <w:jc w:val="both"/>
        <w:outlineLvl w:val="2"/>
        <w:rPr>
          <w:rFonts w:ascii="Times New Roman" w:eastAsia="Times New Roman" w:hAnsi="Times New Roman"/>
          <w:i/>
          <w:noProof/>
          <w:sz w:val="24"/>
          <w:szCs w:val="20"/>
          <w:lang w:eastAsia="ar-SA"/>
        </w:rPr>
      </w:pPr>
      <w:bookmarkStart w:id="476" w:name="_Toc440211800"/>
      <w:bookmarkStart w:id="477" w:name="_Toc449805549"/>
      <w:bookmarkStart w:id="478" w:name="_Toc455682313"/>
      <w:bookmarkStart w:id="479" w:name="_Toc455682873"/>
      <w:bookmarkStart w:id="480" w:name="_Toc457466106"/>
      <w:r>
        <w:rPr>
          <w:rFonts w:ascii="Times New Roman" w:eastAsia="Times New Roman" w:hAnsi="Times New Roman"/>
          <w:i/>
          <w:noProof/>
          <w:sz w:val="24"/>
          <w:szCs w:val="20"/>
          <w:lang w:eastAsia="ar-SA"/>
        </w:rPr>
        <w:t>Investment in FP7 PRIMA related projects</w:t>
      </w:r>
      <w:bookmarkEnd w:id="476"/>
      <w:bookmarkEnd w:id="477"/>
      <w:bookmarkEnd w:id="478"/>
      <w:bookmarkEnd w:id="479"/>
      <w:bookmarkEnd w:id="480"/>
    </w:p>
    <w:p>
      <w:pPr>
        <w:spacing w:after="120" w:line="240" w:lineRule="auto"/>
        <w:jc w:val="both"/>
        <w:rPr>
          <w:rFonts w:ascii="Times New Roman" w:hAnsi="Times New Roman"/>
          <w:noProof/>
          <w:sz w:val="24"/>
        </w:rPr>
      </w:pPr>
      <w:r>
        <w:rPr>
          <w:rFonts w:ascii="Times New Roman" w:hAnsi="Times New Roman"/>
          <w:noProof/>
          <w:sz w:val="24"/>
        </w:rPr>
        <w:t>The total EC contribution to the identified projects was 408 M€ over the seven-year duration of FP7. This Figure exceeds the proposed contribution of the PRIMA partners of 200 M€ for a ten year Article 185 initiative. The following Figure presents the EC Investment per Operational Objective:</w:t>
      </w:r>
    </w:p>
    <w:p>
      <w:pPr>
        <w:spacing w:after="0"/>
        <w:jc w:val="both"/>
        <w:rPr>
          <w:noProof/>
        </w:rPr>
      </w:pPr>
      <w:r>
        <w:rPr>
          <w:noProof/>
          <w:lang w:val="en-US"/>
        </w:rPr>
        <w:drawing>
          <wp:inline distT="0" distB="0" distL="0" distR="0">
            <wp:extent cx="5413220" cy="280894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16211" cy="2810493"/>
                    </a:xfrm>
                    <a:prstGeom prst="rect">
                      <a:avLst/>
                    </a:prstGeom>
                    <a:noFill/>
                  </pic:spPr>
                </pic:pic>
              </a:graphicData>
            </a:graphic>
          </wp:inline>
        </w:drawing>
      </w:r>
    </w:p>
    <w:p>
      <w:pPr>
        <w:spacing w:after="0"/>
        <w:ind w:left="284" w:hanging="284"/>
        <w:jc w:val="both"/>
        <w:rPr>
          <w:rFonts w:ascii="Times New Roman" w:hAnsi="Times New Roman"/>
          <w:noProof/>
          <w:sz w:val="20"/>
        </w:rPr>
      </w:pPr>
      <w:r>
        <w:rPr>
          <w:rFonts w:ascii="Times New Roman" w:hAnsi="Times New Roman"/>
          <w:b/>
          <w:noProof/>
          <w:sz w:val="20"/>
        </w:rPr>
        <w:t>Figure A7.1.</w:t>
      </w:r>
      <w:r>
        <w:rPr>
          <w:rFonts w:ascii="Times New Roman" w:hAnsi="Times New Roman"/>
          <w:noProof/>
          <w:sz w:val="20"/>
        </w:rPr>
        <w:t xml:space="preserve"> </w:t>
      </w:r>
      <w:r>
        <w:rPr>
          <w:rFonts w:ascii="Times New Roman" w:hAnsi="Times New Roman"/>
          <w:i/>
          <w:noProof/>
          <w:sz w:val="20"/>
        </w:rPr>
        <w:t>Classification of the EC investment in FP7 projects with non-EU Mediterranean partners according to the PRIMA Objectives. An additional, horizontal objective was added (Elaborated by the Expert Group from consultation of the CORDIS database).</w:t>
      </w:r>
    </w:p>
    <w:p>
      <w:pPr>
        <w:spacing w:after="120" w:line="240" w:lineRule="auto"/>
        <w:jc w:val="both"/>
        <w:rPr>
          <w:rFonts w:ascii="Times New Roman" w:hAnsi="Times New Roman"/>
          <w:noProof/>
          <w:sz w:val="24"/>
        </w:rPr>
      </w:pPr>
    </w:p>
    <w:p>
      <w:pPr>
        <w:spacing w:after="120" w:line="240" w:lineRule="auto"/>
        <w:jc w:val="both"/>
        <w:rPr>
          <w:rFonts w:ascii="Times New Roman" w:hAnsi="Times New Roman"/>
          <w:noProof/>
          <w:sz w:val="24"/>
        </w:rPr>
      </w:pPr>
      <w:r>
        <w:rPr>
          <w:rFonts w:ascii="Times New Roman" w:hAnsi="Times New Roman"/>
          <w:noProof/>
          <w:sz w:val="24"/>
        </w:rPr>
        <w:t xml:space="preserve">The Figure shows the variation between the operational objectives. ''Sustainable farming' (Obj. 1) was the most funded objective, followed by ‘innovative food systems for growth and jobs' (Obj. 6) and then by ‘Food demand and supply chains' (Obj. 3). </w:t>
      </w:r>
    </w:p>
    <w:p>
      <w:pPr>
        <w:spacing w:before="240"/>
        <w:jc w:val="both"/>
        <w:rPr>
          <w:noProof/>
        </w:rPr>
      </w:pPr>
    </w:p>
    <w:p>
      <w:pPr>
        <w:keepNext/>
        <w:numPr>
          <w:ilvl w:val="1"/>
          <w:numId w:val="86"/>
        </w:numPr>
        <w:tabs>
          <w:tab w:val="num" w:pos="1833"/>
        </w:tabs>
        <w:suppressAutoHyphens/>
        <w:spacing w:after="120" w:line="240" w:lineRule="auto"/>
        <w:jc w:val="both"/>
        <w:outlineLvl w:val="2"/>
        <w:rPr>
          <w:rFonts w:ascii="Times New Roman" w:eastAsia="Times New Roman" w:hAnsi="Times New Roman"/>
          <w:i/>
          <w:noProof/>
          <w:sz w:val="24"/>
          <w:szCs w:val="20"/>
          <w:lang w:eastAsia="ar-SA"/>
        </w:rPr>
      </w:pPr>
      <w:bookmarkStart w:id="481" w:name="_Toc440211801"/>
      <w:bookmarkStart w:id="482" w:name="_Toc449805550"/>
      <w:bookmarkStart w:id="483" w:name="_Toc455682314"/>
      <w:bookmarkStart w:id="484" w:name="_Toc455682874"/>
      <w:bookmarkStart w:id="485" w:name="_Toc457466107"/>
      <w:r>
        <w:rPr>
          <w:rFonts w:ascii="Times New Roman" w:eastAsia="Times New Roman" w:hAnsi="Times New Roman"/>
          <w:i/>
          <w:noProof/>
          <w:sz w:val="24"/>
          <w:szCs w:val="20"/>
          <w:lang w:eastAsia="ar-SA"/>
        </w:rPr>
        <w:t>Participation of non-EU Mediterranean Countries in PRIMA-related FP7 projects</w:t>
      </w:r>
      <w:bookmarkEnd w:id="481"/>
      <w:bookmarkEnd w:id="482"/>
      <w:bookmarkEnd w:id="483"/>
      <w:bookmarkEnd w:id="484"/>
      <w:bookmarkEnd w:id="485"/>
    </w:p>
    <w:p>
      <w:pPr>
        <w:spacing w:after="120" w:line="240" w:lineRule="auto"/>
        <w:jc w:val="both"/>
        <w:rPr>
          <w:rFonts w:ascii="Times New Roman" w:hAnsi="Times New Roman"/>
          <w:noProof/>
          <w:sz w:val="24"/>
        </w:rPr>
      </w:pPr>
    </w:p>
    <w:p>
      <w:pPr>
        <w:spacing w:after="120" w:line="240" w:lineRule="auto"/>
        <w:jc w:val="both"/>
        <w:rPr>
          <w:rFonts w:ascii="Times New Roman" w:hAnsi="Times New Roman"/>
          <w:noProof/>
          <w:sz w:val="24"/>
        </w:rPr>
      </w:pPr>
      <w:r>
        <w:rPr>
          <w:rFonts w:ascii="Times New Roman" w:hAnsi="Times New Roman"/>
          <w:noProof/>
          <w:sz w:val="24"/>
        </w:rPr>
        <w:t>The following figure presents the participation of each country in the funded FP7 projects:</w:t>
      </w:r>
    </w:p>
    <w:p>
      <w:pPr>
        <w:spacing w:after="120" w:line="240" w:lineRule="auto"/>
        <w:jc w:val="both"/>
        <w:rPr>
          <w:rFonts w:ascii="Times New Roman" w:hAnsi="Times New Roman"/>
          <w:noProof/>
          <w:sz w:val="24"/>
        </w:rPr>
      </w:pPr>
    </w:p>
    <w:p>
      <w:pPr>
        <w:spacing w:after="0"/>
        <w:jc w:val="center"/>
        <w:rPr>
          <w:b/>
          <w:noProof/>
        </w:rPr>
      </w:pPr>
      <w:r>
        <w:rPr>
          <w:noProof/>
          <w:lang w:val="en-US"/>
        </w:rPr>
        <w:drawing>
          <wp:inline distT="0" distB="0" distL="0" distR="0">
            <wp:extent cx="4396435" cy="2040941"/>
            <wp:effectExtent l="0" t="0" r="4445" b="0"/>
            <wp:docPr id="3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a:extLst>
                        <a:ext uri="{28A0092B-C50C-407E-A947-70E740481C1C}">
                          <a14:useLocalDpi xmlns:a14="http://schemas.microsoft.com/office/drawing/2010/main" val="0"/>
                        </a:ext>
                      </a:extLst>
                    </a:blip>
                    <a:srcRect t="3618" b="4602"/>
                    <a:stretch/>
                  </pic:blipFill>
                  <pic:spPr bwMode="auto">
                    <a:xfrm>
                      <a:off x="0" y="0"/>
                      <a:ext cx="4397560" cy="2041463"/>
                    </a:xfrm>
                    <a:prstGeom prst="rect">
                      <a:avLst/>
                    </a:prstGeom>
                    <a:noFill/>
                    <a:ln>
                      <a:noFill/>
                    </a:ln>
                    <a:extLst>
                      <a:ext uri="{53640926-AAD7-44D8-BBD7-CCE9431645EC}">
                        <a14:shadowObscured xmlns:a14="http://schemas.microsoft.com/office/drawing/2010/main"/>
                      </a:ext>
                    </a:extLst>
                  </pic:spPr>
                </pic:pic>
              </a:graphicData>
            </a:graphic>
          </wp:inline>
        </w:drawing>
      </w:r>
    </w:p>
    <w:p>
      <w:pPr>
        <w:spacing w:after="0"/>
        <w:jc w:val="both"/>
        <w:rPr>
          <w:rFonts w:ascii="Times New Roman" w:eastAsia="Times New Roman" w:hAnsi="Times New Roman"/>
          <w:i/>
          <w:noProof/>
          <w:sz w:val="24"/>
          <w:szCs w:val="20"/>
          <w:highlight w:val="lightGray"/>
          <w:lang w:eastAsia="ar-SA"/>
        </w:rPr>
      </w:pPr>
      <w:r>
        <w:rPr>
          <w:rFonts w:ascii="Times New Roman" w:hAnsi="Times New Roman"/>
          <w:b/>
          <w:noProof/>
          <w:sz w:val="20"/>
        </w:rPr>
        <w:t>Figure A7.2.</w:t>
      </w:r>
      <w:r>
        <w:rPr>
          <w:rFonts w:ascii="Times New Roman" w:hAnsi="Times New Roman"/>
          <w:noProof/>
          <w:sz w:val="20"/>
        </w:rPr>
        <w:t xml:space="preserve"> </w:t>
      </w:r>
      <w:r>
        <w:rPr>
          <w:rFonts w:ascii="Times New Roman" w:hAnsi="Times New Roman"/>
          <w:i/>
          <w:noProof/>
          <w:sz w:val="20"/>
        </w:rPr>
        <w:t>Number of FP7 projects with non-EU Mediterranean partners, classified by country (Elaborated by the Expert Group from consultation of the CORDIS database).</w:t>
      </w:r>
      <w:bookmarkStart w:id="486" w:name="_Toc440211802"/>
      <w:bookmarkStart w:id="487" w:name="_Toc449805551"/>
      <w:r>
        <w:rPr>
          <w:rFonts w:ascii="Times New Roman" w:eastAsia="Times New Roman" w:hAnsi="Times New Roman"/>
          <w:i/>
          <w:noProof/>
          <w:sz w:val="24"/>
          <w:szCs w:val="20"/>
          <w:highlight w:val="lightGray"/>
          <w:lang w:eastAsia="ar-SA"/>
        </w:rPr>
        <w:br w:type="page"/>
      </w:r>
    </w:p>
    <w:p>
      <w:pPr>
        <w:keepNext/>
        <w:numPr>
          <w:ilvl w:val="1"/>
          <w:numId w:val="86"/>
        </w:numPr>
        <w:tabs>
          <w:tab w:val="num" w:pos="1833"/>
        </w:tabs>
        <w:suppressAutoHyphens/>
        <w:spacing w:after="120" w:line="240" w:lineRule="auto"/>
        <w:jc w:val="both"/>
        <w:outlineLvl w:val="2"/>
        <w:rPr>
          <w:rFonts w:ascii="Times New Roman" w:eastAsia="Times New Roman" w:hAnsi="Times New Roman"/>
          <w:i/>
          <w:noProof/>
          <w:sz w:val="24"/>
          <w:szCs w:val="20"/>
          <w:lang w:eastAsia="ar-SA"/>
        </w:rPr>
      </w:pPr>
      <w:bookmarkStart w:id="488" w:name="_Toc455682315"/>
      <w:bookmarkStart w:id="489" w:name="_Toc455682875"/>
      <w:bookmarkStart w:id="490" w:name="_Toc457466108"/>
      <w:r>
        <w:rPr>
          <w:rFonts w:ascii="Times New Roman" w:eastAsia="Times New Roman" w:hAnsi="Times New Roman"/>
          <w:i/>
          <w:noProof/>
          <w:sz w:val="24"/>
          <w:szCs w:val="20"/>
          <w:lang w:eastAsia="ar-SA"/>
        </w:rPr>
        <w:t>List of projects per Operational Objective</w:t>
      </w:r>
      <w:bookmarkEnd w:id="486"/>
      <w:bookmarkEnd w:id="487"/>
      <w:bookmarkEnd w:id="488"/>
      <w:bookmarkEnd w:id="489"/>
      <w:bookmarkEnd w:id="490"/>
    </w:p>
    <w:p>
      <w:pPr>
        <w:spacing w:after="120" w:line="240" w:lineRule="auto"/>
        <w:jc w:val="both"/>
        <w:rPr>
          <w:rFonts w:ascii="Times New Roman" w:hAnsi="Times New Roman"/>
          <w:noProof/>
          <w:sz w:val="24"/>
        </w:rPr>
      </w:pPr>
      <w:r>
        <w:rPr>
          <w:rFonts w:ascii="Times New Roman" w:hAnsi="Times New Roman"/>
          <w:noProof/>
          <w:sz w:val="24"/>
        </w:rPr>
        <w:t>A list of the identified projects in each Operational Objective follows:</w:t>
      </w:r>
    </w:p>
    <w:p>
      <w:pPr>
        <w:spacing w:after="120" w:line="240" w:lineRule="auto"/>
        <w:jc w:val="both"/>
        <w:rPr>
          <w:rFonts w:ascii="Times New Roman" w:hAnsi="Times New Roman"/>
          <w:noProof/>
          <w:sz w:val="24"/>
        </w:rPr>
      </w:pPr>
    </w:p>
    <w:p>
      <w:pPr>
        <w:ind w:firstLine="720"/>
        <w:jc w:val="both"/>
        <w:rPr>
          <w:rFonts w:ascii="Times New Roman" w:hAnsi="Times New Roman"/>
          <w:b/>
          <w:noProof/>
          <w:sz w:val="24"/>
        </w:rPr>
      </w:pPr>
      <w:r>
        <w:rPr>
          <w:rFonts w:ascii="Times New Roman" w:hAnsi="Times New Roman"/>
          <w:b/>
          <w:noProof/>
          <w:sz w:val="24"/>
        </w:rPr>
        <w:t>0. Horizontal (31.30 M€)</w:t>
      </w:r>
    </w:p>
    <w:p>
      <w:pPr>
        <w:jc w:val="center"/>
        <w:rPr>
          <w:noProof/>
        </w:rPr>
      </w:pPr>
      <w:r>
        <w:rPr>
          <w:noProof/>
          <w:lang w:val="en-US"/>
        </w:rPr>
        <w:drawing>
          <wp:inline distT="0" distB="0" distL="0" distR="0">
            <wp:extent cx="4698000" cy="3387600"/>
            <wp:effectExtent l="0" t="0" r="762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98000" cy="3387600"/>
                    </a:xfrm>
                    <a:prstGeom prst="rect">
                      <a:avLst/>
                    </a:prstGeom>
                    <a:noFill/>
                    <a:ln>
                      <a:noFill/>
                    </a:ln>
                  </pic:spPr>
                </pic:pic>
              </a:graphicData>
            </a:graphic>
          </wp:inline>
        </w:drawing>
      </w:r>
    </w:p>
    <w:p>
      <w:pPr>
        <w:rPr>
          <w:b/>
          <w:noProof/>
        </w:rPr>
      </w:pPr>
      <w:r>
        <w:rPr>
          <w:b/>
          <w:noProof/>
        </w:rPr>
        <w:br w:type="page"/>
      </w:r>
    </w:p>
    <w:p>
      <w:pPr>
        <w:ind w:firstLine="720"/>
        <w:jc w:val="both"/>
        <w:rPr>
          <w:rFonts w:ascii="Times New Roman" w:hAnsi="Times New Roman"/>
          <w:b/>
          <w:noProof/>
          <w:sz w:val="24"/>
        </w:rPr>
      </w:pPr>
      <w:r>
        <w:rPr>
          <w:rFonts w:ascii="Times New Roman" w:hAnsi="Times New Roman"/>
          <w:b/>
          <w:noProof/>
          <w:sz w:val="24"/>
        </w:rPr>
        <w:t>1. Sustainable Farming (102.48 M€)</w:t>
      </w:r>
    </w:p>
    <w:p>
      <w:pPr>
        <w:jc w:val="center"/>
        <w:rPr>
          <w:noProof/>
        </w:rPr>
      </w:pPr>
      <w:r>
        <w:rPr>
          <w:noProof/>
          <w:lang w:val="en-US"/>
        </w:rPr>
        <w:drawing>
          <wp:inline distT="0" distB="0" distL="0" distR="0">
            <wp:extent cx="4596231" cy="8171078"/>
            <wp:effectExtent l="0" t="0" r="0" b="1905"/>
            <wp:docPr id="4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97838" cy="8173935"/>
                    </a:xfrm>
                    <a:prstGeom prst="rect">
                      <a:avLst/>
                    </a:prstGeom>
                    <a:noFill/>
                    <a:ln>
                      <a:noFill/>
                    </a:ln>
                  </pic:spPr>
                </pic:pic>
              </a:graphicData>
            </a:graphic>
          </wp:inline>
        </w:drawing>
      </w:r>
    </w:p>
    <w:p>
      <w:pPr>
        <w:ind w:firstLine="720"/>
        <w:jc w:val="both"/>
        <w:rPr>
          <w:b/>
          <w:noProof/>
        </w:rPr>
      </w:pPr>
    </w:p>
    <w:p>
      <w:pPr>
        <w:ind w:firstLine="720"/>
        <w:jc w:val="both"/>
        <w:rPr>
          <w:rFonts w:ascii="Times New Roman" w:hAnsi="Times New Roman"/>
          <w:b/>
          <w:noProof/>
          <w:sz w:val="24"/>
        </w:rPr>
      </w:pPr>
      <w:r>
        <w:rPr>
          <w:rFonts w:ascii="Times New Roman" w:hAnsi="Times New Roman"/>
          <w:b/>
          <w:noProof/>
          <w:sz w:val="24"/>
        </w:rPr>
        <w:t>2. Irrigation efficiency (12.31 M€)</w:t>
      </w:r>
    </w:p>
    <w:p>
      <w:pPr>
        <w:jc w:val="center"/>
        <w:rPr>
          <w:noProof/>
        </w:rPr>
      </w:pPr>
      <w:r>
        <w:rPr>
          <w:noProof/>
          <w:lang w:val="en-US"/>
        </w:rPr>
        <w:drawing>
          <wp:inline distT="0" distB="0" distL="0" distR="0">
            <wp:extent cx="4701600" cy="1800000"/>
            <wp:effectExtent l="0" t="0" r="3810" b="0"/>
            <wp:docPr id="5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01600" cy="1800000"/>
                    </a:xfrm>
                    <a:prstGeom prst="rect">
                      <a:avLst/>
                    </a:prstGeom>
                    <a:noFill/>
                    <a:ln>
                      <a:noFill/>
                    </a:ln>
                  </pic:spPr>
                </pic:pic>
              </a:graphicData>
            </a:graphic>
          </wp:inline>
        </w:drawing>
      </w:r>
    </w:p>
    <w:p>
      <w:pPr>
        <w:ind w:firstLine="720"/>
        <w:jc w:val="both"/>
        <w:rPr>
          <w:rFonts w:ascii="Times New Roman" w:hAnsi="Times New Roman"/>
          <w:b/>
          <w:noProof/>
          <w:sz w:val="24"/>
        </w:rPr>
      </w:pPr>
      <w:r>
        <w:rPr>
          <w:rFonts w:ascii="Times New Roman" w:hAnsi="Times New Roman"/>
          <w:b/>
          <w:noProof/>
          <w:sz w:val="24"/>
        </w:rPr>
        <w:t>3. Food demand and supply chains (45.57 M€)</w:t>
      </w:r>
    </w:p>
    <w:p>
      <w:pPr>
        <w:jc w:val="center"/>
        <w:rPr>
          <w:noProof/>
        </w:rPr>
      </w:pPr>
      <w:r>
        <w:rPr>
          <w:noProof/>
          <w:lang w:val="en-US"/>
        </w:rPr>
        <w:drawing>
          <wp:inline distT="0" distB="0" distL="0" distR="0">
            <wp:extent cx="4694400" cy="2588400"/>
            <wp:effectExtent l="0" t="0" r="0" b="2540"/>
            <wp:docPr id="5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94400" cy="2588400"/>
                    </a:xfrm>
                    <a:prstGeom prst="rect">
                      <a:avLst/>
                    </a:prstGeom>
                    <a:noFill/>
                    <a:ln>
                      <a:noFill/>
                    </a:ln>
                  </pic:spPr>
                </pic:pic>
              </a:graphicData>
            </a:graphic>
          </wp:inline>
        </w:drawing>
      </w:r>
    </w:p>
    <w:p>
      <w:pPr>
        <w:ind w:firstLine="720"/>
        <w:jc w:val="both"/>
        <w:rPr>
          <w:rFonts w:ascii="Times New Roman" w:hAnsi="Times New Roman"/>
          <w:b/>
          <w:noProof/>
          <w:sz w:val="24"/>
        </w:rPr>
      </w:pPr>
      <w:r>
        <w:rPr>
          <w:rFonts w:ascii="Times New Roman" w:hAnsi="Times New Roman"/>
          <w:b/>
          <w:noProof/>
          <w:sz w:val="24"/>
        </w:rPr>
        <w:t>4. Food and water losses (18.32 M€)</w:t>
      </w:r>
    </w:p>
    <w:p>
      <w:pPr>
        <w:jc w:val="center"/>
        <w:rPr>
          <w:noProof/>
        </w:rPr>
      </w:pPr>
      <w:r>
        <w:rPr>
          <w:noProof/>
          <w:lang w:val="en-US"/>
        </w:rPr>
        <w:drawing>
          <wp:inline distT="0" distB="0" distL="0" distR="0">
            <wp:extent cx="4698000" cy="2394000"/>
            <wp:effectExtent l="0" t="0" r="762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98000" cy="2394000"/>
                    </a:xfrm>
                    <a:prstGeom prst="rect">
                      <a:avLst/>
                    </a:prstGeom>
                    <a:noFill/>
                    <a:ln>
                      <a:noFill/>
                    </a:ln>
                  </pic:spPr>
                </pic:pic>
              </a:graphicData>
            </a:graphic>
          </wp:inline>
        </w:drawing>
      </w:r>
    </w:p>
    <w:p>
      <w:pPr>
        <w:ind w:firstLine="720"/>
        <w:jc w:val="both"/>
        <w:rPr>
          <w:b/>
          <w:noProof/>
        </w:rPr>
      </w:pPr>
    </w:p>
    <w:p>
      <w:pPr>
        <w:ind w:firstLine="720"/>
        <w:jc w:val="both"/>
        <w:rPr>
          <w:b/>
          <w:noProof/>
        </w:rPr>
      </w:pPr>
    </w:p>
    <w:p>
      <w:pPr>
        <w:ind w:firstLine="720"/>
        <w:jc w:val="both"/>
        <w:rPr>
          <w:b/>
          <w:noProof/>
        </w:rPr>
      </w:pPr>
    </w:p>
    <w:p>
      <w:pPr>
        <w:ind w:firstLine="720"/>
        <w:jc w:val="both"/>
        <w:rPr>
          <w:rFonts w:ascii="Times New Roman" w:hAnsi="Times New Roman"/>
          <w:b/>
          <w:noProof/>
          <w:sz w:val="24"/>
        </w:rPr>
      </w:pPr>
      <w:r>
        <w:rPr>
          <w:rFonts w:ascii="Times New Roman" w:hAnsi="Times New Roman"/>
          <w:b/>
          <w:noProof/>
          <w:sz w:val="24"/>
        </w:rPr>
        <w:t>5. Animal and plant pests and diseases (40.95 M€)</w:t>
      </w:r>
    </w:p>
    <w:p>
      <w:pPr>
        <w:jc w:val="center"/>
        <w:rPr>
          <w:noProof/>
        </w:rPr>
      </w:pPr>
      <w:r>
        <w:rPr>
          <w:noProof/>
          <w:lang w:val="en-US"/>
        </w:rPr>
        <w:drawing>
          <wp:inline distT="0" distB="0" distL="0" distR="0">
            <wp:extent cx="4698000" cy="3981600"/>
            <wp:effectExtent l="0" t="0" r="7620" b="0"/>
            <wp:docPr id="5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98000" cy="3981600"/>
                    </a:xfrm>
                    <a:prstGeom prst="rect">
                      <a:avLst/>
                    </a:prstGeom>
                    <a:noFill/>
                    <a:ln>
                      <a:noFill/>
                    </a:ln>
                  </pic:spPr>
                </pic:pic>
              </a:graphicData>
            </a:graphic>
          </wp:inline>
        </w:drawing>
      </w:r>
    </w:p>
    <w:p>
      <w:pPr>
        <w:spacing w:after="0" w:line="240" w:lineRule="auto"/>
        <w:rPr>
          <w:b/>
          <w:noProof/>
        </w:rPr>
      </w:pPr>
    </w:p>
    <w:p>
      <w:pPr>
        <w:ind w:firstLine="720"/>
        <w:jc w:val="both"/>
        <w:rPr>
          <w:rFonts w:ascii="Times New Roman" w:hAnsi="Times New Roman"/>
          <w:b/>
          <w:noProof/>
          <w:sz w:val="24"/>
        </w:rPr>
      </w:pPr>
      <w:r>
        <w:rPr>
          <w:rFonts w:ascii="Times New Roman" w:hAnsi="Times New Roman"/>
          <w:b/>
          <w:noProof/>
          <w:sz w:val="24"/>
        </w:rPr>
        <w:t>7. Soil erosion, mismanagement of water, Basin level (41.52 M€)</w:t>
      </w:r>
    </w:p>
    <w:p>
      <w:pPr>
        <w:jc w:val="center"/>
        <w:rPr>
          <w:noProof/>
        </w:rPr>
      </w:pPr>
      <w:r>
        <w:rPr>
          <w:noProof/>
          <w:lang w:val="en-US"/>
        </w:rPr>
        <w:drawing>
          <wp:inline distT="0" distB="0" distL="0" distR="0">
            <wp:extent cx="4698000" cy="3981600"/>
            <wp:effectExtent l="0" t="0" r="7620" b="0"/>
            <wp:docPr id="56"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98000" cy="3981600"/>
                    </a:xfrm>
                    <a:prstGeom prst="rect">
                      <a:avLst/>
                    </a:prstGeom>
                    <a:noFill/>
                    <a:ln>
                      <a:noFill/>
                    </a:ln>
                  </pic:spPr>
                </pic:pic>
              </a:graphicData>
            </a:graphic>
          </wp:inline>
        </w:drawing>
      </w:r>
    </w:p>
    <w:p>
      <w:pPr>
        <w:ind w:firstLine="720"/>
        <w:jc w:val="both"/>
        <w:rPr>
          <w:rFonts w:ascii="Times New Roman" w:hAnsi="Times New Roman"/>
          <w:b/>
          <w:noProof/>
          <w:sz w:val="24"/>
        </w:rPr>
      </w:pPr>
      <w:r>
        <w:rPr>
          <w:rFonts w:ascii="Times New Roman" w:hAnsi="Times New Roman"/>
          <w:b/>
          <w:noProof/>
          <w:sz w:val="24"/>
        </w:rPr>
        <w:t>8. Improving water governance (38.20 M€)</w:t>
      </w:r>
    </w:p>
    <w:p>
      <w:pPr>
        <w:jc w:val="center"/>
        <w:rPr>
          <w:noProof/>
        </w:rPr>
      </w:pPr>
      <w:r>
        <w:rPr>
          <w:noProof/>
          <w:lang w:val="en-US"/>
        </w:rPr>
        <w:drawing>
          <wp:inline distT="0" distB="0" distL="0" distR="0">
            <wp:extent cx="4694400" cy="2988000"/>
            <wp:effectExtent l="0" t="0" r="0" b="3175"/>
            <wp:docPr id="62"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94400" cy="2988000"/>
                    </a:xfrm>
                    <a:prstGeom prst="rect">
                      <a:avLst/>
                    </a:prstGeom>
                    <a:noFill/>
                    <a:ln>
                      <a:noFill/>
                    </a:ln>
                  </pic:spPr>
                </pic:pic>
              </a:graphicData>
            </a:graphic>
          </wp:inline>
        </w:drawing>
      </w:r>
    </w:p>
    <w:p>
      <w:pPr>
        <w:rPr>
          <w:noProof/>
        </w:rPr>
      </w:pPr>
    </w:p>
    <w:p>
      <w:pPr>
        <w:jc w:val="center"/>
        <w:rPr>
          <w:noProof/>
        </w:rPr>
      </w:pPr>
    </w:p>
    <w:p>
      <w:pPr>
        <w:spacing w:after="0" w:line="240" w:lineRule="auto"/>
        <w:rPr>
          <w:rFonts w:ascii="Times New Roman" w:eastAsia="Times New Roman" w:hAnsi="Times New Roman"/>
          <w:b/>
          <w:bCs/>
          <w:i/>
          <w:noProof/>
          <w:sz w:val="24"/>
          <w:szCs w:val="24"/>
        </w:rPr>
      </w:pPr>
      <w:r>
        <w:rPr>
          <w:rFonts w:ascii="Times New Roman" w:hAnsi="Times New Roman"/>
          <w:i/>
          <w:noProof/>
          <w:sz w:val="24"/>
          <w:szCs w:val="24"/>
        </w:rPr>
        <w:br w:type="page"/>
      </w:r>
    </w:p>
    <w:p>
      <w:pPr>
        <w:pStyle w:val="Heading2"/>
        <w:keepLines w:val="0"/>
        <w:suppressAutoHyphens/>
        <w:spacing w:before="0" w:after="240" w:line="240" w:lineRule="auto"/>
        <w:ind w:left="480"/>
        <w:jc w:val="both"/>
        <w:rPr>
          <w:rFonts w:ascii="Times New Roman" w:hAnsi="Times New Roman"/>
          <w:i/>
          <w:noProof/>
          <w:color w:val="auto"/>
          <w:sz w:val="24"/>
          <w:szCs w:val="24"/>
        </w:rPr>
      </w:pPr>
      <w:bookmarkStart w:id="491" w:name="_Toc455682317"/>
      <w:bookmarkStart w:id="492" w:name="_Toc455682877"/>
      <w:bookmarkStart w:id="493" w:name="_Toc457466109"/>
      <w:r>
        <w:rPr>
          <w:rFonts w:ascii="Times New Roman" w:hAnsi="Times New Roman"/>
          <w:i/>
          <w:noProof/>
          <w:color w:val="auto"/>
          <w:sz w:val="24"/>
          <w:szCs w:val="24"/>
        </w:rPr>
        <w:t>Annex 6: Screening of the options</w:t>
      </w:r>
      <w:bookmarkEnd w:id="491"/>
      <w:bookmarkEnd w:id="492"/>
      <w:bookmarkEnd w:id="493"/>
    </w:p>
    <w:p>
      <w:pPr>
        <w:rPr>
          <w:noProof/>
        </w:rPr>
      </w:pPr>
    </w:p>
    <w:tbl>
      <w:tblPr>
        <w:tblStyle w:val="TableGrid"/>
        <w:tblW w:w="0" w:type="auto"/>
        <w:tblLook w:val="04A0" w:firstRow="1" w:lastRow="0" w:firstColumn="1" w:lastColumn="0" w:noHBand="0" w:noVBand="1"/>
      </w:tblPr>
      <w:tblGrid>
        <w:gridCol w:w="2321"/>
        <w:gridCol w:w="2321"/>
        <w:gridCol w:w="2322"/>
        <w:gridCol w:w="2322"/>
      </w:tblGrid>
      <w:tr>
        <w:tc>
          <w:tcPr>
            <w:tcW w:w="2321" w:type="dxa"/>
            <w:shd w:val="clear" w:color="auto" w:fill="D9D9D9" w:themeFill="background1" w:themeFillShade="D9"/>
          </w:tcPr>
          <w:p>
            <w:pPr>
              <w:spacing w:after="60" w:line="240" w:lineRule="auto"/>
              <w:rPr>
                <w:rFonts w:ascii="Times New Roman" w:hAnsi="Times New Roman"/>
                <w:b/>
                <w:noProof/>
              </w:rPr>
            </w:pPr>
            <w:r>
              <w:rPr>
                <w:rFonts w:ascii="Times New Roman" w:hAnsi="Times New Roman"/>
                <w:b/>
                <w:noProof/>
              </w:rPr>
              <w:t>Scope</w:t>
            </w:r>
          </w:p>
        </w:tc>
        <w:tc>
          <w:tcPr>
            <w:tcW w:w="2321" w:type="dxa"/>
            <w:shd w:val="clear" w:color="auto" w:fill="D9D9D9" w:themeFill="background1" w:themeFillShade="D9"/>
          </w:tcPr>
          <w:p>
            <w:pPr>
              <w:spacing w:after="60" w:line="240" w:lineRule="auto"/>
              <w:jc w:val="center"/>
              <w:rPr>
                <w:rFonts w:ascii="Times New Roman" w:hAnsi="Times New Roman"/>
                <w:b/>
                <w:noProof/>
              </w:rPr>
            </w:pPr>
            <w:r>
              <w:rPr>
                <w:rFonts w:ascii="Times New Roman" w:hAnsi="Times New Roman"/>
                <w:b/>
                <w:noProof/>
              </w:rPr>
              <w:t>R&amp;I activities related to water provision</w:t>
            </w:r>
          </w:p>
        </w:tc>
        <w:tc>
          <w:tcPr>
            <w:tcW w:w="2322" w:type="dxa"/>
            <w:shd w:val="clear" w:color="auto" w:fill="D9D9D9" w:themeFill="background1" w:themeFillShade="D9"/>
          </w:tcPr>
          <w:p>
            <w:pPr>
              <w:spacing w:after="60" w:line="240" w:lineRule="auto"/>
              <w:jc w:val="center"/>
              <w:rPr>
                <w:rFonts w:ascii="Times New Roman" w:hAnsi="Times New Roman"/>
                <w:b/>
                <w:noProof/>
              </w:rPr>
            </w:pPr>
            <w:r>
              <w:rPr>
                <w:rFonts w:ascii="Times New Roman" w:hAnsi="Times New Roman"/>
                <w:b/>
                <w:noProof/>
              </w:rPr>
              <w:t>R&amp;I activities related to food systems</w:t>
            </w:r>
          </w:p>
        </w:tc>
        <w:tc>
          <w:tcPr>
            <w:tcW w:w="2322" w:type="dxa"/>
            <w:shd w:val="clear" w:color="auto" w:fill="D9D9D9" w:themeFill="background1" w:themeFillShade="D9"/>
          </w:tcPr>
          <w:p>
            <w:pPr>
              <w:spacing w:after="60" w:line="240" w:lineRule="auto"/>
              <w:jc w:val="center"/>
              <w:rPr>
                <w:rFonts w:ascii="Times New Roman" w:hAnsi="Times New Roman"/>
                <w:b/>
                <w:noProof/>
              </w:rPr>
            </w:pPr>
            <w:r>
              <w:rPr>
                <w:rFonts w:ascii="Times New Roman" w:hAnsi="Times New Roman"/>
                <w:b/>
                <w:noProof/>
              </w:rPr>
              <w:t>R&amp;I activities integrating water provision and food systems</w:t>
            </w:r>
          </w:p>
        </w:tc>
      </w:tr>
      <w:tr>
        <w:tc>
          <w:tcPr>
            <w:tcW w:w="2321" w:type="dxa"/>
            <w:shd w:val="clear" w:color="auto" w:fill="D9D9D9" w:themeFill="background1" w:themeFillShade="D9"/>
          </w:tcPr>
          <w:p>
            <w:pPr>
              <w:spacing w:after="60" w:line="240" w:lineRule="auto"/>
              <w:rPr>
                <w:rFonts w:ascii="Times New Roman" w:hAnsi="Times New Roman"/>
                <w:b/>
                <w:noProof/>
              </w:rPr>
            </w:pPr>
            <w:r>
              <w:rPr>
                <w:rFonts w:ascii="Times New Roman" w:hAnsi="Times New Roman"/>
                <w:b/>
                <w:noProof/>
              </w:rPr>
              <w:t>Legal feasibility</w:t>
            </w:r>
          </w:p>
        </w:tc>
        <w:tc>
          <w:tcPr>
            <w:tcW w:w="2321" w:type="dxa"/>
          </w:tcPr>
          <w:p>
            <w:pPr>
              <w:spacing w:after="60" w:line="240" w:lineRule="auto"/>
              <w:jc w:val="center"/>
              <w:rPr>
                <w:rFonts w:ascii="Times New Roman" w:hAnsi="Times New Roman"/>
                <w:b/>
                <w:noProof/>
              </w:rPr>
            </w:pPr>
            <w:r>
              <w:rPr>
                <w:rFonts w:ascii="Times New Roman" w:hAnsi="Times New Roman"/>
                <w:b/>
                <w:noProof/>
              </w:rPr>
              <w:t>Yes</w:t>
            </w:r>
          </w:p>
        </w:tc>
        <w:tc>
          <w:tcPr>
            <w:tcW w:w="2322" w:type="dxa"/>
          </w:tcPr>
          <w:p>
            <w:pPr>
              <w:spacing w:after="60" w:line="240" w:lineRule="auto"/>
              <w:jc w:val="center"/>
              <w:rPr>
                <w:rFonts w:ascii="Times New Roman" w:hAnsi="Times New Roman"/>
                <w:b/>
                <w:noProof/>
              </w:rPr>
            </w:pPr>
            <w:r>
              <w:rPr>
                <w:rFonts w:ascii="Times New Roman" w:hAnsi="Times New Roman"/>
                <w:b/>
                <w:noProof/>
              </w:rPr>
              <w:t>Yes</w:t>
            </w:r>
          </w:p>
        </w:tc>
        <w:tc>
          <w:tcPr>
            <w:tcW w:w="2322" w:type="dxa"/>
          </w:tcPr>
          <w:p>
            <w:pPr>
              <w:spacing w:after="60" w:line="240" w:lineRule="auto"/>
              <w:jc w:val="center"/>
              <w:rPr>
                <w:rFonts w:ascii="Times New Roman" w:hAnsi="Times New Roman"/>
                <w:b/>
                <w:noProof/>
              </w:rPr>
            </w:pPr>
            <w:r>
              <w:rPr>
                <w:rFonts w:ascii="Times New Roman" w:hAnsi="Times New Roman"/>
                <w:b/>
                <w:noProof/>
              </w:rPr>
              <w:t>Yes</w:t>
            </w:r>
          </w:p>
        </w:tc>
      </w:tr>
      <w:tr>
        <w:tc>
          <w:tcPr>
            <w:tcW w:w="2321" w:type="dxa"/>
            <w:shd w:val="clear" w:color="auto" w:fill="D9D9D9" w:themeFill="background1" w:themeFillShade="D9"/>
          </w:tcPr>
          <w:p>
            <w:pPr>
              <w:spacing w:after="60" w:line="240" w:lineRule="auto"/>
              <w:rPr>
                <w:rFonts w:ascii="Times New Roman" w:hAnsi="Times New Roman"/>
                <w:b/>
                <w:noProof/>
              </w:rPr>
            </w:pPr>
            <w:r>
              <w:rPr>
                <w:rFonts w:ascii="Times New Roman" w:hAnsi="Times New Roman"/>
                <w:b/>
                <w:noProof/>
              </w:rPr>
              <w:t>Technical feasibility</w:t>
            </w:r>
          </w:p>
        </w:tc>
        <w:tc>
          <w:tcPr>
            <w:tcW w:w="2321" w:type="dxa"/>
          </w:tcPr>
          <w:p>
            <w:pPr>
              <w:spacing w:after="60" w:line="240" w:lineRule="auto"/>
              <w:jc w:val="center"/>
              <w:rPr>
                <w:rFonts w:ascii="Times New Roman" w:hAnsi="Times New Roman"/>
                <w:b/>
                <w:noProof/>
              </w:rPr>
            </w:pPr>
            <w:r>
              <w:rPr>
                <w:rFonts w:ascii="Times New Roman" w:hAnsi="Times New Roman"/>
                <w:b/>
                <w:noProof/>
              </w:rPr>
              <w:t>n.a.</w:t>
            </w:r>
          </w:p>
        </w:tc>
        <w:tc>
          <w:tcPr>
            <w:tcW w:w="2322" w:type="dxa"/>
          </w:tcPr>
          <w:p>
            <w:pPr>
              <w:spacing w:after="60" w:line="240" w:lineRule="auto"/>
              <w:jc w:val="center"/>
              <w:rPr>
                <w:rFonts w:ascii="Times New Roman" w:hAnsi="Times New Roman"/>
                <w:b/>
                <w:noProof/>
              </w:rPr>
            </w:pPr>
            <w:r>
              <w:rPr>
                <w:rFonts w:ascii="Times New Roman" w:hAnsi="Times New Roman"/>
                <w:b/>
                <w:noProof/>
              </w:rPr>
              <w:t>n.a.</w:t>
            </w:r>
          </w:p>
        </w:tc>
        <w:tc>
          <w:tcPr>
            <w:tcW w:w="2322" w:type="dxa"/>
          </w:tcPr>
          <w:p>
            <w:pPr>
              <w:spacing w:after="60" w:line="240" w:lineRule="auto"/>
              <w:jc w:val="center"/>
              <w:rPr>
                <w:rFonts w:ascii="Times New Roman" w:hAnsi="Times New Roman"/>
                <w:b/>
                <w:noProof/>
              </w:rPr>
            </w:pPr>
            <w:r>
              <w:rPr>
                <w:rFonts w:ascii="Times New Roman" w:hAnsi="Times New Roman"/>
                <w:b/>
                <w:noProof/>
              </w:rPr>
              <w:t>n.a.</w:t>
            </w:r>
          </w:p>
        </w:tc>
      </w:tr>
      <w:tr>
        <w:tc>
          <w:tcPr>
            <w:tcW w:w="2321" w:type="dxa"/>
            <w:shd w:val="clear" w:color="auto" w:fill="D9D9D9" w:themeFill="background1" w:themeFillShade="D9"/>
          </w:tcPr>
          <w:p>
            <w:pPr>
              <w:spacing w:after="60" w:line="240" w:lineRule="auto"/>
              <w:rPr>
                <w:rFonts w:ascii="Times New Roman" w:hAnsi="Times New Roman"/>
                <w:b/>
                <w:noProof/>
              </w:rPr>
            </w:pPr>
            <w:r>
              <w:rPr>
                <w:rFonts w:ascii="Times New Roman" w:hAnsi="Times New Roman"/>
                <w:b/>
                <w:noProof/>
              </w:rPr>
              <w:t>Previous policy choices</w:t>
            </w:r>
          </w:p>
        </w:tc>
        <w:tc>
          <w:tcPr>
            <w:tcW w:w="2321" w:type="dxa"/>
          </w:tcPr>
          <w:p>
            <w:pPr>
              <w:spacing w:after="60" w:line="240" w:lineRule="auto"/>
              <w:jc w:val="center"/>
              <w:rPr>
                <w:rFonts w:ascii="Times New Roman" w:hAnsi="Times New Roman"/>
                <w:b/>
                <w:noProof/>
              </w:rPr>
            </w:pPr>
            <w:r>
              <w:rPr>
                <w:rFonts w:ascii="Times New Roman" w:hAnsi="Times New Roman"/>
                <w:b/>
                <w:noProof/>
              </w:rPr>
              <w:t>n.a.</w:t>
            </w:r>
          </w:p>
        </w:tc>
        <w:tc>
          <w:tcPr>
            <w:tcW w:w="2322" w:type="dxa"/>
          </w:tcPr>
          <w:p>
            <w:pPr>
              <w:spacing w:after="60" w:line="240" w:lineRule="auto"/>
              <w:jc w:val="center"/>
              <w:rPr>
                <w:rFonts w:ascii="Times New Roman" w:hAnsi="Times New Roman"/>
                <w:b/>
                <w:noProof/>
              </w:rPr>
            </w:pPr>
            <w:r>
              <w:rPr>
                <w:rFonts w:ascii="Times New Roman" w:hAnsi="Times New Roman"/>
                <w:b/>
                <w:noProof/>
              </w:rPr>
              <w:t>n.a.</w:t>
            </w:r>
          </w:p>
        </w:tc>
        <w:tc>
          <w:tcPr>
            <w:tcW w:w="2322" w:type="dxa"/>
          </w:tcPr>
          <w:p>
            <w:pPr>
              <w:spacing w:after="60" w:line="240" w:lineRule="auto"/>
              <w:jc w:val="center"/>
              <w:rPr>
                <w:rFonts w:ascii="Times New Roman" w:hAnsi="Times New Roman"/>
                <w:b/>
                <w:noProof/>
              </w:rPr>
            </w:pPr>
            <w:r>
              <w:rPr>
                <w:rFonts w:ascii="Times New Roman" w:hAnsi="Times New Roman"/>
                <w:b/>
                <w:noProof/>
              </w:rPr>
              <w:t>n.a.</w:t>
            </w:r>
          </w:p>
        </w:tc>
      </w:tr>
      <w:tr>
        <w:tc>
          <w:tcPr>
            <w:tcW w:w="2321" w:type="dxa"/>
            <w:shd w:val="clear" w:color="auto" w:fill="D9D9D9" w:themeFill="background1" w:themeFillShade="D9"/>
          </w:tcPr>
          <w:p>
            <w:pPr>
              <w:spacing w:after="60" w:line="240" w:lineRule="auto"/>
              <w:rPr>
                <w:rFonts w:ascii="Times New Roman" w:hAnsi="Times New Roman"/>
                <w:b/>
                <w:noProof/>
              </w:rPr>
            </w:pPr>
            <w:r>
              <w:rPr>
                <w:rFonts w:ascii="Times New Roman" w:hAnsi="Times New Roman"/>
                <w:b/>
                <w:noProof/>
              </w:rPr>
              <w:t>Coherence with other EU policy objectives</w:t>
            </w:r>
          </w:p>
        </w:tc>
        <w:tc>
          <w:tcPr>
            <w:tcW w:w="2321" w:type="dxa"/>
          </w:tcPr>
          <w:p>
            <w:pPr>
              <w:spacing w:after="60" w:line="240" w:lineRule="auto"/>
              <w:jc w:val="center"/>
              <w:rPr>
                <w:rFonts w:ascii="Times New Roman" w:hAnsi="Times New Roman"/>
                <w:b/>
                <w:noProof/>
              </w:rPr>
            </w:pPr>
            <w:r>
              <w:rPr>
                <w:rFonts w:ascii="Times New Roman" w:hAnsi="Times New Roman"/>
                <w:b/>
                <w:noProof/>
              </w:rPr>
              <w:t>Yes</w:t>
            </w:r>
          </w:p>
        </w:tc>
        <w:tc>
          <w:tcPr>
            <w:tcW w:w="2322" w:type="dxa"/>
          </w:tcPr>
          <w:p>
            <w:pPr>
              <w:spacing w:after="60" w:line="240" w:lineRule="auto"/>
              <w:jc w:val="center"/>
              <w:rPr>
                <w:rFonts w:ascii="Times New Roman" w:hAnsi="Times New Roman"/>
                <w:b/>
                <w:noProof/>
              </w:rPr>
            </w:pPr>
            <w:r>
              <w:rPr>
                <w:rFonts w:ascii="Times New Roman" w:hAnsi="Times New Roman"/>
                <w:b/>
                <w:noProof/>
              </w:rPr>
              <w:t>Yes</w:t>
            </w:r>
          </w:p>
        </w:tc>
        <w:tc>
          <w:tcPr>
            <w:tcW w:w="2322" w:type="dxa"/>
          </w:tcPr>
          <w:p>
            <w:pPr>
              <w:spacing w:after="60" w:line="240" w:lineRule="auto"/>
              <w:jc w:val="center"/>
              <w:rPr>
                <w:rFonts w:ascii="Times New Roman" w:hAnsi="Times New Roman"/>
                <w:b/>
                <w:noProof/>
              </w:rPr>
            </w:pPr>
            <w:r>
              <w:rPr>
                <w:rFonts w:ascii="Times New Roman" w:hAnsi="Times New Roman"/>
                <w:b/>
                <w:noProof/>
              </w:rPr>
              <w:t>Yes</w:t>
            </w:r>
          </w:p>
        </w:tc>
      </w:tr>
      <w:tr>
        <w:tc>
          <w:tcPr>
            <w:tcW w:w="2321" w:type="dxa"/>
            <w:shd w:val="clear" w:color="auto" w:fill="D9D9D9" w:themeFill="background1" w:themeFillShade="D9"/>
          </w:tcPr>
          <w:p>
            <w:pPr>
              <w:spacing w:after="60" w:line="240" w:lineRule="auto"/>
              <w:rPr>
                <w:rFonts w:ascii="Times New Roman" w:hAnsi="Times New Roman"/>
                <w:b/>
                <w:noProof/>
              </w:rPr>
            </w:pPr>
            <w:r>
              <w:rPr>
                <w:rFonts w:ascii="Times New Roman" w:hAnsi="Times New Roman"/>
                <w:b/>
                <w:noProof/>
              </w:rPr>
              <w:t>Effectiveness and efficiency</w:t>
            </w:r>
          </w:p>
        </w:tc>
        <w:tc>
          <w:tcPr>
            <w:tcW w:w="2321" w:type="dxa"/>
          </w:tcPr>
          <w:p>
            <w:pPr>
              <w:spacing w:after="60" w:line="240" w:lineRule="auto"/>
              <w:jc w:val="center"/>
              <w:rPr>
                <w:rFonts w:ascii="Times New Roman" w:hAnsi="Times New Roman"/>
                <w:b/>
                <w:noProof/>
              </w:rPr>
            </w:pPr>
            <w:r>
              <w:rPr>
                <w:rFonts w:ascii="Times New Roman" w:hAnsi="Times New Roman"/>
                <w:b/>
                <w:noProof/>
              </w:rPr>
              <w:t>Medium</w:t>
            </w:r>
          </w:p>
        </w:tc>
        <w:tc>
          <w:tcPr>
            <w:tcW w:w="2322" w:type="dxa"/>
          </w:tcPr>
          <w:p>
            <w:pPr>
              <w:spacing w:after="60" w:line="240" w:lineRule="auto"/>
              <w:jc w:val="center"/>
              <w:rPr>
                <w:rFonts w:ascii="Times New Roman" w:hAnsi="Times New Roman"/>
                <w:b/>
                <w:noProof/>
              </w:rPr>
            </w:pPr>
            <w:r>
              <w:rPr>
                <w:rFonts w:ascii="Times New Roman" w:hAnsi="Times New Roman"/>
                <w:b/>
                <w:noProof/>
              </w:rPr>
              <w:t>Medium</w:t>
            </w:r>
          </w:p>
        </w:tc>
        <w:tc>
          <w:tcPr>
            <w:tcW w:w="2322" w:type="dxa"/>
          </w:tcPr>
          <w:p>
            <w:pPr>
              <w:spacing w:after="60" w:line="240" w:lineRule="auto"/>
              <w:jc w:val="center"/>
              <w:rPr>
                <w:rFonts w:ascii="Times New Roman" w:hAnsi="Times New Roman"/>
                <w:b/>
                <w:noProof/>
              </w:rPr>
            </w:pPr>
            <w:r>
              <w:rPr>
                <w:rFonts w:ascii="Times New Roman" w:hAnsi="Times New Roman"/>
                <w:b/>
                <w:noProof/>
              </w:rPr>
              <w:t>High</w:t>
            </w:r>
          </w:p>
        </w:tc>
      </w:tr>
      <w:tr>
        <w:tc>
          <w:tcPr>
            <w:tcW w:w="2321" w:type="dxa"/>
            <w:shd w:val="clear" w:color="auto" w:fill="D9D9D9" w:themeFill="background1" w:themeFillShade="D9"/>
          </w:tcPr>
          <w:p>
            <w:pPr>
              <w:spacing w:after="60" w:line="240" w:lineRule="auto"/>
              <w:rPr>
                <w:rFonts w:ascii="Times New Roman" w:hAnsi="Times New Roman"/>
                <w:b/>
                <w:noProof/>
              </w:rPr>
            </w:pPr>
            <w:r>
              <w:rPr>
                <w:rFonts w:ascii="Times New Roman" w:hAnsi="Times New Roman"/>
                <w:b/>
                <w:noProof/>
              </w:rPr>
              <w:t>Proportionality</w:t>
            </w:r>
          </w:p>
        </w:tc>
        <w:tc>
          <w:tcPr>
            <w:tcW w:w="2321" w:type="dxa"/>
          </w:tcPr>
          <w:p>
            <w:pPr>
              <w:spacing w:after="60" w:line="240" w:lineRule="auto"/>
              <w:jc w:val="center"/>
              <w:rPr>
                <w:rFonts w:ascii="Times New Roman" w:hAnsi="Times New Roman"/>
                <w:b/>
                <w:noProof/>
              </w:rPr>
            </w:pPr>
            <w:r>
              <w:rPr>
                <w:rFonts w:ascii="Times New Roman" w:hAnsi="Times New Roman"/>
                <w:b/>
                <w:noProof/>
              </w:rPr>
              <w:t>n.a.</w:t>
            </w:r>
          </w:p>
        </w:tc>
        <w:tc>
          <w:tcPr>
            <w:tcW w:w="2322" w:type="dxa"/>
          </w:tcPr>
          <w:p>
            <w:pPr>
              <w:spacing w:after="60" w:line="240" w:lineRule="auto"/>
              <w:jc w:val="center"/>
              <w:rPr>
                <w:rFonts w:ascii="Times New Roman" w:hAnsi="Times New Roman"/>
                <w:b/>
                <w:noProof/>
              </w:rPr>
            </w:pPr>
            <w:r>
              <w:rPr>
                <w:rFonts w:ascii="Times New Roman" w:hAnsi="Times New Roman"/>
                <w:b/>
                <w:noProof/>
              </w:rPr>
              <w:t>n.a.</w:t>
            </w:r>
          </w:p>
        </w:tc>
        <w:tc>
          <w:tcPr>
            <w:tcW w:w="2322" w:type="dxa"/>
          </w:tcPr>
          <w:p>
            <w:pPr>
              <w:spacing w:after="60" w:line="240" w:lineRule="auto"/>
              <w:jc w:val="center"/>
              <w:rPr>
                <w:rFonts w:ascii="Times New Roman" w:hAnsi="Times New Roman"/>
                <w:b/>
                <w:noProof/>
              </w:rPr>
            </w:pPr>
            <w:r>
              <w:rPr>
                <w:rFonts w:ascii="Times New Roman" w:hAnsi="Times New Roman"/>
                <w:b/>
                <w:noProof/>
              </w:rPr>
              <w:t>n.a.</w:t>
            </w:r>
          </w:p>
        </w:tc>
      </w:tr>
      <w:tr>
        <w:tc>
          <w:tcPr>
            <w:tcW w:w="2321" w:type="dxa"/>
            <w:shd w:val="clear" w:color="auto" w:fill="D9D9D9" w:themeFill="background1" w:themeFillShade="D9"/>
          </w:tcPr>
          <w:p>
            <w:pPr>
              <w:spacing w:after="60" w:line="240" w:lineRule="auto"/>
              <w:rPr>
                <w:rFonts w:ascii="Times New Roman" w:hAnsi="Times New Roman"/>
                <w:b/>
                <w:noProof/>
              </w:rPr>
            </w:pPr>
            <w:r>
              <w:rPr>
                <w:rFonts w:ascii="Times New Roman" w:hAnsi="Times New Roman"/>
                <w:b/>
                <w:noProof/>
              </w:rPr>
              <w:t>Political feasibility</w:t>
            </w:r>
          </w:p>
        </w:tc>
        <w:tc>
          <w:tcPr>
            <w:tcW w:w="2321" w:type="dxa"/>
          </w:tcPr>
          <w:p>
            <w:pPr>
              <w:spacing w:after="60" w:line="240" w:lineRule="auto"/>
              <w:jc w:val="center"/>
              <w:rPr>
                <w:rFonts w:ascii="Times New Roman" w:hAnsi="Times New Roman"/>
                <w:b/>
                <w:noProof/>
              </w:rPr>
            </w:pPr>
            <w:r>
              <w:rPr>
                <w:rFonts w:ascii="Times New Roman" w:hAnsi="Times New Roman"/>
                <w:b/>
                <w:noProof/>
              </w:rPr>
              <w:t>Low</w:t>
            </w:r>
          </w:p>
        </w:tc>
        <w:tc>
          <w:tcPr>
            <w:tcW w:w="2322" w:type="dxa"/>
          </w:tcPr>
          <w:p>
            <w:pPr>
              <w:spacing w:after="60" w:line="240" w:lineRule="auto"/>
              <w:jc w:val="center"/>
              <w:rPr>
                <w:rFonts w:ascii="Times New Roman" w:hAnsi="Times New Roman"/>
                <w:b/>
                <w:noProof/>
              </w:rPr>
            </w:pPr>
            <w:r>
              <w:rPr>
                <w:rFonts w:ascii="Times New Roman" w:hAnsi="Times New Roman"/>
                <w:b/>
                <w:noProof/>
              </w:rPr>
              <w:t>Low</w:t>
            </w:r>
          </w:p>
        </w:tc>
        <w:tc>
          <w:tcPr>
            <w:tcW w:w="2322" w:type="dxa"/>
          </w:tcPr>
          <w:p>
            <w:pPr>
              <w:spacing w:after="60" w:line="240" w:lineRule="auto"/>
              <w:jc w:val="center"/>
              <w:rPr>
                <w:rFonts w:ascii="Times New Roman" w:hAnsi="Times New Roman"/>
                <w:b/>
                <w:noProof/>
              </w:rPr>
            </w:pPr>
            <w:r>
              <w:rPr>
                <w:rFonts w:ascii="Times New Roman" w:hAnsi="Times New Roman"/>
                <w:b/>
                <w:noProof/>
              </w:rPr>
              <w:t xml:space="preserve">High </w:t>
            </w:r>
          </w:p>
        </w:tc>
      </w:tr>
      <w:tr>
        <w:tc>
          <w:tcPr>
            <w:tcW w:w="2321" w:type="dxa"/>
            <w:shd w:val="clear" w:color="auto" w:fill="D9D9D9" w:themeFill="background1" w:themeFillShade="D9"/>
          </w:tcPr>
          <w:p>
            <w:pPr>
              <w:spacing w:after="60" w:line="240" w:lineRule="auto"/>
              <w:rPr>
                <w:rFonts w:ascii="Times New Roman" w:hAnsi="Times New Roman"/>
                <w:b/>
                <w:noProof/>
              </w:rPr>
            </w:pPr>
            <w:r>
              <w:rPr>
                <w:rFonts w:ascii="Times New Roman" w:hAnsi="Times New Roman"/>
                <w:b/>
                <w:noProof/>
              </w:rPr>
              <w:t>Relevance in achieving the specific objectives</w:t>
            </w:r>
          </w:p>
        </w:tc>
        <w:tc>
          <w:tcPr>
            <w:tcW w:w="2321" w:type="dxa"/>
          </w:tcPr>
          <w:p>
            <w:pPr>
              <w:spacing w:after="60" w:line="240" w:lineRule="auto"/>
              <w:jc w:val="center"/>
              <w:rPr>
                <w:rFonts w:ascii="Times New Roman" w:hAnsi="Times New Roman"/>
                <w:noProof/>
              </w:rPr>
            </w:pPr>
            <w:r>
              <w:rPr>
                <w:rFonts w:ascii="Times New Roman" w:hAnsi="Times New Roman"/>
                <w:b/>
                <w:noProof/>
              </w:rPr>
              <w:t>Medium</w:t>
            </w:r>
            <w:r>
              <w:rPr>
                <w:rFonts w:ascii="Times New Roman" w:hAnsi="Times New Roman"/>
                <w:b/>
                <w:noProof/>
              </w:rPr>
              <w:br/>
            </w:r>
            <w:r>
              <w:rPr>
                <w:rFonts w:ascii="Times New Roman" w:hAnsi="Times New Roman"/>
                <w:noProof/>
              </w:rPr>
              <w:t>cross-sectorial nature requires integrated approach</w:t>
            </w:r>
          </w:p>
        </w:tc>
        <w:tc>
          <w:tcPr>
            <w:tcW w:w="2322" w:type="dxa"/>
          </w:tcPr>
          <w:p>
            <w:pPr>
              <w:spacing w:after="60" w:line="240" w:lineRule="auto"/>
              <w:jc w:val="center"/>
              <w:rPr>
                <w:rFonts w:ascii="Times New Roman" w:hAnsi="Times New Roman"/>
                <w:b/>
                <w:noProof/>
              </w:rPr>
            </w:pPr>
            <w:r>
              <w:rPr>
                <w:rFonts w:ascii="Times New Roman" w:hAnsi="Times New Roman"/>
                <w:b/>
                <w:noProof/>
              </w:rPr>
              <w:t>Medium</w:t>
            </w:r>
            <w:r>
              <w:rPr>
                <w:rFonts w:ascii="Times New Roman" w:hAnsi="Times New Roman"/>
                <w:b/>
                <w:noProof/>
              </w:rPr>
              <w:br/>
            </w:r>
            <w:r>
              <w:rPr>
                <w:rFonts w:ascii="Times New Roman" w:hAnsi="Times New Roman"/>
                <w:noProof/>
              </w:rPr>
              <w:t>cross-sectorial nature requires integrated approach</w:t>
            </w:r>
          </w:p>
        </w:tc>
        <w:tc>
          <w:tcPr>
            <w:tcW w:w="2322" w:type="dxa"/>
          </w:tcPr>
          <w:p>
            <w:pPr>
              <w:spacing w:after="60" w:line="240" w:lineRule="auto"/>
              <w:jc w:val="center"/>
              <w:rPr>
                <w:rFonts w:ascii="Times New Roman" w:hAnsi="Times New Roman"/>
                <w:b/>
                <w:noProof/>
              </w:rPr>
            </w:pPr>
            <w:r>
              <w:rPr>
                <w:rFonts w:ascii="Times New Roman" w:hAnsi="Times New Roman"/>
                <w:b/>
                <w:noProof/>
              </w:rPr>
              <w:t xml:space="preserve">High </w:t>
            </w:r>
            <w:r>
              <w:rPr>
                <w:rFonts w:ascii="Times New Roman" w:hAnsi="Times New Roman"/>
                <w:b/>
                <w:noProof/>
              </w:rPr>
              <w:br/>
            </w:r>
            <w:r>
              <w:rPr>
                <w:rFonts w:ascii="Times New Roman" w:hAnsi="Times New Roman"/>
                <w:noProof/>
              </w:rPr>
              <w:t>integrated approach addresses cross sectorial dimension</w:t>
            </w:r>
          </w:p>
        </w:tc>
      </w:tr>
    </w:tbl>
    <w:p>
      <w:pPr>
        <w:spacing w:after="120" w:line="240" w:lineRule="auto"/>
        <w:rPr>
          <w:rFonts w:ascii="Times New Roman" w:hAnsi="Times New Roman"/>
          <w:noProof/>
          <w:sz w:val="24"/>
        </w:rPr>
      </w:pPr>
    </w:p>
    <w:p>
      <w:pPr>
        <w:spacing w:after="120" w:line="240" w:lineRule="auto"/>
        <w:rPr>
          <w:rFonts w:ascii="Times New Roman" w:hAnsi="Times New Roman"/>
          <w:noProof/>
          <w:sz w:val="24"/>
        </w:rPr>
      </w:pPr>
    </w:p>
    <w:tbl>
      <w:tblPr>
        <w:tblStyle w:val="TableGrid"/>
        <w:tblW w:w="0" w:type="auto"/>
        <w:tblLook w:val="04A0" w:firstRow="1" w:lastRow="0" w:firstColumn="1" w:lastColumn="0" w:noHBand="0" w:noVBand="1"/>
      </w:tblPr>
      <w:tblGrid>
        <w:gridCol w:w="2235"/>
        <w:gridCol w:w="2268"/>
        <w:gridCol w:w="2126"/>
        <w:gridCol w:w="2657"/>
      </w:tblGrid>
      <w:tr>
        <w:tc>
          <w:tcPr>
            <w:tcW w:w="2235" w:type="dxa"/>
            <w:shd w:val="clear" w:color="auto" w:fill="D9D9D9" w:themeFill="background1" w:themeFillShade="D9"/>
          </w:tcPr>
          <w:p>
            <w:pPr>
              <w:spacing w:after="60" w:line="240" w:lineRule="auto"/>
              <w:rPr>
                <w:rFonts w:ascii="Times New Roman" w:hAnsi="Times New Roman"/>
                <w:b/>
                <w:noProof/>
              </w:rPr>
            </w:pPr>
            <w:r>
              <w:rPr>
                <w:rFonts w:ascii="Times New Roman" w:hAnsi="Times New Roman"/>
                <w:b/>
                <w:noProof/>
              </w:rPr>
              <w:t>Geographical coverage</w:t>
            </w:r>
          </w:p>
        </w:tc>
        <w:tc>
          <w:tcPr>
            <w:tcW w:w="2268" w:type="dxa"/>
            <w:shd w:val="clear" w:color="auto" w:fill="D9D9D9" w:themeFill="background1" w:themeFillShade="D9"/>
          </w:tcPr>
          <w:p>
            <w:pPr>
              <w:spacing w:after="60" w:line="240" w:lineRule="auto"/>
              <w:jc w:val="center"/>
              <w:rPr>
                <w:rFonts w:ascii="Times New Roman" w:hAnsi="Times New Roman"/>
                <w:b/>
                <w:noProof/>
              </w:rPr>
            </w:pPr>
            <w:r>
              <w:rPr>
                <w:rFonts w:ascii="Times New Roman" w:hAnsi="Times New Roman"/>
                <w:b/>
                <w:noProof/>
              </w:rPr>
              <w:t>Actions with EU Member States only</w:t>
            </w:r>
          </w:p>
        </w:tc>
        <w:tc>
          <w:tcPr>
            <w:tcW w:w="2126" w:type="dxa"/>
            <w:shd w:val="clear" w:color="auto" w:fill="D9D9D9" w:themeFill="background1" w:themeFillShade="D9"/>
          </w:tcPr>
          <w:p>
            <w:pPr>
              <w:spacing w:after="60" w:line="240" w:lineRule="auto"/>
              <w:jc w:val="center"/>
              <w:rPr>
                <w:rFonts w:ascii="Times New Roman" w:hAnsi="Times New Roman"/>
                <w:b/>
                <w:noProof/>
              </w:rPr>
            </w:pPr>
            <w:r>
              <w:rPr>
                <w:rFonts w:ascii="Times New Roman" w:hAnsi="Times New Roman"/>
                <w:b/>
                <w:noProof/>
              </w:rPr>
              <w:t>Actions with EU Member States and Associated third countries</w:t>
            </w:r>
          </w:p>
        </w:tc>
        <w:tc>
          <w:tcPr>
            <w:tcW w:w="2657" w:type="dxa"/>
            <w:shd w:val="clear" w:color="auto" w:fill="D9D9D9" w:themeFill="background1" w:themeFillShade="D9"/>
          </w:tcPr>
          <w:p>
            <w:pPr>
              <w:spacing w:after="60" w:line="240" w:lineRule="auto"/>
              <w:jc w:val="center"/>
              <w:rPr>
                <w:rFonts w:ascii="Times New Roman" w:hAnsi="Times New Roman"/>
                <w:b/>
                <w:noProof/>
              </w:rPr>
            </w:pPr>
            <w:r>
              <w:rPr>
                <w:rFonts w:ascii="Times New Roman" w:hAnsi="Times New Roman"/>
                <w:b/>
                <w:noProof/>
              </w:rPr>
              <w:t>Actions  with EU Member States, Associated third countries and third countries</w:t>
            </w:r>
          </w:p>
        </w:tc>
      </w:tr>
      <w:tr>
        <w:tc>
          <w:tcPr>
            <w:tcW w:w="2235" w:type="dxa"/>
            <w:shd w:val="clear" w:color="auto" w:fill="D9D9D9" w:themeFill="background1" w:themeFillShade="D9"/>
          </w:tcPr>
          <w:p>
            <w:pPr>
              <w:spacing w:after="60" w:line="240" w:lineRule="auto"/>
              <w:rPr>
                <w:rFonts w:ascii="Times New Roman" w:hAnsi="Times New Roman"/>
                <w:b/>
                <w:noProof/>
              </w:rPr>
            </w:pPr>
            <w:r>
              <w:rPr>
                <w:rFonts w:ascii="Times New Roman" w:hAnsi="Times New Roman"/>
                <w:b/>
                <w:noProof/>
              </w:rPr>
              <w:t>Legal feasibility</w:t>
            </w:r>
          </w:p>
        </w:tc>
        <w:tc>
          <w:tcPr>
            <w:tcW w:w="2268" w:type="dxa"/>
          </w:tcPr>
          <w:p>
            <w:pPr>
              <w:spacing w:after="60" w:line="240" w:lineRule="auto"/>
              <w:jc w:val="center"/>
              <w:rPr>
                <w:rFonts w:ascii="Times New Roman" w:hAnsi="Times New Roman"/>
                <w:b/>
                <w:noProof/>
              </w:rPr>
            </w:pPr>
            <w:r>
              <w:rPr>
                <w:rFonts w:ascii="Times New Roman" w:hAnsi="Times New Roman"/>
                <w:b/>
                <w:noProof/>
              </w:rPr>
              <w:t>No</w:t>
            </w:r>
          </w:p>
          <w:p>
            <w:pPr>
              <w:spacing w:after="60" w:line="240" w:lineRule="auto"/>
              <w:jc w:val="center"/>
              <w:rPr>
                <w:rFonts w:ascii="Times New Roman" w:hAnsi="Times New Roman"/>
                <w:noProof/>
              </w:rPr>
            </w:pPr>
            <w:r>
              <w:rPr>
                <w:rFonts w:ascii="Times New Roman" w:hAnsi="Times New Roman"/>
                <w:noProof/>
              </w:rPr>
              <w:t>None of the identified approaches allows to exclude legal entities established in Associated Countries</w:t>
            </w:r>
          </w:p>
        </w:tc>
        <w:tc>
          <w:tcPr>
            <w:tcW w:w="2126" w:type="dxa"/>
          </w:tcPr>
          <w:p>
            <w:pPr>
              <w:spacing w:after="60" w:line="240" w:lineRule="auto"/>
              <w:jc w:val="center"/>
              <w:rPr>
                <w:rFonts w:ascii="Times New Roman" w:hAnsi="Times New Roman"/>
                <w:b/>
                <w:noProof/>
              </w:rPr>
            </w:pPr>
            <w:r>
              <w:rPr>
                <w:rFonts w:ascii="Times New Roman" w:hAnsi="Times New Roman"/>
                <w:b/>
                <w:noProof/>
              </w:rPr>
              <w:t>Partially</w:t>
            </w:r>
            <w:r>
              <w:rPr>
                <w:rFonts w:ascii="Times New Roman" w:hAnsi="Times New Roman"/>
                <w:b/>
                <w:noProof/>
              </w:rPr>
              <w:br/>
            </w:r>
            <w:r>
              <w:rPr>
                <w:rFonts w:ascii="Times New Roman" w:hAnsi="Times New Roman"/>
                <w:noProof/>
              </w:rPr>
              <w:t xml:space="preserve">Most of the identified approaches do not allow to exclude participation of legal entities established in third countries </w:t>
            </w:r>
          </w:p>
        </w:tc>
        <w:tc>
          <w:tcPr>
            <w:tcW w:w="2657" w:type="dxa"/>
          </w:tcPr>
          <w:p>
            <w:pPr>
              <w:spacing w:after="60" w:line="240" w:lineRule="auto"/>
              <w:jc w:val="center"/>
              <w:rPr>
                <w:rFonts w:ascii="Times New Roman" w:hAnsi="Times New Roman"/>
                <w:b/>
                <w:noProof/>
              </w:rPr>
            </w:pPr>
            <w:r>
              <w:rPr>
                <w:rFonts w:ascii="Times New Roman" w:hAnsi="Times New Roman"/>
                <w:b/>
                <w:noProof/>
              </w:rPr>
              <w:t>Yes</w:t>
            </w:r>
          </w:p>
        </w:tc>
      </w:tr>
      <w:tr>
        <w:tc>
          <w:tcPr>
            <w:tcW w:w="2235" w:type="dxa"/>
            <w:shd w:val="clear" w:color="auto" w:fill="D9D9D9" w:themeFill="background1" w:themeFillShade="D9"/>
          </w:tcPr>
          <w:p>
            <w:pPr>
              <w:spacing w:after="60" w:line="240" w:lineRule="auto"/>
              <w:rPr>
                <w:rFonts w:ascii="Times New Roman" w:hAnsi="Times New Roman"/>
                <w:b/>
                <w:noProof/>
              </w:rPr>
            </w:pPr>
            <w:r>
              <w:rPr>
                <w:rFonts w:ascii="Times New Roman" w:hAnsi="Times New Roman"/>
                <w:b/>
                <w:noProof/>
              </w:rPr>
              <w:t>Technical feasibility</w:t>
            </w:r>
          </w:p>
        </w:tc>
        <w:tc>
          <w:tcPr>
            <w:tcW w:w="2268" w:type="dxa"/>
          </w:tcPr>
          <w:p>
            <w:pPr>
              <w:spacing w:after="60" w:line="240" w:lineRule="auto"/>
              <w:jc w:val="center"/>
              <w:rPr>
                <w:rFonts w:ascii="Times New Roman" w:hAnsi="Times New Roman"/>
                <w:b/>
                <w:noProof/>
              </w:rPr>
            </w:pPr>
            <w:r>
              <w:rPr>
                <w:rFonts w:ascii="Times New Roman" w:hAnsi="Times New Roman"/>
                <w:b/>
                <w:noProof/>
              </w:rPr>
              <w:t>n.a.</w:t>
            </w:r>
          </w:p>
        </w:tc>
        <w:tc>
          <w:tcPr>
            <w:tcW w:w="2126" w:type="dxa"/>
          </w:tcPr>
          <w:p>
            <w:pPr>
              <w:spacing w:after="60" w:line="240" w:lineRule="auto"/>
              <w:jc w:val="center"/>
              <w:rPr>
                <w:rFonts w:ascii="Times New Roman" w:hAnsi="Times New Roman"/>
                <w:b/>
                <w:noProof/>
              </w:rPr>
            </w:pPr>
            <w:r>
              <w:rPr>
                <w:rFonts w:ascii="Times New Roman" w:hAnsi="Times New Roman"/>
                <w:b/>
                <w:noProof/>
              </w:rPr>
              <w:t>n.a.</w:t>
            </w:r>
          </w:p>
        </w:tc>
        <w:tc>
          <w:tcPr>
            <w:tcW w:w="2657" w:type="dxa"/>
          </w:tcPr>
          <w:p>
            <w:pPr>
              <w:spacing w:after="60" w:line="240" w:lineRule="auto"/>
              <w:jc w:val="center"/>
              <w:rPr>
                <w:rFonts w:ascii="Times New Roman" w:hAnsi="Times New Roman"/>
                <w:b/>
                <w:noProof/>
              </w:rPr>
            </w:pPr>
            <w:r>
              <w:rPr>
                <w:rFonts w:ascii="Times New Roman" w:hAnsi="Times New Roman"/>
                <w:b/>
                <w:noProof/>
              </w:rPr>
              <w:t>n.a.</w:t>
            </w:r>
          </w:p>
        </w:tc>
      </w:tr>
      <w:tr>
        <w:tc>
          <w:tcPr>
            <w:tcW w:w="2235" w:type="dxa"/>
            <w:shd w:val="clear" w:color="auto" w:fill="D9D9D9" w:themeFill="background1" w:themeFillShade="D9"/>
          </w:tcPr>
          <w:p>
            <w:pPr>
              <w:spacing w:after="60" w:line="240" w:lineRule="auto"/>
              <w:rPr>
                <w:rFonts w:ascii="Times New Roman" w:hAnsi="Times New Roman"/>
                <w:b/>
                <w:noProof/>
              </w:rPr>
            </w:pPr>
            <w:r>
              <w:rPr>
                <w:rFonts w:ascii="Times New Roman" w:hAnsi="Times New Roman"/>
                <w:b/>
                <w:noProof/>
              </w:rPr>
              <w:t>Previous policy choices</w:t>
            </w:r>
          </w:p>
        </w:tc>
        <w:tc>
          <w:tcPr>
            <w:tcW w:w="2268" w:type="dxa"/>
          </w:tcPr>
          <w:p>
            <w:pPr>
              <w:spacing w:after="60" w:line="240" w:lineRule="auto"/>
              <w:jc w:val="center"/>
              <w:rPr>
                <w:rFonts w:ascii="Times New Roman" w:hAnsi="Times New Roman"/>
                <w:b/>
                <w:noProof/>
              </w:rPr>
            </w:pPr>
            <w:r>
              <w:rPr>
                <w:rFonts w:ascii="Times New Roman" w:hAnsi="Times New Roman"/>
                <w:b/>
                <w:noProof/>
              </w:rPr>
              <w:t>n.a.</w:t>
            </w:r>
          </w:p>
        </w:tc>
        <w:tc>
          <w:tcPr>
            <w:tcW w:w="2126" w:type="dxa"/>
          </w:tcPr>
          <w:p>
            <w:pPr>
              <w:spacing w:after="60" w:line="240" w:lineRule="auto"/>
              <w:jc w:val="center"/>
              <w:rPr>
                <w:rFonts w:ascii="Times New Roman" w:hAnsi="Times New Roman"/>
                <w:b/>
                <w:noProof/>
              </w:rPr>
            </w:pPr>
            <w:r>
              <w:rPr>
                <w:rFonts w:ascii="Times New Roman" w:hAnsi="Times New Roman"/>
                <w:b/>
                <w:noProof/>
              </w:rPr>
              <w:t>n.a.</w:t>
            </w:r>
          </w:p>
        </w:tc>
        <w:tc>
          <w:tcPr>
            <w:tcW w:w="2657" w:type="dxa"/>
          </w:tcPr>
          <w:p>
            <w:pPr>
              <w:spacing w:after="60" w:line="240" w:lineRule="auto"/>
              <w:jc w:val="center"/>
              <w:rPr>
                <w:rFonts w:ascii="Times New Roman" w:hAnsi="Times New Roman"/>
                <w:b/>
                <w:noProof/>
              </w:rPr>
            </w:pPr>
            <w:r>
              <w:rPr>
                <w:rFonts w:ascii="Times New Roman" w:hAnsi="Times New Roman"/>
                <w:b/>
                <w:noProof/>
              </w:rPr>
              <w:t>n.a.</w:t>
            </w:r>
          </w:p>
        </w:tc>
      </w:tr>
      <w:tr>
        <w:tc>
          <w:tcPr>
            <w:tcW w:w="2235" w:type="dxa"/>
            <w:shd w:val="clear" w:color="auto" w:fill="D9D9D9" w:themeFill="background1" w:themeFillShade="D9"/>
          </w:tcPr>
          <w:p>
            <w:pPr>
              <w:spacing w:after="60" w:line="240" w:lineRule="auto"/>
              <w:rPr>
                <w:rFonts w:ascii="Times New Roman" w:hAnsi="Times New Roman"/>
                <w:b/>
                <w:noProof/>
              </w:rPr>
            </w:pPr>
            <w:r>
              <w:rPr>
                <w:rFonts w:ascii="Times New Roman" w:hAnsi="Times New Roman"/>
                <w:b/>
                <w:noProof/>
              </w:rPr>
              <w:t>Coherence with other EU policy objectives</w:t>
            </w:r>
          </w:p>
        </w:tc>
        <w:tc>
          <w:tcPr>
            <w:tcW w:w="2268" w:type="dxa"/>
          </w:tcPr>
          <w:p>
            <w:pPr>
              <w:spacing w:after="60" w:line="240" w:lineRule="auto"/>
              <w:jc w:val="center"/>
              <w:rPr>
                <w:rFonts w:ascii="Times New Roman" w:hAnsi="Times New Roman"/>
                <w:b/>
                <w:noProof/>
              </w:rPr>
            </w:pPr>
            <w:r>
              <w:rPr>
                <w:rFonts w:ascii="Times New Roman" w:hAnsi="Times New Roman"/>
                <w:b/>
                <w:noProof/>
              </w:rPr>
              <w:t>Low</w:t>
            </w:r>
          </w:p>
        </w:tc>
        <w:tc>
          <w:tcPr>
            <w:tcW w:w="2126" w:type="dxa"/>
          </w:tcPr>
          <w:p>
            <w:pPr>
              <w:spacing w:after="60" w:line="240" w:lineRule="auto"/>
              <w:jc w:val="center"/>
              <w:rPr>
                <w:rFonts w:ascii="Times New Roman" w:hAnsi="Times New Roman"/>
                <w:b/>
                <w:noProof/>
              </w:rPr>
            </w:pPr>
            <w:r>
              <w:rPr>
                <w:rFonts w:ascii="Times New Roman" w:hAnsi="Times New Roman"/>
                <w:b/>
                <w:noProof/>
              </w:rPr>
              <w:t>Medium</w:t>
            </w:r>
          </w:p>
        </w:tc>
        <w:tc>
          <w:tcPr>
            <w:tcW w:w="2657" w:type="dxa"/>
          </w:tcPr>
          <w:p>
            <w:pPr>
              <w:spacing w:after="60" w:line="240" w:lineRule="auto"/>
              <w:jc w:val="center"/>
              <w:rPr>
                <w:rFonts w:ascii="Times New Roman" w:hAnsi="Times New Roman"/>
                <w:b/>
                <w:noProof/>
              </w:rPr>
            </w:pPr>
            <w:r>
              <w:rPr>
                <w:rFonts w:ascii="Times New Roman" w:hAnsi="Times New Roman"/>
                <w:b/>
                <w:noProof/>
              </w:rPr>
              <w:t>High</w:t>
            </w:r>
          </w:p>
        </w:tc>
      </w:tr>
      <w:tr>
        <w:tc>
          <w:tcPr>
            <w:tcW w:w="2235" w:type="dxa"/>
            <w:shd w:val="clear" w:color="auto" w:fill="D9D9D9" w:themeFill="background1" w:themeFillShade="D9"/>
          </w:tcPr>
          <w:p>
            <w:pPr>
              <w:spacing w:after="60" w:line="240" w:lineRule="auto"/>
              <w:rPr>
                <w:rFonts w:ascii="Times New Roman" w:hAnsi="Times New Roman"/>
                <w:b/>
                <w:noProof/>
              </w:rPr>
            </w:pPr>
            <w:r>
              <w:rPr>
                <w:rFonts w:ascii="Times New Roman" w:hAnsi="Times New Roman"/>
                <w:b/>
                <w:noProof/>
              </w:rPr>
              <w:t>Effectiveness and efficiency</w:t>
            </w:r>
          </w:p>
        </w:tc>
        <w:tc>
          <w:tcPr>
            <w:tcW w:w="2268" w:type="dxa"/>
          </w:tcPr>
          <w:p>
            <w:pPr>
              <w:spacing w:after="60" w:line="240" w:lineRule="auto"/>
              <w:jc w:val="center"/>
              <w:rPr>
                <w:rFonts w:ascii="Times New Roman" w:hAnsi="Times New Roman"/>
                <w:b/>
                <w:noProof/>
              </w:rPr>
            </w:pPr>
            <w:r>
              <w:rPr>
                <w:rFonts w:ascii="Times New Roman" w:hAnsi="Times New Roman"/>
                <w:b/>
                <w:noProof/>
              </w:rPr>
              <w:t>Low</w:t>
            </w:r>
          </w:p>
        </w:tc>
        <w:tc>
          <w:tcPr>
            <w:tcW w:w="2126" w:type="dxa"/>
          </w:tcPr>
          <w:p>
            <w:pPr>
              <w:spacing w:after="60" w:line="240" w:lineRule="auto"/>
              <w:jc w:val="center"/>
              <w:rPr>
                <w:rFonts w:ascii="Times New Roman" w:hAnsi="Times New Roman"/>
                <w:b/>
                <w:noProof/>
              </w:rPr>
            </w:pPr>
            <w:r>
              <w:rPr>
                <w:rFonts w:ascii="Times New Roman" w:hAnsi="Times New Roman"/>
                <w:b/>
                <w:noProof/>
              </w:rPr>
              <w:t>Medium</w:t>
            </w:r>
          </w:p>
        </w:tc>
        <w:tc>
          <w:tcPr>
            <w:tcW w:w="2657" w:type="dxa"/>
          </w:tcPr>
          <w:p>
            <w:pPr>
              <w:spacing w:after="60" w:line="240" w:lineRule="auto"/>
              <w:jc w:val="center"/>
              <w:rPr>
                <w:rFonts w:ascii="Times New Roman" w:hAnsi="Times New Roman"/>
                <w:b/>
                <w:noProof/>
              </w:rPr>
            </w:pPr>
            <w:r>
              <w:rPr>
                <w:rFonts w:ascii="Times New Roman" w:hAnsi="Times New Roman"/>
                <w:b/>
                <w:noProof/>
              </w:rPr>
              <w:t>High</w:t>
            </w:r>
          </w:p>
        </w:tc>
      </w:tr>
      <w:tr>
        <w:tc>
          <w:tcPr>
            <w:tcW w:w="2235" w:type="dxa"/>
            <w:shd w:val="clear" w:color="auto" w:fill="D9D9D9" w:themeFill="background1" w:themeFillShade="D9"/>
          </w:tcPr>
          <w:p>
            <w:pPr>
              <w:spacing w:after="60" w:line="240" w:lineRule="auto"/>
              <w:rPr>
                <w:rFonts w:ascii="Times New Roman" w:hAnsi="Times New Roman"/>
                <w:b/>
                <w:noProof/>
              </w:rPr>
            </w:pPr>
            <w:r>
              <w:rPr>
                <w:rFonts w:ascii="Times New Roman" w:hAnsi="Times New Roman"/>
                <w:b/>
                <w:noProof/>
              </w:rPr>
              <w:t>Proportionality</w:t>
            </w:r>
          </w:p>
        </w:tc>
        <w:tc>
          <w:tcPr>
            <w:tcW w:w="2268" w:type="dxa"/>
          </w:tcPr>
          <w:p>
            <w:pPr>
              <w:spacing w:after="60" w:line="240" w:lineRule="auto"/>
              <w:jc w:val="center"/>
              <w:rPr>
                <w:rFonts w:ascii="Times New Roman" w:hAnsi="Times New Roman"/>
                <w:b/>
                <w:noProof/>
              </w:rPr>
            </w:pPr>
            <w:r>
              <w:rPr>
                <w:rFonts w:ascii="Times New Roman" w:hAnsi="Times New Roman"/>
                <w:b/>
                <w:noProof/>
              </w:rPr>
              <w:t>n.a.</w:t>
            </w:r>
          </w:p>
        </w:tc>
        <w:tc>
          <w:tcPr>
            <w:tcW w:w="2126" w:type="dxa"/>
          </w:tcPr>
          <w:p>
            <w:pPr>
              <w:spacing w:after="60" w:line="240" w:lineRule="auto"/>
              <w:jc w:val="center"/>
              <w:rPr>
                <w:rFonts w:ascii="Times New Roman" w:hAnsi="Times New Roman"/>
                <w:b/>
                <w:noProof/>
              </w:rPr>
            </w:pPr>
            <w:r>
              <w:rPr>
                <w:rFonts w:ascii="Times New Roman" w:hAnsi="Times New Roman"/>
                <w:b/>
                <w:noProof/>
              </w:rPr>
              <w:t>n.a.</w:t>
            </w:r>
          </w:p>
        </w:tc>
        <w:tc>
          <w:tcPr>
            <w:tcW w:w="2657" w:type="dxa"/>
          </w:tcPr>
          <w:p>
            <w:pPr>
              <w:spacing w:after="60" w:line="240" w:lineRule="auto"/>
              <w:jc w:val="center"/>
              <w:rPr>
                <w:rFonts w:ascii="Times New Roman" w:hAnsi="Times New Roman"/>
                <w:b/>
                <w:noProof/>
              </w:rPr>
            </w:pPr>
            <w:r>
              <w:rPr>
                <w:rFonts w:ascii="Times New Roman" w:hAnsi="Times New Roman"/>
                <w:b/>
                <w:noProof/>
              </w:rPr>
              <w:t>n.a.</w:t>
            </w:r>
          </w:p>
        </w:tc>
      </w:tr>
      <w:tr>
        <w:tc>
          <w:tcPr>
            <w:tcW w:w="2235" w:type="dxa"/>
            <w:shd w:val="clear" w:color="auto" w:fill="D9D9D9" w:themeFill="background1" w:themeFillShade="D9"/>
          </w:tcPr>
          <w:p>
            <w:pPr>
              <w:spacing w:after="60" w:line="240" w:lineRule="auto"/>
              <w:rPr>
                <w:rFonts w:ascii="Times New Roman" w:hAnsi="Times New Roman"/>
                <w:b/>
                <w:noProof/>
              </w:rPr>
            </w:pPr>
            <w:r>
              <w:rPr>
                <w:rFonts w:ascii="Times New Roman" w:hAnsi="Times New Roman"/>
                <w:b/>
                <w:noProof/>
              </w:rPr>
              <w:t>Political feasibility</w:t>
            </w:r>
          </w:p>
        </w:tc>
        <w:tc>
          <w:tcPr>
            <w:tcW w:w="2268" w:type="dxa"/>
          </w:tcPr>
          <w:p>
            <w:pPr>
              <w:spacing w:after="60" w:line="240" w:lineRule="auto"/>
              <w:jc w:val="center"/>
              <w:rPr>
                <w:rFonts w:ascii="Times New Roman" w:hAnsi="Times New Roman"/>
                <w:b/>
                <w:noProof/>
              </w:rPr>
            </w:pPr>
            <w:r>
              <w:rPr>
                <w:rFonts w:ascii="Times New Roman" w:hAnsi="Times New Roman"/>
                <w:b/>
                <w:noProof/>
              </w:rPr>
              <w:t>Low</w:t>
            </w:r>
          </w:p>
        </w:tc>
        <w:tc>
          <w:tcPr>
            <w:tcW w:w="2126" w:type="dxa"/>
          </w:tcPr>
          <w:p>
            <w:pPr>
              <w:spacing w:after="60" w:line="240" w:lineRule="auto"/>
              <w:jc w:val="center"/>
              <w:rPr>
                <w:rFonts w:ascii="Times New Roman" w:hAnsi="Times New Roman"/>
                <w:b/>
                <w:noProof/>
              </w:rPr>
            </w:pPr>
            <w:r>
              <w:rPr>
                <w:rFonts w:ascii="Times New Roman" w:hAnsi="Times New Roman"/>
                <w:b/>
                <w:noProof/>
              </w:rPr>
              <w:t>Low</w:t>
            </w:r>
          </w:p>
        </w:tc>
        <w:tc>
          <w:tcPr>
            <w:tcW w:w="2657" w:type="dxa"/>
          </w:tcPr>
          <w:p>
            <w:pPr>
              <w:spacing w:after="60" w:line="240" w:lineRule="auto"/>
              <w:jc w:val="center"/>
              <w:rPr>
                <w:rFonts w:ascii="Times New Roman" w:hAnsi="Times New Roman"/>
                <w:b/>
                <w:noProof/>
              </w:rPr>
            </w:pPr>
            <w:r>
              <w:rPr>
                <w:rFonts w:ascii="Times New Roman" w:hAnsi="Times New Roman"/>
                <w:b/>
                <w:noProof/>
              </w:rPr>
              <w:t xml:space="preserve">High </w:t>
            </w:r>
          </w:p>
        </w:tc>
      </w:tr>
      <w:tr>
        <w:tc>
          <w:tcPr>
            <w:tcW w:w="2235" w:type="dxa"/>
            <w:shd w:val="clear" w:color="auto" w:fill="D9D9D9" w:themeFill="background1" w:themeFillShade="D9"/>
          </w:tcPr>
          <w:p>
            <w:pPr>
              <w:spacing w:after="60" w:line="240" w:lineRule="auto"/>
              <w:rPr>
                <w:rFonts w:ascii="Times New Roman" w:hAnsi="Times New Roman"/>
                <w:b/>
                <w:noProof/>
              </w:rPr>
            </w:pPr>
            <w:r>
              <w:rPr>
                <w:rFonts w:ascii="Times New Roman" w:hAnsi="Times New Roman"/>
                <w:b/>
                <w:noProof/>
              </w:rPr>
              <w:t>Relevance in achieving the specific objectives</w:t>
            </w:r>
          </w:p>
        </w:tc>
        <w:tc>
          <w:tcPr>
            <w:tcW w:w="2268" w:type="dxa"/>
          </w:tcPr>
          <w:p>
            <w:pPr>
              <w:spacing w:after="60" w:line="240" w:lineRule="auto"/>
              <w:jc w:val="center"/>
              <w:rPr>
                <w:rFonts w:ascii="Times New Roman" w:hAnsi="Times New Roman"/>
                <w:noProof/>
              </w:rPr>
            </w:pPr>
            <w:r>
              <w:rPr>
                <w:rFonts w:ascii="Times New Roman" w:hAnsi="Times New Roman"/>
                <w:b/>
                <w:noProof/>
              </w:rPr>
              <w:t xml:space="preserve">Low </w:t>
            </w:r>
            <w:r>
              <w:rPr>
                <w:rFonts w:ascii="Times New Roman" w:hAnsi="Times New Roman"/>
                <w:b/>
                <w:noProof/>
              </w:rPr>
              <w:br/>
            </w:r>
            <w:r>
              <w:rPr>
                <w:rFonts w:ascii="Times New Roman" w:hAnsi="Times New Roman"/>
                <w:noProof/>
              </w:rPr>
              <w:t>Participation would strongly  limit scale and scope of resources, and would not address the geographic area concerned by the common challenges</w:t>
            </w:r>
          </w:p>
        </w:tc>
        <w:tc>
          <w:tcPr>
            <w:tcW w:w="2126" w:type="dxa"/>
          </w:tcPr>
          <w:p>
            <w:pPr>
              <w:spacing w:after="60" w:line="240" w:lineRule="auto"/>
              <w:jc w:val="center"/>
              <w:rPr>
                <w:rFonts w:ascii="Times New Roman" w:hAnsi="Times New Roman"/>
                <w:b/>
                <w:noProof/>
              </w:rPr>
            </w:pPr>
            <w:r>
              <w:rPr>
                <w:rFonts w:ascii="Times New Roman" w:hAnsi="Times New Roman"/>
                <w:b/>
                <w:noProof/>
              </w:rPr>
              <w:t>Medium</w:t>
            </w:r>
            <w:r>
              <w:rPr>
                <w:rFonts w:ascii="Times New Roman" w:hAnsi="Times New Roman"/>
                <w:b/>
                <w:noProof/>
              </w:rPr>
              <w:br/>
            </w:r>
            <w:r>
              <w:rPr>
                <w:rFonts w:ascii="Times New Roman" w:hAnsi="Times New Roman"/>
                <w:noProof/>
              </w:rPr>
              <w:t>Participation would limit scale and scope of resources, and would not address the geographic area concerned by the common challenges</w:t>
            </w:r>
          </w:p>
        </w:tc>
        <w:tc>
          <w:tcPr>
            <w:tcW w:w="2657" w:type="dxa"/>
          </w:tcPr>
          <w:p>
            <w:pPr>
              <w:spacing w:after="60" w:line="240" w:lineRule="auto"/>
              <w:jc w:val="center"/>
              <w:rPr>
                <w:rFonts w:ascii="Times New Roman" w:hAnsi="Times New Roman"/>
                <w:b/>
                <w:noProof/>
              </w:rPr>
            </w:pPr>
            <w:r>
              <w:rPr>
                <w:rFonts w:ascii="Times New Roman" w:hAnsi="Times New Roman"/>
                <w:b/>
                <w:noProof/>
              </w:rPr>
              <w:t xml:space="preserve">High </w:t>
            </w:r>
            <w:r>
              <w:rPr>
                <w:rFonts w:ascii="Times New Roman" w:hAnsi="Times New Roman"/>
                <w:b/>
                <w:noProof/>
              </w:rPr>
              <w:br/>
            </w:r>
            <w:r>
              <w:rPr>
                <w:rFonts w:ascii="Times New Roman" w:hAnsi="Times New Roman"/>
                <w:noProof/>
              </w:rPr>
              <w:t>Full participation would ensure scale and scope of resources, and would adequately address the geographic area concerned by the common challenges</w:t>
            </w:r>
          </w:p>
        </w:tc>
      </w:tr>
    </w:tbl>
    <w:p>
      <w:pPr>
        <w:spacing w:after="120" w:line="240" w:lineRule="auto"/>
        <w:rPr>
          <w:rFonts w:ascii="Times New Roman" w:hAnsi="Times New Roman"/>
          <w:noProof/>
          <w:sz w:val="24"/>
        </w:rPr>
      </w:pPr>
    </w:p>
    <w:p>
      <w:pPr>
        <w:spacing w:after="120" w:line="240" w:lineRule="auto"/>
        <w:rPr>
          <w:rFonts w:ascii="Times New Roman" w:hAnsi="Times New Roman"/>
          <w:noProof/>
          <w:sz w:val="24"/>
        </w:rPr>
      </w:pPr>
    </w:p>
    <w:tbl>
      <w:tblPr>
        <w:tblStyle w:val="TableGrid"/>
        <w:tblW w:w="9464" w:type="dxa"/>
        <w:tblLook w:val="04A0" w:firstRow="1" w:lastRow="0" w:firstColumn="1" w:lastColumn="0" w:noHBand="0" w:noVBand="1"/>
      </w:tblPr>
      <w:tblGrid>
        <w:gridCol w:w="1671"/>
        <w:gridCol w:w="1903"/>
        <w:gridCol w:w="1904"/>
        <w:gridCol w:w="1904"/>
        <w:gridCol w:w="2082"/>
      </w:tblGrid>
      <w:tr>
        <w:tc>
          <w:tcPr>
            <w:tcW w:w="1671" w:type="dxa"/>
            <w:shd w:val="clear" w:color="auto" w:fill="D9D9D9" w:themeFill="background1" w:themeFillShade="D9"/>
          </w:tcPr>
          <w:p>
            <w:pPr>
              <w:spacing w:after="60" w:line="240" w:lineRule="auto"/>
              <w:rPr>
                <w:rFonts w:ascii="Times New Roman" w:hAnsi="Times New Roman"/>
                <w:b/>
                <w:noProof/>
              </w:rPr>
            </w:pPr>
            <w:r>
              <w:rPr>
                <w:rFonts w:ascii="Times New Roman" w:hAnsi="Times New Roman"/>
                <w:b/>
                <w:noProof/>
              </w:rPr>
              <w:t>Approach</w:t>
            </w:r>
          </w:p>
        </w:tc>
        <w:tc>
          <w:tcPr>
            <w:tcW w:w="1903" w:type="dxa"/>
            <w:shd w:val="clear" w:color="auto" w:fill="D9D9D9" w:themeFill="background1" w:themeFillShade="D9"/>
          </w:tcPr>
          <w:p>
            <w:pPr>
              <w:spacing w:after="60" w:line="240" w:lineRule="auto"/>
              <w:jc w:val="center"/>
              <w:rPr>
                <w:rFonts w:ascii="Times New Roman" w:hAnsi="Times New Roman"/>
                <w:b/>
                <w:noProof/>
              </w:rPr>
            </w:pPr>
            <w:r>
              <w:rPr>
                <w:rFonts w:ascii="Times New Roman" w:hAnsi="Times New Roman"/>
                <w:b/>
                <w:noProof/>
              </w:rPr>
              <w:t>Support to coordination between Participating States: ERA-NET Cofund</w:t>
            </w:r>
          </w:p>
        </w:tc>
        <w:tc>
          <w:tcPr>
            <w:tcW w:w="1904" w:type="dxa"/>
            <w:shd w:val="clear" w:color="auto" w:fill="D9D9D9" w:themeFill="background1" w:themeFillShade="D9"/>
          </w:tcPr>
          <w:p>
            <w:pPr>
              <w:spacing w:after="60" w:line="240" w:lineRule="auto"/>
              <w:jc w:val="center"/>
              <w:rPr>
                <w:rFonts w:ascii="Times New Roman" w:hAnsi="Times New Roman"/>
                <w:b/>
                <w:noProof/>
              </w:rPr>
            </w:pPr>
            <w:r>
              <w:rPr>
                <w:rFonts w:ascii="Times New Roman" w:hAnsi="Times New Roman"/>
                <w:b/>
                <w:noProof/>
              </w:rPr>
              <w:t xml:space="preserve">Support to coordination between Participating States: </w:t>
            </w:r>
            <w:r>
              <w:rPr>
                <w:rFonts w:ascii="Times New Roman" w:hAnsi="Times New Roman"/>
                <w:b/>
                <w:noProof/>
              </w:rPr>
              <w:br/>
              <w:t>EJP Cofund</w:t>
            </w:r>
          </w:p>
        </w:tc>
        <w:tc>
          <w:tcPr>
            <w:tcW w:w="1904" w:type="dxa"/>
            <w:shd w:val="clear" w:color="auto" w:fill="D9D9D9" w:themeFill="background1" w:themeFillShade="D9"/>
          </w:tcPr>
          <w:p>
            <w:pPr>
              <w:spacing w:after="60" w:line="240" w:lineRule="auto"/>
              <w:jc w:val="center"/>
              <w:rPr>
                <w:rFonts w:ascii="Times New Roman" w:hAnsi="Times New Roman"/>
                <w:b/>
                <w:noProof/>
              </w:rPr>
            </w:pPr>
            <w:r>
              <w:rPr>
                <w:rFonts w:ascii="Times New Roman" w:hAnsi="Times New Roman"/>
                <w:b/>
                <w:noProof/>
              </w:rPr>
              <w:t>Support to integration between Participating States: Article185</w:t>
            </w:r>
          </w:p>
        </w:tc>
        <w:tc>
          <w:tcPr>
            <w:tcW w:w="2082" w:type="dxa"/>
            <w:shd w:val="clear" w:color="auto" w:fill="D9D9D9" w:themeFill="background1" w:themeFillShade="D9"/>
          </w:tcPr>
          <w:p>
            <w:pPr>
              <w:spacing w:after="60" w:line="240" w:lineRule="auto"/>
              <w:jc w:val="center"/>
              <w:rPr>
                <w:rFonts w:ascii="Times New Roman" w:hAnsi="Times New Roman"/>
                <w:b/>
                <w:noProof/>
              </w:rPr>
            </w:pPr>
            <w:r>
              <w:rPr>
                <w:rFonts w:ascii="Times New Roman" w:hAnsi="Times New Roman"/>
                <w:b/>
                <w:noProof/>
              </w:rPr>
              <w:t>Support to public-private partnerships</w:t>
            </w:r>
          </w:p>
        </w:tc>
      </w:tr>
      <w:tr>
        <w:tc>
          <w:tcPr>
            <w:tcW w:w="1671" w:type="dxa"/>
            <w:shd w:val="clear" w:color="auto" w:fill="D9D9D9" w:themeFill="background1" w:themeFillShade="D9"/>
          </w:tcPr>
          <w:p>
            <w:pPr>
              <w:spacing w:after="60" w:line="240" w:lineRule="auto"/>
              <w:rPr>
                <w:rFonts w:ascii="Times New Roman" w:hAnsi="Times New Roman"/>
                <w:b/>
                <w:noProof/>
              </w:rPr>
            </w:pPr>
            <w:r>
              <w:rPr>
                <w:rFonts w:ascii="Times New Roman" w:hAnsi="Times New Roman"/>
                <w:b/>
                <w:noProof/>
              </w:rPr>
              <w:t>Legal feasibility</w:t>
            </w:r>
          </w:p>
        </w:tc>
        <w:tc>
          <w:tcPr>
            <w:tcW w:w="1903" w:type="dxa"/>
          </w:tcPr>
          <w:p>
            <w:pPr>
              <w:spacing w:after="60" w:line="240" w:lineRule="auto"/>
              <w:jc w:val="center"/>
              <w:rPr>
                <w:rFonts w:ascii="Times New Roman" w:hAnsi="Times New Roman"/>
                <w:noProof/>
              </w:rPr>
            </w:pPr>
            <w:r>
              <w:rPr>
                <w:rFonts w:ascii="Times New Roman" w:hAnsi="Times New Roman"/>
                <w:noProof/>
              </w:rPr>
              <w:t>Yes</w:t>
            </w:r>
          </w:p>
        </w:tc>
        <w:tc>
          <w:tcPr>
            <w:tcW w:w="1904" w:type="dxa"/>
          </w:tcPr>
          <w:p>
            <w:pPr>
              <w:spacing w:after="60" w:line="240" w:lineRule="auto"/>
              <w:jc w:val="center"/>
              <w:rPr>
                <w:rFonts w:ascii="Times New Roman" w:hAnsi="Times New Roman"/>
                <w:b/>
                <w:noProof/>
              </w:rPr>
            </w:pPr>
            <w:r>
              <w:rPr>
                <w:rFonts w:ascii="Times New Roman" w:hAnsi="Times New Roman"/>
                <w:b/>
                <w:noProof/>
              </w:rPr>
              <w:t>Yes</w:t>
            </w:r>
          </w:p>
        </w:tc>
        <w:tc>
          <w:tcPr>
            <w:tcW w:w="1904" w:type="dxa"/>
          </w:tcPr>
          <w:p>
            <w:pPr>
              <w:spacing w:after="60" w:line="240" w:lineRule="auto"/>
              <w:jc w:val="center"/>
              <w:rPr>
                <w:rFonts w:ascii="Times New Roman" w:hAnsi="Times New Roman"/>
                <w:b/>
                <w:noProof/>
              </w:rPr>
            </w:pPr>
            <w:r>
              <w:rPr>
                <w:rFonts w:ascii="Times New Roman" w:hAnsi="Times New Roman"/>
                <w:b/>
                <w:noProof/>
              </w:rPr>
              <w:t>Yes</w:t>
            </w:r>
          </w:p>
        </w:tc>
        <w:tc>
          <w:tcPr>
            <w:tcW w:w="2082" w:type="dxa"/>
          </w:tcPr>
          <w:p>
            <w:pPr>
              <w:spacing w:after="60" w:line="240" w:lineRule="auto"/>
              <w:jc w:val="center"/>
              <w:rPr>
                <w:rFonts w:ascii="Times New Roman" w:hAnsi="Times New Roman"/>
                <w:b/>
                <w:noProof/>
              </w:rPr>
            </w:pPr>
            <w:r>
              <w:rPr>
                <w:rFonts w:ascii="Times New Roman" w:hAnsi="Times New Roman"/>
                <w:b/>
                <w:noProof/>
              </w:rPr>
              <w:t>No</w:t>
            </w:r>
            <w:r>
              <w:rPr>
                <w:rFonts w:ascii="Times New Roman" w:hAnsi="Times New Roman"/>
                <w:b/>
                <w:noProof/>
              </w:rPr>
              <w:br/>
            </w:r>
            <w:r>
              <w:rPr>
                <w:rFonts w:ascii="Times New Roman" w:hAnsi="Times New Roman"/>
                <w:noProof/>
              </w:rPr>
              <w:t>Precondition for a JTI (strong commitment and leadership of industry not met).</w:t>
            </w:r>
          </w:p>
        </w:tc>
      </w:tr>
      <w:tr>
        <w:tc>
          <w:tcPr>
            <w:tcW w:w="1671" w:type="dxa"/>
            <w:shd w:val="clear" w:color="auto" w:fill="D9D9D9" w:themeFill="background1" w:themeFillShade="D9"/>
          </w:tcPr>
          <w:p>
            <w:pPr>
              <w:spacing w:after="60" w:line="240" w:lineRule="auto"/>
              <w:rPr>
                <w:rFonts w:ascii="Times New Roman" w:hAnsi="Times New Roman"/>
                <w:b/>
                <w:noProof/>
              </w:rPr>
            </w:pPr>
            <w:r>
              <w:rPr>
                <w:rFonts w:ascii="Times New Roman" w:hAnsi="Times New Roman"/>
                <w:b/>
                <w:noProof/>
              </w:rPr>
              <w:t>Technical feasibility</w:t>
            </w:r>
          </w:p>
        </w:tc>
        <w:tc>
          <w:tcPr>
            <w:tcW w:w="1903" w:type="dxa"/>
          </w:tcPr>
          <w:p>
            <w:pPr>
              <w:spacing w:after="60" w:line="240" w:lineRule="auto"/>
              <w:jc w:val="center"/>
              <w:rPr>
                <w:rFonts w:ascii="Times New Roman" w:hAnsi="Times New Roman"/>
                <w:b/>
                <w:noProof/>
              </w:rPr>
            </w:pPr>
            <w:r>
              <w:rPr>
                <w:rFonts w:ascii="Times New Roman" w:hAnsi="Times New Roman"/>
                <w:b/>
                <w:noProof/>
              </w:rPr>
              <w:t>n.a.</w:t>
            </w:r>
          </w:p>
        </w:tc>
        <w:tc>
          <w:tcPr>
            <w:tcW w:w="1904" w:type="dxa"/>
          </w:tcPr>
          <w:p>
            <w:pPr>
              <w:spacing w:after="60" w:line="240" w:lineRule="auto"/>
              <w:jc w:val="center"/>
              <w:rPr>
                <w:rFonts w:ascii="Times New Roman" w:hAnsi="Times New Roman"/>
                <w:b/>
                <w:noProof/>
              </w:rPr>
            </w:pPr>
            <w:r>
              <w:rPr>
                <w:rFonts w:ascii="Times New Roman" w:hAnsi="Times New Roman"/>
                <w:b/>
                <w:noProof/>
              </w:rPr>
              <w:t>n.a.</w:t>
            </w:r>
          </w:p>
        </w:tc>
        <w:tc>
          <w:tcPr>
            <w:tcW w:w="1904" w:type="dxa"/>
          </w:tcPr>
          <w:p>
            <w:pPr>
              <w:spacing w:after="60" w:line="240" w:lineRule="auto"/>
              <w:jc w:val="center"/>
              <w:rPr>
                <w:rFonts w:ascii="Times New Roman" w:hAnsi="Times New Roman"/>
                <w:b/>
                <w:noProof/>
              </w:rPr>
            </w:pPr>
            <w:r>
              <w:rPr>
                <w:rFonts w:ascii="Times New Roman" w:hAnsi="Times New Roman"/>
                <w:b/>
                <w:noProof/>
              </w:rPr>
              <w:t>n.a.</w:t>
            </w:r>
          </w:p>
        </w:tc>
        <w:tc>
          <w:tcPr>
            <w:tcW w:w="2082" w:type="dxa"/>
          </w:tcPr>
          <w:p>
            <w:pPr>
              <w:spacing w:after="60" w:line="240" w:lineRule="auto"/>
              <w:jc w:val="center"/>
              <w:rPr>
                <w:rFonts w:ascii="Times New Roman" w:hAnsi="Times New Roman"/>
                <w:b/>
                <w:noProof/>
              </w:rPr>
            </w:pPr>
            <w:r>
              <w:rPr>
                <w:rFonts w:ascii="Times New Roman" w:hAnsi="Times New Roman"/>
                <w:b/>
                <w:noProof/>
              </w:rPr>
              <w:t>n.a.</w:t>
            </w:r>
          </w:p>
        </w:tc>
      </w:tr>
      <w:tr>
        <w:tc>
          <w:tcPr>
            <w:tcW w:w="1671" w:type="dxa"/>
            <w:shd w:val="clear" w:color="auto" w:fill="D9D9D9" w:themeFill="background1" w:themeFillShade="D9"/>
          </w:tcPr>
          <w:p>
            <w:pPr>
              <w:spacing w:after="60" w:line="240" w:lineRule="auto"/>
              <w:rPr>
                <w:rFonts w:ascii="Times New Roman" w:hAnsi="Times New Roman"/>
                <w:b/>
                <w:noProof/>
              </w:rPr>
            </w:pPr>
            <w:r>
              <w:rPr>
                <w:rFonts w:ascii="Times New Roman" w:hAnsi="Times New Roman"/>
                <w:b/>
                <w:noProof/>
              </w:rPr>
              <w:t>Previous policy choices</w:t>
            </w:r>
          </w:p>
        </w:tc>
        <w:tc>
          <w:tcPr>
            <w:tcW w:w="1903" w:type="dxa"/>
          </w:tcPr>
          <w:p>
            <w:pPr>
              <w:spacing w:after="60" w:line="240" w:lineRule="auto"/>
              <w:jc w:val="center"/>
              <w:rPr>
                <w:rFonts w:ascii="Times New Roman" w:hAnsi="Times New Roman"/>
                <w:b/>
                <w:noProof/>
              </w:rPr>
            </w:pPr>
            <w:r>
              <w:rPr>
                <w:rFonts w:ascii="Times New Roman" w:hAnsi="Times New Roman"/>
                <w:b/>
                <w:noProof/>
              </w:rPr>
              <w:t>n.a.</w:t>
            </w:r>
          </w:p>
        </w:tc>
        <w:tc>
          <w:tcPr>
            <w:tcW w:w="1904" w:type="dxa"/>
          </w:tcPr>
          <w:p>
            <w:pPr>
              <w:spacing w:after="60" w:line="240" w:lineRule="auto"/>
              <w:jc w:val="center"/>
              <w:rPr>
                <w:rFonts w:ascii="Times New Roman" w:hAnsi="Times New Roman"/>
                <w:b/>
                <w:noProof/>
              </w:rPr>
            </w:pPr>
            <w:r>
              <w:rPr>
                <w:rFonts w:ascii="Times New Roman" w:hAnsi="Times New Roman"/>
                <w:b/>
                <w:noProof/>
              </w:rPr>
              <w:t>n.a.</w:t>
            </w:r>
          </w:p>
        </w:tc>
        <w:tc>
          <w:tcPr>
            <w:tcW w:w="1904" w:type="dxa"/>
          </w:tcPr>
          <w:p>
            <w:pPr>
              <w:spacing w:after="60" w:line="240" w:lineRule="auto"/>
              <w:jc w:val="center"/>
              <w:rPr>
                <w:rFonts w:ascii="Times New Roman" w:hAnsi="Times New Roman"/>
                <w:b/>
                <w:noProof/>
              </w:rPr>
            </w:pPr>
            <w:r>
              <w:rPr>
                <w:rFonts w:ascii="Times New Roman" w:hAnsi="Times New Roman"/>
                <w:b/>
                <w:noProof/>
              </w:rPr>
              <w:t>n.a.</w:t>
            </w:r>
          </w:p>
        </w:tc>
        <w:tc>
          <w:tcPr>
            <w:tcW w:w="2082" w:type="dxa"/>
          </w:tcPr>
          <w:p>
            <w:pPr>
              <w:spacing w:after="60" w:line="240" w:lineRule="auto"/>
              <w:jc w:val="center"/>
              <w:rPr>
                <w:rFonts w:ascii="Times New Roman" w:hAnsi="Times New Roman"/>
                <w:b/>
                <w:noProof/>
              </w:rPr>
            </w:pPr>
            <w:r>
              <w:rPr>
                <w:rFonts w:ascii="Times New Roman" w:hAnsi="Times New Roman"/>
                <w:b/>
                <w:noProof/>
              </w:rPr>
              <w:t>n.a.</w:t>
            </w:r>
          </w:p>
        </w:tc>
      </w:tr>
      <w:tr>
        <w:tc>
          <w:tcPr>
            <w:tcW w:w="1671" w:type="dxa"/>
            <w:shd w:val="clear" w:color="auto" w:fill="D9D9D9" w:themeFill="background1" w:themeFillShade="D9"/>
          </w:tcPr>
          <w:p>
            <w:pPr>
              <w:spacing w:after="60" w:line="240" w:lineRule="auto"/>
              <w:rPr>
                <w:rFonts w:ascii="Times New Roman" w:hAnsi="Times New Roman"/>
                <w:b/>
                <w:noProof/>
              </w:rPr>
            </w:pPr>
            <w:r>
              <w:rPr>
                <w:rFonts w:ascii="Times New Roman" w:hAnsi="Times New Roman"/>
                <w:b/>
                <w:noProof/>
              </w:rPr>
              <w:t>Coherence with other EU policy objectives</w:t>
            </w:r>
          </w:p>
        </w:tc>
        <w:tc>
          <w:tcPr>
            <w:tcW w:w="1903" w:type="dxa"/>
          </w:tcPr>
          <w:p>
            <w:pPr>
              <w:spacing w:after="60" w:line="240" w:lineRule="auto"/>
              <w:jc w:val="center"/>
              <w:rPr>
                <w:rFonts w:ascii="Times New Roman" w:hAnsi="Times New Roman"/>
                <w:b/>
                <w:noProof/>
              </w:rPr>
            </w:pPr>
            <w:r>
              <w:rPr>
                <w:rFonts w:ascii="Times New Roman" w:hAnsi="Times New Roman"/>
                <w:b/>
                <w:noProof/>
              </w:rPr>
              <w:t>High</w:t>
            </w:r>
          </w:p>
        </w:tc>
        <w:tc>
          <w:tcPr>
            <w:tcW w:w="1904" w:type="dxa"/>
          </w:tcPr>
          <w:p>
            <w:pPr>
              <w:spacing w:after="60" w:line="240" w:lineRule="auto"/>
              <w:jc w:val="center"/>
              <w:rPr>
                <w:rFonts w:ascii="Times New Roman" w:hAnsi="Times New Roman"/>
                <w:b/>
                <w:noProof/>
              </w:rPr>
            </w:pPr>
            <w:r>
              <w:rPr>
                <w:rFonts w:ascii="Times New Roman" w:hAnsi="Times New Roman"/>
                <w:b/>
                <w:noProof/>
              </w:rPr>
              <w:t>Medium</w:t>
            </w:r>
          </w:p>
        </w:tc>
        <w:tc>
          <w:tcPr>
            <w:tcW w:w="1904" w:type="dxa"/>
          </w:tcPr>
          <w:p>
            <w:pPr>
              <w:spacing w:after="60" w:line="240" w:lineRule="auto"/>
              <w:jc w:val="center"/>
              <w:rPr>
                <w:rFonts w:ascii="Times New Roman" w:hAnsi="Times New Roman"/>
                <w:b/>
                <w:noProof/>
              </w:rPr>
            </w:pPr>
            <w:r>
              <w:rPr>
                <w:rFonts w:ascii="Times New Roman" w:hAnsi="Times New Roman"/>
                <w:b/>
                <w:noProof/>
              </w:rPr>
              <w:t>High</w:t>
            </w:r>
          </w:p>
        </w:tc>
        <w:tc>
          <w:tcPr>
            <w:tcW w:w="2082" w:type="dxa"/>
          </w:tcPr>
          <w:p>
            <w:pPr>
              <w:spacing w:after="60" w:line="240" w:lineRule="auto"/>
              <w:jc w:val="center"/>
              <w:rPr>
                <w:rFonts w:ascii="Times New Roman" w:hAnsi="Times New Roman"/>
                <w:b/>
                <w:noProof/>
              </w:rPr>
            </w:pPr>
            <w:r>
              <w:rPr>
                <w:rFonts w:ascii="Times New Roman" w:hAnsi="Times New Roman"/>
                <w:b/>
                <w:noProof/>
              </w:rPr>
              <w:t>Low</w:t>
            </w:r>
          </w:p>
        </w:tc>
      </w:tr>
      <w:tr>
        <w:tc>
          <w:tcPr>
            <w:tcW w:w="1671" w:type="dxa"/>
            <w:shd w:val="clear" w:color="auto" w:fill="D9D9D9" w:themeFill="background1" w:themeFillShade="D9"/>
          </w:tcPr>
          <w:p>
            <w:pPr>
              <w:spacing w:after="60" w:line="240" w:lineRule="auto"/>
              <w:rPr>
                <w:rFonts w:ascii="Times New Roman" w:hAnsi="Times New Roman"/>
                <w:b/>
                <w:noProof/>
              </w:rPr>
            </w:pPr>
            <w:r>
              <w:rPr>
                <w:rFonts w:ascii="Times New Roman" w:hAnsi="Times New Roman"/>
                <w:b/>
                <w:noProof/>
              </w:rPr>
              <w:t>Effectiveness and efficiency</w:t>
            </w:r>
          </w:p>
        </w:tc>
        <w:tc>
          <w:tcPr>
            <w:tcW w:w="1903" w:type="dxa"/>
          </w:tcPr>
          <w:p>
            <w:pPr>
              <w:spacing w:after="60" w:line="240" w:lineRule="auto"/>
              <w:jc w:val="center"/>
              <w:rPr>
                <w:rFonts w:ascii="Times New Roman" w:hAnsi="Times New Roman"/>
                <w:b/>
                <w:noProof/>
              </w:rPr>
            </w:pPr>
            <w:r>
              <w:rPr>
                <w:rFonts w:ascii="Times New Roman" w:hAnsi="Times New Roman"/>
                <w:b/>
                <w:noProof/>
              </w:rPr>
              <w:t>Medium</w:t>
            </w:r>
          </w:p>
        </w:tc>
        <w:tc>
          <w:tcPr>
            <w:tcW w:w="1904" w:type="dxa"/>
          </w:tcPr>
          <w:p>
            <w:pPr>
              <w:spacing w:after="60" w:line="240" w:lineRule="auto"/>
              <w:jc w:val="center"/>
              <w:rPr>
                <w:rFonts w:ascii="Times New Roman" w:hAnsi="Times New Roman"/>
                <w:b/>
                <w:noProof/>
              </w:rPr>
            </w:pPr>
            <w:r>
              <w:rPr>
                <w:rFonts w:ascii="Times New Roman" w:hAnsi="Times New Roman"/>
                <w:b/>
                <w:noProof/>
              </w:rPr>
              <w:t>Low</w:t>
            </w:r>
          </w:p>
        </w:tc>
        <w:tc>
          <w:tcPr>
            <w:tcW w:w="1904" w:type="dxa"/>
          </w:tcPr>
          <w:p>
            <w:pPr>
              <w:spacing w:after="60" w:line="240" w:lineRule="auto"/>
              <w:jc w:val="center"/>
              <w:rPr>
                <w:rFonts w:ascii="Times New Roman" w:hAnsi="Times New Roman"/>
                <w:b/>
                <w:noProof/>
              </w:rPr>
            </w:pPr>
            <w:r>
              <w:rPr>
                <w:rFonts w:ascii="Times New Roman" w:hAnsi="Times New Roman"/>
                <w:b/>
                <w:noProof/>
              </w:rPr>
              <w:t>High</w:t>
            </w:r>
          </w:p>
        </w:tc>
        <w:tc>
          <w:tcPr>
            <w:tcW w:w="2082" w:type="dxa"/>
          </w:tcPr>
          <w:p>
            <w:pPr>
              <w:spacing w:after="60" w:line="240" w:lineRule="auto"/>
              <w:jc w:val="center"/>
              <w:rPr>
                <w:rFonts w:ascii="Times New Roman" w:hAnsi="Times New Roman"/>
                <w:b/>
                <w:noProof/>
              </w:rPr>
            </w:pPr>
            <w:r>
              <w:rPr>
                <w:rFonts w:ascii="Times New Roman" w:hAnsi="Times New Roman"/>
                <w:b/>
                <w:noProof/>
              </w:rPr>
              <w:t>Medium</w:t>
            </w:r>
          </w:p>
        </w:tc>
      </w:tr>
      <w:tr>
        <w:tc>
          <w:tcPr>
            <w:tcW w:w="1671" w:type="dxa"/>
            <w:shd w:val="clear" w:color="auto" w:fill="D9D9D9" w:themeFill="background1" w:themeFillShade="D9"/>
          </w:tcPr>
          <w:p>
            <w:pPr>
              <w:spacing w:after="60" w:line="240" w:lineRule="auto"/>
              <w:rPr>
                <w:rFonts w:ascii="Times New Roman" w:hAnsi="Times New Roman"/>
                <w:b/>
                <w:noProof/>
              </w:rPr>
            </w:pPr>
            <w:r>
              <w:rPr>
                <w:rFonts w:ascii="Times New Roman" w:hAnsi="Times New Roman"/>
                <w:b/>
                <w:noProof/>
              </w:rPr>
              <w:t>Proportionality</w:t>
            </w:r>
          </w:p>
        </w:tc>
        <w:tc>
          <w:tcPr>
            <w:tcW w:w="1903" w:type="dxa"/>
          </w:tcPr>
          <w:p>
            <w:pPr>
              <w:spacing w:after="60" w:line="240" w:lineRule="auto"/>
              <w:jc w:val="center"/>
              <w:rPr>
                <w:rFonts w:ascii="Times New Roman" w:hAnsi="Times New Roman"/>
                <w:b/>
                <w:noProof/>
              </w:rPr>
            </w:pPr>
            <w:r>
              <w:rPr>
                <w:rFonts w:ascii="Times New Roman" w:hAnsi="Times New Roman"/>
                <w:b/>
                <w:noProof/>
              </w:rPr>
              <w:t>n.a.</w:t>
            </w:r>
          </w:p>
        </w:tc>
        <w:tc>
          <w:tcPr>
            <w:tcW w:w="1904" w:type="dxa"/>
          </w:tcPr>
          <w:p>
            <w:pPr>
              <w:spacing w:after="60" w:line="240" w:lineRule="auto"/>
              <w:jc w:val="center"/>
              <w:rPr>
                <w:rFonts w:ascii="Times New Roman" w:hAnsi="Times New Roman"/>
                <w:b/>
                <w:noProof/>
              </w:rPr>
            </w:pPr>
            <w:r>
              <w:rPr>
                <w:rFonts w:ascii="Times New Roman" w:hAnsi="Times New Roman"/>
                <w:b/>
                <w:noProof/>
              </w:rPr>
              <w:t>n.a.</w:t>
            </w:r>
          </w:p>
        </w:tc>
        <w:tc>
          <w:tcPr>
            <w:tcW w:w="1904" w:type="dxa"/>
          </w:tcPr>
          <w:p>
            <w:pPr>
              <w:spacing w:after="60" w:line="240" w:lineRule="auto"/>
              <w:jc w:val="center"/>
              <w:rPr>
                <w:rFonts w:ascii="Times New Roman" w:hAnsi="Times New Roman"/>
                <w:b/>
                <w:noProof/>
              </w:rPr>
            </w:pPr>
            <w:r>
              <w:rPr>
                <w:rFonts w:ascii="Times New Roman" w:hAnsi="Times New Roman"/>
                <w:b/>
                <w:noProof/>
              </w:rPr>
              <w:t>n.a.</w:t>
            </w:r>
          </w:p>
        </w:tc>
        <w:tc>
          <w:tcPr>
            <w:tcW w:w="2082" w:type="dxa"/>
          </w:tcPr>
          <w:p>
            <w:pPr>
              <w:spacing w:after="60" w:line="240" w:lineRule="auto"/>
              <w:jc w:val="center"/>
              <w:rPr>
                <w:rFonts w:ascii="Times New Roman" w:hAnsi="Times New Roman"/>
                <w:b/>
                <w:noProof/>
              </w:rPr>
            </w:pPr>
            <w:r>
              <w:rPr>
                <w:rFonts w:ascii="Times New Roman" w:hAnsi="Times New Roman"/>
                <w:b/>
                <w:noProof/>
              </w:rPr>
              <w:t>n.a.</w:t>
            </w:r>
          </w:p>
        </w:tc>
      </w:tr>
      <w:tr>
        <w:tc>
          <w:tcPr>
            <w:tcW w:w="1671" w:type="dxa"/>
            <w:shd w:val="clear" w:color="auto" w:fill="D9D9D9" w:themeFill="background1" w:themeFillShade="D9"/>
          </w:tcPr>
          <w:p>
            <w:pPr>
              <w:spacing w:after="60" w:line="240" w:lineRule="auto"/>
              <w:rPr>
                <w:rFonts w:ascii="Times New Roman" w:hAnsi="Times New Roman"/>
                <w:b/>
                <w:noProof/>
              </w:rPr>
            </w:pPr>
            <w:r>
              <w:rPr>
                <w:rFonts w:ascii="Times New Roman" w:hAnsi="Times New Roman"/>
                <w:b/>
                <w:noProof/>
              </w:rPr>
              <w:t>Political feasibility</w:t>
            </w:r>
          </w:p>
        </w:tc>
        <w:tc>
          <w:tcPr>
            <w:tcW w:w="1903" w:type="dxa"/>
          </w:tcPr>
          <w:p>
            <w:pPr>
              <w:spacing w:after="60" w:line="240" w:lineRule="auto"/>
              <w:jc w:val="center"/>
              <w:rPr>
                <w:rFonts w:ascii="Times New Roman" w:hAnsi="Times New Roman"/>
                <w:b/>
                <w:noProof/>
              </w:rPr>
            </w:pPr>
            <w:r>
              <w:rPr>
                <w:rFonts w:ascii="Times New Roman" w:hAnsi="Times New Roman"/>
                <w:b/>
                <w:noProof/>
              </w:rPr>
              <w:t>Medium</w:t>
            </w:r>
          </w:p>
        </w:tc>
        <w:tc>
          <w:tcPr>
            <w:tcW w:w="1904" w:type="dxa"/>
          </w:tcPr>
          <w:p>
            <w:pPr>
              <w:spacing w:after="60" w:line="240" w:lineRule="auto"/>
              <w:jc w:val="center"/>
              <w:rPr>
                <w:rFonts w:ascii="Times New Roman" w:hAnsi="Times New Roman"/>
                <w:b/>
                <w:noProof/>
              </w:rPr>
            </w:pPr>
            <w:r>
              <w:rPr>
                <w:rFonts w:ascii="Times New Roman" w:hAnsi="Times New Roman"/>
                <w:b/>
                <w:noProof/>
              </w:rPr>
              <w:t>Low</w:t>
            </w:r>
          </w:p>
        </w:tc>
        <w:tc>
          <w:tcPr>
            <w:tcW w:w="1904" w:type="dxa"/>
          </w:tcPr>
          <w:p>
            <w:pPr>
              <w:spacing w:after="60" w:line="240" w:lineRule="auto"/>
              <w:jc w:val="center"/>
              <w:rPr>
                <w:rFonts w:ascii="Times New Roman" w:hAnsi="Times New Roman"/>
                <w:b/>
                <w:noProof/>
              </w:rPr>
            </w:pPr>
            <w:r>
              <w:rPr>
                <w:rFonts w:ascii="Times New Roman" w:hAnsi="Times New Roman"/>
                <w:b/>
                <w:noProof/>
              </w:rPr>
              <w:t xml:space="preserve">High </w:t>
            </w:r>
          </w:p>
        </w:tc>
        <w:tc>
          <w:tcPr>
            <w:tcW w:w="2082" w:type="dxa"/>
          </w:tcPr>
          <w:p>
            <w:pPr>
              <w:spacing w:after="60" w:line="240" w:lineRule="auto"/>
              <w:jc w:val="center"/>
              <w:rPr>
                <w:rFonts w:ascii="Times New Roman" w:hAnsi="Times New Roman"/>
                <w:b/>
                <w:noProof/>
              </w:rPr>
            </w:pPr>
            <w:r>
              <w:rPr>
                <w:rFonts w:ascii="Times New Roman" w:hAnsi="Times New Roman"/>
                <w:b/>
                <w:noProof/>
              </w:rPr>
              <w:t>No</w:t>
            </w:r>
          </w:p>
        </w:tc>
      </w:tr>
      <w:tr>
        <w:tc>
          <w:tcPr>
            <w:tcW w:w="1671" w:type="dxa"/>
            <w:shd w:val="clear" w:color="auto" w:fill="D9D9D9" w:themeFill="background1" w:themeFillShade="D9"/>
          </w:tcPr>
          <w:p>
            <w:pPr>
              <w:spacing w:after="60" w:line="240" w:lineRule="auto"/>
              <w:rPr>
                <w:rFonts w:ascii="Times New Roman" w:hAnsi="Times New Roman"/>
                <w:b/>
                <w:noProof/>
              </w:rPr>
            </w:pPr>
            <w:r>
              <w:rPr>
                <w:rFonts w:ascii="Times New Roman" w:hAnsi="Times New Roman"/>
                <w:b/>
                <w:noProof/>
              </w:rPr>
              <w:t>Relevance in achieving the specific objectives</w:t>
            </w:r>
          </w:p>
        </w:tc>
        <w:tc>
          <w:tcPr>
            <w:tcW w:w="1903" w:type="dxa"/>
          </w:tcPr>
          <w:p>
            <w:pPr>
              <w:spacing w:after="60" w:line="240" w:lineRule="auto"/>
              <w:jc w:val="center"/>
              <w:rPr>
                <w:rFonts w:ascii="Times New Roman" w:hAnsi="Times New Roman"/>
                <w:noProof/>
              </w:rPr>
            </w:pPr>
            <w:r>
              <w:rPr>
                <w:rFonts w:ascii="Times New Roman" w:hAnsi="Times New Roman"/>
                <w:b/>
                <w:noProof/>
              </w:rPr>
              <w:t xml:space="preserve">Medium </w:t>
            </w:r>
            <w:r>
              <w:rPr>
                <w:rFonts w:ascii="Times New Roman" w:hAnsi="Times New Roman"/>
                <w:b/>
                <w:noProof/>
              </w:rPr>
              <w:br/>
            </w:r>
            <w:r>
              <w:rPr>
                <w:rFonts w:ascii="Times New Roman" w:hAnsi="Times New Roman"/>
                <w:noProof/>
              </w:rPr>
              <w:t>Medium support to common long-term R&amp;I agendas, some support to National alignment, contributes to Critical mass of actors and resources, little support to Strengthening innovation capabilities</w:t>
            </w:r>
          </w:p>
        </w:tc>
        <w:tc>
          <w:tcPr>
            <w:tcW w:w="1904" w:type="dxa"/>
          </w:tcPr>
          <w:p>
            <w:pPr>
              <w:spacing w:after="60" w:line="240" w:lineRule="auto"/>
              <w:jc w:val="center"/>
              <w:rPr>
                <w:rFonts w:ascii="Times New Roman" w:hAnsi="Times New Roman"/>
                <w:b/>
                <w:noProof/>
              </w:rPr>
            </w:pPr>
            <w:r>
              <w:rPr>
                <w:rFonts w:ascii="Times New Roman" w:hAnsi="Times New Roman"/>
                <w:b/>
                <w:noProof/>
              </w:rPr>
              <w:t>Low</w:t>
            </w:r>
            <w:r>
              <w:rPr>
                <w:rFonts w:ascii="Times New Roman" w:hAnsi="Times New Roman"/>
                <w:b/>
                <w:noProof/>
              </w:rPr>
              <w:br/>
            </w:r>
            <w:r>
              <w:rPr>
                <w:rFonts w:ascii="Times New Roman" w:hAnsi="Times New Roman"/>
                <w:noProof/>
              </w:rPr>
              <w:t>Little support to common long-term R&amp;I agendas, little support to National alignment, limited Critical mass of actors and resources, no support to Strengthening innovation capabilities</w:t>
            </w:r>
          </w:p>
        </w:tc>
        <w:tc>
          <w:tcPr>
            <w:tcW w:w="1904" w:type="dxa"/>
          </w:tcPr>
          <w:p>
            <w:pPr>
              <w:spacing w:after="60" w:line="240" w:lineRule="auto"/>
              <w:jc w:val="center"/>
              <w:rPr>
                <w:rFonts w:ascii="Times New Roman" w:hAnsi="Times New Roman"/>
                <w:b/>
                <w:noProof/>
              </w:rPr>
            </w:pPr>
            <w:r>
              <w:rPr>
                <w:rFonts w:ascii="Times New Roman" w:hAnsi="Times New Roman"/>
                <w:b/>
                <w:noProof/>
              </w:rPr>
              <w:t xml:space="preserve">High </w:t>
            </w:r>
            <w:r>
              <w:rPr>
                <w:rFonts w:ascii="Times New Roman" w:hAnsi="Times New Roman"/>
                <w:b/>
                <w:noProof/>
              </w:rPr>
              <w:br/>
            </w:r>
            <w:r>
              <w:rPr>
                <w:rFonts w:ascii="Times New Roman" w:hAnsi="Times New Roman"/>
                <w:noProof/>
              </w:rPr>
              <w:t>Based on common long-term R&amp;I agendas, high support to National alignment, Critical mass of actors and resources, strong support to Strengthening innovation capabilities</w:t>
            </w:r>
          </w:p>
        </w:tc>
        <w:tc>
          <w:tcPr>
            <w:tcW w:w="2082" w:type="dxa"/>
          </w:tcPr>
          <w:p>
            <w:pPr>
              <w:spacing w:after="60" w:line="240" w:lineRule="auto"/>
              <w:jc w:val="center"/>
              <w:rPr>
                <w:rFonts w:ascii="Times New Roman" w:hAnsi="Times New Roman"/>
                <w:b/>
                <w:noProof/>
              </w:rPr>
            </w:pPr>
            <w:r>
              <w:rPr>
                <w:rFonts w:ascii="Times New Roman" w:hAnsi="Times New Roman"/>
                <w:b/>
                <w:noProof/>
              </w:rPr>
              <w:t>Low</w:t>
            </w:r>
            <w:r>
              <w:rPr>
                <w:rFonts w:ascii="Times New Roman" w:hAnsi="Times New Roman"/>
                <w:b/>
                <w:noProof/>
              </w:rPr>
              <w:br/>
            </w:r>
            <w:r>
              <w:rPr>
                <w:rFonts w:ascii="Times New Roman" w:hAnsi="Times New Roman"/>
                <w:noProof/>
              </w:rPr>
              <w:t>No support to common long-term R&amp;I agendas, no support to National alignment, contributes partially to Critical mass of actors and resources, medium support to Strengthening innovation capabilities</w:t>
            </w:r>
          </w:p>
        </w:tc>
      </w:tr>
    </w:tbl>
    <w:p>
      <w:pPr>
        <w:spacing w:after="120" w:line="240" w:lineRule="auto"/>
        <w:rPr>
          <w:rFonts w:ascii="Times New Roman" w:hAnsi="Times New Roman"/>
          <w:noProof/>
          <w:sz w:val="24"/>
        </w:rPr>
      </w:pPr>
    </w:p>
    <w:p>
      <w:pPr>
        <w:spacing w:after="120" w:line="240" w:lineRule="auto"/>
        <w:rPr>
          <w:rFonts w:ascii="Times New Roman" w:hAnsi="Times New Roman"/>
          <w:b/>
          <w:noProof/>
          <w:sz w:val="24"/>
        </w:rPr>
      </w:pPr>
      <w:r>
        <w:rPr>
          <w:rFonts w:ascii="Times New Roman" w:hAnsi="Times New Roman"/>
          <w:b/>
          <w:noProof/>
          <w:sz w:val="24"/>
        </w:rPr>
        <w:t>European Joint Programme Cofund (EJP Cofund)</w:t>
      </w:r>
    </w:p>
    <w:p>
      <w:pPr>
        <w:spacing w:after="120" w:line="240" w:lineRule="auto"/>
        <w:jc w:val="both"/>
        <w:rPr>
          <w:rFonts w:ascii="Times New Roman" w:hAnsi="Times New Roman"/>
          <w:noProof/>
          <w:sz w:val="24"/>
        </w:rPr>
      </w:pPr>
      <w:r>
        <w:rPr>
          <w:rFonts w:ascii="Times New Roman" w:hAnsi="Times New Roman"/>
          <w:noProof/>
          <w:sz w:val="24"/>
        </w:rPr>
        <w:t xml:space="preserve">EJP Cofund is a new type of action introduced in Horizon 2020 that is currently only used in selected pilots (one in 2016, a second under preparation for 2017). The EJP Cofund aims at pooling a critical mass of resources of publically funded research programmes with a focus on governmental research organisation in highly similar areas of expertise (mission driven research). The participation is limited to public entities that are mandated by their governments to participate, typically one or two per country. </w:t>
      </w:r>
    </w:p>
    <w:p>
      <w:pPr>
        <w:spacing w:after="120" w:line="240" w:lineRule="auto"/>
        <w:jc w:val="both"/>
        <w:rPr>
          <w:rFonts w:ascii="Times New Roman" w:hAnsi="Times New Roman"/>
          <w:noProof/>
          <w:sz w:val="24"/>
        </w:rPr>
      </w:pPr>
    </w:p>
    <w:p>
      <w:pPr>
        <w:spacing w:after="120" w:line="240" w:lineRule="auto"/>
        <w:rPr>
          <w:rFonts w:ascii="Times New Roman" w:hAnsi="Times New Roman"/>
          <w:b/>
          <w:noProof/>
          <w:sz w:val="24"/>
        </w:rPr>
      </w:pPr>
      <w:r>
        <w:rPr>
          <w:rFonts w:ascii="Times New Roman" w:hAnsi="Times New Roman"/>
          <w:b/>
          <w:noProof/>
          <w:sz w:val="24"/>
        </w:rPr>
        <w:t>Public-Private Partnerships</w:t>
      </w:r>
    </w:p>
    <w:p>
      <w:pPr>
        <w:spacing w:after="0" w:line="240" w:lineRule="auto"/>
        <w:rPr>
          <w:rFonts w:ascii="Times New Roman" w:hAnsi="Times New Roman"/>
          <w:noProof/>
          <w:sz w:val="24"/>
        </w:rPr>
      </w:pPr>
      <w:r>
        <w:rPr>
          <w:rFonts w:ascii="Times New Roman" w:hAnsi="Times New Roman"/>
          <w:noProof/>
          <w:sz w:val="24"/>
        </w:rPr>
        <w:t>The EU can establish public-private partnerships as so-called Joint Technology Initiatives (JTIs). They provide a way of creating new partnerships between publicly and privately-funded organisations involved in research, focussing on areas where research and technological development can contribute to European competitiveness and quality of life. They are designed to establish European leadership in certain technologies that are strategic to Europe's future and rely on the leadership and strong financial commitment from industry.</w:t>
      </w:r>
    </w:p>
    <w:p>
      <w:pPr>
        <w:spacing w:after="0" w:line="240" w:lineRule="auto"/>
        <w:rPr>
          <w:rFonts w:ascii="Times New Roman" w:eastAsia="Times New Roman" w:hAnsi="Times New Roman"/>
          <w:b/>
          <w:bCs/>
          <w:i/>
          <w:noProof/>
          <w:sz w:val="24"/>
          <w:szCs w:val="24"/>
        </w:rPr>
      </w:pPr>
      <w:r>
        <w:rPr>
          <w:rFonts w:ascii="Times New Roman" w:hAnsi="Times New Roman"/>
          <w:i/>
          <w:noProof/>
          <w:sz w:val="24"/>
          <w:szCs w:val="24"/>
        </w:rPr>
        <w:br w:type="page"/>
      </w:r>
    </w:p>
    <w:p>
      <w:pPr>
        <w:pStyle w:val="Heading2"/>
        <w:keepLines w:val="0"/>
        <w:suppressAutoHyphens/>
        <w:spacing w:before="0" w:after="240" w:line="240" w:lineRule="auto"/>
        <w:ind w:left="480"/>
        <w:jc w:val="both"/>
        <w:rPr>
          <w:rFonts w:ascii="Times New Roman" w:hAnsi="Times New Roman"/>
          <w:i/>
          <w:noProof/>
          <w:color w:val="auto"/>
          <w:sz w:val="24"/>
          <w:szCs w:val="24"/>
        </w:rPr>
      </w:pPr>
      <w:bookmarkStart w:id="494" w:name="_Toc455682319"/>
      <w:bookmarkStart w:id="495" w:name="_Toc455682879"/>
      <w:bookmarkStart w:id="496" w:name="_Toc457466110"/>
      <w:r>
        <w:rPr>
          <w:rFonts w:ascii="Times New Roman" w:hAnsi="Times New Roman"/>
          <w:i/>
          <w:noProof/>
          <w:color w:val="auto"/>
          <w:sz w:val="24"/>
          <w:szCs w:val="24"/>
        </w:rPr>
        <w:t>Annex 7: Who is affected by the initative and how</w:t>
      </w:r>
      <w:bookmarkStart w:id="497" w:name="_Toc452566293"/>
      <w:bookmarkEnd w:id="443"/>
      <w:bookmarkEnd w:id="444"/>
      <w:bookmarkEnd w:id="494"/>
      <w:bookmarkEnd w:id="495"/>
      <w:bookmarkEnd w:id="496"/>
      <w:bookmarkEnd w:id="497"/>
    </w:p>
    <w:p>
      <w:pPr>
        <w:spacing w:line="240" w:lineRule="auto"/>
        <w:jc w:val="both"/>
        <w:rPr>
          <w:rFonts w:ascii="Times New Roman" w:hAnsi="Times New Roman"/>
          <w:noProof/>
          <w:sz w:val="24"/>
        </w:rPr>
      </w:pPr>
      <w:r>
        <w:rPr>
          <w:rFonts w:ascii="Times New Roman" w:hAnsi="Times New Roman"/>
          <w:noProof/>
          <w:sz w:val="24"/>
        </w:rPr>
        <w:t>The following Tables 7.1 to 7.3 present an analysis of the actors affected by the initiative, considering the three Policy Options:</w:t>
      </w:r>
    </w:p>
    <w:p>
      <w:pPr>
        <w:pStyle w:val="ListParagraph"/>
        <w:numPr>
          <w:ilvl w:val="0"/>
          <w:numId w:val="22"/>
        </w:numPr>
        <w:spacing w:after="0" w:line="240" w:lineRule="auto"/>
        <w:ind w:left="284" w:hanging="284"/>
        <w:rPr>
          <w:rFonts w:ascii="Times New Roman" w:hAnsi="Times New Roman"/>
          <w:noProof/>
          <w:sz w:val="24"/>
        </w:rPr>
      </w:pPr>
      <w:r>
        <w:rPr>
          <w:rFonts w:ascii="Times New Roman" w:hAnsi="Times New Roman"/>
          <w:noProof/>
          <w:sz w:val="24"/>
        </w:rPr>
        <w:t>Policy Option 0. Baseline scenario;</w:t>
      </w:r>
    </w:p>
    <w:p>
      <w:pPr>
        <w:pStyle w:val="ListParagraph"/>
        <w:numPr>
          <w:ilvl w:val="0"/>
          <w:numId w:val="22"/>
        </w:numPr>
        <w:spacing w:before="240" w:after="0" w:line="240" w:lineRule="auto"/>
        <w:ind w:left="284" w:hanging="284"/>
        <w:rPr>
          <w:rFonts w:ascii="Times New Roman" w:hAnsi="Times New Roman"/>
          <w:noProof/>
          <w:sz w:val="24"/>
        </w:rPr>
      </w:pPr>
      <w:r>
        <w:rPr>
          <w:rFonts w:ascii="Times New Roman" w:hAnsi="Times New Roman"/>
          <w:noProof/>
          <w:sz w:val="24"/>
        </w:rPr>
        <w:t>Policy Option 1.ERA-NET Cofund action;</w:t>
      </w:r>
    </w:p>
    <w:p>
      <w:pPr>
        <w:pStyle w:val="ListParagraph"/>
        <w:numPr>
          <w:ilvl w:val="0"/>
          <w:numId w:val="22"/>
        </w:numPr>
        <w:spacing w:before="240" w:after="0" w:line="240" w:lineRule="auto"/>
        <w:ind w:left="284" w:hanging="284"/>
        <w:rPr>
          <w:rFonts w:ascii="Times New Roman" w:hAnsi="Times New Roman"/>
          <w:noProof/>
          <w:sz w:val="24"/>
        </w:rPr>
      </w:pPr>
      <w:r>
        <w:rPr>
          <w:rFonts w:ascii="Times New Roman" w:hAnsi="Times New Roman"/>
          <w:noProof/>
          <w:sz w:val="24"/>
        </w:rPr>
        <w:t>Policy Option 2. Article 185 TFEU.</w:t>
      </w:r>
    </w:p>
    <w:p>
      <w:pPr>
        <w:spacing w:before="120" w:line="240" w:lineRule="auto"/>
        <w:jc w:val="both"/>
        <w:rPr>
          <w:rFonts w:ascii="Times New Roman" w:hAnsi="Times New Roman"/>
          <w:noProof/>
          <w:sz w:val="24"/>
        </w:rPr>
      </w:pPr>
      <w:r>
        <w:rPr>
          <w:rFonts w:ascii="Times New Roman" w:hAnsi="Times New Roman"/>
          <w:noProof/>
          <w:sz w:val="24"/>
        </w:rPr>
        <w:t>The list of actors does not change with the Policy Option, but the type of effect, the actions needed to comply and the related uncertainties may change. In specific cases distinctions are made between the EU and third countries' stakeholders of a given 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2725"/>
        <w:gridCol w:w="2445"/>
        <w:gridCol w:w="2595"/>
      </w:tblGrid>
      <w:tr>
        <w:trPr>
          <w:cantSplit/>
        </w:trPr>
        <w:tc>
          <w:tcPr>
            <w:tcW w:w="9288" w:type="dxa"/>
            <w:gridSpan w:val="4"/>
            <w:shd w:val="clear" w:color="auto" w:fill="D9D9D9" w:themeFill="background1" w:themeFillShade="D9"/>
            <w:hideMark/>
          </w:tcPr>
          <w:p>
            <w:pPr>
              <w:spacing w:after="0" w:line="240" w:lineRule="auto"/>
              <w:jc w:val="center"/>
              <w:rPr>
                <w:rFonts w:ascii="Times New Roman" w:hAnsi="Times New Roman"/>
                <w:b/>
                <w:noProof/>
                <w:sz w:val="18"/>
                <w:lang w:val="en-US"/>
              </w:rPr>
            </w:pPr>
            <w:r>
              <w:rPr>
                <w:rFonts w:ascii="Times New Roman" w:hAnsi="Times New Roman"/>
                <w:b/>
                <w:noProof/>
                <w:sz w:val="18"/>
                <w:lang w:val="en-US"/>
              </w:rPr>
              <w:t>Policy Option 0: Baseline Scenario</w:t>
            </w:r>
          </w:p>
        </w:tc>
      </w:tr>
      <w:tr>
        <w:trPr>
          <w:cantSplit/>
        </w:trPr>
        <w:tc>
          <w:tcPr>
            <w:tcW w:w="1523" w:type="dxa"/>
            <w:shd w:val="clear" w:color="auto" w:fill="000000" w:themeFill="text1"/>
            <w:hideMark/>
          </w:tcPr>
          <w:p>
            <w:pPr>
              <w:spacing w:after="0" w:line="240" w:lineRule="auto"/>
              <w:jc w:val="center"/>
              <w:rPr>
                <w:rFonts w:ascii="Times New Roman" w:hAnsi="Times New Roman"/>
                <w:b/>
                <w:noProof/>
                <w:color w:val="FFFFFF" w:themeColor="background1"/>
                <w:sz w:val="18"/>
                <w:lang w:val="en-US"/>
              </w:rPr>
            </w:pPr>
            <w:r>
              <w:rPr>
                <w:rFonts w:ascii="Times New Roman" w:hAnsi="Times New Roman"/>
                <w:b/>
                <w:noProof/>
                <w:color w:val="FFFFFF" w:themeColor="background1"/>
                <w:sz w:val="18"/>
                <w:lang w:val="en-US"/>
              </w:rPr>
              <w:t>Who is affected</w:t>
            </w:r>
          </w:p>
        </w:tc>
        <w:tc>
          <w:tcPr>
            <w:tcW w:w="2725" w:type="dxa"/>
            <w:shd w:val="clear" w:color="auto" w:fill="000000" w:themeFill="text1"/>
            <w:hideMark/>
          </w:tcPr>
          <w:p>
            <w:pPr>
              <w:spacing w:after="0" w:line="240" w:lineRule="auto"/>
              <w:jc w:val="center"/>
              <w:rPr>
                <w:rFonts w:ascii="Times New Roman" w:hAnsi="Times New Roman"/>
                <w:b/>
                <w:noProof/>
                <w:color w:val="FFFFFF" w:themeColor="background1"/>
                <w:sz w:val="18"/>
                <w:lang w:val="en-US"/>
              </w:rPr>
            </w:pPr>
            <w:r>
              <w:rPr>
                <w:rFonts w:ascii="Times New Roman" w:hAnsi="Times New Roman"/>
                <w:b/>
                <w:noProof/>
                <w:color w:val="FFFFFF" w:themeColor="background1"/>
                <w:sz w:val="18"/>
                <w:lang w:val="en-US"/>
              </w:rPr>
              <w:t xml:space="preserve">How it is </w:t>
            </w:r>
          </w:p>
          <w:p>
            <w:pPr>
              <w:spacing w:after="0" w:line="240" w:lineRule="auto"/>
              <w:jc w:val="center"/>
              <w:rPr>
                <w:rFonts w:ascii="Times New Roman" w:hAnsi="Times New Roman"/>
                <w:b/>
                <w:noProof/>
                <w:color w:val="FFFFFF" w:themeColor="background1"/>
                <w:sz w:val="18"/>
                <w:lang w:val="en-US"/>
              </w:rPr>
            </w:pPr>
            <w:r>
              <w:rPr>
                <w:rFonts w:ascii="Times New Roman" w:hAnsi="Times New Roman"/>
                <w:b/>
                <w:noProof/>
                <w:color w:val="FFFFFF" w:themeColor="background1"/>
                <w:sz w:val="18"/>
                <w:lang w:val="en-US"/>
              </w:rPr>
              <w:t>affected</w:t>
            </w:r>
          </w:p>
        </w:tc>
        <w:tc>
          <w:tcPr>
            <w:tcW w:w="2445" w:type="dxa"/>
            <w:shd w:val="clear" w:color="auto" w:fill="000000" w:themeFill="text1"/>
            <w:hideMark/>
          </w:tcPr>
          <w:p>
            <w:pPr>
              <w:spacing w:after="0" w:line="240" w:lineRule="auto"/>
              <w:jc w:val="center"/>
              <w:rPr>
                <w:rFonts w:ascii="Times New Roman" w:hAnsi="Times New Roman"/>
                <w:b/>
                <w:noProof/>
                <w:color w:val="FFFFFF" w:themeColor="background1"/>
                <w:sz w:val="18"/>
                <w:lang w:val="en-US"/>
              </w:rPr>
            </w:pPr>
            <w:r>
              <w:rPr>
                <w:rFonts w:ascii="Times New Roman" w:hAnsi="Times New Roman"/>
                <w:b/>
                <w:noProof/>
                <w:color w:val="FFFFFF" w:themeColor="background1"/>
                <w:sz w:val="18"/>
                <w:lang w:val="en-US"/>
              </w:rPr>
              <w:t xml:space="preserve">Actions needed </w:t>
            </w:r>
          </w:p>
          <w:p>
            <w:pPr>
              <w:spacing w:after="0" w:line="240" w:lineRule="auto"/>
              <w:jc w:val="center"/>
              <w:rPr>
                <w:rFonts w:ascii="Times New Roman" w:hAnsi="Times New Roman"/>
                <w:b/>
                <w:noProof/>
                <w:color w:val="FFFFFF" w:themeColor="background1"/>
                <w:sz w:val="18"/>
                <w:lang w:val="en-US"/>
              </w:rPr>
            </w:pPr>
            <w:r>
              <w:rPr>
                <w:rFonts w:ascii="Times New Roman" w:hAnsi="Times New Roman"/>
                <w:b/>
                <w:noProof/>
                <w:color w:val="FFFFFF" w:themeColor="background1"/>
                <w:sz w:val="18"/>
                <w:lang w:val="en-US"/>
              </w:rPr>
              <w:t>to comply</w:t>
            </w:r>
          </w:p>
        </w:tc>
        <w:tc>
          <w:tcPr>
            <w:tcW w:w="2595" w:type="dxa"/>
            <w:shd w:val="clear" w:color="auto" w:fill="000000" w:themeFill="text1"/>
            <w:hideMark/>
          </w:tcPr>
          <w:p>
            <w:pPr>
              <w:spacing w:after="0" w:line="240" w:lineRule="auto"/>
              <w:jc w:val="center"/>
              <w:rPr>
                <w:rFonts w:ascii="Times New Roman" w:hAnsi="Times New Roman"/>
                <w:b/>
                <w:noProof/>
                <w:color w:val="FFFFFF" w:themeColor="background1"/>
                <w:sz w:val="18"/>
                <w:lang w:val="en-US"/>
              </w:rPr>
            </w:pPr>
            <w:r>
              <w:rPr>
                <w:rFonts w:ascii="Times New Roman" w:hAnsi="Times New Roman"/>
                <w:b/>
                <w:noProof/>
                <w:color w:val="FFFFFF" w:themeColor="background1"/>
                <w:sz w:val="18"/>
                <w:lang w:val="en-US"/>
              </w:rPr>
              <w:t>Related</w:t>
            </w:r>
          </w:p>
          <w:p>
            <w:pPr>
              <w:spacing w:after="0" w:line="240" w:lineRule="auto"/>
              <w:jc w:val="center"/>
              <w:rPr>
                <w:rFonts w:ascii="Times New Roman" w:hAnsi="Times New Roman"/>
                <w:b/>
                <w:noProof/>
                <w:color w:val="FFFFFF" w:themeColor="background1"/>
                <w:sz w:val="18"/>
                <w:lang w:val="en-US"/>
              </w:rPr>
            </w:pPr>
            <w:r>
              <w:rPr>
                <w:rFonts w:ascii="Times New Roman" w:hAnsi="Times New Roman"/>
                <w:b/>
                <w:noProof/>
                <w:color w:val="FFFFFF" w:themeColor="background1"/>
                <w:sz w:val="18"/>
                <w:lang w:val="en-US"/>
              </w:rPr>
              <w:t>uncertainties</w:t>
            </w:r>
          </w:p>
        </w:tc>
      </w:tr>
      <w:tr>
        <w:trPr>
          <w:cantSplit/>
        </w:trPr>
        <w:tc>
          <w:tcPr>
            <w:tcW w:w="1523" w:type="dxa"/>
            <w:vAlign w:val="center"/>
            <w:hideMark/>
          </w:tcPr>
          <w:p>
            <w:pPr>
              <w:spacing w:after="0" w:line="240" w:lineRule="auto"/>
              <w:rPr>
                <w:rFonts w:ascii="Times New Roman" w:hAnsi="Times New Roman"/>
                <w:noProof/>
                <w:sz w:val="18"/>
                <w:lang w:val="en-US"/>
              </w:rPr>
            </w:pPr>
            <w:r>
              <w:rPr>
                <w:rFonts w:ascii="Times New Roman" w:hAnsi="Times New Roman"/>
                <w:noProof/>
                <w:sz w:val="18"/>
                <w:lang w:val="en-US"/>
              </w:rPr>
              <w:t>R&amp;I Ministries of the partner countries</w:t>
            </w:r>
          </w:p>
          <w:p>
            <w:pPr>
              <w:spacing w:after="0" w:line="240" w:lineRule="auto"/>
              <w:rPr>
                <w:rFonts w:ascii="Times New Roman" w:hAnsi="Times New Roman"/>
                <w:noProof/>
                <w:sz w:val="18"/>
                <w:lang w:val="en-US"/>
              </w:rPr>
            </w:pPr>
            <w:r>
              <w:rPr>
                <w:rFonts w:ascii="Times New Roman" w:hAnsi="Times New Roman"/>
                <w:noProof/>
                <w:sz w:val="18"/>
                <w:lang w:val="en-US"/>
              </w:rPr>
              <w:t>(National R&amp;I policy makers)</w:t>
            </w:r>
          </w:p>
        </w:tc>
        <w:tc>
          <w:tcPr>
            <w:tcW w:w="2725" w:type="dxa"/>
            <w:vAlign w:val="center"/>
            <w:hideMark/>
          </w:tcPr>
          <w:p>
            <w:pPr>
              <w:spacing w:after="0" w:line="240" w:lineRule="auto"/>
              <w:rPr>
                <w:rFonts w:ascii="Times New Roman" w:hAnsi="Times New Roman"/>
                <w:noProof/>
                <w:sz w:val="18"/>
                <w:lang w:val="en-US"/>
              </w:rPr>
            </w:pPr>
            <w:r>
              <w:rPr>
                <w:rFonts w:ascii="Times New Roman" w:hAnsi="Times New Roman"/>
                <w:noProof/>
                <w:sz w:val="18"/>
                <w:lang w:val="en-US"/>
              </w:rPr>
              <w:t>Ministries will develop their policies following national interests exclusively. They will lose prospects for co-management or co-ownership of Mediterranean R&amp;I programmes.</w:t>
            </w:r>
          </w:p>
        </w:tc>
        <w:tc>
          <w:tcPr>
            <w:tcW w:w="2445" w:type="dxa"/>
            <w:vAlign w:val="center"/>
            <w:hideMark/>
          </w:tcPr>
          <w:p>
            <w:pPr>
              <w:spacing w:after="0" w:line="240" w:lineRule="auto"/>
              <w:rPr>
                <w:rFonts w:ascii="Times New Roman" w:hAnsi="Times New Roman"/>
                <w:noProof/>
                <w:sz w:val="18"/>
                <w:lang w:val="en-US"/>
              </w:rPr>
            </w:pPr>
            <w:r>
              <w:rPr>
                <w:rFonts w:ascii="Times New Roman" w:hAnsi="Times New Roman"/>
                <w:noProof/>
                <w:sz w:val="18"/>
                <w:lang w:val="en-US"/>
              </w:rPr>
              <w:t>No specific action is required to comply</w:t>
            </w:r>
          </w:p>
        </w:tc>
        <w:tc>
          <w:tcPr>
            <w:tcW w:w="2595" w:type="dxa"/>
            <w:vAlign w:val="center"/>
            <w:hideMark/>
          </w:tcPr>
          <w:p>
            <w:pPr>
              <w:spacing w:after="0" w:line="240" w:lineRule="auto"/>
              <w:rPr>
                <w:rFonts w:ascii="Times New Roman" w:hAnsi="Times New Roman"/>
                <w:noProof/>
                <w:sz w:val="18"/>
                <w:lang w:val="en-US"/>
              </w:rPr>
            </w:pPr>
            <w:r>
              <w:rPr>
                <w:rFonts w:ascii="Times New Roman" w:hAnsi="Times New Roman"/>
                <w:noProof/>
                <w:sz w:val="18"/>
                <w:lang w:val="en-US"/>
              </w:rPr>
              <w:t>National policies may become disconnected from Mediterranean efforts. Fragmentation and duplication will increase. This Policy Option puts an end to Mediterranean R&amp;I cooperation.</w:t>
            </w:r>
          </w:p>
        </w:tc>
      </w:tr>
      <w:tr>
        <w:trPr>
          <w:cantSplit/>
        </w:trPr>
        <w:tc>
          <w:tcPr>
            <w:tcW w:w="1523" w:type="dxa"/>
            <w:vAlign w:val="center"/>
            <w:hideMark/>
          </w:tcPr>
          <w:p>
            <w:pPr>
              <w:spacing w:after="0" w:line="240" w:lineRule="auto"/>
              <w:rPr>
                <w:rFonts w:ascii="Times New Roman" w:hAnsi="Times New Roman"/>
                <w:noProof/>
                <w:sz w:val="18"/>
                <w:lang w:val="en-US"/>
              </w:rPr>
            </w:pPr>
            <w:r>
              <w:rPr>
                <w:rFonts w:ascii="Times New Roman" w:hAnsi="Times New Roman"/>
                <w:noProof/>
                <w:sz w:val="18"/>
                <w:lang w:val="en-US"/>
              </w:rPr>
              <w:t>R&amp;I Programmes of the Partner Countries</w:t>
            </w:r>
          </w:p>
          <w:p>
            <w:pPr>
              <w:spacing w:after="0" w:line="240" w:lineRule="auto"/>
              <w:rPr>
                <w:rFonts w:ascii="Times New Roman" w:hAnsi="Times New Roman"/>
                <w:noProof/>
                <w:sz w:val="18"/>
                <w:lang w:val="en-US"/>
              </w:rPr>
            </w:pPr>
            <w:r>
              <w:rPr>
                <w:rFonts w:ascii="Times New Roman" w:hAnsi="Times New Roman"/>
                <w:noProof/>
                <w:sz w:val="18"/>
                <w:lang w:val="en-US"/>
              </w:rPr>
              <w:t>(R&amp;I Funding Organisations)</w:t>
            </w:r>
          </w:p>
        </w:tc>
        <w:tc>
          <w:tcPr>
            <w:tcW w:w="2725" w:type="dxa"/>
            <w:vAlign w:val="center"/>
            <w:hideMark/>
          </w:tcPr>
          <w:p>
            <w:pPr>
              <w:spacing w:after="0" w:line="240" w:lineRule="auto"/>
              <w:rPr>
                <w:rFonts w:ascii="Times New Roman" w:hAnsi="Times New Roman"/>
                <w:noProof/>
                <w:sz w:val="18"/>
                <w:lang w:val="en-US"/>
              </w:rPr>
            </w:pPr>
            <w:r>
              <w:rPr>
                <w:rFonts w:ascii="Times New Roman" w:hAnsi="Times New Roman"/>
                <w:noProof/>
                <w:sz w:val="18"/>
                <w:lang w:val="en-US"/>
              </w:rPr>
              <w:t>R&amp;I programmes will continue with their national programing. Mediterranean ERA-NETs will be discontinued, with increased funding for national activities and discontinued participation in ERA-NET meetings.</w:t>
            </w:r>
          </w:p>
        </w:tc>
        <w:tc>
          <w:tcPr>
            <w:tcW w:w="2445" w:type="dxa"/>
            <w:vAlign w:val="center"/>
            <w:hideMark/>
          </w:tcPr>
          <w:p>
            <w:pPr>
              <w:spacing w:after="0" w:line="240" w:lineRule="auto"/>
              <w:rPr>
                <w:rFonts w:ascii="Times New Roman" w:hAnsi="Times New Roman"/>
                <w:noProof/>
                <w:sz w:val="18"/>
                <w:lang w:val="en-US"/>
              </w:rPr>
            </w:pPr>
            <w:r>
              <w:rPr>
                <w:rFonts w:ascii="Times New Roman" w:hAnsi="Times New Roman"/>
                <w:noProof/>
                <w:sz w:val="18"/>
                <w:lang w:val="en-US"/>
              </w:rPr>
              <w:t>No specific action is required to comply</w:t>
            </w:r>
          </w:p>
        </w:tc>
        <w:tc>
          <w:tcPr>
            <w:tcW w:w="2595" w:type="dxa"/>
            <w:vAlign w:val="center"/>
            <w:hideMark/>
          </w:tcPr>
          <w:p>
            <w:pPr>
              <w:spacing w:after="0" w:line="240" w:lineRule="auto"/>
              <w:rPr>
                <w:rFonts w:ascii="Times New Roman" w:hAnsi="Times New Roman"/>
                <w:noProof/>
                <w:sz w:val="18"/>
                <w:lang w:val="en-US"/>
              </w:rPr>
            </w:pPr>
            <w:r>
              <w:rPr>
                <w:rFonts w:ascii="Times New Roman" w:hAnsi="Times New Roman"/>
                <w:noProof/>
                <w:sz w:val="18"/>
                <w:lang w:val="en-US"/>
              </w:rPr>
              <w:t>National policies may become disconnected from Mediterranean efforts. Fragmentation and duplication will increase.</w:t>
            </w:r>
          </w:p>
        </w:tc>
      </w:tr>
      <w:tr>
        <w:trPr>
          <w:cantSplit/>
        </w:trPr>
        <w:tc>
          <w:tcPr>
            <w:tcW w:w="1523" w:type="dxa"/>
            <w:vAlign w:val="center"/>
            <w:hideMark/>
          </w:tcPr>
          <w:p>
            <w:pPr>
              <w:spacing w:after="0" w:line="240" w:lineRule="auto"/>
              <w:rPr>
                <w:rFonts w:ascii="Times New Roman" w:hAnsi="Times New Roman"/>
                <w:noProof/>
                <w:sz w:val="18"/>
                <w:lang w:val="en-US"/>
              </w:rPr>
            </w:pPr>
            <w:r>
              <w:rPr>
                <w:rFonts w:ascii="Times New Roman" w:hAnsi="Times New Roman"/>
                <w:noProof/>
                <w:sz w:val="18"/>
                <w:lang w:val="en-US"/>
              </w:rPr>
              <w:t>Public R&amp;I performing organisations</w:t>
            </w:r>
          </w:p>
        </w:tc>
        <w:tc>
          <w:tcPr>
            <w:tcW w:w="2725" w:type="dxa"/>
            <w:vAlign w:val="center"/>
            <w:hideMark/>
          </w:tcPr>
          <w:p>
            <w:pPr>
              <w:spacing w:after="0" w:line="240" w:lineRule="auto"/>
              <w:rPr>
                <w:rFonts w:ascii="Times New Roman" w:hAnsi="Times New Roman"/>
                <w:noProof/>
                <w:sz w:val="18"/>
                <w:lang w:val="en-US"/>
              </w:rPr>
            </w:pPr>
            <w:r>
              <w:rPr>
                <w:rFonts w:ascii="Times New Roman" w:hAnsi="Times New Roman"/>
                <w:noProof/>
                <w:sz w:val="18"/>
                <w:lang w:val="en-US"/>
              </w:rPr>
              <w:t>Discontinuation of Mediterranean ERA-NETs will decrease opportunities for regional cooperation. Opportunities for national activities could increase.</w:t>
            </w:r>
          </w:p>
        </w:tc>
        <w:tc>
          <w:tcPr>
            <w:tcW w:w="2445" w:type="dxa"/>
            <w:vAlign w:val="center"/>
            <w:hideMark/>
          </w:tcPr>
          <w:p>
            <w:pPr>
              <w:spacing w:after="0" w:line="240" w:lineRule="auto"/>
              <w:rPr>
                <w:rFonts w:ascii="Times New Roman" w:hAnsi="Times New Roman"/>
                <w:noProof/>
                <w:sz w:val="18"/>
                <w:lang w:val="en-US"/>
              </w:rPr>
            </w:pPr>
            <w:r>
              <w:rPr>
                <w:rFonts w:ascii="Times New Roman" w:hAnsi="Times New Roman"/>
                <w:noProof/>
                <w:sz w:val="18"/>
                <w:lang w:val="en-US"/>
              </w:rPr>
              <w:t>No specific action is required to comply</w:t>
            </w:r>
          </w:p>
        </w:tc>
        <w:tc>
          <w:tcPr>
            <w:tcW w:w="2595" w:type="dxa"/>
            <w:vAlign w:val="center"/>
            <w:hideMark/>
          </w:tcPr>
          <w:p>
            <w:pPr>
              <w:spacing w:after="0" w:line="240" w:lineRule="auto"/>
              <w:rPr>
                <w:rFonts w:ascii="Times New Roman" w:hAnsi="Times New Roman"/>
                <w:noProof/>
                <w:sz w:val="18"/>
                <w:lang w:val="en-US"/>
              </w:rPr>
            </w:pPr>
            <w:r>
              <w:rPr>
                <w:rFonts w:ascii="Times New Roman" w:hAnsi="Times New Roman"/>
                <w:noProof/>
                <w:sz w:val="18"/>
                <w:lang w:val="en-US"/>
              </w:rPr>
              <w:t>The public R&amp;I system may be disconnected from regional R&amp;I activities. This is particularly important for third countries.</w:t>
            </w:r>
          </w:p>
        </w:tc>
      </w:tr>
      <w:tr>
        <w:trPr>
          <w:cantSplit/>
        </w:trPr>
        <w:tc>
          <w:tcPr>
            <w:tcW w:w="1523" w:type="dxa"/>
            <w:vAlign w:val="center"/>
            <w:hideMark/>
          </w:tcPr>
          <w:p>
            <w:pPr>
              <w:spacing w:after="0" w:line="240" w:lineRule="auto"/>
              <w:rPr>
                <w:rFonts w:ascii="Times New Roman" w:hAnsi="Times New Roman"/>
                <w:noProof/>
                <w:sz w:val="18"/>
                <w:lang w:val="en-US"/>
              </w:rPr>
            </w:pPr>
            <w:r>
              <w:rPr>
                <w:rFonts w:ascii="Times New Roman" w:hAnsi="Times New Roman"/>
                <w:noProof/>
                <w:sz w:val="18"/>
                <w:lang w:val="en-US"/>
              </w:rPr>
              <w:t>Large companies</w:t>
            </w:r>
          </w:p>
        </w:tc>
        <w:tc>
          <w:tcPr>
            <w:tcW w:w="2725" w:type="dxa"/>
            <w:vAlign w:val="center"/>
            <w:hideMark/>
          </w:tcPr>
          <w:p>
            <w:pPr>
              <w:spacing w:after="0" w:line="240" w:lineRule="auto"/>
              <w:rPr>
                <w:rFonts w:ascii="Times New Roman" w:hAnsi="Times New Roman"/>
                <w:noProof/>
                <w:sz w:val="18"/>
                <w:lang w:val="en-US"/>
              </w:rPr>
            </w:pPr>
            <w:r>
              <w:rPr>
                <w:rFonts w:ascii="Times New Roman" w:hAnsi="Times New Roman"/>
                <w:noProof/>
                <w:sz w:val="18"/>
                <w:lang w:val="en-US"/>
              </w:rPr>
              <w:t>Large companies could obtain support from Horizon 2020 calls within specific topics.</w:t>
            </w:r>
          </w:p>
        </w:tc>
        <w:tc>
          <w:tcPr>
            <w:tcW w:w="2445" w:type="dxa"/>
            <w:vAlign w:val="center"/>
            <w:hideMark/>
          </w:tcPr>
          <w:p>
            <w:pPr>
              <w:spacing w:after="0" w:line="240" w:lineRule="auto"/>
              <w:rPr>
                <w:rFonts w:ascii="Times New Roman" w:hAnsi="Times New Roman"/>
                <w:noProof/>
                <w:sz w:val="18"/>
                <w:lang w:val="en-US"/>
              </w:rPr>
            </w:pPr>
            <w:r>
              <w:rPr>
                <w:rFonts w:ascii="Times New Roman" w:hAnsi="Times New Roman"/>
                <w:noProof/>
                <w:sz w:val="18"/>
                <w:lang w:val="en-US"/>
              </w:rPr>
              <w:t>No specific action is required to comply</w:t>
            </w:r>
          </w:p>
        </w:tc>
        <w:tc>
          <w:tcPr>
            <w:tcW w:w="2595" w:type="dxa"/>
            <w:vAlign w:val="center"/>
            <w:hideMark/>
          </w:tcPr>
          <w:p>
            <w:pPr>
              <w:spacing w:after="0" w:line="240" w:lineRule="auto"/>
              <w:rPr>
                <w:rFonts w:ascii="Times New Roman" w:hAnsi="Times New Roman"/>
                <w:noProof/>
                <w:sz w:val="18"/>
                <w:lang w:val="en-US"/>
              </w:rPr>
            </w:pPr>
            <w:r>
              <w:rPr>
                <w:rFonts w:ascii="Times New Roman" w:hAnsi="Times New Roman"/>
                <w:noProof/>
                <w:sz w:val="18"/>
                <w:lang w:val="en-US"/>
              </w:rPr>
              <w:t>The private R&amp;I system may be disconnected from regional R&amp;I activities. This is particularly important for third countries.</w:t>
            </w:r>
          </w:p>
        </w:tc>
      </w:tr>
      <w:tr>
        <w:trPr>
          <w:cantSplit/>
        </w:trPr>
        <w:tc>
          <w:tcPr>
            <w:tcW w:w="1523" w:type="dxa"/>
            <w:vAlign w:val="center"/>
            <w:hideMark/>
          </w:tcPr>
          <w:p>
            <w:pPr>
              <w:spacing w:after="0" w:line="240" w:lineRule="auto"/>
              <w:rPr>
                <w:rFonts w:ascii="Times New Roman" w:hAnsi="Times New Roman"/>
                <w:noProof/>
                <w:sz w:val="18"/>
                <w:lang w:val="en-US"/>
              </w:rPr>
            </w:pPr>
            <w:r>
              <w:rPr>
                <w:rFonts w:ascii="Times New Roman" w:hAnsi="Times New Roman"/>
                <w:noProof/>
                <w:sz w:val="18"/>
                <w:lang w:val="en-US"/>
              </w:rPr>
              <w:t>SMEs</w:t>
            </w:r>
          </w:p>
        </w:tc>
        <w:tc>
          <w:tcPr>
            <w:tcW w:w="2725" w:type="dxa"/>
            <w:vAlign w:val="center"/>
            <w:hideMark/>
          </w:tcPr>
          <w:p>
            <w:pPr>
              <w:spacing w:after="0" w:line="240" w:lineRule="auto"/>
              <w:rPr>
                <w:rFonts w:ascii="Times New Roman" w:hAnsi="Times New Roman"/>
                <w:noProof/>
                <w:sz w:val="18"/>
                <w:lang w:val="en-US"/>
              </w:rPr>
            </w:pPr>
            <w:r>
              <w:rPr>
                <w:rFonts w:ascii="Times New Roman" w:hAnsi="Times New Roman"/>
                <w:noProof/>
                <w:sz w:val="18"/>
                <w:lang w:val="en-US"/>
              </w:rPr>
              <w:t xml:space="preserve">SMEs could obtain support from Horizon 2020 calls within specific topics. </w:t>
            </w:r>
          </w:p>
        </w:tc>
        <w:tc>
          <w:tcPr>
            <w:tcW w:w="2445" w:type="dxa"/>
            <w:vAlign w:val="center"/>
            <w:hideMark/>
          </w:tcPr>
          <w:p>
            <w:pPr>
              <w:spacing w:after="0" w:line="240" w:lineRule="auto"/>
              <w:rPr>
                <w:rFonts w:ascii="Times New Roman" w:hAnsi="Times New Roman"/>
                <w:noProof/>
                <w:sz w:val="18"/>
                <w:lang w:val="en-US"/>
              </w:rPr>
            </w:pPr>
            <w:r>
              <w:rPr>
                <w:rFonts w:ascii="Times New Roman" w:hAnsi="Times New Roman"/>
                <w:noProof/>
                <w:sz w:val="18"/>
                <w:lang w:val="en-US"/>
              </w:rPr>
              <w:t>No specific action is required to comply</w:t>
            </w:r>
          </w:p>
        </w:tc>
        <w:tc>
          <w:tcPr>
            <w:tcW w:w="2595" w:type="dxa"/>
            <w:vAlign w:val="center"/>
            <w:hideMark/>
          </w:tcPr>
          <w:p>
            <w:pPr>
              <w:spacing w:after="0" w:line="240" w:lineRule="auto"/>
              <w:rPr>
                <w:rFonts w:ascii="Times New Roman" w:hAnsi="Times New Roman"/>
                <w:noProof/>
                <w:sz w:val="18"/>
                <w:lang w:val="en-US"/>
              </w:rPr>
            </w:pPr>
            <w:r>
              <w:rPr>
                <w:rFonts w:ascii="Times New Roman" w:hAnsi="Times New Roman"/>
                <w:noProof/>
                <w:sz w:val="18"/>
                <w:lang w:val="en-US"/>
              </w:rPr>
              <w:t>SMEs may be disconnected from regional R&amp;I activities. This is particularly important for third countries.</w:t>
            </w:r>
          </w:p>
        </w:tc>
      </w:tr>
      <w:tr>
        <w:trPr>
          <w:cantSplit/>
        </w:trPr>
        <w:tc>
          <w:tcPr>
            <w:tcW w:w="1523" w:type="dxa"/>
            <w:vAlign w:val="center"/>
            <w:hideMark/>
          </w:tcPr>
          <w:p>
            <w:pPr>
              <w:spacing w:after="0" w:line="240" w:lineRule="auto"/>
              <w:rPr>
                <w:rFonts w:ascii="Times New Roman" w:hAnsi="Times New Roman"/>
                <w:noProof/>
                <w:sz w:val="18"/>
                <w:lang w:val="en-US"/>
              </w:rPr>
            </w:pPr>
            <w:r>
              <w:rPr>
                <w:rFonts w:ascii="Times New Roman" w:hAnsi="Times New Roman"/>
                <w:noProof/>
                <w:sz w:val="18"/>
                <w:lang w:val="en-US"/>
              </w:rPr>
              <w:t>NGOs representing farmers, consumers, citizens…</w:t>
            </w:r>
          </w:p>
        </w:tc>
        <w:tc>
          <w:tcPr>
            <w:tcW w:w="2725" w:type="dxa"/>
            <w:vAlign w:val="center"/>
            <w:hideMark/>
          </w:tcPr>
          <w:p>
            <w:pPr>
              <w:spacing w:after="0" w:line="240" w:lineRule="auto"/>
              <w:rPr>
                <w:rFonts w:ascii="Times New Roman" w:hAnsi="Times New Roman"/>
                <w:noProof/>
                <w:sz w:val="18"/>
                <w:lang w:val="en-US"/>
              </w:rPr>
            </w:pPr>
            <w:r>
              <w:rPr>
                <w:rFonts w:ascii="Times New Roman" w:hAnsi="Times New Roman"/>
                <w:noProof/>
                <w:sz w:val="18"/>
                <w:lang w:val="en-US"/>
              </w:rPr>
              <w:t>NGOs representing farmers, consumers, citizens could obtain support from Horizon 2020 calls within specific topics.</w:t>
            </w:r>
          </w:p>
        </w:tc>
        <w:tc>
          <w:tcPr>
            <w:tcW w:w="2445" w:type="dxa"/>
            <w:vAlign w:val="center"/>
            <w:hideMark/>
          </w:tcPr>
          <w:p>
            <w:pPr>
              <w:spacing w:after="0" w:line="240" w:lineRule="auto"/>
              <w:rPr>
                <w:rFonts w:ascii="Times New Roman" w:hAnsi="Times New Roman"/>
                <w:noProof/>
                <w:sz w:val="18"/>
                <w:lang w:val="en-US"/>
              </w:rPr>
            </w:pPr>
            <w:r>
              <w:rPr>
                <w:rFonts w:ascii="Times New Roman" w:hAnsi="Times New Roman"/>
                <w:noProof/>
                <w:sz w:val="18"/>
                <w:lang w:val="en-US"/>
              </w:rPr>
              <w:t>No specific action is required to comply</w:t>
            </w:r>
          </w:p>
        </w:tc>
        <w:tc>
          <w:tcPr>
            <w:tcW w:w="2595" w:type="dxa"/>
            <w:vAlign w:val="center"/>
            <w:hideMark/>
          </w:tcPr>
          <w:p>
            <w:pPr>
              <w:spacing w:after="0" w:line="240" w:lineRule="auto"/>
              <w:rPr>
                <w:rFonts w:ascii="Times New Roman" w:hAnsi="Times New Roman"/>
                <w:noProof/>
                <w:sz w:val="18"/>
                <w:lang w:val="en-US"/>
              </w:rPr>
            </w:pPr>
            <w:r>
              <w:rPr>
                <w:rFonts w:ascii="Times New Roman" w:hAnsi="Times New Roman"/>
                <w:noProof/>
                <w:sz w:val="18"/>
                <w:lang w:val="en-US"/>
              </w:rPr>
              <w:t>NGOs may be disconnected from regional R&amp;I activities. This is particularly important for third countries.</w:t>
            </w:r>
          </w:p>
        </w:tc>
      </w:tr>
      <w:tr>
        <w:trPr>
          <w:cantSplit/>
        </w:trPr>
        <w:tc>
          <w:tcPr>
            <w:tcW w:w="1523" w:type="dxa"/>
            <w:vAlign w:val="center"/>
            <w:hideMark/>
          </w:tcPr>
          <w:p>
            <w:pPr>
              <w:spacing w:after="0" w:line="240" w:lineRule="auto"/>
              <w:rPr>
                <w:rFonts w:ascii="Times New Roman" w:hAnsi="Times New Roman"/>
                <w:noProof/>
                <w:sz w:val="18"/>
                <w:lang w:val="en-US"/>
              </w:rPr>
            </w:pPr>
            <w:r>
              <w:rPr>
                <w:rFonts w:ascii="Times New Roman" w:hAnsi="Times New Roman"/>
                <w:noProof/>
                <w:sz w:val="18"/>
                <w:lang w:val="en-US"/>
              </w:rPr>
              <w:t>Farmers</w:t>
            </w:r>
          </w:p>
        </w:tc>
        <w:tc>
          <w:tcPr>
            <w:tcW w:w="2725" w:type="dxa"/>
            <w:vAlign w:val="center"/>
            <w:hideMark/>
          </w:tcPr>
          <w:p>
            <w:pPr>
              <w:spacing w:after="0" w:line="240" w:lineRule="auto"/>
              <w:rPr>
                <w:rFonts w:ascii="Times New Roman" w:hAnsi="Times New Roman"/>
                <w:noProof/>
                <w:sz w:val="18"/>
                <w:lang w:val="en-US"/>
              </w:rPr>
            </w:pPr>
            <w:r>
              <w:rPr>
                <w:rFonts w:ascii="Times New Roman" w:hAnsi="Times New Roman"/>
                <w:noProof/>
                <w:sz w:val="18"/>
                <w:lang w:val="en-US"/>
              </w:rPr>
              <w:t>Farmers rarely participate in R&amp;I activities in Horizon 2020 or at national level. Indirectly they will be negatively affected: local innovations may be disconnected from Mediterranean state of the art.</w:t>
            </w:r>
          </w:p>
        </w:tc>
        <w:tc>
          <w:tcPr>
            <w:tcW w:w="2445" w:type="dxa"/>
            <w:vAlign w:val="center"/>
            <w:hideMark/>
          </w:tcPr>
          <w:p>
            <w:pPr>
              <w:spacing w:after="0" w:line="240" w:lineRule="auto"/>
              <w:rPr>
                <w:rFonts w:ascii="Times New Roman" w:hAnsi="Times New Roman"/>
                <w:noProof/>
                <w:sz w:val="18"/>
                <w:lang w:val="en-US"/>
              </w:rPr>
            </w:pPr>
            <w:r>
              <w:rPr>
                <w:rFonts w:ascii="Times New Roman" w:hAnsi="Times New Roman"/>
                <w:noProof/>
                <w:sz w:val="18"/>
                <w:lang w:val="en-US"/>
              </w:rPr>
              <w:t>No specific action is required to comply</w:t>
            </w:r>
          </w:p>
        </w:tc>
        <w:tc>
          <w:tcPr>
            <w:tcW w:w="2595" w:type="dxa"/>
            <w:vAlign w:val="center"/>
            <w:hideMark/>
          </w:tcPr>
          <w:p>
            <w:pPr>
              <w:spacing w:after="0" w:line="240" w:lineRule="auto"/>
              <w:rPr>
                <w:rFonts w:ascii="Times New Roman" w:hAnsi="Times New Roman"/>
                <w:noProof/>
                <w:sz w:val="18"/>
                <w:lang w:val="en-US"/>
              </w:rPr>
            </w:pPr>
            <w:r>
              <w:rPr>
                <w:rFonts w:ascii="Times New Roman" w:hAnsi="Times New Roman"/>
                <w:noProof/>
                <w:sz w:val="18"/>
                <w:lang w:val="en-US"/>
              </w:rPr>
              <w:t>Farmers may have limited access to innovations in the national market, and will have to resort to technology imports.</w:t>
            </w:r>
          </w:p>
        </w:tc>
      </w:tr>
      <w:tr>
        <w:trPr>
          <w:cantSplit/>
        </w:trPr>
        <w:tc>
          <w:tcPr>
            <w:tcW w:w="1523" w:type="dxa"/>
            <w:vAlign w:val="center"/>
            <w:hideMark/>
          </w:tcPr>
          <w:p>
            <w:pPr>
              <w:spacing w:after="0" w:line="240" w:lineRule="auto"/>
              <w:rPr>
                <w:rFonts w:ascii="Times New Roman" w:hAnsi="Times New Roman"/>
                <w:noProof/>
                <w:sz w:val="18"/>
                <w:lang w:val="en-US"/>
              </w:rPr>
            </w:pPr>
            <w:r>
              <w:rPr>
                <w:rFonts w:ascii="Times New Roman" w:hAnsi="Times New Roman"/>
                <w:noProof/>
                <w:sz w:val="18"/>
                <w:lang w:val="en-US"/>
              </w:rPr>
              <w:t>Citizens</w:t>
            </w:r>
          </w:p>
        </w:tc>
        <w:tc>
          <w:tcPr>
            <w:tcW w:w="2725" w:type="dxa"/>
            <w:vAlign w:val="center"/>
            <w:hideMark/>
          </w:tcPr>
          <w:p>
            <w:pPr>
              <w:spacing w:after="0" w:line="240" w:lineRule="auto"/>
              <w:rPr>
                <w:rFonts w:ascii="Times New Roman" w:hAnsi="Times New Roman"/>
                <w:noProof/>
                <w:sz w:val="18"/>
                <w:lang w:val="en-US"/>
              </w:rPr>
            </w:pPr>
            <w:r>
              <w:rPr>
                <w:rFonts w:ascii="Times New Roman" w:hAnsi="Times New Roman"/>
                <w:noProof/>
                <w:sz w:val="18"/>
                <w:lang w:val="en-US"/>
              </w:rPr>
              <w:t>Citizens rarely participate in R&amp;I activities in Horizon 2020 or at national level. Indirectly they will be negatively affected: local innovations may be disconnected from Mediterranean state of the art.</w:t>
            </w:r>
          </w:p>
        </w:tc>
        <w:tc>
          <w:tcPr>
            <w:tcW w:w="2445" w:type="dxa"/>
            <w:vAlign w:val="center"/>
            <w:hideMark/>
          </w:tcPr>
          <w:p>
            <w:pPr>
              <w:spacing w:after="0" w:line="240" w:lineRule="auto"/>
              <w:rPr>
                <w:rFonts w:ascii="Times New Roman" w:hAnsi="Times New Roman"/>
                <w:noProof/>
                <w:sz w:val="18"/>
                <w:lang w:val="en-US"/>
              </w:rPr>
            </w:pPr>
            <w:r>
              <w:rPr>
                <w:rFonts w:ascii="Times New Roman" w:hAnsi="Times New Roman"/>
                <w:noProof/>
                <w:sz w:val="18"/>
                <w:lang w:val="en-US"/>
              </w:rPr>
              <w:t>No specific action is required to comply</w:t>
            </w:r>
          </w:p>
        </w:tc>
        <w:tc>
          <w:tcPr>
            <w:tcW w:w="2595" w:type="dxa"/>
            <w:vAlign w:val="center"/>
            <w:hideMark/>
          </w:tcPr>
          <w:p>
            <w:pPr>
              <w:spacing w:after="0" w:line="240" w:lineRule="auto"/>
              <w:rPr>
                <w:rFonts w:ascii="Times New Roman" w:hAnsi="Times New Roman"/>
                <w:noProof/>
                <w:sz w:val="18"/>
                <w:lang w:val="en-US"/>
              </w:rPr>
            </w:pPr>
            <w:r>
              <w:rPr>
                <w:rFonts w:ascii="Times New Roman" w:hAnsi="Times New Roman"/>
                <w:noProof/>
                <w:sz w:val="18"/>
                <w:lang w:val="en-US"/>
              </w:rPr>
              <w:t>Citizens will have limited access to innovations in the national market. Food security, diet quality and environmental conservation may be affected.</w:t>
            </w:r>
          </w:p>
        </w:tc>
      </w:tr>
    </w:tbl>
    <w:p>
      <w:pPr>
        <w:spacing w:after="120"/>
        <w:rPr>
          <w:rFonts w:ascii="Times New Roman" w:hAnsi="Times New Roman"/>
          <w:i/>
          <w:noProof/>
          <w:sz w:val="20"/>
          <w:szCs w:val="20"/>
        </w:rPr>
      </w:pPr>
      <w:r>
        <w:rPr>
          <w:rFonts w:ascii="Times New Roman" w:hAnsi="Times New Roman"/>
          <w:b/>
          <w:noProof/>
          <w:sz w:val="20"/>
          <w:szCs w:val="20"/>
        </w:rPr>
        <w:t>Table 7.1</w:t>
      </w:r>
      <w:r>
        <w:rPr>
          <w:rFonts w:ascii="Times New Roman" w:hAnsi="Times New Roman"/>
          <w:noProof/>
          <w:sz w:val="20"/>
          <w:szCs w:val="20"/>
        </w:rPr>
        <w:t xml:space="preserve">. </w:t>
      </w:r>
      <w:r>
        <w:rPr>
          <w:rFonts w:ascii="Times New Roman" w:hAnsi="Times New Roman"/>
          <w:i/>
          <w:noProof/>
          <w:sz w:val="20"/>
          <w:szCs w:val="20"/>
        </w:rPr>
        <w:t>Who is affected by Policy Option 0. Source: PRIMA Expert Group report.</w:t>
      </w:r>
    </w:p>
    <w:p>
      <w:pPr>
        <w:spacing w:after="120"/>
        <w:rPr>
          <w:rFonts w:ascii="Times New Roman" w:hAnsi="Times New Roman"/>
          <w:noProo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2671"/>
        <w:gridCol w:w="2568"/>
        <w:gridCol w:w="2559"/>
      </w:tblGrid>
      <w:tr>
        <w:trPr>
          <w:cantSplit/>
        </w:trPr>
        <w:tc>
          <w:tcPr>
            <w:tcW w:w="9288" w:type="dxa"/>
            <w:gridSpan w:val="4"/>
            <w:shd w:val="clear" w:color="auto" w:fill="D9D9D9" w:themeFill="background1" w:themeFillShade="D9"/>
            <w:hideMark/>
          </w:tcPr>
          <w:p>
            <w:pPr>
              <w:spacing w:after="0" w:line="240" w:lineRule="auto"/>
              <w:jc w:val="center"/>
              <w:rPr>
                <w:rFonts w:ascii="Times New Roman" w:hAnsi="Times New Roman"/>
                <w:b/>
                <w:noProof/>
                <w:sz w:val="20"/>
                <w:lang w:val="en-US"/>
              </w:rPr>
            </w:pPr>
            <w:r>
              <w:rPr>
                <w:rFonts w:ascii="Times New Roman" w:hAnsi="Times New Roman"/>
                <w:b/>
                <w:noProof/>
                <w:sz w:val="20"/>
                <w:lang w:val="en-US"/>
              </w:rPr>
              <w:t>Policy Option 1: ERA-NETCofund actions</w:t>
            </w:r>
          </w:p>
        </w:tc>
      </w:tr>
      <w:tr>
        <w:trPr>
          <w:cantSplit/>
        </w:trPr>
        <w:tc>
          <w:tcPr>
            <w:tcW w:w="1490" w:type="dxa"/>
            <w:shd w:val="clear" w:color="auto" w:fill="000000" w:themeFill="text1"/>
            <w:hideMark/>
          </w:tcPr>
          <w:p>
            <w:pPr>
              <w:spacing w:after="0" w:line="240" w:lineRule="auto"/>
              <w:jc w:val="center"/>
              <w:rPr>
                <w:rFonts w:ascii="Times New Roman" w:hAnsi="Times New Roman"/>
                <w:b/>
                <w:noProof/>
                <w:color w:val="FFFFFF" w:themeColor="background1"/>
                <w:sz w:val="20"/>
                <w:lang w:val="en-US"/>
              </w:rPr>
            </w:pPr>
            <w:r>
              <w:rPr>
                <w:rFonts w:ascii="Times New Roman" w:hAnsi="Times New Roman"/>
                <w:b/>
                <w:noProof/>
                <w:color w:val="FFFFFF" w:themeColor="background1"/>
                <w:sz w:val="20"/>
                <w:lang w:val="en-US"/>
              </w:rPr>
              <w:t>Who is affected</w:t>
            </w:r>
          </w:p>
        </w:tc>
        <w:tc>
          <w:tcPr>
            <w:tcW w:w="2671" w:type="dxa"/>
            <w:shd w:val="clear" w:color="auto" w:fill="000000" w:themeFill="text1"/>
            <w:hideMark/>
          </w:tcPr>
          <w:p>
            <w:pPr>
              <w:spacing w:after="0" w:line="240" w:lineRule="auto"/>
              <w:jc w:val="center"/>
              <w:rPr>
                <w:rFonts w:ascii="Times New Roman" w:hAnsi="Times New Roman"/>
                <w:b/>
                <w:noProof/>
                <w:color w:val="FFFFFF" w:themeColor="background1"/>
                <w:sz w:val="20"/>
                <w:lang w:val="en-US"/>
              </w:rPr>
            </w:pPr>
            <w:r>
              <w:rPr>
                <w:rFonts w:ascii="Times New Roman" w:hAnsi="Times New Roman"/>
                <w:b/>
                <w:noProof/>
                <w:color w:val="FFFFFF" w:themeColor="background1"/>
                <w:sz w:val="20"/>
                <w:lang w:val="en-US"/>
              </w:rPr>
              <w:t xml:space="preserve">How it is </w:t>
            </w:r>
          </w:p>
          <w:p>
            <w:pPr>
              <w:spacing w:after="0" w:line="240" w:lineRule="auto"/>
              <w:jc w:val="center"/>
              <w:rPr>
                <w:rFonts w:ascii="Times New Roman" w:hAnsi="Times New Roman"/>
                <w:b/>
                <w:noProof/>
                <w:color w:val="FFFFFF" w:themeColor="background1"/>
                <w:sz w:val="20"/>
                <w:lang w:val="en-US"/>
              </w:rPr>
            </w:pPr>
            <w:r>
              <w:rPr>
                <w:rFonts w:ascii="Times New Roman" w:hAnsi="Times New Roman"/>
                <w:b/>
                <w:noProof/>
                <w:color w:val="FFFFFF" w:themeColor="background1"/>
                <w:sz w:val="20"/>
                <w:lang w:val="en-US"/>
              </w:rPr>
              <w:t>affected</w:t>
            </w:r>
          </w:p>
        </w:tc>
        <w:tc>
          <w:tcPr>
            <w:tcW w:w="2568" w:type="dxa"/>
            <w:shd w:val="clear" w:color="auto" w:fill="000000" w:themeFill="text1"/>
            <w:hideMark/>
          </w:tcPr>
          <w:p>
            <w:pPr>
              <w:spacing w:after="0" w:line="240" w:lineRule="auto"/>
              <w:jc w:val="center"/>
              <w:rPr>
                <w:rFonts w:ascii="Times New Roman" w:hAnsi="Times New Roman"/>
                <w:b/>
                <w:noProof/>
                <w:color w:val="FFFFFF" w:themeColor="background1"/>
                <w:sz w:val="20"/>
                <w:lang w:val="en-US"/>
              </w:rPr>
            </w:pPr>
            <w:r>
              <w:rPr>
                <w:rFonts w:ascii="Times New Roman" w:hAnsi="Times New Roman"/>
                <w:b/>
                <w:noProof/>
                <w:color w:val="FFFFFF" w:themeColor="background1"/>
                <w:sz w:val="20"/>
                <w:lang w:val="en-US"/>
              </w:rPr>
              <w:t xml:space="preserve">Actions needed </w:t>
            </w:r>
          </w:p>
          <w:p>
            <w:pPr>
              <w:spacing w:after="0" w:line="240" w:lineRule="auto"/>
              <w:jc w:val="center"/>
              <w:rPr>
                <w:rFonts w:ascii="Times New Roman" w:hAnsi="Times New Roman"/>
                <w:b/>
                <w:noProof/>
                <w:color w:val="FFFFFF" w:themeColor="background1"/>
                <w:sz w:val="20"/>
                <w:lang w:val="en-US"/>
              </w:rPr>
            </w:pPr>
            <w:r>
              <w:rPr>
                <w:rFonts w:ascii="Times New Roman" w:hAnsi="Times New Roman"/>
                <w:b/>
                <w:noProof/>
                <w:color w:val="FFFFFF" w:themeColor="background1"/>
                <w:sz w:val="20"/>
                <w:lang w:val="en-US"/>
              </w:rPr>
              <w:t>to comply</w:t>
            </w:r>
          </w:p>
        </w:tc>
        <w:tc>
          <w:tcPr>
            <w:tcW w:w="2559" w:type="dxa"/>
            <w:shd w:val="clear" w:color="auto" w:fill="000000" w:themeFill="text1"/>
            <w:hideMark/>
          </w:tcPr>
          <w:p>
            <w:pPr>
              <w:spacing w:after="0" w:line="240" w:lineRule="auto"/>
              <w:jc w:val="center"/>
              <w:rPr>
                <w:rFonts w:ascii="Times New Roman" w:hAnsi="Times New Roman"/>
                <w:b/>
                <w:noProof/>
                <w:color w:val="FFFFFF" w:themeColor="background1"/>
                <w:sz w:val="20"/>
                <w:lang w:val="en-US"/>
              </w:rPr>
            </w:pPr>
            <w:r>
              <w:rPr>
                <w:rFonts w:ascii="Times New Roman" w:hAnsi="Times New Roman"/>
                <w:b/>
                <w:noProof/>
                <w:color w:val="FFFFFF" w:themeColor="background1"/>
                <w:sz w:val="20"/>
                <w:lang w:val="en-US"/>
              </w:rPr>
              <w:t xml:space="preserve">Related </w:t>
            </w:r>
          </w:p>
          <w:p>
            <w:pPr>
              <w:spacing w:after="0" w:line="240" w:lineRule="auto"/>
              <w:jc w:val="center"/>
              <w:rPr>
                <w:rFonts w:ascii="Times New Roman" w:hAnsi="Times New Roman"/>
                <w:b/>
                <w:noProof/>
                <w:color w:val="FFFFFF" w:themeColor="background1"/>
                <w:sz w:val="20"/>
                <w:lang w:val="en-US"/>
              </w:rPr>
            </w:pPr>
            <w:r>
              <w:rPr>
                <w:rFonts w:ascii="Times New Roman" w:hAnsi="Times New Roman"/>
                <w:b/>
                <w:noProof/>
                <w:color w:val="FFFFFF" w:themeColor="background1"/>
                <w:sz w:val="20"/>
                <w:lang w:val="en-US"/>
              </w:rPr>
              <w:t>uncertainties</w:t>
            </w:r>
          </w:p>
        </w:tc>
      </w:tr>
      <w:tr>
        <w:trPr>
          <w:cantSplit/>
        </w:trPr>
        <w:tc>
          <w:tcPr>
            <w:tcW w:w="1490"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R&amp;I Ministries of the partner countries</w:t>
            </w:r>
          </w:p>
          <w:p>
            <w:pPr>
              <w:spacing w:after="0" w:line="240" w:lineRule="auto"/>
              <w:rPr>
                <w:rFonts w:ascii="Times New Roman" w:hAnsi="Times New Roman"/>
                <w:noProof/>
                <w:sz w:val="20"/>
                <w:lang w:val="en-US"/>
              </w:rPr>
            </w:pPr>
            <w:r>
              <w:rPr>
                <w:rFonts w:ascii="Times New Roman" w:hAnsi="Times New Roman"/>
                <w:noProof/>
                <w:sz w:val="20"/>
                <w:lang w:val="en-US"/>
              </w:rPr>
              <w:t>(National R&amp;I policy makers)</w:t>
            </w:r>
          </w:p>
        </w:tc>
        <w:tc>
          <w:tcPr>
            <w:tcW w:w="2671"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Policy makers will combine internal interests and the interest of a series of Mediterranean ERA-NETs.</w:t>
            </w:r>
          </w:p>
        </w:tc>
        <w:tc>
          <w:tcPr>
            <w:tcW w:w="2568"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All EU and most Mediterranean third countries, national policy makers are familiar with the activities of the ERA-NETs. In general, no specific actions will be needed to comply</w:t>
            </w:r>
          </w:p>
        </w:tc>
        <w:tc>
          <w:tcPr>
            <w:tcW w:w="2559"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This Policy Option does not imply meaningful progress in Mediterranean R&amp;I cooperation.</w:t>
            </w:r>
          </w:p>
        </w:tc>
      </w:tr>
      <w:tr>
        <w:trPr>
          <w:cantSplit/>
        </w:trPr>
        <w:tc>
          <w:tcPr>
            <w:tcW w:w="1490"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R&amp;I Programmes of the Partner Countries</w:t>
            </w:r>
          </w:p>
          <w:p>
            <w:pPr>
              <w:spacing w:after="0" w:line="240" w:lineRule="auto"/>
              <w:rPr>
                <w:rFonts w:ascii="Times New Roman" w:hAnsi="Times New Roman"/>
                <w:noProof/>
                <w:sz w:val="20"/>
                <w:lang w:val="en-US"/>
              </w:rPr>
            </w:pPr>
            <w:r>
              <w:rPr>
                <w:rFonts w:ascii="Times New Roman" w:hAnsi="Times New Roman"/>
                <w:noProof/>
                <w:sz w:val="20"/>
                <w:lang w:val="en-US"/>
              </w:rPr>
              <w:t>(R&amp;I Funding Organisations)</w:t>
            </w:r>
          </w:p>
        </w:tc>
        <w:tc>
          <w:tcPr>
            <w:tcW w:w="2671"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R&amp;I programmes will apply funds and managerial efforts to national and ERA-NET efforts. This is the current situation in all EU and most Mediterranean third countries.</w:t>
            </w:r>
          </w:p>
        </w:tc>
        <w:tc>
          <w:tcPr>
            <w:tcW w:w="2568"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All EU and most Mediterranean third countries, national R&amp;I programmes are familiar with the activities of the ERA-NETs. In general, no specific actions will be needed to comply</w:t>
            </w:r>
          </w:p>
        </w:tc>
        <w:tc>
          <w:tcPr>
            <w:tcW w:w="2559"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This Policy Option does not imply meaningful progress in Mediterranean R&amp;I cooperation.</w:t>
            </w:r>
          </w:p>
        </w:tc>
      </w:tr>
      <w:tr>
        <w:trPr>
          <w:cantSplit/>
        </w:trPr>
        <w:tc>
          <w:tcPr>
            <w:tcW w:w="1490"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Public R&amp;I performing organisations</w:t>
            </w:r>
          </w:p>
        </w:tc>
        <w:tc>
          <w:tcPr>
            <w:tcW w:w="2671"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 xml:space="preserve">This is the current situation in EU and Mediterranean third countries (Associated). Further Mediterranean ERA-NETs will increase opportunities for regional cooperation. </w:t>
            </w:r>
          </w:p>
        </w:tc>
        <w:tc>
          <w:tcPr>
            <w:tcW w:w="2568"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All EU and most Mediterranean third countries, national public R&amp;I performers are familiar with the activities of the ERA-NETs. In general, no specific actions will be needed to comply</w:t>
            </w:r>
          </w:p>
        </w:tc>
        <w:tc>
          <w:tcPr>
            <w:tcW w:w="2559"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w:t>
            </w:r>
          </w:p>
        </w:tc>
      </w:tr>
      <w:tr>
        <w:trPr>
          <w:cantSplit/>
        </w:trPr>
        <w:tc>
          <w:tcPr>
            <w:tcW w:w="1490"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Large companies</w:t>
            </w:r>
          </w:p>
        </w:tc>
        <w:tc>
          <w:tcPr>
            <w:tcW w:w="2671"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Large companies are hardly involved in calls launched by ERA-NET (Cofund), due to the national rules of the NfB involved in such ERA-NETs.</w:t>
            </w:r>
          </w:p>
        </w:tc>
        <w:tc>
          <w:tcPr>
            <w:tcW w:w="2568"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In general, no specific actions will be needed to comply</w:t>
            </w:r>
          </w:p>
        </w:tc>
        <w:tc>
          <w:tcPr>
            <w:tcW w:w="2559"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In many countries large countries find problems to participate in ERA-NET calls for proposals.</w:t>
            </w:r>
          </w:p>
        </w:tc>
      </w:tr>
      <w:tr>
        <w:trPr>
          <w:cantSplit/>
        </w:trPr>
        <w:tc>
          <w:tcPr>
            <w:tcW w:w="1490"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SMEs</w:t>
            </w:r>
          </w:p>
        </w:tc>
        <w:tc>
          <w:tcPr>
            <w:tcW w:w="2671"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SMEs companies are hardly involved in calls launched by ERA-NET (Cofund), due to the national rules of the NfB involved in such ERA-NETs</w:t>
            </w:r>
          </w:p>
        </w:tc>
        <w:tc>
          <w:tcPr>
            <w:tcW w:w="2568"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No specific actions will be needed to comply</w:t>
            </w:r>
          </w:p>
        </w:tc>
        <w:tc>
          <w:tcPr>
            <w:tcW w:w="2559"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In many countries SMEs find problems to participate in ERA-NET calls for proposals.</w:t>
            </w:r>
          </w:p>
        </w:tc>
      </w:tr>
      <w:tr>
        <w:trPr>
          <w:cantSplit/>
        </w:trPr>
        <w:tc>
          <w:tcPr>
            <w:tcW w:w="1490"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NGOs representing farmers, consumers, citizens…</w:t>
            </w:r>
          </w:p>
        </w:tc>
        <w:tc>
          <w:tcPr>
            <w:tcW w:w="2671"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NGOs representing farmers, consumers, citizens are unlikely to receive support from ERA-NETs due to the national rules of the NfB involved.</w:t>
            </w:r>
          </w:p>
        </w:tc>
        <w:tc>
          <w:tcPr>
            <w:tcW w:w="2568"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No specific actions will be needed to comply</w:t>
            </w:r>
          </w:p>
        </w:tc>
        <w:tc>
          <w:tcPr>
            <w:tcW w:w="2559"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In many countries NGOs find problems to participate in ERA-NET calls for proposals.</w:t>
            </w:r>
          </w:p>
        </w:tc>
      </w:tr>
      <w:tr>
        <w:trPr>
          <w:cantSplit/>
        </w:trPr>
        <w:tc>
          <w:tcPr>
            <w:tcW w:w="1490"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Farmers</w:t>
            </w:r>
          </w:p>
        </w:tc>
        <w:tc>
          <w:tcPr>
            <w:tcW w:w="2671"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Farmers rarely participate in R&amp;I activities. This Policy Option will not affect them respect to the current situation.</w:t>
            </w:r>
          </w:p>
        </w:tc>
        <w:tc>
          <w:tcPr>
            <w:tcW w:w="2568"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No specific action is required to comply</w:t>
            </w:r>
          </w:p>
        </w:tc>
        <w:tc>
          <w:tcPr>
            <w:tcW w:w="2559"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w:t>
            </w:r>
          </w:p>
        </w:tc>
      </w:tr>
      <w:tr>
        <w:trPr>
          <w:cantSplit/>
        </w:trPr>
        <w:tc>
          <w:tcPr>
            <w:tcW w:w="1490"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Citizens</w:t>
            </w:r>
          </w:p>
        </w:tc>
        <w:tc>
          <w:tcPr>
            <w:tcW w:w="2671"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Citizens rarely participate in R&amp;I activities. This Policy Option will not affect them respect to the current situation.</w:t>
            </w:r>
          </w:p>
        </w:tc>
        <w:tc>
          <w:tcPr>
            <w:tcW w:w="2568"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No specific action is required to comply</w:t>
            </w:r>
          </w:p>
        </w:tc>
        <w:tc>
          <w:tcPr>
            <w:tcW w:w="2559"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w:t>
            </w:r>
          </w:p>
        </w:tc>
      </w:tr>
    </w:tbl>
    <w:p>
      <w:pPr>
        <w:spacing w:after="0" w:line="240" w:lineRule="auto"/>
        <w:rPr>
          <w:rFonts w:ascii="Times New Roman" w:hAnsi="Times New Roman"/>
          <w:noProof/>
          <w:sz w:val="20"/>
          <w:szCs w:val="20"/>
        </w:rPr>
      </w:pPr>
      <w:r>
        <w:rPr>
          <w:rFonts w:ascii="Times New Roman" w:hAnsi="Times New Roman"/>
          <w:b/>
          <w:noProof/>
          <w:sz w:val="20"/>
          <w:szCs w:val="20"/>
        </w:rPr>
        <w:t>Table 7.2</w:t>
      </w:r>
      <w:r>
        <w:rPr>
          <w:rFonts w:ascii="Times New Roman" w:hAnsi="Times New Roman"/>
          <w:noProof/>
          <w:sz w:val="20"/>
          <w:szCs w:val="20"/>
        </w:rPr>
        <w:t xml:space="preserve">. </w:t>
      </w:r>
      <w:r>
        <w:rPr>
          <w:rFonts w:ascii="Times New Roman" w:hAnsi="Times New Roman"/>
          <w:i/>
          <w:noProof/>
          <w:sz w:val="20"/>
          <w:szCs w:val="20"/>
        </w:rPr>
        <w:t>Who is affected by Policy Option 1. Source: PRIMA Expert Group report.</w:t>
      </w:r>
    </w:p>
    <w:p>
      <w:pPr>
        <w:spacing w:after="0" w:line="240" w:lineRule="auto"/>
        <w:rPr>
          <w:rFonts w:ascii="Times New Roman" w:hAnsi="Times New Roman"/>
          <w:noProof/>
          <w:sz w:val="20"/>
          <w:szCs w:val="20"/>
        </w:rPr>
      </w:pPr>
    </w:p>
    <w:p>
      <w:pPr>
        <w:rPr>
          <w:noProof/>
        </w:rPr>
      </w:pPr>
    </w:p>
    <w:p>
      <w:pPr>
        <w:rPr>
          <w:noProof/>
        </w:rPr>
      </w:pPr>
    </w:p>
    <w:p>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2629"/>
        <w:gridCol w:w="2525"/>
        <w:gridCol w:w="2612"/>
      </w:tblGrid>
      <w:tr>
        <w:trPr>
          <w:cantSplit/>
        </w:trPr>
        <w:tc>
          <w:tcPr>
            <w:tcW w:w="9288" w:type="dxa"/>
            <w:gridSpan w:val="4"/>
            <w:shd w:val="clear" w:color="auto" w:fill="D9D9D9" w:themeFill="background1" w:themeFillShade="D9"/>
            <w:hideMark/>
          </w:tcPr>
          <w:p>
            <w:pPr>
              <w:spacing w:after="0" w:line="240" w:lineRule="auto"/>
              <w:jc w:val="center"/>
              <w:rPr>
                <w:rFonts w:ascii="Times New Roman" w:hAnsi="Times New Roman"/>
                <w:b/>
                <w:noProof/>
                <w:sz w:val="20"/>
                <w:lang w:val="en-US"/>
              </w:rPr>
            </w:pPr>
            <w:r>
              <w:rPr>
                <w:rFonts w:ascii="Times New Roman" w:hAnsi="Times New Roman"/>
                <w:b/>
                <w:noProof/>
                <w:sz w:val="20"/>
                <w:lang w:val="en-US"/>
              </w:rPr>
              <w:t>Policy Option 2: Article 185 TFEU</w:t>
            </w:r>
          </w:p>
        </w:tc>
      </w:tr>
      <w:tr>
        <w:trPr>
          <w:cantSplit/>
        </w:trPr>
        <w:tc>
          <w:tcPr>
            <w:tcW w:w="1522" w:type="dxa"/>
            <w:shd w:val="clear" w:color="auto" w:fill="000000" w:themeFill="text1"/>
            <w:hideMark/>
          </w:tcPr>
          <w:p>
            <w:pPr>
              <w:spacing w:after="0" w:line="240" w:lineRule="auto"/>
              <w:jc w:val="center"/>
              <w:rPr>
                <w:rFonts w:ascii="Times New Roman" w:hAnsi="Times New Roman"/>
                <w:b/>
                <w:noProof/>
                <w:color w:val="FFFFFF" w:themeColor="background1"/>
                <w:sz w:val="20"/>
                <w:lang w:val="en-US"/>
              </w:rPr>
            </w:pPr>
            <w:r>
              <w:rPr>
                <w:rFonts w:ascii="Times New Roman" w:hAnsi="Times New Roman"/>
                <w:b/>
                <w:noProof/>
                <w:color w:val="FFFFFF" w:themeColor="background1"/>
                <w:sz w:val="20"/>
                <w:lang w:val="en-US"/>
              </w:rPr>
              <w:t>Who is affected</w:t>
            </w:r>
          </w:p>
        </w:tc>
        <w:tc>
          <w:tcPr>
            <w:tcW w:w="2629" w:type="dxa"/>
            <w:shd w:val="clear" w:color="auto" w:fill="000000" w:themeFill="text1"/>
            <w:hideMark/>
          </w:tcPr>
          <w:p>
            <w:pPr>
              <w:spacing w:after="0" w:line="240" w:lineRule="auto"/>
              <w:jc w:val="center"/>
              <w:rPr>
                <w:rFonts w:ascii="Times New Roman" w:hAnsi="Times New Roman"/>
                <w:b/>
                <w:noProof/>
                <w:color w:val="FFFFFF" w:themeColor="background1"/>
                <w:sz w:val="20"/>
                <w:lang w:val="en-US"/>
              </w:rPr>
            </w:pPr>
            <w:r>
              <w:rPr>
                <w:rFonts w:ascii="Times New Roman" w:hAnsi="Times New Roman"/>
                <w:b/>
                <w:noProof/>
                <w:color w:val="FFFFFF" w:themeColor="background1"/>
                <w:sz w:val="20"/>
                <w:lang w:val="en-US"/>
              </w:rPr>
              <w:t xml:space="preserve">How it is </w:t>
            </w:r>
          </w:p>
          <w:p>
            <w:pPr>
              <w:spacing w:after="0" w:line="240" w:lineRule="auto"/>
              <w:jc w:val="center"/>
              <w:rPr>
                <w:rFonts w:ascii="Times New Roman" w:hAnsi="Times New Roman"/>
                <w:b/>
                <w:noProof/>
                <w:color w:val="FFFFFF" w:themeColor="background1"/>
                <w:sz w:val="20"/>
                <w:lang w:val="en-US"/>
              </w:rPr>
            </w:pPr>
            <w:r>
              <w:rPr>
                <w:rFonts w:ascii="Times New Roman" w:hAnsi="Times New Roman"/>
                <w:b/>
                <w:noProof/>
                <w:color w:val="FFFFFF" w:themeColor="background1"/>
                <w:sz w:val="20"/>
                <w:lang w:val="en-US"/>
              </w:rPr>
              <w:t>affected</w:t>
            </w:r>
          </w:p>
        </w:tc>
        <w:tc>
          <w:tcPr>
            <w:tcW w:w="2525" w:type="dxa"/>
            <w:shd w:val="clear" w:color="auto" w:fill="000000" w:themeFill="text1"/>
            <w:hideMark/>
          </w:tcPr>
          <w:p>
            <w:pPr>
              <w:spacing w:after="0" w:line="240" w:lineRule="auto"/>
              <w:jc w:val="center"/>
              <w:rPr>
                <w:rFonts w:ascii="Times New Roman" w:hAnsi="Times New Roman"/>
                <w:b/>
                <w:noProof/>
                <w:color w:val="FFFFFF" w:themeColor="background1"/>
                <w:sz w:val="20"/>
                <w:lang w:val="en-US"/>
              </w:rPr>
            </w:pPr>
            <w:r>
              <w:rPr>
                <w:rFonts w:ascii="Times New Roman" w:hAnsi="Times New Roman"/>
                <w:b/>
                <w:noProof/>
                <w:color w:val="FFFFFF" w:themeColor="background1"/>
                <w:sz w:val="20"/>
                <w:lang w:val="en-US"/>
              </w:rPr>
              <w:t xml:space="preserve">Actions needed </w:t>
            </w:r>
          </w:p>
          <w:p>
            <w:pPr>
              <w:spacing w:after="0" w:line="240" w:lineRule="auto"/>
              <w:jc w:val="center"/>
              <w:rPr>
                <w:rFonts w:ascii="Times New Roman" w:hAnsi="Times New Roman"/>
                <w:b/>
                <w:noProof/>
                <w:color w:val="FFFFFF" w:themeColor="background1"/>
                <w:sz w:val="20"/>
                <w:lang w:val="en-US"/>
              </w:rPr>
            </w:pPr>
            <w:r>
              <w:rPr>
                <w:rFonts w:ascii="Times New Roman" w:hAnsi="Times New Roman"/>
                <w:b/>
                <w:noProof/>
                <w:color w:val="FFFFFF" w:themeColor="background1"/>
                <w:sz w:val="20"/>
                <w:lang w:val="en-US"/>
              </w:rPr>
              <w:t>to comply</w:t>
            </w:r>
          </w:p>
        </w:tc>
        <w:tc>
          <w:tcPr>
            <w:tcW w:w="2612" w:type="dxa"/>
            <w:shd w:val="clear" w:color="auto" w:fill="000000" w:themeFill="text1"/>
            <w:hideMark/>
          </w:tcPr>
          <w:p>
            <w:pPr>
              <w:spacing w:after="0" w:line="240" w:lineRule="auto"/>
              <w:jc w:val="center"/>
              <w:rPr>
                <w:rFonts w:ascii="Times New Roman" w:hAnsi="Times New Roman"/>
                <w:b/>
                <w:noProof/>
                <w:color w:val="FFFFFF" w:themeColor="background1"/>
                <w:sz w:val="20"/>
                <w:lang w:val="en-US"/>
              </w:rPr>
            </w:pPr>
            <w:r>
              <w:rPr>
                <w:rFonts w:ascii="Times New Roman" w:hAnsi="Times New Roman"/>
                <w:b/>
                <w:noProof/>
                <w:color w:val="FFFFFF" w:themeColor="background1"/>
                <w:sz w:val="20"/>
                <w:lang w:val="en-US"/>
              </w:rPr>
              <w:t xml:space="preserve">Related </w:t>
            </w:r>
          </w:p>
          <w:p>
            <w:pPr>
              <w:spacing w:after="0" w:line="240" w:lineRule="auto"/>
              <w:jc w:val="center"/>
              <w:rPr>
                <w:rFonts w:ascii="Times New Roman" w:hAnsi="Times New Roman"/>
                <w:b/>
                <w:noProof/>
                <w:color w:val="FFFFFF" w:themeColor="background1"/>
                <w:sz w:val="20"/>
                <w:lang w:val="en-US"/>
              </w:rPr>
            </w:pPr>
            <w:r>
              <w:rPr>
                <w:rFonts w:ascii="Times New Roman" w:hAnsi="Times New Roman"/>
                <w:b/>
                <w:noProof/>
                <w:color w:val="FFFFFF" w:themeColor="background1"/>
                <w:sz w:val="20"/>
                <w:lang w:val="en-US"/>
              </w:rPr>
              <w:t>uncertainties</w:t>
            </w:r>
          </w:p>
        </w:tc>
      </w:tr>
      <w:tr>
        <w:trPr>
          <w:cantSplit/>
        </w:trPr>
        <w:tc>
          <w:tcPr>
            <w:tcW w:w="1522"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R&amp;I Ministries of the Participating States</w:t>
            </w:r>
          </w:p>
          <w:p>
            <w:pPr>
              <w:spacing w:after="0" w:line="240" w:lineRule="auto"/>
              <w:rPr>
                <w:rFonts w:ascii="Times New Roman" w:hAnsi="Times New Roman"/>
                <w:noProof/>
                <w:sz w:val="20"/>
                <w:lang w:val="en-US"/>
              </w:rPr>
            </w:pPr>
            <w:r>
              <w:rPr>
                <w:rFonts w:ascii="Times New Roman" w:hAnsi="Times New Roman"/>
                <w:noProof/>
                <w:sz w:val="20"/>
                <w:lang w:val="en-US"/>
              </w:rPr>
              <w:t>(National R&amp;I policy makers)</w:t>
            </w:r>
          </w:p>
        </w:tc>
        <w:tc>
          <w:tcPr>
            <w:tcW w:w="2629"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 xml:space="preserve">This Policy Option sets a transition path towards integration of thematic Mediterranean R&amp;I programmes. </w:t>
            </w:r>
          </w:p>
        </w:tc>
        <w:tc>
          <w:tcPr>
            <w:tcW w:w="2525"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 xml:space="preserve">A relevant effort is required from policy makers to set up the dedicated implementation structure of this initiative (DIS)and the grant management, establish a governance structure and provide financial guarantees.. </w:t>
            </w:r>
          </w:p>
        </w:tc>
        <w:tc>
          <w:tcPr>
            <w:tcW w:w="2612"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Risks have been identified associated with the commitment level of participating countries and their will to build an effective management structure, based on central grant management.</w:t>
            </w:r>
          </w:p>
        </w:tc>
      </w:tr>
      <w:tr>
        <w:trPr>
          <w:cantSplit/>
        </w:trPr>
        <w:tc>
          <w:tcPr>
            <w:tcW w:w="1522"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R&amp;I Programmes of the Participating States</w:t>
            </w:r>
          </w:p>
          <w:p>
            <w:pPr>
              <w:spacing w:after="0" w:line="240" w:lineRule="auto"/>
              <w:rPr>
                <w:rFonts w:ascii="Times New Roman" w:hAnsi="Times New Roman"/>
                <w:noProof/>
                <w:sz w:val="20"/>
                <w:lang w:val="en-US"/>
              </w:rPr>
            </w:pPr>
            <w:r>
              <w:rPr>
                <w:rFonts w:ascii="Times New Roman" w:hAnsi="Times New Roman"/>
                <w:noProof/>
                <w:sz w:val="20"/>
                <w:lang w:val="en-US"/>
              </w:rPr>
              <w:t>(R&amp;I Funding Organisations)</w:t>
            </w:r>
          </w:p>
        </w:tc>
        <w:tc>
          <w:tcPr>
            <w:tcW w:w="2629"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 xml:space="preserve">This Policy Option sets a transition path towards integration of thematic Mediterranean R&amp;I programmes. </w:t>
            </w:r>
          </w:p>
        </w:tc>
        <w:tc>
          <w:tcPr>
            <w:tcW w:w="2525" w:type="dxa"/>
            <w:vAlign w:val="center"/>
          </w:tcPr>
          <w:p>
            <w:pPr>
              <w:spacing w:after="0" w:line="240" w:lineRule="auto"/>
              <w:rPr>
                <w:rFonts w:ascii="Times New Roman" w:hAnsi="Times New Roman"/>
                <w:noProof/>
                <w:sz w:val="20"/>
                <w:lang w:val="en-US"/>
              </w:rPr>
            </w:pPr>
            <w:r>
              <w:rPr>
                <w:rFonts w:ascii="Times New Roman" w:hAnsi="Times New Roman"/>
                <w:noProof/>
                <w:sz w:val="20"/>
                <w:lang w:val="en-US"/>
              </w:rPr>
              <w:t>A relevant effort is required from policy makers to ensure coordination between national activities, transnational activities carried out in other contexts (e.g. JPIs) and the activities of the Article185 initiative.</w:t>
            </w:r>
          </w:p>
          <w:p>
            <w:pPr>
              <w:spacing w:after="0" w:line="240" w:lineRule="auto"/>
              <w:rPr>
                <w:rFonts w:ascii="Times New Roman" w:hAnsi="Times New Roman"/>
                <w:noProof/>
                <w:sz w:val="20"/>
                <w:lang w:val="en-US"/>
              </w:rPr>
            </w:pPr>
          </w:p>
        </w:tc>
        <w:tc>
          <w:tcPr>
            <w:tcW w:w="2612"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Risks have been identified associated with the commitment level of participating countries and their will to build an effective management structure.</w:t>
            </w:r>
          </w:p>
        </w:tc>
      </w:tr>
      <w:tr>
        <w:trPr>
          <w:cantSplit/>
        </w:trPr>
        <w:tc>
          <w:tcPr>
            <w:tcW w:w="1522"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Public R&amp;I performing organisations</w:t>
            </w:r>
          </w:p>
        </w:tc>
        <w:tc>
          <w:tcPr>
            <w:tcW w:w="2629"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More thematic funding will be available. Consortia consisting of European and third countries will be required in all cases. This Policy Option will count on more funds for R&amp;I, therefore having a strong positive effect.</w:t>
            </w:r>
          </w:p>
        </w:tc>
        <w:tc>
          <w:tcPr>
            <w:tcW w:w="2525" w:type="dxa"/>
            <w:vAlign w:val="center"/>
          </w:tcPr>
          <w:p>
            <w:pPr>
              <w:spacing w:after="0" w:line="240" w:lineRule="auto"/>
              <w:rPr>
                <w:rFonts w:ascii="Times New Roman" w:hAnsi="Times New Roman"/>
                <w:noProof/>
                <w:sz w:val="20"/>
                <w:lang w:val="en-US"/>
              </w:rPr>
            </w:pPr>
            <w:r>
              <w:rPr>
                <w:rFonts w:ascii="Times New Roman" w:hAnsi="Times New Roman"/>
                <w:noProof/>
                <w:sz w:val="20"/>
                <w:lang w:val="en-US"/>
              </w:rPr>
              <w:t xml:space="preserve">Adaptation to the call for proposal and grant management rules applied by the  DIS. </w:t>
            </w:r>
          </w:p>
          <w:p>
            <w:pPr>
              <w:spacing w:after="0" w:line="240" w:lineRule="auto"/>
              <w:rPr>
                <w:rFonts w:ascii="Times New Roman" w:hAnsi="Times New Roman"/>
                <w:noProof/>
                <w:sz w:val="20"/>
                <w:lang w:val="en-US"/>
              </w:rPr>
            </w:pPr>
            <w:r>
              <w:rPr>
                <w:rFonts w:ascii="Times New Roman" w:hAnsi="Times New Roman"/>
                <w:noProof/>
                <w:sz w:val="20"/>
                <w:lang w:val="en-US"/>
              </w:rPr>
              <w:t xml:space="preserve"> </w:t>
            </w:r>
          </w:p>
          <w:p>
            <w:pPr>
              <w:spacing w:after="0" w:line="240" w:lineRule="auto"/>
              <w:rPr>
                <w:rFonts w:ascii="Times New Roman" w:hAnsi="Times New Roman"/>
                <w:noProof/>
                <w:sz w:val="20"/>
                <w:lang w:val="en-US"/>
              </w:rPr>
            </w:pPr>
          </w:p>
        </w:tc>
        <w:tc>
          <w:tcPr>
            <w:tcW w:w="2612" w:type="dxa"/>
            <w:vAlign w:val="center"/>
            <w:hideMark/>
          </w:tcPr>
          <w:p>
            <w:pPr>
              <w:spacing w:after="0" w:line="240" w:lineRule="auto"/>
              <w:rPr>
                <w:rFonts w:ascii="Times New Roman" w:hAnsi="Times New Roman"/>
                <w:noProof/>
                <w:sz w:val="20"/>
              </w:rPr>
            </w:pPr>
            <w:r>
              <w:rPr>
                <w:rFonts w:ascii="Times New Roman" w:hAnsi="Times New Roman"/>
                <w:noProof/>
                <w:sz w:val="20"/>
              </w:rPr>
              <w:t>The success ratio may be different in the context of a programme focussing on the Mediterranean region. Proposal and grant procedures will be similar to Horizon 2020.</w:t>
            </w:r>
          </w:p>
        </w:tc>
      </w:tr>
      <w:tr>
        <w:trPr>
          <w:cantSplit/>
        </w:trPr>
        <w:tc>
          <w:tcPr>
            <w:tcW w:w="1522"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Large companies</w:t>
            </w:r>
          </w:p>
        </w:tc>
        <w:tc>
          <w:tcPr>
            <w:tcW w:w="2629"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More thematic funding will be available. European consortia will be required in all cases. Project management will be centralised in a DIS. This Policy Option will count on more funds to produce R&amp;I, therefore having a strong positive effect. Large companies will be able to apply in transnational consortia consisting of European and third countries.</w:t>
            </w:r>
          </w:p>
        </w:tc>
        <w:tc>
          <w:tcPr>
            <w:tcW w:w="2525" w:type="dxa"/>
            <w:vMerge w:val="restart"/>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Adaptation to the call for proposal and grant management rules applied by  DIS.</w:t>
            </w:r>
          </w:p>
        </w:tc>
        <w:tc>
          <w:tcPr>
            <w:tcW w:w="2612" w:type="dxa"/>
            <w:vMerge w:val="restart"/>
            <w:vAlign w:val="center"/>
            <w:hideMark/>
          </w:tcPr>
          <w:p>
            <w:pPr>
              <w:spacing w:after="0" w:line="240" w:lineRule="auto"/>
              <w:rPr>
                <w:rFonts w:ascii="Times New Roman" w:hAnsi="Times New Roman"/>
                <w:noProof/>
                <w:sz w:val="20"/>
                <w:lang w:val="en-US"/>
              </w:rPr>
            </w:pPr>
            <w:r>
              <w:rPr>
                <w:rFonts w:ascii="Times New Roman" w:hAnsi="Times New Roman"/>
                <w:noProof/>
                <w:sz w:val="20"/>
              </w:rPr>
              <w:t>The success ratio may be different in the context of a programme focussing on the Mediterranean region. Proposal and grant</w:t>
            </w:r>
            <w:r>
              <w:rPr>
                <w:rFonts w:ascii="Times New Roman" w:hAnsi="Times New Roman"/>
                <w:noProof/>
                <w:sz w:val="20"/>
                <w:lang w:val="en-US"/>
              </w:rPr>
              <w:t xml:space="preserve"> procedures will be similar to Horizon 2020. procedures will be different</w:t>
            </w:r>
          </w:p>
          <w:p>
            <w:pPr>
              <w:spacing w:after="0" w:line="240" w:lineRule="auto"/>
              <w:rPr>
                <w:rFonts w:ascii="Times New Roman" w:hAnsi="Times New Roman"/>
                <w:noProof/>
                <w:sz w:val="20"/>
                <w:lang w:val="en-US"/>
              </w:rPr>
            </w:pPr>
            <w:r>
              <w:rPr>
                <w:rFonts w:ascii="Times New Roman" w:hAnsi="Times New Roman"/>
                <w:noProof/>
                <w:sz w:val="20"/>
                <w:lang w:val="en-US"/>
              </w:rPr>
              <w:t>The success ratio may be different in the context of a Mediterranean evaluation. Proposal and grant procedures will be different</w:t>
            </w:r>
          </w:p>
        </w:tc>
      </w:tr>
      <w:tr>
        <w:trPr>
          <w:cantSplit/>
        </w:trPr>
        <w:tc>
          <w:tcPr>
            <w:tcW w:w="1522"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SMEs</w:t>
            </w:r>
          </w:p>
        </w:tc>
        <w:tc>
          <w:tcPr>
            <w:tcW w:w="2629"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SMEs will be able to apply in transnational consortia consisting of European and third countries. More thematic funding will be available. European consortia will be required in all cases. Project management will be centralised in a DIS. This Policy Option will count on more funds to produce R&amp;I, and has committed to pay specific attention to SMEs, therefore having a strong positive effect</w:t>
            </w:r>
          </w:p>
        </w:tc>
        <w:tc>
          <w:tcPr>
            <w:tcW w:w="0" w:type="auto"/>
            <w:vMerge/>
            <w:vAlign w:val="center"/>
            <w:hideMark/>
          </w:tcPr>
          <w:p>
            <w:pPr>
              <w:spacing w:after="0" w:line="240" w:lineRule="auto"/>
              <w:rPr>
                <w:rFonts w:ascii="Times New Roman" w:hAnsi="Times New Roman"/>
                <w:noProof/>
                <w:sz w:val="20"/>
                <w:lang w:val="en-US"/>
              </w:rPr>
            </w:pPr>
          </w:p>
        </w:tc>
        <w:tc>
          <w:tcPr>
            <w:tcW w:w="0" w:type="auto"/>
            <w:vMerge/>
            <w:vAlign w:val="center"/>
            <w:hideMark/>
          </w:tcPr>
          <w:p>
            <w:pPr>
              <w:spacing w:after="0" w:line="240" w:lineRule="auto"/>
              <w:rPr>
                <w:rFonts w:ascii="Times New Roman" w:hAnsi="Times New Roman"/>
                <w:noProof/>
                <w:sz w:val="20"/>
                <w:lang w:val="en-US"/>
              </w:rPr>
            </w:pPr>
          </w:p>
        </w:tc>
      </w:tr>
      <w:tr>
        <w:trPr>
          <w:cantSplit/>
        </w:trPr>
        <w:tc>
          <w:tcPr>
            <w:tcW w:w="1522"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NGOs representing farmers, consumers, citizens…</w:t>
            </w:r>
          </w:p>
        </w:tc>
        <w:tc>
          <w:tcPr>
            <w:tcW w:w="2629"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More thematic funding will be available. European consortia will be required in all cases. Project management will be different and centralised in a DIS. This Policy Option will count on more funds to produce innovations, therefore having a strong positive effectNGOs can in principle apply to apply in transnational consortia consisting of European and third countries.</w:t>
            </w:r>
          </w:p>
        </w:tc>
        <w:tc>
          <w:tcPr>
            <w:tcW w:w="0" w:type="auto"/>
            <w:vMerge/>
            <w:vAlign w:val="center"/>
            <w:hideMark/>
          </w:tcPr>
          <w:p>
            <w:pPr>
              <w:spacing w:after="0" w:line="240" w:lineRule="auto"/>
              <w:rPr>
                <w:rFonts w:ascii="Times New Roman" w:hAnsi="Times New Roman"/>
                <w:noProof/>
                <w:sz w:val="20"/>
                <w:lang w:val="en-US"/>
              </w:rPr>
            </w:pPr>
          </w:p>
        </w:tc>
        <w:tc>
          <w:tcPr>
            <w:tcW w:w="0" w:type="auto"/>
            <w:vMerge/>
            <w:vAlign w:val="center"/>
            <w:hideMark/>
          </w:tcPr>
          <w:p>
            <w:pPr>
              <w:spacing w:after="0" w:line="240" w:lineRule="auto"/>
              <w:rPr>
                <w:rFonts w:ascii="Times New Roman" w:hAnsi="Times New Roman"/>
                <w:noProof/>
                <w:sz w:val="20"/>
                <w:lang w:val="en-US"/>
              </w:rPr>
            </w:pPr>
          </w:p>
        </w:tc>
      </w:tr>
      <w:tr>
        <w:trPr>
          <w:cantSplit/>
        </w:trPr>
        <w:tc>
          <w:tcPr>
            <w:tcW w:w="1522"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Farmers</w:t>
            </w:r>
          </w:p>
        </w:tc>
        <w:tc>
          <w:tcPr>
            <w:tcW w:w="2629"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Farmers rarely participate in R&amp;I activities. This Policy Option will count on more funds to produce innovations, therefore having a strong positive effect, even if, specific actions to involve them could be design and launched rely on innovative solutions coming from the increased R&amp;I efforts that will provide benefits for farmers.</w:t>
            </w:r>
          </w:p>
        </w:tc>
        <w:tc>
          <w:tcPr>
            <w:tcW w:w="2525"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No specific action is required to comply</w:t>
            </w:r>
          </w:p>
        </w:tc>
        <w:tc>
          <w:tcPr>
            <w:tcW w:w="2612"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w:t>
            </w:r>
          </w:p>
        </w:tc>
      </w:tr>
      <w:tr>
        <w:trPr>
          <w:cantSplit/>
        </w:trPr>
        <w:tc>
          <w:tcPr>
            <w:tcW w:w="1522"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Citizens</w:t>
            </w:r>
          </w:p>
        </w:tc>
        <w:tc>
          <w:tcPr>
            <w:tcW w:w="2629"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Citizens rarely participate in R&amp;I activities. This Policy Option will count on more funds to produce innovations, therefore having a strong positive effect, even if, specific actions to involve them could be design and launched</w:t>
            </w:r>
          </w:p>
        </w:tc>
        <w:tc>
          <w:tcPr>
            <w:tcW w:w="2525"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No specific action is required to comply</w:t>
            </w:r>
          </w:p>
        </w:tc>
        <w:tc>
          <w:tcPr>
            <w:tcW w:w="2612" w:type="dxa"/>
            <w:vAlign w:val="center"/>
            <w:hideMark/>
          </w:tcPr>
          <w:p>
            <w:pPr>
              <w:spacing w:after="0" w:line="240" w:lineRule="auto"/>
              <w:rPr>
                <w:rFonts w:ascii="Times New Roman" w:hAnsi="Times New Roman"/>
                <w:noProof/>
                <w:sz w:val="20"/>
                <w:lang w:val="en-US"/>
              </w:rPr>
            </w:pPr>
            <w:r>
              <w:rPr>
                <w:rFonts w:ascii="Times New Roman" w:hAnsi="Times New Roman"/>
                <w:noProof/>
                <w:sz w:val="20"/>
                <w:lang w:val="en-US"/>
              </w:rPr>
              <w:t>-</w:t>
            </w:r>
          </w:p>
        </w:tc>
      </w:tr>
    </w:tbl>
    <w:p>
      <w:pPr>
        <w:spacing w:after="0" w:line="240" w:lineRule="auto"/>
        <w:rPr>
          <w:rFonts w:ascii="Times New Roman" w:hAnsi="Times New Roman"/>
          <w:noProof/>
          <w:sz w:val="20"/>
          <w:szCs w:val="20"/>
        </w:rPr>
      </w:pPr>
      <w:r>
        <w:rPr>
          <w:rFonts w:ascii="Times New Roman" w:hAnsi="Times New Roman"/>
          <w:b/>
          <w:noProof/>
          <w:sz w:val="20"/>
          <w:szCs w:val="20"/>
        </w:rPr>
        <w:t>Table 7.3</w:t>
      </w:r>
      <w:r>
        <w:rPr>
          <w:rFonts w:ascii="Times New Roman" w:hAnsi="Times New Roman"/>
          <w:noProof/>
          <w:sz w:val="20"/>
          <w:szCs w:val="20"/>
        </w:rPr>
        <w:t xml:space="preserve">. </w:t>
      </w:r>
      <w:r>
        <w:rPr>
          <w:rFonts w:ascii="Times New Roman" w:hAnsi="Times New Roman"/>
          <w:i/>
          <w:noProof/>
          <w:sz w:val="20"/>
          <w:szCs w:val="20"/>
        </w:rPr>
        <w:t>Who is affected by Policy Option 2. Source: PRIMA Expert Group report.</w:t>
      </w:r>
    </w:p>
    <w:p>
      <w:pPr>
        <w:spacing w:after="0" w:line="240" w:lineRule="auto"/>
        <w:rPr>
          <w:rFonts w:ascii="Times New Roman" w:hAnsi="Times New Roman"/>
          <w:noProof/>
          <w:sz w:val="20"/>
          <w:szCs w:val="20"/>
        </w:rPr>
      </w:pPr>
      <w:r>
        <w:rPr>
          <w:rFonts w:ascii="Times New Roman" w:hAnsi="Times New Roman"/>
          <w:noProof/>
          <w:sz w:val="20"/>
          <w:szCs w:val="20"/>
        </w:rPr>
        <w:br w:type="page"/>
      </w:r>
    </w:p>
    <w:p>
      <w:pPr>
        <w:pStyle w:val="Heading2"/>
        <w:keepLines w:val="0"/>
        <w:suppressAutoHyphens/>
        <w:spacing w:before="0" w:after="240" w:line="240" w:lineRule="auto"/>
        <w:ind w:left="480"/>
        <w:jc w:val="both"/>
        <w:rPr>
          <w:rFonts w:ascii="Times New Roman" w:hAnsi="Times New Roman"/>
          <w:i/>
          <w:noProof/>
          <w:color w:val="auto"/>
          <w:sz w:val="24"/>
          <w:szCs w:val="24"/>
        </w:rPr>
      </w:pPr>
      <w:bookmarkStart w:id="498" w:name="_Toc453056138"/>
      <w:bookmarkStart w:id="499" w:name="_Toc453058078"/>
      <w:bookmarkStart w:id="500" w:name="_Toc453058535"/>
      <w:bookmarkStart w:id="501" w:name="_Toc453067065"/>
      <w:bookmarkStart w:id="502" w:name="_Toc453068099"/>
      <w:bookmarkStart w:id="503" w:name="_Toc457466111"/>
      <w:bookmarkStart w:id="504" w:name="_Toc452566294"/>
      <w:bookmarkStart w:id="505" w:name="_Toc453058536"/>
      <w:bookmarkStart w:id="506" w:name="_Toc455682320"/>
      <w:bookmarkStart w:id="507" w:name="_Toc455682880"/>
      <w:bookmarkEnd w:id="498"/>
      <w:bookmarkEnd w:id="499"/>
      <w:bookmarkEnd w:id="500"/>
      <w:bookmarkEnd w:id="501"/>
      <w:bookmarkEnd w:id="502"/>
      <w:r>
        <w:rPr>
          <w:rFonts w:ascii="Times New Roman" w:hAnsi="Times New Roman"/>
          <w:i/>
          <w:noProof/>
          <w:color w:val="auto"/>
          <w:sz w:val="24"/>
          <w:szCs w:val="24"/>
        </w:rPr>
        <w:t>Annex 8: Synergies</w:t>
      </w:r>
      <w:bookmarkEnd w:id="503"/>
    </w:p>
    <w:p>
      <w:pPr>
        <w:spacing w:after="120"/>
        <w:jc w:val="both"/>
        <w:rPr>
          <w:rFonts w:ascii="Times New Roman" w:hAnsi="Times New Roman"/>
          <w:noProof/>
          <w:sz w:val="24"/>
        </w:rPr>
      </w:pPr>
      <w:r>
        <w:rPr>
          <w:rFonts w:ascii="Times New Roman" w:hAnsi="Times New Roman"/>
          <w:noProof/>
          <w:sz w:val="24"/>
        </w:rPr>
        <w:t>The thematic aspects of PRIMA are defined by the intersection of the Mediterranean focus and each of the eight objectives described in the proposal. Two types of cross-border initiatives are related to PRIMA:</w:t>
      </w:r>
    </w:p>
    <w:p>
      <w:pPr>
        <w:pStyle w:val="ListParagraph"/>
        <w:numPr>
          <w:ilvl w:val="0"/>
          <w:numId w:val="23"/>
        </w:numPr>
        <w:spacing w:after="120"/>
        <w:rPr>
          <w:rFonts w:ascii="Times New Roman" w:hAnsi="Times New Roman"/>
          <w:noProof/>
          <w:sz w:val="24"/>
        </w:rPr>
      </w:pPr>
      <w:r>
        <w:rPr>
          <w:rFonts w:ascii="Times New Roman" w:hAnsi="Times New Roman"/>
          <w:noProof/>
          <w:sz w:val="24"/>
        </w:rPr>
        <w:t>Cross-border initiatives focusing on the Mediterranean which partially cover the thematic pillars of PRIMA; and</w:t>
      </w:r>
    </w:p>
    <w:p>
      <w:pPr>
        <w:pStyle w:val="ListParagraph"/>
        <w:numPr>
          <w:ilvl w:val="0"/>
          <w:numId w:val="23"/>
        </w:numPr>
        <w:spacing w:after="120"/>
        <w:rPr>
          <w:rFonts w:ascii="Times New Roman" w:hAnsi="Times New Roman"/>
          <w:noProof/>
          <w:sz w:val="24"/>
        </w:rPr>
      </w:pPr>
      <w:r>
        <w:rPr>
          <w:rFonts w:ascii="Times New Roman" w:hAnsi="Times New Roman"/>
          <w:noProof/>
          <w:sz w:val="24"/>
        </w:rPr>
        <w:t>Cross-border initiatives partially covering the thematic pillars of PRIMA which count on non-EU Mediterranean countries.</w:t>
      </w:r>
    </w:p>
    <w:p>
      <w:pPr>
        <w:spacing w:before="240" w:after="120"/>
        <w:jc w:val="both"/>
        <w:rPr>
          <w:rFonts w:ascii="Times New Roman" w:hAnsi="Times New Roman"/>
          <w:b/>
          <w:noProof/>
          <w:sz w:val="24"/>
        </w:rPr>
      </w:pPr>
      <w:r>
        <w:rPr>
          <w:rFonts w:ascii="Times New Roman" w:hAnsi="Times New Roman"/>
          <w:b/>
          <w:noProof/>
          <w:sz w:val="24"/>
        </w:rPr>
        <w:t>Some cross-border initiatives focusing on the Mediterranean partially cover the thematic pillars of PRIMA</w:t>
      </w:r>
    </w:p>
    <w:p>
      <w:pPr>
        <w:spacing w:after="120"/>
        <w:jc w:val="both"/>
        <w:rPr>
          <w:rFonts w:ascii="Times New Roman" w:hAnsi="Times New Roman"/>
          <w:noProof/>
          <w:sz w:val="24"/>
        </w:rPr>
      </w:pPr>
      <w:r>
        <w:rPr>
          <w:rFonts w:ascii="Times New Roman" w:hAnsi="Times New Roman"/>
          <w:noProof/>
          <w:sz w:val="24"/>
        </w:rPr>
        <w:t xml:space="preserve">The Expert Group Report presents three INCO-NETs and three KBBE ERA-NETs addressing Mediterranean Cooperation. In Table 10.1 the results of three calls in ARIMNet, ARIMNet2 and ERANETMED are presented. More information on these calls is provided in Annex 9. On-going Mediterranean initiatives include: </w:t>
      </w:r>
    </w:p>
    <w:p>
      <w:pPr>
        <w:pStyle w:val="ListParagraph"/>
        <w:numPr>
          <w:ilvl w:val="0"/>
          <w:numId w:val="24"/>
        </w:numPr>
        <w:spacing w:after="120" w:line="240" w:lineRule="auto"/>
        <w:ind w:left="714" w:hanging="357"/>
        <w:rPr>
          <w:rFonts w:ascii="Times New Roman" w:hAnsi="Times New Roman"/>
          <w:noProof/>
          <w:sz w:val="24"/>
        </w:rPr>
      </w:pPr>
      <w:r>
        <w:rPr>
          <w:rFonts w:ascii="Times New Roman" w:hAnsi="Times New Roman"/>
          <w:noProof/>
          <w:sz w:val="24"/>
        </w:rPr>
        <w:t>MedSpring. Its objective is to encourage and strengthen the Euro-Mediterranean Cooperation on Research and Innovation by creating a dialogue and coordination platform of governmental institutions, research organizations, associations and civil society. It focuses its efforts around three major societal challenge themes: resource efficiency (particularly water), high quality affordable food and energy. MedSpring does not fund R&amp;I projects.</w:t>
      </w:r>
    </w:p>
    <w:p>
      <w:pPr>
        <w:pStyle w:val="ListParagraph"/>
        <w:spacing w:after="120" w:line="240" w:lineRule="auto"/>
        <w:ind w:left="714"/>
        <w:rPr>
          <w:rFonts w:ascii="Times New Roman" w:hAnsi="Times New Roman"/>
          <w:noProof/>
          <w:sz w:val="24"/>
        </w:rPr>
      </w:pPr>
    </w:p>
    <w:p>
      <w:pPr>
        <w:pStyle w:val="ListParagraph"/>
        <w:numPr>
          <w:ilvl w:val="0"/>
          <w:numId w:val="24"/>
        </w:numPr>
        <w:spacing w:after="120"/>
        <w:rPr>
          <w:rFonts w:ascii="Times New Roman" w:hAnsi="Times New Roman"/>
          <w:noProof/>
          <w:sz w:val="24"/>
        </w:rPr>
      </w:pPr>
      <w:r>
        <w:rPr>
          <w:rFonts w:ascii="Times New Roman" w:hAnsi="Times New Roman"/>
          <w:noProof/>
          <w:sz w:val="24"/>
        </w:rPr>
        <w:t>ERANETMED. The main aim of the project is to enhance Euro-Mediterranean co-ownership through innovation and competitive research in the societal challenges of the region. The project aims at reducing fragmentation of programming in the Mediterranean region by increasing coordination among national research programmes of European Member States, Associated Countries and Mediterranean Countries.</w:t>
      </w:r>
    </w:p>
    <w:p>
      <w:pPr>
        <w:pStyle w:val="ListParagraph"/>
        <w:numPr>
          <w:ilvl w:val="1"/>
          <w:numId w:val="24"/>
        </w:numPr>
        <w:spacing w:after="120"/>
        <w:rPr>
          <w:rFonts w:ascii="Times New Roman" w:hAnsi="Times New Roman"/>
          <w:noProof/>
          <w:sz w:val="24"/>
        </w:rPr>
      </w:pPr>
      <w:r>
        <w:rPr>
          <w:rFonts w:ascii="Times New Roman" w:hAnsi="Times New Roman"/>
          <w:noProof/>
          <w:sz w:val="24"/>
        </w:rPr>
        <w:t>Call 2014: 13.42 million EUR (thee topics), one related to PRIMA</w:t>
      </w:r>
    </w:p>
    <w:p>
      <w:pPr>
        <w:pStyle w:val="ListParagraph"/>
        <w:numPr>
          <w:ilvl w:val="1"/>
          <w:numId w:val="24"/>
        </w:numPr>
        <w:spacing w:after="120"/>
        <w:rPr>
          <w:rFonts w:ascii="Times New Roman" w:hAnsi="Times New Roman"/>
          <w:noProof/>
          <w:sz w:val="24"/>
        </w:rPr>
      </w:pPr>
      <w:r>
        <w:rPr>
          <w:rFonts w:ascii="Times New Roman" w:hAnsi="Times New Roman"/>
          <w:noProof/>
          <w:sz w:val="24"/>
        </w:rPr>
        <w:t>Call 2016 (open): 11.45 million EUR (four topics), one related to PRIMA</w:t>
      </w:r>
    </w:p>
    <w:p>
      <w:pPr>
        <w:pStyle w:val="ListParagraph"/>
        <w:spacing w:after="120"/>
        <w:ind w:left="1440"/>
        <w:rPr>
          <w:rFonts w:ascii="Times New Roman" w:hAnsi="Times New Roman"/>
          <w:noProof/>
          <w:sz w:val="24"/>
        </w:rPr>
      </w:pPr>
    </w:p>
    <w:p>
      <w:pPr>
        <w:pStyle w:val="ListParagraph"/>
        <w:numPr>
          <w:ilvl w:val="0"/>
          <w:numId w:val="24"/>
        </w:numPr>
        <w:spacing w:after="120"/>
        <w:rPr>
          <w:rFonts w:ascii="Times New Roman" w:hAnsi="Times New Roman"/>
          <w:noProof/>
          <w:sz w:val="24"/>
        </w:rPr>
      </w:pPr>
      <w:r>
        <w:rPr>
          <w:rFonts w:ascii="Times New Roman" w:hAnsi="Times New Roman"/>
          <w:noProof/>
          <w:sz w:val="24"/>
        </w:rPr>
        <w:t>ARMINET2. Continuing from ARIMNet, this ERA-NET aims to establish itself as a source of funding for international collaboration responding to global stakes and challenges facing Mediterranean agriculture.</w:t>
      </w:r>
    </w:p>
    <w:p>
      <w:pPr>
        <w:pStyle w:val="ListParagraph"/>
        <w:numPr>
          <w:ilvl w:val="1"/>
          <w:numId w:val="24"/>
        </w:numPr>
        <w:spacing w:after="120"/>
        <w:rPr>
          <w:rFonts w:ascii="Times New Roman" w:hAnsi="Times New Roman"/>
          <w:noProof/>
          <w:sz w:val="24"/>
        </w:rPr>
      </w:pPr>
      <w:r>
        <w:rPr>
          <w:rFonts w:ascii="Times New Roman" w:hAnsi="Times New Roman"/>
          <w:noProof/>
          <w:sz w:val="24"/>
        </w:rPr>
        <w:t>Call 2015: 7 million EUR, three topics, all three related to PRIMA</w:t>
      </w:r>
    </w:p>
    <w:p>
      <w:pPr>
        <w:pStyle w:val="ListParagraph"/>
        <w:numPr>
          <w:ilvl w:val="1"/>
          <w:numId w:val="24"/>
        </w:numPr>
        <w:spacing w:after="120"/>
        <w:rPr>
          <w:rFonts w:ascii="Times New Roman" w:hAnsi="Times New Roman"/>
          <w:noProof/>
          <w:sz w:val="24"/>
        </w:rPr>
      </w:pPr>
      <w:r>
        <w:rPr>
          <w:rFonts w:ascii="Times New Roman" w:hAnsi="Times New Roman"/>
          <w:noProof/>
          <w:sz w:val="24"/>
        </w:rPr>
        <w:t>Call 2016 (open): 5.8 million EUR, two topics, both related to PRIMA</w:t>
      </w:r>
    </w:p>
    <w:p>
      <w:pPr>
        <w:spacing w:after="0" w:line="240" w:lineRule="auto"/>
        <w:rPr>
          <w:rFonts w:ascii="Times New Roman" w:hAnsi="Times New Roman"/>
          <w:b/>
          <w:noProof/>
          <w:sz w:val="20"/>
          <w:szCs w:val="20"/>
        </w:rPr>
      </w:pPr>
      <w:r>
        <w:rPr>
          <w:rFonts w:ascii="Times New Roman" w:hAnsi="Times New Roman"/>
          <w:b/>
          <w:noProof/>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2045"/>
        <w:gridCol w:w="2188"/>
        <w:gridCol w:w="2130"/>
      </w:tblGrid>
      <w:tr>
        <w:trPr>
          <w:cantSplit/>
        </w:trPr>
        <w:tc>
          <w:tcPr>
            <w:tcW w:w="2925" w:type="dxa"/>
            <w:shd w:val="pct12" w:color="auto" w:fill="auto"/>
            <w:hideMark/>
          </w:tcPr>
          <w:p>
            <w:pPr>
              <w:jc w:val="center"/>
              <w:rPr>
                <w:rFonts w:ascii="Times New Roman" w:hAnsi="Times New Roman"/>
                <w:b/>
                <w:noProof/>
                <w:sz w:val="20"/>
                <w:szCs w:val="20"/>
                <w:lang w:val="en-US"/>
              </w:rPr>
            </w:pPr>
            <w:r>
              <w:rPr>
                <w:rFonts w:ascii="Times New Roman" w:hAnsi="Times New Roman"/>
                <w:b/>
                <w:noProof/>
                <w:sz w:val="20"/>
                <w:szCs w:val="20"/>
                <w:lang w:val="en-US"/>
              </w:rPr>
              <w:t>PRIMA Objective</w:t>
            </w:r>
          </w:p>
        </w:tc>
        <w:tc>
          <w:tcPr>
            <w:tcW w:w="2045" w:type="dxa"/>
            <w:shd w:val="pct12" w:color="auto" w:fill="auto"/>
            <w:hideMark/>
          </w:tcPr>
          <w:p>
            <w:pPr>
              <w:jc w:val="center"/>
              <w:rPr>
                <w:rFonts w:ascii="Times New Roman" w:hAnsi="Times New Roman"/>
                <w:b/>
                <w:noProof/>
                <w:sz w:val="20"/>
                <w:szCs w:val="20"/>
                <w:lang w:val="en-US"/>
              </w:rPr>
            </w:pPr>
            <w:r>
              <w:rPr>
                <w:rFonts w:ascii="Times New Roman" w:hAnsi="Times New Roman"/>
                <w:b/>
                <w:noProof/>
                <w:sz w:val="20"/>
                <w:szCs w:val="20"/>
                <w:lang w:val="en-US"/>
              </w:rPr>
              <w:t>MedSpring</w:t>
            </w:r>
          </w:p>
        </w:tc>
        <w:tc>
          <w:tcPr>
            <w:tcW w:w="2188" w:type="dxa"/>
            <w:shd w:val="pct12" w:color="auto" w:fill="auto"/>
            <w:hideMark/>
          </w:tcPr>
          <w:p>
            <w:pPr>
              <w:jc w:val="center"/>
              <w:rPr>
                <w:rFonts w:ascii="Times New Roman" w:hAnsi="Times New Roman"/>
                <w:b/>
                <w:noProof/>
                <w:sz w:val="20"/>
                <w:szCs w:val="20"/>
                <w:lang w:val="en-US"/>
              </w:rPr>
            </w:pPr>
            <w:r>
              <w:rPr>
                <w:rFonts w:ascii="Times New Roman" w:hAnsi="Times New Roman"/>
                <w:b/>
                <w:noProof/>
                <w:sz w:val="20"/>
                <w:szCs w:val="20"/>
                <w:lang w:val="en-US"/>
              </w:rPr>
              <w:t>ERANETMED</w:t>
            </w:r>
          </w:p>
        </w:tc>
        <w:tc>
          <w:tcPr>
            <w:tcW w:w="2130" w:type="dxa"/>
            <w:shd w:val="pct12" w:color="auto" w:fill="auto"/>
            <w:hideMark/>
          </w:tcPr>
          <w:p>
            <w:pPr>
              <w:jc w:val="center"/>
              <w:rPr>
                <w:rFonts w:ascii="Times New Roman" w:hAnsi="Times New Roman"/>
                <w:b/>
                <w:noProof/>
                <w:sz w:val="20"/>
                <w:szCs w:val="20"/>
                <w:lang w:val="en-US"/>
              </w:rPr>
            </w:pPr>
            <w:r>
              <w:rPr>
                <w:rFonts w:ascii="Times New Roman" w:hAnsi="Times New Roman"/>
                <w:b/>
                <w:noProof/>
                <w:sz w:val="20"/>
                <w:szCs w:val="20"/>
                <w:lang w:val="en-US"/>
              </w:rPr>
              <w:t>ARIMNet2</w:t>
            </w:r>
          </w:p>
        </w:tc>
      </w:tr>
      <w:tr>
        <w:trPr>
          <w:cantSplit/>
        </w:trPr>
        <w:tc>
          <w:tcPr>
            <w:tcW w:w="2925" w:type="dxa"/>
            <w:hideMark/>
          </w:tcPr>
          <w:p>
            <w:pPr>
              <w:spacing w:after="0" w:line="240" w:lineRule="auto"/>
              <w:rPr>
                <w:rFonts w:ascii="Times New Roman" w:hAnsi="Times New Roman"/>
                <w:noProof/>
                <w:sz w:val="20"/>
                <w:szCs w:val="20"/>
                <w:lang w:val="en-US"/>
              </w:rPr>
            </w:pPr>
            <w:r>
              <w:rPr>
                <w:rFonts w:ascii="Times New Roman" w:hAnsi="Times New Roman"/>
                <w:noProof/>
                <w:sz w:val="20"/>
                <w:szCs w:val="20"/>
                <w:lang w:val="en-US"/>
              </w:rPr>
              <w:t>1. To develop smart and sustainable farming systems to maintain natural resources and to increase production efficiency</w:t>
            </w:r>
          </w:p>
        </w:tc>
        <w:tc>
          <w:tcPr>
            <w:tcW w:w="2045" w:type="dxa"/>
            <w:hideMark/>
          </w:tcPr>
          <w:p>
            <w:pPr>
              <w:spacing w:after="0" w:line="240" w:lineRule="auto"/>
              <w:rPr>
                <w:rFonts w:ascii="Times New Roman" w:hAnsi="Times New Roman"/>
                <w:noProof/>
                <w:sz w:val="20"/>
                <w:szCs w:val="20"/>
                <w:lang w:val="en-US"/>
              </w:rPr>
            </w:pPr>
            <w:r>
              <w:rPr>
                <w:rFonts w:ascii="Times New Roman" w:hAnsi="Times New Roman"/>
                <w:noProof/>
                <w:sz w:val="20"/>
                <w:szCs w:val="20"/>
                <w:lang w:val="en-US"/>
              </w:rPr>
              <w:t>Societal challenge “food” focuses on organic farming, traditional agriculture and tolerance to abiotic stresses</w:t>
            </w:r>
          </w:p>
        </w:tc>
        <w:tc>
          <w:tcPr>
            <w:tcW w:w="2188" w:type="dxa"/>
          </w:tcPr>
          <w:p>
            <w:pPr>
              <w:spacing w:after="0" w:line="240" w:lineRule="auto"/>
              <w:rPr>
                <w:rFonts w:ascii="Times New Roman" w:hAnsi="Times New Roman"/>
                <w:noProof/>
                <w:sz w:val="20"/>
                <w:szCs w:val="20"/>
                <w:lang w:val="en-US"/>
              </w:rPr>
            </w:pPr>
          </w:p>
        </w:tc>
        <w:tc>
          <w:tcPr>
            <w:tcW w:w="2130" w:type="dxa"/>
            <w:hideMark/>
          </w:tcPr>
          <w:p>
            <w:pPr>
              <w:spacing w:after="0" w:line="240" w:lineRule="auto"/>
              <w:rPr>
                <w:rFonts w:ascii="Times New Roman" w:hAnsi="Times New Roman"/>
                <w:noProof/>
                <w:sz w:val="20"/>
                <w:szCs w:val="20"/>
                <w:lang w:val="en-US"/>
              </w:rPr>
            </w:pPr>
            <w:r>
              <w:rPr>
                <w:rFonts w:ascii="Times New Roman" w:hAnsi="Times New Roman"/>
                <w:noProof/>
                <w:sz w:val="20"/>
                <w:szCs w:val="20"/>
                <w:lang w:val="en-US"/>
              </w:rPr>
              <w:t xml:space="preserve">Call 2015. A topic on sustainable production under stress. </w:t>
            </w:r>
          </w:p>
          <w:p>
            <w:pPr>
              <w:spacing w:after="0" w:line="240" w:lineRule="auto"/>
              <w:rPr>
                <w:rFonts w:ascii="Times New Roman" w:hAnsi="Times New Roman"/>
                <w:noProof/>
                <w:sz w:val="20"/>
                <w:szCs w:val="20"/>
                <w:lang w:val="en-US"/>
              </w:rPr>
            </w:pPr>
            <w:r>
              <w:rPr>
                <w:rFonts w:ascii="Times New Roman" w:hAnsi="Times New Roman"/>
                <w:noProof/>
                <w:sz w:val="20"/>
                <w:szCs w:val="20"/>
                <w:lang w:val="en-US"/>
              </w:rPr>
              <w:t>Call 2015. A topic on food chain: from production to consumption.</w:t>
            </w:r>
          </w:p>
          <w:p>
            <w:pPr>
              <w:spacing w:after="0" w:line="240" w:lineRule="auto"/>
              <w:rPr>
                <w:rFonts w:ascii="Times New Roman" w:hAnsi="Times New Roman"/>
                <w:noProof/>
                <w:sz w:val="20"/>
                <w:szCs w:val="20"/>
                <w:lang w:val="en-US"/>
              </w:rPr>
            </w:pPr>
            <w:r>
              <w:rPr>
                <w:rFonts w:ascii="Times New Roman" w:hAnsi="Times New Roman"/>
                <w:noProof/>
                <w:sz w:val="20"/>
                <w:szCs w:val="20"/>
                <w:lang w:val="en-US"/>
              </w:rPr>
              <w:t>Call 2016 (open). A topic on Promoting sustainable agriculture for socio-economic development</w:t>
            </w:r>
          </w:p>
        </w:tc>
      </w:tr>
      <w:tr>
        <w:trPr>
          <w:cantSplit/>
        </w:trPr>
        <w:tc>
          <w:tcPr>
            <w:tcW w:w="2925" w:type="dxa"/>
            <w:hideMark/>
          </w:tcPr>
          <w:p>
            <w:pPr>
              <w:spacing w:after="0" w:line="240" w:lineRule="auto"/>
              <w:rPr>
                <w:rFonts w:ascii="Times New Roman" w:hAnsi="Times New Roman"/>
                <w:noProof/>
                <w:sz w:val="20"/>
                <w:szCs w:val="20"/>
                <w:lang w:val="en-US"/>
              </w:rPr>
            </w:pPr>
            <w:r>
              <w:rPr>
                <w:rFonts w:ascii="Times New Roman" w:hAnsi="Times New Roman"/>
                <w:noProof/>
                <w:sz w:val="20"/>
                <w:szCs w:val="20"/>
                <w:lang w:val="en-US"/>
              </w:rPr>
              <w:t>2. To test and stimulate the adoption of context-tailored water-saving solutions, in particular in agriculture</w:t>
            </w:r>
          </w:p>
        </w:tc>
        <w:tc>
          <w:tcPr>
            <w:tcW w:w="2045" w:type="dxa"/>
            <w:hideMark/>
          </w:tcPr>
          <w:p>
            <w:pPr>
              <w:spacing w:after="0" w:line="240" w:lineRule="auto"/>
              <w:rPr>
                <w:rFonts w:ascii="Times New Roman" w:hAnsi="Times New Roman"/>
                <w:noProof/>
                <w:sz w:val="20"/>
                <w:szCs w:val="20"/>
                <w:lang w:val="en-US"/>
              </w:rPr>
            </w:pPr>
            <w:r>
              <w:rPr>
                <w:rFonts w:ascii="Times New Roman" w:hAnsi="Times New Roman"/>
                <w:noProof/>
                <w:sz w:val="20"/>
                <w:szCs w:val="20"/>
                <w:lang w:val="en-US"/>
              </w:rPr>
              <w:t>Societal challenge “scarcity of resources” has a strong focus on water</w:t>
            </w:r>
          </w:p>
        </w:tc>
        <w:tc>
          <w:tcPr>
            <w:tcW w:w="2188" w:type="dxa"/>
            <w:hideMark/>
          </w:tcPr>
          <w:p>
            <w:pPr>
              <w:spacing w:after="0" w:line="240" w:lineRule="auto"/>
              <w:rPr>
                <w:rFonts w:ascii="Times New Roman" w:hAnsi="Times New Roman"/>
                <w:noProof/>
                <w:sz w:val="20"/>
                <w:szCs w:val="20"/>
                <w:lang w:val="en-US"/>
              </w:rPr>
            </w:pPr>
            <w:r>
              <w:rPr>
                <w:rFonts w:ascii="Times New Roman" w:hAnsi="Times New Roman"/>
                <w:noProof/>
                <w:sz w:val="20"/>
                <w:szCs w:val="20"/>
                <w:lang w:val="en-US"/>
              </w:rPr>
              <w:t>Call 2014: a topic on Water</w:t>
            </w:r>
          </w:p>
          <w:p>
            <w:pPr>
              <w:spacing w:after="0" w:line="240" w:lineRule="auto"/>
              <w:rPr>
                <w:rFonts w:ascii="Times New Roman" w:hAnsi="Times New Roman"/>
                <w:noProof/>
                <w:sz w:val="20"/>
                <w:szCs w:val="20"/>
                <w:lang w:val="en-US"/>
              </w:rPr>
            </w:pPr>
            <w:r>
              <w:rPr>
                <w:rFonts w:ascii="Times New Roman" w:hAnsi="Times New Roman"/>
                <w:noProof/>
                <w:sz w:val="20"/>
                <w:szCs w:val="20"/>
                <w:lang w:val="en-US"/>
              </w:rPr>
              <w:t>resources management.</w:t>
            </w:r>
          </w:p>
        </w:tc>
        <w:tc>
          <w:tcPr>
            <w:tcW w:w="2130" w:type="dxa"/>
            <w:hideMark/>
          </w:tcPr>
          <w:p>
            <w:pPr>
              <w:spacing w:after="0" w:line="240" w:lineRule="auto"/>
              <w:rPr>
                <w:rFonts w:ascii="Times New Roman" w:hAnsi="Times New Roman"/>
                <w:noProof/>
                <w:sz w:val="20"/>
                <w:szCs w:val="20"/>
                <w:lang w:val="en-US"/>
              </w:rPr>
            </w:pPr>
            <w:r>
              <w:rPr>
                <w:rFonts w:ascii="Times New Roman" w:hAnsi="Times New Roman"/>
                <w:noProof/>
                <w:sz w:val="20"/>
                <w:szCs w:val="20"/>
                <w:lang w:val="en-US"/>
              </w:rPr>
              <w:t>Call 2015. A topic on sustainable management of landscape and resources</w:t>
            </w:r>
          </w:p>
        </w:tc>
      </w:tr>
      <w:tr>
        <w:trPr>
          <w:cantSplit/>
        </w:trPr>
        <w:tc>
          <w:tcPr>
            <w:tcW w:w="2925" w:type="dxa"/>
            <w:hideMark/>
          </w:tcPr>
          <w:p>
            <w:pPr>
              <w:spacing w:after="0" w:line="240" w:lineRule="auto"/>
              <w:rPr>
                <w:rFonts w:ascii="Times New Roman" w:hAnsi="Times New Roman"/>
                <w:noProof/>
                <w:sz w:val="20"/>
                <w:szCs w:val="20"/>
                <w:lang w:val="en-US"/>
              </w:rPr>
            </w:pPr>
            <w:r>
              <w:rPr>
                <w:rFonts w:ascii="Times New Roman" w:hAnsi="Times New Roman"/>
                <w:noProof/>
                <w:sz w:val="20"/>
                <w:szCs w:val="20"/>
                <w:lang w:val="en-US"/>
              </w:rPr>
              <w:t>3. To innovate in Mediterranean food products based on Mediterranean diet heritage and to enhance the links between nutrition and health</w:t>
            </w:r>
          </w:p>
        </w:tc>
        <w:tc>
          <w:tcPr>
            <w:tcW w:w="2045" w:type="dxa"/>
            <w:hideMark/>
          </w:tcPr>
          <w:p>
            <w:pPr>
              <w:spacing w:after="0" w:line="240" w:lineRule="auto"/>
              <w:rPr>
                <w:rFonts w:ascii="Times New Roman" w:hAnsi="Times New Roman"/>
                <w:noProof/>
                <w:sz w:val="20"/>
                <w:szCs w:val="20"/>
                <w:lang w:val="en-US"/>
              </w:rPr>
            </w:pPr>
            <w:r>
              <w:rPr>
                <w:rFonts w:ascii="Times New Roman" w:hAnsi="Times New Roman"/>
                <w:noProof/>
                <w:sz w:val="20"/>
                <w:szCs w:val="20"/>
                <w:lang w:val="en-US"/>
              </w:rPr>
              <w:t>Societal challenge “food” focuses on innovations in local Mediterranean food chains</w:t>
            </w:r>
          </w:p>
        </w:tc>
        <w:tc>
          <w:tcPr>
            <w:tcW w:w="2188" w:type="dxa"/>
          </w:tcPr>
          <w:p>
            <w:pPr>
              <w:spacing w:after="0" w:line="240" w:lineRule="auto"/>
              <w:rPr>
                <w:rFonts w:ascii="Times New Roman" w:hAnsi="Times New Roman"/>
                <w:noProof/>
                <w:sz w:val="20"/>
                <w:szCs w:val="20"/>
                <w:lang w:val="en-US"/>
              </w:rPr>
            </w:pPr>
          </w:p>
        </w:tc>
        <w:tc>
          <w:tcPr>
            <w:tcW w:w="2130" w:type="dxa"/>
            <w:hideMark/>
          </w:tcPr>
          <w:p>
            <w:pPr>
              <w:spacing w:after="0" w:line="240" w:lineRule="auto"/>
              <w:rPr>
                <w:rFonts w:ascii="Times New Roman" w:hAnsi="Times New Roman"/>
                <w:noProof/>
                <w:sz w:val="20"/>
                <w:szCs w:val="20"/>
                <w:lang w:val="en-US"/>
              </w:rPr>
            </w:pPr>
            <w:r>
              <w:rPr>
                <w:rFonts w:ascii="Times New Roman" w:hAnsi="Times New Roman"/>
                <w:noProof/>
                <w:sz w:val="20"/>
                <w:szCs w:val="20"/>
                <w:lang w:val="en-US"/>
              </w:rPr>
              <w:t>Call 2015. A topic on food chain: from production to consumption.</w:t>
            </w:r>
          </w:p>
          <w:p>
            <w:pPr>
              <w:spacing w:after="0" w:line="240" w:lineRule="auto"/>
              <w:rPr>
                <w:rFonts w:ascii="Times New Roman" w:hAnsi="Times New Roman"/>
                <w:noProof/>
                <w:sz w:val="20"/>
                <w:szCs w:val="20"/>
                <w:lang w:val="en-US"/>
              </w:rPr>
            </w:pPr>
            <w:r>
              <w:rPr>
                <w:rFonts w:ascii="Times New Roman" w:hAnsi="Times New Roman"/>
                <w:noProof/>
                <w:sz w:val="20"/>
                <w:szCs w:val="20"/>
                <w:lang w:val="en-US"/>
              </w:rPr>
              <w:t>Call 2016 (open). A topic on Valorising local products through food value chains improvement.</w:t>
            </w:r>
          </w:p>
        </w:tc>
      </w:tr>
      <w:tr>
        <w:trPr>
          <w:cantSplit/>
        </w:trPr>
        <w:tc>
          <w:tcPr>
            <w:tcW w:w="2925" w:type="dxa"/>
            <w:hideMark/>
          </w:tcPr>
          <w:p>
            <w:pPr>
              <w:spacing w:after="0" w:line="240" w:lineRule="auto"/>
              <w:rPr>
                <w:rFonts w:ascii="Times New Roman" w:hAnsi="Times New Roman"/>
                <w:noProof/>
                <w:sz w:val="20"/>
                <w:szCs w:val="20"/>
                <w:lang w:val="en-US"/>
              </w:rPr>
            </w:pPr>
            <w:r>
              <w:rPr>
                <w:rFonts w:ascii="Times New Roman" w:hAnsi="Times New Roman"/>
                <w:noProof/>
                <w:sz w:val="20"/>
                <w:szCs w:val="20"/>
                <w:lang w:val="en-US"/>
              </w:rPr>
              <w:t>4. To find context-adapted solutions to increase food and water chain efficiency, and reduce losses and wastes</w:t>
            </w:r>
          </w:p>
        </w:tc>
        <w:tc>
          <w:tcPr>
            <w:tcW w:w="2045" w:type="dxa"/>
            <w:hideMark/>
          </w:tcPr>
          <w:p>
            <w:pPr>
              <w:spacing w:after="0" w:line="240" w:lineRule="auto"/>
              <w:rPr>
                <w:rFonts w:ascii="Times New Roman" w:hAnsi="Times New Roman"/>
                <w:noProof/>
                <w:sz w:val="20"/>
                <w:szCs w:val="20"/>
                <w:lang w:val="en-US"/>
              </w:rPr>
            </w:pPr>
            <w:r>
              <w:rPr>
                <w:rFonts w:ascii="Times New Roman" w:hAnsi="Times New Roman"/>
                <w:noProof/>
                <w:sz w:val="20"/>
                <w:szCs w:val="20"/>
                <w:lang w:val="en-US"/>
              </w:rPr>
              <w:t>Societal challenges “food” and “scarcity of resources” target food and water efficiency</w:t>
            </w:r>
          </w:p>
        </w:tc>
        <w:tc>
          <w:tcPr>
            <w:tcW w:w="2188" w:type="dxa"/>
          </w:tcPr>
          <w:p>
            <w:pPr>
              <w:spacing w:after="0" w:line="240" w:lineRule="auto"/>
              <w:rPr>
                <w:rFonts w:ascii="Times New Roman" w:hAnsi="Times New Roman"/>
                <w:noProof/>
                <w:sz w:val="20"/>
                <w:szCs w:val="20"/>
                <w:lang w:val="en-US"/>
              </w:rPr>
            </w:pPr>
            <w:r>
              <w:rPr>
                <w:rFonts w:ascii="Times New Roman" w:hAnsi="Times New Roman"/>
                <w:noProof/>
                <w:sz w:val="20"/>
                <w:szCs w:val="20"/>
                <w:lang w:val="en-US"/>
              </w:rPr>
              <w:t>Call 2014: a topic on Water</w:t>
            </w:r>
          </w:p>
          <w:p>
            <w:pPr>
              <w:spacing w:after="0" w:line="240" w:lineRule="auto"/>
              <w:rPr>
                <w:rFonts w:ascii="Times New Roman" w:hAnsi="Times New Roman"/>
                <w:noProof/>
                <w:sz w:val="20"/>
                <w:szCs w:val="20"/>
                <w:lang w:val="en-US"/>
              </w:rPr>
            </w:pPr>
            <w:r>
              <w:rPr>
                <w:rFonts w:ascii="Times New Roman" w:hAnsi="Times New Roman"/>
                <w:noProof/>
                <w:sz w:val="20"/>
                <w:szCs w:val="20"/>
                <w:lang w:val="en-US"/>
              </w:rPr>
              <w:t>resources management.</w:t>
            </w:r>
          </w:p>
          <w:p>
            <w:pPr>
              <w:spacing w:after="0" w:line="240" w:lineRule="auto"/>
              <w:rPr>
                <w:rFonts w:ascii="Times New Roman" w:hAnsi="Times New Roman"/>
                <w:noProof/>
                <w:sz w:val="20"/>
                <w:szCs w:val="20"/>
                <w:lang w:val="en-US"/>
              </w:rPr>
            </w:pPr>
          </w:p>
        </w:tc>
        <w:tc>
          <w:tcPr>
            <w:tcW w:w="2130" w:type="dxa"/>
            <w:hideMark/>
          </w:tcPr>
          <w:p>
            <w:pPr>
              <w:spacing w:after="0" w:line="240" w:lineRule="auto"/>
              <w:rPr>
                <w:rFonts w:ascii="Times New Roman" w:hAnsi="Times New Roman"/>
                <w:noProof/>
                <w:sz w:val="20"/>
                <w:szCs w:val="20"/>
                <w:lang w:val="en-US"/>
              </w:rPr>
            </w:pPr>
            <w:r>
              <w:rPr>
                <w:rFonts w:ascii="Times New Roman" w:hAnsi="Times New Roman"/>
                <w:noProof/>
                <w:sz w:val="20"/>
                <w:szCs w:val="20"/>
                <w:lang w:val="en-US"/>
              </w:rPr>
              <w:t>Call 2015. A topic on food chain: from production to consumption.</w:t>
            </w:r>
          </w:p>
          <w:p>
            <w:pPr>
              <w:spacing w:after="0" w:line="240" w:lineRule="auto"/>
              <w:rPr>
                <w:rFonts w:ascii="Times New Roman" w:hAnsi="Times New Roman"/>
                <w:noProof/>
                <w:sz w:val="20"/>
                <w:szCs w:val="20"/>
                <w:lang w:val="en-US"/>
              </w:rPr>
            </w:pPr>
            <w:r>
              <w:rPr>
                <w:rFonts w:ascii="Times New Roman" w:hAnsi="Times New Roman"/>
                <w:noProof/>
                <w:sz w:val="20"/>
                <w:szCs w:val="20"/>
                <w:lang w:val="en-US"/>
              </w:rPr>
              <w:t>Call 2016 (open). A topic on Valorising local products through food value chains improvement.</w:t>
            </w:r>
          </w:p>
        </w:tc>
      </w:tr>
      <w:tr>
        <w:trPr>
          <w:cantSplit/>
        </w:trPr>
        <w:tc>
          <w:tcPr>
            <w:tcW w:w="2925" w:type="dxa"/>
            <w:hideMark/>
          </w:tcPr>
          <w:p>
            <w:pPr>
              <w:spacing w:after="0" w:line="240" w:lineRule="auto"/>
              <w:rPr>
                <w:rFonts w:ascii="Times New Roman" w:hAnsi="Times New Roman"/>
                <w:noProof/>
                <w:sz w:val="20"/>
                <w:szCs w:val="20"/>
                <w:lang w:val="en-US"/>
              </w:rPr>
            </w:pPr>
            <w:r>
              <w:rPr>
                <w:rFonts w:ascii="Times New Roman" w:hAnsi="Times New Roman"/>
                <w:noProof/>
                <w:sz w:val="20"/>
                <w:szCs w:val="20"/>
                <w:lang w:val="en-US"/>
              </w:rPr>
              <w:t>5. To design and promote the adoption of novel approaches to reduce the impact of pests and pathogens in farming, including their consequences on human health</w:t>
            </w:r>
          </w:p>
        </w:tc>
        <w:tc>
          <w:tcPr>
            <w:tcW w:w="2045" w:type="dxa"/>
          </w:tcPr>
          <w:p>
            <w:pPr>
              <w:spacing w:after="0" w:line="240" w:lineRule="auto"/>
              <w:rPr>
                <w:rFonts w:ascii="Times New Roman" w:hAnsi="Times New Roman"/>
                <w:noProof/>
                <w:sz w:val="20"/>
                <w:szCs w:val="20"/>
                <w:lang w:val="en-US"/>
              </w:rPr>
            </w:pPr>
          </w:p>
        </w:tc>
        <w:tc>
          <w:tcPr>
            <w:tcW w:w="2188" w:type="dxa"/>
          </w:tcPr>
          <w:p>
            <w:pPr>
              <w:spacing w:after="0" w:line="240" w:lineRule="auto"/>
              <w:rPr>
                <w:rFonts w:ascii="Times New Roman" w:hAnsi="Times New Roman"/>
                <w:noProof/>
                <w:sz w:val="20"/>
                <w:szCs w:val="20"/>
                <w:lang w:val="en-US"/>
              </w:rPr>
            </w:pPr>
          </w:p>
        </w:tc>
        <w:tc>
          <w:tcPr>
            <w:tcW w:w="2130" w:type="dxa"/>
          </w:tcPr>
          <w:p>
            <w:pPr>
              <w:spacing w:after="0" w:line="240" w:lineRule="auto"/>
              <w:rPr>
                <w:rFonts w:ascii="Times New Roman" w:hAnsi="Times New Roman"/>
                <w:noProof/>
                <w:sz w:val="20"/>
                <w:szCs w:val="20"/>
                <w:lang w:val="en-US"/>
              </w:rPr>
            </w:pPr>
          </w:p>
        </w:tc>
      </w:tr>
      <w:tr>
        <w:trPr>
          <w:cantSplit/>
        </w:trPr>
        <w:tc>
          <w:tcPr>
            <w:tcW w:w="2925" w:type="dxa"/>
            <w:hideMark/>
          </w:tcPr>
          <w:p>
            <w:pPr>
              <w:spacing w:after="0" w:line="240" w:lineRule="auto"/>
              <w:rPr>
                <w:rFonts w:ascii="Times New Roman" w:hAnsi="Times New Roman"/>
                <w:noProof/>
                <w:sz w:val="20"/>
                <w:szCs w:val="20"/>
                <w:lang w:val="en-US"/>
              </w:rPr>
            </w:pPr>
            <w:r>
              <w:rPr>
                <w:rFonts w:ascii="Times New Roman" w:hAnsi="Times New Roman"/>
                <w:noProof/>
                <w:sz w:val="20"/>
                <w:szCs w:val="20"/>
                <w:lang w:val="en-US"/>
              </w:rPr>
              <w:t>6. To conceive and implement innovative, quality oriented models in agro-business as potential sources of new jobs and economic growth</w:t>
            </w:r>
          </w:p>
        </w:tc>
        <w:tc>
          <w:tcPr>
            <w:tcW w:w="2045" w:type="dxa"/>
          </w:tcPr>
          <w:p>
            <w:pPr>
              <w:spacing w:after="0" w:line="240" w:lineRule="auto"/>
              <w:rPr>
                <w:rFonts w:ascii="Times New Roman" w:hAnsi="Times New Roman"/>
                <w:noProof/>
                <w:sz w:val="20"/>
                <w:szCs w:val="20"/>
                <w:lang w:val="en-US"/>
              </w:rPr>
            </w:pPr>
          </w:p>
        </w:tc>
        <w:tc>
          <w:tcPr>
            <w:tcW w:w="2188" w:type="dxa"/>
          </w:tcPr>
          <w:p>
            <w:pPr>
              <w:spacing w:after="0" w:line="240" w:lineRule="auto"/>
              <w:rPr>
                <w:rFonts w:ascii="Times New Roman" w:hAnsi="Times New Roman"/>
                <w:noProof/>
                <w:sz w:val="20"/>
                <w:szCs w:val="20"/>
                <w:lang w:val="en-US"/>
              </w:rPr>
            </w:pPr>
          </w:p>
        </w:tc>
        <w:tc>
          <w:tcPr>
            <w:tcW w:w="2130" w:type="dxa"/>
          </w:tcPr>
          <w:p>
            <w:pPr>
              <w:spacing w:after="0" w:line="240" w:lineRule="auto"/>
              <w:rPr>
                <w:rFonts w:ascii="Times New Roman" w:hAnsi="Times New Roman"/>
                <w:noProof/>
                <w:sz w:val="20"/>
                <w:szCs w:val="20"/>
                <w:lang w:val="en-US"/>
              </w:rPr>
            </w:pPr>
            <w:r>
              <w:rPr>
                <w:rFonts w:ascii="Times New Roman" w:hAnsi="Times New Roman"/>
                <w:noProof/>
                <w:sz w:val="20"/>
                <w:szCs w:val="20"/>
                <w:lang w:val="en-US"/>
              </w:rPr>
              <w:t>Call 2015. A topic on food chain: from production to consumption.</w:t>
            </w:r>
          </w:p>
          <w:p>
            <w:pPr>
              <w:spacing w:after="0" w:line="240" w:lineRule="auto"/>
              <w:rPr>
                <w:rFonts w:ascii="Times New Roman" w:hAnsi="Times New Roman"/>
                <w:noProof/>
                <w:sz w:val="20"/>
                <w:szCs w:val="20"/>
                <w:lang w:val="en-US"/>
              </w:rPr>
            </w:pPr>
          </w:p>
        </w:tc>
      </w:tr>
      <w:tr>
        <w:trPr>
          <w:cantSplit/>
        </w:trPr>
        <w:tc>
          <w:tcPr>
            <w:tcW w:w="2925" w:type="dxa"/>
            <w:hideMark/>
          </w:tcPr>
          <w:p>
            <w:pPr>
              <w:spacing w:after="0" w:line="240" w:lineRule="auto"/>
              <w:rPr>
                <w:rFonts w:ascii="Times New Roman" w:hAnsi="Times New Roman"/>
                <w:noProof/>
                <w:sz w:val="20"/>
                <w:szCs w:val="20"/>
                <w:lang w:val="en-US"/>
              </w:rPr>
            </w:pPr>
            <w:r>
              <w:rPr>
                <w:rFonts w:ascii="Times New Roman" w:hAnsi="Times New Roman"/>
                <w:noProof/>
                <w:sz w:val="20"/>
                <w:szCs w:val="20"/>
                <w:lang w:val="en-US"/>
              </w:rPr>
              <w:t>7. To improve land and water sustainability in arid and semi-arid watersheds</w:t>
            </w:r>
          </w:p>
        </w:tc>
        <w:tc>
          <w:tcPr>
            <w:tcW w:w="2045" w:type="dxa"/>
            <w:hideMark/>
          </w:tcPr>
          <w:p>
            <w:pPr>
              <w:spacing w:after="0" w:line="240" w:lineRule="auto"/>
              <w:rPr>
                <w:rFonts w:ascii="Times New Roman" w:hAnsi="Times New Roman"/>
                <w:noProof/>
                <w:sz w:val="20"/>
                <w:szCs w:val="20"/>
                <w:lang w:val="en-US"/>
              </w:rPr>
            </w:pPr>
            <w:r>
              <w:rPr>
                <w:rFonts w:ascii="Times New Roman" w:hAnsi="Times New Roman"/>
                <w:noProof/>
                <w:sz w:val="20"/>
                <w:szCs w:val="20"/>
                <w:lang w:val="en-US"/>
              </w:rPr>
              <w:t>Societal challenge scarcity of resources addresses water sustainability</w:t>
            </w:r>
          </w:p>
        </w:tc>
        <w:tc>
          <w:tcPr>
            <w:tcW w:w="2188" w:type="dxa"/>
            <w:hideMark/>
          </w:tcPr>
          <w:p>
            <w:pPr>
              <w:spacing w:after="0" w:line="240" w:lineRule="auto"/>
              <w:rPr>
                <w:rFonts w:ascii="Times New Roman" w:hAnsi="Times New Roman"/>
                <w:noProof/>
                <w:sz w:val="20"/>
                <w:szCs w:val="20"/>
                <w:lang w:val="en-US"/>
              </w:rPr>
            </w:pPr>
            <w:r>
              <w:rPr>
                <w:rFonts w:ascii="Times New Roman" w:hAnsi="Times New Roman"/>
                <w:noProof/>
                <w:sz w:val="20"/>
                <w:szCs w:val="20"/>
                <w:lang w:val="en-US"/>
              </w:rPr>
              <w:t>Call 2014: a topic on  Water</w:t>
            </w:r>
          </w:p>
          <w:p>
            <w:pPr>
              <w:spacing w:after="0" w:line="240" w:lineRule="auto"/>
              <w:rPr>
                <w:rFonts w:ascii="Times New Roman" w:hAnsi="Times New Roman"/>
                <w:noProof/>
                <w:sz w:val="20"/>
                <w:szCs w:val="20"/>
                <w:lang w:val="en-US"/>
              </w:rPr>
            </w:pPr>
            <w:r>
              <w:rPr>
                <w:rFonts w:ascii="Times New Roman" w:hAnsi="Times New Roman"/>
                <w:noProof/>
                <w:sz w:val="20"/>
                <w:szCs w:val="20"/>
                <w:lang w:val="en-US"/>
              </w:rPr>
              <w:t>resources management.</w:t>
            </w:r>
          </w:p>
          <w:p>
            <w:pPr>
              <w:spacing w:after="0" w:line="240" w:lineRule="auto"/>
              <w:rPr>
                <w:rFonts w:ascii="Times New Roman" w:hAnsi="Times New Roman"/>
                <w:noProof/>
                <w:sz w:val="20"/>
                <w:szCs w:val="20"/>
                <w:lang w:val="en-US"/>
              </w:rPr>
            </w:pPr>
            <w:r>
              <w:rPr>
                <w:rFonts w:ascii="Times New Roman" w:hAnsi="Times New Roman"/>
                <w:noProof/>
                <w:sz w:val="20"/>
                <w:szCs w:val="20"/>
                <w:lang w:val="en-US"/>
              </w:rPr>
              <w:t>Call 2016: a topic on “Land &amp;Water/ Food” and Environment</w:t>
            </w:r>
          </w:p>
        </w:tc>
        <w:tc>
          <w:tcPr>
            <w:tcW w:w="2130" w:type="dxa"/>
            <w:hideMark/>
          </w:tcPr>
          <w:p>
            <w:pPr>
              <w:spacing w:after="0" w:line="240" w:lineRule="auto"/>
              <w:rPr>
                <w:rFonts w:ascii="Times New Roman" w:hAnsi="Times New Roman"/>
                <w:noProof/>
                <w:sz w:val="20"/>
                <w:szCs w:val="20"/>
                <w:lang w:val="en-US"/>
              </w:rPr>
            </w:pPr>
            <w:r>
              <w:rPr>
                <w:rFonts w:ascii="Times New Roman" w:hAnsi="Times New Roman"/>
                <w:noProof/>
                <w:sz w:val="20"/>
                <w:szCs w:val="20"/>
                <w:lang w:val="en-US"/>
              </w:rPr>
              <w:t>Call 2015. A topic on sustainable management of landscape and resources</w:t>
            </w:r>
          </w:p>
        </w:tc>
      </w:tr>
      <w:tr>
        <w:trPr>
          <w:cantSplit/>
        </w:trPr>
        <w:tc>
          <w:tcPr>
            <w:tcW w:w="2925" w:type="dxa"/>
            <w:hideMark/>
          </w:tcPr>
          <w:p>
            <w:pPr>
              <w:spacing w:after="0" w:line="240" w:lineRule="auto"/>
              <w:rPr>
                <w:rFonts w:ascii="Times New Roman" w:hAnsi="Times New Roman"/>
                <w:noProof/>
                <w:sz w:val="20"/>
                <w:szCs w:val="20"/>
                <w:lang w:val="en-US"/>
              </w:rPr>
            </w:pPr>
            <w:r>
              <w:rPr>
                <w:rFonts w:ascii="Times New Roman" w:hAnsi="Times New Roman"/>
                <w:noProof/>
                <w:sz w:val="20"/>
                <w:szCs w:val="20"/>
                <w:lang w:val="en-US"/>
              </w:rPr>
              <w:t>8. To elaborate and stimulate adoption of new policies and protocols for the governance of water management systems</w:t>
            </w:r>
          </w:p>
        </w:tc>
        <w:tc>
          <w:tcPr>
            <w:tcW w:w="2045" w:type="dxa"/>
            <w:hideMark/>
          </w:tcPr>
          <w:p>
            <w:pPr>
              <w:spacing w:after="0" w:line="240" w:lineRule="auto"/>
              <w:rPr>
                <w:rFonts w:ascii="Times New Roman" w:hAnsi="Times New Roman"/>
                <w:noProof/>
                <w:sz w:val="20"/>
                <w:szCs w:val="20"/>
                <w:lang w:val="en-US"/>
              </w:rPr>
            </w:pPr>
            <w:r>
              <w:rPr>
                <w:rFonts w:ascii="Times New Roman" w:hAnsi="Times New Roman"/>
                <w:noProof/>
                <w:sz w:val="20"/>
                <w:szCs w:val="20"/>
                <w:lang w:val="en-US"/>
              </w:rPr>
              <w:t>Societal challenge “scarcity of resources” is directly related to policy making</w:t>
            </w:r>
          </w:p>
        </w:tc>
        <w:tc>
          <w:tcPr>
            <w:tcW w:w="2188" w:type="dxa"/>
            <w:hideMark/>
          </w:tcPr>
          <w:p>
            <w:pPr>
              <w:spacing w:after="0" w:line="240" w:lineRule="auto"/>
              <w:rPr>
                <w:rFonts w:ascii="Times New Roman" w:hAnsi="Times New Roman"/>
                <w:noProof/>
                <w:sz w:val="20"/>
                <w:szCs w:val="20"/>
                <w:lang w:val="en-US"/>
              </w:rPr>
            </w:pPr>
            <w:r>
              <w:rPr>
                <w:rFonts w:ascii="Times New Roman" w:hAnsi="Times New Roman"/>
                <w:noProof/>
                <w:sz w:val="20"/>
                <w:szCs w:val="20"/>
                <w:lang w:val="en-US"/>
              </w:rPr>
              <w:t>Call 2014: a topic on Water</w:t>
            </w:r>
          </w:p>
          <w:p>
            <w:pPr>
              <w:spacing w:after="0" w:line="240" w:lineRule="auto"/>
              <w:rPr>
                <w:rFonts w:ascii="Times New Roman" w:hAnsi="Times New Roman"/>
                <w:noProof/>
                <w:sz w:val="20"/>
                <w:szCs w:val="20"/>
                <w:lang w:val="en-US"/>
              </w:rPr>
            </w:pPr>
            <w:r>
              <w:rPr>
                <w:rFonts w:ascii="Times New Roman" w:hAnsi="Times New Roman"/>
                <w:noProof/>
                <w:sz w:val="20"/>
                <w:szCs w:val="20"/>
                <w:lang w:val="en-US"/>
              </w:rPr>
              <w:t>resources management.</w:t>
            </w:r>
          </w:p>
        </w:tc>
        <w:tc>
          <w:tcPr>
            <w:tcW w:w="2130" w:type="dxa"/>
            <w:hideMark/>
          </w:tcPr>
          <w:p>
            <w:pPr>
              <w:spacing w:after="0" w:line="240" w:lineRule="auto"/>
              <w:rPr>
                <w:rFonts w:ascii="Times New Roman" w:hAnsi="Times New Roman"/>
                <w:noProof/>
                <w:sz w:val="20"/>
                <w:szCs w:val="20"/>
                <w:lang w:val="en-US"/>
              </w:rPr>
            </w:pPr>
            <w:r>
              <w:rPr>
                <w:rFonts w:ascii="Times New Roman" w:hAnsi="Times New Roman"/>
                <w:noProof/>
                <w:sz w:val="20"/>
                <w:szCs w:val="20"/>
                <w:lang w:val="en-US"/>
              </w:rPr>
              <w:t>Call 2015. A topic on sustainable management of landscape and resources</w:t>
            </w:r>
          </w:p>
        </w:tc>
      </w:tr>
    </w:tbl>
    <w:p>
      <w:pPr>
        <w:spacing w:after="120"/>
        <w:jc w:val="both"/>
        <w:rPr>
          <w:rFonts w:ascii="Times New Roman" w:hAnsi="Times New Roman"/>
          <w:b/>
          <w:noProof/>
          <w:sz w:val="20"/>
          <w:szCs w:val="20"/>
        </w:rPr>
      </w:pPr>
      <w:r>
        <w:rPr>
          <w:rFonts w:ascii="Times New Roman" w:hAnsi="Times New Roman"/>
          <w:b/>
          <w:noProof/>
          <w:sz w:val="20"/>
          <w:szCs w:val="20"/>
        </w:rPr>
        <w:t>Table 10.1. Synergies related to ERA-NETs</w:t>
      </w:r>
    </w:p>
    <w:p>
      <w:pPr>
        <w:spacing w:after="120" w:line="240" w:lineRule="auto"/>
        <w:rPr>
          <w:rFonts w:ascii="Times New Roman" w:hAnsi="Times New Roman"/>
          <w:noProof/>
          <w:sz w:val="24"/>
        </w:rPr>
      </w:pPr>
      <w:r>
        <w:rPr>
          <w:rFonts w:ascii="Times New Roman" w:hAnsi="Times New Roman"/>
          <w:noProof/>
          <w:sz w:val="24"/>
        </w:rPr>
        <w:t>All these ERA-NETs will be finished by the end of 2017.</w:t>
      </w:r>
    </w:p>
    <w:p>
      <w:pPr>
        <w:spacing w:before="240" w:after="120" w:line="240" w:lineRule="auto"/>
        <w:rPr>
          <w:rFonts w:ascii="Times New Roman" w:hAnsi="Times New Roman"/>
          <w:b/>
          <w:noProof/>
          <w:sz w:val="24"/>
        </w:rPr>
      </w:pPr>
      <w:r>
        <w:rPr>
          <w:rFonts w:ascii="Times New Roman" w:hAnsi="Times New Roman"/>
          <w:b/>
          <w:noProof/>
          <w:sz w:val="24"/>
        </w:rPr>
        <w:t>Some cross-border initiatives partially covering the thematic pillars of PRIMA count on Mediterranean third countries</w:t>
      </w:r>
    </w:p>
    <w:p>
      <w:pPr>
        <w:spacing w:after="120" w:line="240" w:lineRule="auto"/>
        <w:rPr>
          <w:rFonts w:ascii="Times New Roman" w:hAnsi="Times New Roman"/>
          <w:noProof/>
          <w:sz w:val="24"/>
        </w:rPr>
      </w:pPr>
      <w:r>
        <w:rPr>
          <w:rFonts w:ascii="Times New Roman" w:hAnsi="Times New Roman"/>
          <w:noProof/>
          <w:sz w:val="24"/>
        </w:rPr>
        <w:t>The most relevant European Initiatives approaching the topics of PRIMA are the Joint Programming Initiatives. Among the ten on-going Joint Programming Initiatives, two are particularly close to PRIMA:</w:t>
      </w:r>
    </w:p>
    <w:p>
      <w:pPr>
        <w:pStyle w:val="ListParagraph"/>
        <w:numPr>
          <w:ilvl w:val="0"/>
          <w:numId w:val="25"/>
        </w:numPr>
        <w:spacing w:after="120" w:line="240" w:lineRule="auto"/>
        <w:jc w:val="left"/>
        <w:rPr>
          <w:rFonts w:ascii="Times New Roman" w:hAnsi="Times New Roman"/>
          <w:noProof/>
          <w:sz w:val="24"/>
        </w:rPr>
      </w:pPr>
      <w:r>
        <w:rPr>
          <w:rFonts w:ascii="Times New Roman" w:hAnsi="Times New Roman"/>
          <w:noProof/>
          <w:sz w:val="24"/>
        </w:rPr>
        <w:t>FACCE JPI explores the intersection between food, agriculture and Climate Change. This thematic focus is particularly related to PRIMA objectives 1, 2, 3, 4, 5 and 7. Two non-EU Mediterranean Countries are partners of FACCE JPI: Israel and Turkey. The WaterWorks 2015 call for proposals (launched in cooperation with Water JPI and partially focusing on water in agriculture) counted on three non-EU Mediterranean funding organizations from Egypt, Tunisia and Turkey.</w:t>
      </w:r>
    </w:p>
    <w:p>
      <w:pPr>
        <w:pStyle w:val="ListParagraph"/>
        <w:spacing w:after="120" w:line="240" w:lineRule="auto"/>
        <w:jc w:val="left"/>
        <w:rPr>
          <w:rFonts w:ascii="Times New Roman" w:hAnsi="Times New Roman"/>
          <w:noProof/>
          <w:sz w:val="24"/>
        </w:rPr>
      </w:pPr>
    </w:p>
    <w:p>
      <w:pPr>
        <w:pStyle w:val="ListParagraph"/>
        <w:numPr>
          <w:ilvl w:val="0"/>
          <w:numId w:val="25"/>
        </w:numPr>
        <w:spacing w:after="120" w:line="240" w:lineRule="auto"/>
        <w:jc w:val="left"/>
        <w:rPr>
          <w:rFonts w:ascii="Times New Roman" w:hAnsi="Times New Roman"/>
          <w:noProof/>
          <w:sz w:val="24"/>
        </w:rPr>
      </w:pPr>
      <w:r>
        <w:rPr>
          <w:rFonts w:ascii="Times New Roman" w:hAnsi="Times New Roman"/>
          <w:noProof/>
          <w:sz w:val="24"/>
        </w:rPr>
        <w:t>Water JPI covers all aspects related to water in Europe. Out of the five thematic areas of Water JPI, only one (Implementing a Water-Wise Bio-Based Economy) is directly related to the PRIMA objectives. Two non-EU Mediterranean Countries are partners of Water JPI: Israel and Turkey. The WaterWorks 2015 call for proposals (launched in cooperation with FACCE JPI and partially focusing on water in agriculture) counted on three non-EU Mediterranean funding organizations from Egypt, Tunisia and Turkey.</w:t>
      </w:r>
    </w:p>
    <w:p>
      <w:pPr>
        <w:spacing w:after="240" w:line="240" w:lineRule="auto"/>
        <w:rPr>
          <w:rFonts w:ascii="Times New Roman" w:hAnsi="Times New Roman"/>
          <w:noProof/>
          <w:sz w:val="24"/>
        </w:rPr>
      </w:pPr>
      <w:r>
        <w:rPr>
          <w:rFonts w:ascii="Times New Roman" w:hAnsi="Times New Roman"/>
          <w:noProof/>
          <w:sz w:val="24"/>
        </w:rPr>
        <w:t>The following table presents the correspondence of the PRIMA objectives with the core themes of the Strategic Research and Innovation Agenda (SRIA) of FACCE JPI and Water JPI. Each SRIA has five core themes.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72"/>
        <w:gridCol w:w="3010"/>
      </w:tblGrid>
      <w:tr>
        <w:trPr>
          <w:cantSplit/>
        </w:trPr>
        <w:tc>
          <w:tcPr>
            <w:tcW w:w="3106" w:type="dxa"/>
            <w:shd w:val="pct12" w:color="auto" w:fill="auto"/>
            <w:hideMark/>
          </w:tcPr>
          <w:p>
            <w:pPr>
              <w:jc w:val="center"/>
              <w:rPr>
                <w:rFonts w:ascii="Times New Roman" w:hAnsi="Times New Roman"/>
                <w:noProof/>
                <w:lang w:val="en-US"/>
              </w:rPr>
            </w:pPr>
            <w:r>
              <w:rPr>
                <w:rFonts w:ascii="Times New Roman" w:hAnsi="Times New Roman"/>
                <w:noProof/>
                <w:szCs w:val="20"/>
              </w:rPr>
              <w:br w:type="page"/>
            </w:r>
            <w:r>
              <w:rPr>
                <w:rFonts w:ascii="Times New Roman" w:hAnsi="Times New Roman"/>
                <w:noProof/>
                <w:lang w:val="en-US"/>
              </w:rPr>
              <w:t>PRIMA Objective</w:t>
            </w:r>
          </w:p>
        </w:tc>
        <w:tc>
          <w:tcPr>
            <w:tcW w:w="3172" w:type="dxa"/>
            <w:shd w:val="pct12" w:color="auto" w:fill="auto"/>
            <w:hideMark/>
          </w:tcPr>
          <w:p>
            <w:pPr>
              <w:jc w:val="center"/>
              <w:rPr>
                <w:rFonts w:ascii="Times New Roman" w:hAnsi="Times New Roman"/>
                <w:noProof/>
                <w:lang w:val="en-US"/>
              </w:rPr>
            </w:pPr>
            <w:r>
              <w:rPr>
                <w:rFonts w:ascii="Times New Roman" w:hAnsi="Times New Roman"/>
                <w:noProof/>
                <w:lang w:val="en-US"/>
              </w:rPr>
              <w:t>FACCE JPI</w:t>
            </w:r>
          </w:p>
        </w:tc>
        <w:tc>
          <w:tcPr>
            <w:tcW w:w="3010" w:type="dxa"/>
            <w:shd w:val="pct12" w:color="auto" w:fill="auto"/>
            <w:hideMark/>
          </w:tcPr>
          <w:p>
            <w:pPr>
              <w:jc w:val="center"/>
              <w:rPr>
                <w:rFonts w:ascii="Times New Roman" w:hAnsi="Times New Roman"/>
                <w:noProof/>
                <w:lang w:val="en-US"/>
              </w:rPr>
            </w:pPr>
            <w:r>
              <w:rPr>
                <w:rFonts w:ascii="Times New Roman" w:hAnsi="Times New Roman"/>
                <w:noProof/>
                <w:lang w:val="en-US"/>
              </w:rPr>
              <w:t>Water JPI</w:t>
            </w:r>
          </w:p>
        </w:tc>
      </w:tr>
      <w:tr>
        <w:trPr>
          <w:cantSplit/>
        </w:trPr>
        <w:tc>
          <w:tcPr>
            <w:tcW w:w="3106" w:type="dxa"/>
            <w:hideMark/>
          </w:tcPr>
          <w:p>
            <w:pPr>
              <w:spacing w:after="0" w:line="240" w:lineRule="auto"/>
              <w:rPr>
                <w:rFonts w:ascii="Times New Roman" w:hAnsi="Times New Roman"/>
                <w:noProof/>
                <w:lang w:val="en-US"/>
              </w:rPr>
            </w:pPr>
            <w:r>
              <w:rPr>
                <w:rFonts w:ascii="Times New Roman" w:hAnsi="Times New Roman"/>
                <w:noProof/>
                <w:lang w:val="en-US"/>
              </w:rPr>
              <w:t>1. To develop smart and sustainable farming systems to maintain natural resources and to increase production efficiency</w:t>
            </w:r>
          </w:p>
        </w:tc>
        <w:tc>
          <w:tcPr>
            <w:tcW w:w="3172" w:type="dxa"/>
            <w:hideMark/>
          </w:tcPr>
          <w:p>
            <w:pPr>
              <w:spacing w:after="0" w:line="240" w:lineRule="auto"/>
              <w:rPr>
                <w:rFonts w:ascii="Times New Roman" w:hAnsi="Times New Roman"/>
                <w:noProof/>
                <w:lang w:val="en-US"/>
              </w:rPr>
            </w:pPr>
            <w:r>
              <w:rPr>
                <w:rFonts w:ascii="Times New Roman" w:hAnsi="Times New Roman"/>
                <w:noProof/>
                <w:lang w:val="en-US"/>
              </w:rPr>
              <w:t>1. Sustainable food security under climate change, based on an integrated food systems perspective: modeling, benchmarking and policy research perspective</w:t>
            </w:r>
          </w:p>
          <w:p>
            <w:pPr>
              <w:spacing w:after="0" w:line="240" w:lineRule="auto"/>
              <w:rPr>
                <w:rFonts w:ascii="Times New Roman" w:hAnsi="Times New Roman"/>
                <w:noProof/>
                <w:lang w:val="en-US"/>
              </w:rPr>
            </w:pPr>
            <w:r>
              <w:rPr>
                <w:rFonts w:ascii="Times New Roman" w:hAnsi="Times New Roman"/>
                <w:noProof/>
                <w:lang w:val="en-US"/>
              </w:rPr>
              <w:t>2. Environmentally sustainable growth and intensification of agricultural systems under current and future climate and resource availability</w:t>
            </w:r>
          </w:p>
        </w:tc>
        <w:tc>
          <w:tcPr>
            <w:tcW w:w="3010" w:type="dxa"/>
          </w:tcPr>
          <w:p>
            <w:pPr>
              <w:spacing w:after="0" w:line="240" w:lineRule="auto"/>
              <w:rPr>
                <w:rFonts w:ascii="Times New Roman" w:hAnsi="Times New Roman"/>
                <w:noProof/>
                <w:lang w:val="en-US"/>
              </w:rPr>
            </w:pPr>
          </w:p>
        </w:tc>
      </w:tr>
      <w:tr>
        <w:trPr>
          <w:cantSplit/>
        </w:trPr>
        <w:tc>
          <w:tcPr>
            <w:tcW w:w="3106" w:type="dxa"/>
            <w:hideMark/>
          </w:tcPr>
          <w:p>
            <w:pPr>
              <w:spacing w:after="0" w:line="240" w:lineRule="auto"/>
              <w:rPr>
                <w:rFonts w:ascii="Times New Roman" w:hAnsi="Times New Roman"/>
                <w:noProof/>
                <w:lang w:val="en-US"/>
              </w:rPr>
            </w:pPr>
            <w:r>
              <w:rPr>
                <w:rFonts w:ascii="Times New Roman" w:hAnsi="Times New Roman"/>
                <w:noProof/>
                <w:lang w:val="en-US"/>
              </w:rPr>
              <w:t>2. To test and stimulate the adoption of context-tailored water-saving solutions, in particular in agriculture</w:t>
            </w:r>
          </w:p>
        </w:tc>
        <w:tc>
          <w:tcPr>
            <w:tcW w:w="3172" w:type="dxa"/>
          </w:tcPr>
          <w:p>
            <w:pPr>
              <w:spacing w:after="0" w:line="240" w:lineRule="auto"/>
              <w:rPr>
                <w:rFonts w:ascii="Times New Roman" w:hAnsi="Times New Roman"/>
                <w:noProof/>
                <w:lang w:val="en-US"/>
              </w:rPr>
            </w:pPr>
          </w:p>
        </w:tc>
        <w:tc>
          <w:tcPr>
            <w:tcW w:w="3010" w:type="dxa"/>
            <w:hideMark/>
          </w:tcPr>
          <w:p>
            <w:pPr>
              <w:spacing w:after="0" w:line="240" w:lineRule="auto"/>
              <w:rPr>
                <w:rFonts w:ascii="Times New Roman" w:hAnsi="Times New Roman"/>
                <w:noProof/>
                <w:lang w:val="en-US"/>
              </w:rPr>
            </w:pPr>
            <w:r>
              <w:rPr>
                <w:rFonts w:ascii="Times New Roman" w:hAnsi="Times New Roman"/>
                <w:noProof/>
                <w:lang w:val="en-US"/>
              </w:rPr>
              <w:t>4. Implementing a Water-Wise Bio-Based Economy</w:t>
            </w:r>
          </w:p>
        </w:tc>
      </w:tr>
      <w:tr>
        <w:trPr>
          <w:cantSplit/>
        </w:trPr>
        <w:tc>
          <w:tcPr>
            <w:tcW w:w="3106" w:type="dxa"/>
            <w:hideMark/>
          </w:tcPr>
          <w:p>
            <w:pPr>
              <w:spacing w:after="0" w:line="240" w:lineRule="auto"/>
              <w:rPr>
                <w:rFonts w:ascii="Times New Roman" w:hAnsi="Times New Roman"/>
                <w:noProof/>
                <w:lang w:val="en-US"/>
              </w:rPr>
            </w:pPr>
            <w:r>
              <w:rPr>
                <w:rFonts w:ascii="Times New Roman" w:hAnsi="Times New Roman"/>
                <w:noProof/>
                <w:lang w:val="en-US"/>
              </w:rPr>
              <w:t>3. To innovate in Mediterranean food products based on Mediterranean diet heritage and to enhance the links between nutrition and health</w:t>
            </w:r>
          </w:p>
        </w:tc>
        <w:tc>
          <w:tcPr>
            <w:tcW w:w="3172" w:type="dxa"/>
            <w:hideMark/>
          </w:tcPr>
          <w:p>
            <w:pPr>
              <w:spacing w:after="0" w:line="240" w:lineRule="auto"/>
              <w:rPr>
                <w:rFonts w:ascii="Times New Roman" w:hAnsi="Times New Roman"/>
                <w:noProof/>
                <w:lang w:val="en-US"/>
              </w:rPr>
            </w:pPr>
            <w:r>
              <w:rPr>
                <w:rFonts w:ascii="Times New Roman" w:hAnsi="Times New Roman"/>
                <w:noProof/>
                <w:lang w:val="en-US"/>
              </w:rPr>
              <w:t>1. Sustainable food security under climate change, based on an integrated food systems perspective: modelling, benchmarking and policy research perspective</w:t>
            </w:r>
          </w:p>
          <w:p>
            <w:pPr>
              <w:spacing w:after="0" w:line="240" w:lineRule="auto"/>
              <w:rPr>
                <w:rFonts w:ascii="Times New Roman" w:hAnsi="Times New Roman"/>
                <w:noProof/>
                <w:lang w:val="en-US"/>
              </w:rPr>
            </w:pPr>
            <w:r>
              <w:rPr>
                <w:rFonts w:ascii="Times New Roman" w:hAnsi="Times New Roman"/>
                <w:noProof/>
                <w:lang w:val="en-US"/>
              </w:rPr>
              <w:t>4. Adaptation to climate change throughout the whole food chain, including market repercussions</w:t>
            </w:r>
          </w:p>
        </w:tc>
        <w:tc>
          <w:tcPr>
            <w:tcW w:w="3010" w:type="dxa"/>
          </w:tcPr>
          <w:p>
            <w:pPr>
              <w:spacing w:after="0" w:line="240" w:lineRule="auto"/>
              <w:rPr>
                <w:rFonts w:ascii="Times New Roman" w:hAnsi="Times New Roman"/>
                <w:noProof/>
                <w:lang w:val="en-US"/>
              </w:rPr>
            </w:pPr>
          </w:p>
        </w:tc>
      </w:tr>
      <w:tr>
        <w:trPr>
          <w:cantSplit/>
        </w:trPr>
        <w:tc>
          <w:tcPr>
            <w:tcW w:w="3106" w:type="dxa"/>
            <w:hideMark/>
          </w:tcPr>
          <w:p>
            <w:pPr>
              <w:spacing w:after="0" w:line="240" w:lineRule="auto"/>
              <w:rPr>
                <w:rFonts w:ascii="Times New Roman" w:hAnsi="Times New Roman"/>
                <w:noProof/>
                <w:lang w:val="en-US"/>
              </w:rPr>
            </w:pPr>
            <w:r>
              <w:rPr>
                <w:rFonts w:ascii="Times New Roman" w:hAnsi="Times New Roman"/>
                <w:noProof/>
                <w:lang w:val="en-US"/>
              </w:rPr>
              <w:t>4. To find context-adapted solutions to increase food and water chain efficiency, and reduce losses and wastes</w:t>
            </w:r>
          </w:p>
        </w:tc>
        <w:tc>
          <w:tcPr>
            <w:tcW w:w="3172" w:type="dxa"/>
          </w:tcPr>
          <w:p>
            <w:pPr>
              <w:spacing w:after="0" w:line="240" w:lineRule="auto"/>
              <w:rPr>
                <w:rFonts w:ascii="Times New Roman" w:hAnsi="Times New Roman"/>
                <w:noProof/>
                <w:lang w:val="en-US"/>
              </w:rPr>
            </w:pPr>
          </w:p>
        </w:tc>
        <w:tc>
          <w:tcPr>
            <w:tcW w:w="3010" w:type="dxa"/>
            <w:hideMark/>
          </w:tcPr>
          <w:p>
            <w:pPr>
              <w:spacing w:after="0" w:line="240" w:lineRule="auto"/>
              <w:rPr>
                <w:rFonts w:ascii="Times New Roman" w:hAnsi="Times New Roman"/>
                <w:noProof/>
                <w:lang w:val="en-US"/>
              </w:rPr>
            </w:pPr>
            <w:r>
              <w:rPr>
                <w:rFonts w:ascii="Times New Roman" w:hAnsi="Times New Roman"/>
                <w:noProof/>
                <w:lang w:val="en-US"/>
              </w:rPr>
              <w:t>4. Implementing a Water-Wise Bio-Based Economy</w:t>
            </w:r>
          </w:p>
        </w:tc>
      </w:tr>
      <w:tr>
        <w:trPr>
          <w:cantSplit/>
        </w:trPr>
        <w:tc>
          <w:tcPr>
            <w:tcW w:w="3106" w:type="dxa"/>
            <w:hideMark/>
          </w:tcPr>
          <w:p>
            <w:pPr>
              <w:spacing w:after="0" w:line="240" w:lineRule="auto"/>
              <w:rPr>
                <w:rFonts w:ascii="Times New Roman" w:hAnsi="Times New Roman"/>
                <w:noProof/>
                <w:lang w:val="en-US"/>
              </w:rPr>
            </w:pPr>
            <w:r>
              <w:rPr>
                <w:rFonts w:ascii="Times New Roman" w:hAnsi="Times New Roman"/>
                <w:noProof/>
                <w:lang w:val="en-US"/>
              </w:rPr>
              <w:t>5. To design and promote the adoption of novel approaches to reduce the impact of pests and pathogens in farming, including their consequences on human health</w:t>
            </w:r>
          </w:p>
        </w:tc>
        <w:tc>
          <w:tcPr>
            <w:tcW w:w="3172" w:type="dxa"/>
          </w:tcPr>
          <w:p>
            <w:pPr>
              <w:spacing w:after="0" w:line="240" w:lineRule="auto"/>
              <w:rPr>
                <w:rFonts w:ascii="Times New Roman" w:hAnsi="Times New Roman"/>
                <w:noProof/>
                <w:lang w:val="en-US"/>
              </w:rPr>
            </w:pPr>
          </w:p>
        </w:tc>
        <w:tc>
          <w:tcPr>
            <w:tcW w:w="3010" w:type="dxa"/>
          </w:tcPr>
          <w:p>
            <w:pPr>
              <w:spacing w:after="0" w:line="240" w:lineRule="auto"/>
              <w:rPr>
                <w:rFonts w:ascii="Times New Roman" w:hAnsi="Times New Roman"/>
                <w:noProof/>
                <w:lang w:val="en-US"/>
              </w:rPr>
            </w:pPr>
          </w:p>
        </w:tc>
      </w:tr>
      <w:tr>
        <w:trPr>
          <w:cantSplit/>
        </w:trPr>
        <w:tc>
          <w:tcPr>
            <w:tcW w:w="3106" w:type="dxa"/>
            <w:hideMark/>
          </w:tcPr>
          <w:p>
            <w:pPr>
              <w:spacing w:after="0" w:line="240" w:lineRule="auto"/>
              <w:rPr>
                <w:rFonts w:ascii="Times New Roman" w:hAnsi="Times New Roman"/>
                <w:noProof/>
                <w:lang w:val="en-US"/>
              </w:rPr>
            </w:pPr>
            <w:r>
              <w:rPr>
                <w:rFonts w:ascii="Times New Roman" w:hAnsi="Times New Roman"/>
                <w:noProof/>
                <w:lang w:val="en-US"/>
              </w:rPr>
              <w:t>6. To conceive and implement innovative, quality oriented models in agro-business as potential sources of new jobs and economic growth</w:t>
            </w:r>
          </w:p>
        </w:tc>
        <w:tc>
          <w:tcPr>
            <w:tcW w:w="3172" w:type="dxa"/>
          </w:tcPr>
          <w:p>
            <w:pPr>
              <w:spacing w:after="0" w:line="240" w:lineRule="auto"/>
              <w:rPr>
                <w:rFonts w:ascii="Times New Roman" w:hAnsi="Times New Roman"/>
                <w:noProof/>
                <w:lang w:val="en-US"/>
              </w:rPr>
            </w:pPr>
          </w:p>
        </w:tc>
        <w:tc>
          <w:tcPr>
            <w:tcW w:w="3010" w:type="dxa"/>
          </w:tcPr>
          <w:p>
            <w:pPr>
              <w:spacing w:after="0" w:line="240" w:lineRule="auto"/>
              <w:rPr>
                <w:rFonts w:ascii="Times New Roman" w:hAnsi="Times New Roman"/>
                <w:noProof/>
                <w:lang w:val="en-US"/>
              </w:rPr>
            </w:pPr>
          </w:p>
        </w:tc>
      </w:tr>
      <w:tr>
        <w:trPr>
          <w:cantSplit/>
        </w:trPr>
        <w:tc>
          <w:tcPr>
            <w:tcW w:w="3106" w:type="dxa"/>
            <w:hideMark/>
          </w:tcPr>
          <w:p>
            <w:pPr>
              <w:spacing w:after="0" w:line="240" w:lineRule="auto"/>
              <w:rPr>
                <w:rFonts w:ascii="Times New Roman" w:hAnsi="Times New Roman"/>
                <w:noProof/>
                <w:lang w:val="en-US"/>
              </w:rPr>
            </w:pPr>
            <w:r>
              <w:rPr>
                <w:rFonts w:ascii="Times New Roman" w:hAnsi="Times New Roman"/>
                <w:noProof/>
                <w:lang w:val="en-US"/>
              </w:rPr>
              <w:t>7. To improve land and water sustainability in arid and semi-arid watersheds</w:t>
            </w:r>
          </w:p>
        </w:tc>
        <w:tc>
          <w:tcPr>
            <w:tcW w:w="3172" w:type="dxa"/>
          </w:tcPr>
          <w:p>
            <w:pPr>
              <w:spacing w:after="0" w:line="240" w:lineRule="auto"/>
              <w:rPr>
                <w:rFonts w:ascii="Times New Roman" w:hAnsi="Times New Roman"/>
                <w:noProof/>
                <w:lang w:val="en-US"/>
              </w:rPr>
            </w:pPr>
          </w:p>
        </w:tc>
        <w:tc>
          <w:tcPr>
            <w:tcW w:w="3010" w:type="dxa"/>
            <w:hideMark/>
          </w:tcPr>
          <w:p>
            <w:pPr>
              <w:spacing w:after="0" w:line="240" w:lineRule="auto"/>
              <w:rPr>
                <w:rFonts w:ascii="Times New Roman" w:hAnsi="Times New Roman"/>
                <w:noProof/>
                <w:lang w:val="en-US"/>
              </w:rPr>
            </w:pPr>
            <w:r>
              <w:rPr>
                <w:rFonts w:ascii="Times New Roman" w:hAnsi="Times New Roman"/>
                <w:noProof/>
                <w:lang w:val="en-US"/>
              </w:rPr>
              <w:t>4. Implementing a Water-Wise Bio-Based Economy</w:t>
            </w:r>
          </w:p>
        </w:tc>
      </w:tr>
      <w:tr>
        <w:trPr>
          <w:cantSplit/>
        </w:trPr>
        <w:tc>
          <w:tcPr>
            <w:tcW w:w="3106" w:type="dxa"/>
            <w:hideMark/>
          </w:tcPr>
          <w:p>
            <w:pPr>
              <w:spacing w:after="0" w:line="240" w:lineRule="auto"/>
              <w:rPr>
                <w:rFonts w:ascii="Times New Roman" w:hAnsi="Times New Roman"/>
                <w:noProof/>
                <w:lang w:val="en-US"/>
              </w:rPr>
            </w:pPr>
            <w:r>
              <w:rPr>
                <w:rFonts w:ascii="Times New Roman" w:hAnsi="Times New Roman"/>
                <w:noProof/>
                <w:lang w:val="en-US"/>
              </w:rPr>
              <w:t>8. To elaborate and stimulate adoption of new policies and protocols for the governance of water management systems</w:t>
            </w:r>
          </w:p>
        </w:tc>
        <w:tc>
          <w:tcPr>
            <w:tcW w:w="3172" w:type="dxa"/>
          </w:tcPr>
          <w:p>
            <w:pPr>
              <w:spacing w:after="0" w:line="240" w:lineRule="auto"/>
              <w:rPr>
                <w:rFonts w:ascii="Times New Roman" w:hAnsi="Times New Roman"/>
                <w:noProof/>
                <w:lang w:val="en-US"/>
              </w:rPr>
            </w:pPr>
          </w:p>
        </w:tc>
        <w:tc>
          <w:tcPr>
            <w:tcW w:w="3010" w:type="dxa"/>
            <w:hideMark/>
          </w:tcPr>
          <w:p>
            <w:pPr>
              <w:spacing w:after="0" w:line="240" w:lineRule="auto"/>
              <w:rPr>
                <w:rFonts w:ascii="Times New Roman" w:hAnsi="Times New Roman"/>
                <w:noProof/>
                <w:lang w:val="en-US"/>
              </w:rPr>
            </w:pPr>
            <w:r>
              <w:rPr>
                <w:rFonts w:ascii="Times New Roman" w:hAnsi="Times New Roman"/>
                <w:noProof/>
                <w:lang w:val="en-US"/>
              </w:rPr>
              <w:t>4. Implementing a Water-Wise Bio-Based Economy</w:t>
            </w:r>
          </w:p>
        </w:tc>
      </w:tr>
    </w:tbl>
    <w:p>
      <w:pPr>
        <w:spacing w:after="120"/>
        <w:rPr>
          <w:rFonts w:ascii="Times New Roman" w:hAnsi="Times New Roman"/>
          <w:noProof/>
          <w:sz w:val="20"/>
          <w:szCs w:val="20"/>
        </w:rPr>
      </w:pPr>
      <w:r>
        <w:rPr>
          <w:rFonts w:ascii="Times New Roman" w:hAnsi="Times New Roman"/>
          <w:b/>
          <w:noProof/>
          <w:sz w:val="20"/>
          <w:szCs w:val="20"/>
        </w:rPr>
        <w:t>Table 10.2.</w:t>
      </w:r>
      <w:r>
        <w:rPr>
          <w:rFonts w:ascii="Times New Roman" w:hAnsi="Times New Roman"/>
          <w:noProof/>
          <w:sz w:val="20"/>
          <w:szCs w:val="20"/>
        </w:rPr>
        <w:t xml:space="preserve"> Synergies related to JPIs </w:t>
      </w:r>
    </w:p>
    <w:p>
      <w:pPr>
        <w:spacing w:after="120" w:line="240" w:lineRule="auto"/>
        <w:jc w:val="both"/>
        <w:rPr>
          <w:rFonts w:ascii="Times New Roman" w:hAnsi="Times New Roman"/>
          <w:noProof/>
          <w:sz w:val="24"/>
        </w:rPr>
      </w:pPr>
      <w:r>
        <w:rPr>
          <w:rFonts w:ascii="Times New Roman" w:hAnsi="Times New Roman"/>
          <w:noProof/>
          <w:sz w:val="24"/>
        </w:rPr>
        <w:t>These JPIs do not have the same thematic focus as PRIMA, nor the same geographical coverage. JPIs focus on pan European societal challenges. These JPIs will be active beyond 2017, and therefore will be coincident in time with PRIMA. As a consequence, Synergies could be expected at different levels:</w:t>
      </w:r>
    </w:p>
    <w:p>
      <w:pPr>
        <w:pStyle w:val="ListParagraph"/>
        <w:numPr>
          <w:ilvl w:val="0"/>
          <w:numId w:val="26"/>
        </w:numPr>
        <w:spacing w:after="120" w:line="240" w:lineRule="auto"/>
        <w:rPr>
          <w:rFonts w:ascii="Times New Roman" w:hAnsi="Times New Roman"/>
          <w:noProof/>
          <w:sz w:val="24"/>
        </w:rPr>
      </w:pPr>
      <w:r>
        <w:rPr>
          <w:rFonts w:ascii="Times New Roman" w:hAnsi="Times New Roman"/>
          <w:noProof/>
          <w:sz w:val="24"/>
          <w:u w:val="single"/>
        </w:rPr>
        <w:t>Coordinated visibility and advocacy inside and outside Europe</w:t>
      </w:r>
      <w:r>
        <w:rPr>
          <w:rFonts w:ascii="Times New Roman" w:hAnsi="Times New Roman"/>
          <w:noProof/>
          <w:sz w:val="24"/>
        </w:rPr>
        <w:t>. Extending the ring of informal co-ordination between FACCE and Water JPI to PRIMA would add coherence to the set of initiatives and facilitate interaction with partner countries, European institutions and society at large.</w:t>
      </w:r>
    </w:p>
    <w:p>
      <w:pPr>
        <w:pStyle w:val="ListParagraph"/>
        <w:spacing w:after="120" w:line="240" w:lineRule="auto"/>
        <w:rPr>
          <w:rFonts w:ascii="Times New Roman" w:hAnsi="Times New Roman"/>
          <w:noProof/>
          <w:sz w:val="24"/>
        </w:rPr>
      </w:pPr>
    </w:p>
    <w:p>
      <w:pPr>
        <w:pStyle w:val="ListParagraph"/>
        <w:numPr>
          <w:ilvl w:val="0"/>
          <w:numId w:val="26"/>
        </w:numPr>
        <w:spacing w:after="120" w:line="240" w:lineRule="auto"/>
        <w:rPr>
          <w:rFonts w:ascii="Times New Roman" w:hAnsi="Times New Roman"/>
          <w:noProof/>
          <w:sz w:val="24"/>
        </w:rPr>
      </w:pPr>
      <w:r>
        <w:rPr>
          <w:rFonts w:ascii="Times New Roman" w:hAnsi="Times New Roman"/>
          <w:noProof/>
          <w:sz w:val="24"/>
          <w:u w:val="single"/>
        </w:rPr>
        <w:t>Mapping of capacities, key researchers/innovators and centres of exc</w:t>
      </w:r>
      <w:r>
        <w:rPr>
          <w:rFonts w:ascii="Times New Roman" w:hAnsi="Times New Roman"/>
          <w:noProof/>
          <w:sz w:val="24"/>
        </w:rPr>
        <w:t>ellence. Coordinating the mapping activities performed by these initiatives would moderate the required efforts and provide geographic continuity towards the south and east of the Mediterranean.</w:t>
      </w:r>
    </w:p>
    <w:p>
      <w:pPr>
        <w:pStyle w:val="ListParagraph"/>
        <w:spacing w:after="120" w:line="240" w:lineRule="auto"/>
        <w:rPr>
          <w:rFonts w:ascii="Times New Roman" w:hAnsi="Times New Roman"/>
          <w:noProof/>
          <w:sz w:val="24"/>
        </w:rPr>
      </w:pPr>
    </w:p>
    <w:p>
      <w:pPr>
        <w:pStyle w:val="ListParagraph"/>
        <w:numPr>
          <w:ilvl w:val="0"/>
          <w:numId w:val="26"/>
        </w:numPr>
        <w:spacing w:after="120" w:line="240" w:lineRule="auto"/>
        <w:rPr>
          <w:rFonts w:ascii="Times New Roman" w:hAnsi="Times New Roman"/>
          <w:noProof/>
          <w:sz w:val="24"/>
        </w:rPr>
      </w:pPr>
      <w:r>
        <w:rPr>
          <w:rFonts w:ascii="Times New Roman" w:hAnsi="Times New Roman"/>
          <w:noProof/>
          <w:sz w:val="24"/>
          <w:u w:val="single"/>
        </w:rPr>
        <w:t>Exploring the interfaces and the complementarities of the Strategic Research and Innovation Agendas</w:t>
      </w:r>
      <w:r>
        <w:rPr>
          <w:rFonts w:ascii="Times New Roman" w:hAnsi="Times New Roman"/>
          <w:noProof/>
          <w:sz w:val="24"/>
        </w:rPr>
        <w:t>. A synergic effect will derive from consideration of the well-established Agendas of the JPIs when preparing the first release of the PRIMA SRIA. Discussing the update of one of these three SRIAs with the other two initiatives will bring efficiency gains and reinforce the pan-European strategy on food systems and water resources.</w:t>
      </w:r>
    </w:p>
    <w:p>
      <w:pPr>
        <w:pStyle w:val="ListParagraph"/>
        <w:spacing w:after="120" w:line="240" w:lineRule="auto"/>
        <w:rPr>
          <w:rFonts w:ascii="Times New Roman" w:hAnsi="Times New Roman"/>
          <w:noProof/>
          <w:sz w:val="24"/>
        </w:rPr>
      </w:pPr>
    </w:p>
    <w:p>
      <w:pPr>
        <w:pStyle w:val="ListParagraph"/>
        <w:numPr>
          <w:ilvl w:val="0"/>
          <w:numId w:val="26"/>
        </w:numPr>
        <w:spacing w:after="120" w:line="240" w:lineRule="auto"/>
        <w:rPr>
          <w:rFonts w:ascii="Times New Roman" w:hAnsi="Times New Roman"/>
          <w:noProof/>
          <w:sz w:val="24"/>
        </w:rPr>
      </w:pPr>
      <w:r>
        <w:rPr>
          <w:rFonts w:ascii="Times New Roman" w:hAnsi="Times New Roman"/>
          <w:noProof/>
          <w:sz w:val="24"/>
          <w:u w:val="single"/>
        </w:rPr>
        <w:t>Coordinating Joint Activities</w:t>
      </w:r>
      <w:r>
        <w:rPr>
          <w:rFonts w:ascii="Times New Roman" w:hAnsi="Times New Roman"/>
          <w:noProof/>
          <w:sz w:val="24"/>
        </w:rPr>
        <w:t xml:space="preserve">. Water and FACCE JPI implemented the first coordinated Joint Call at the Joint Programming level. Coordination of activities should be extended to PRIMA to exploit thematic coincidences and to attain synergies at the implementation level. Possibilities for co-ordination cover the whole range of R&amp;I activities. </w:t>
      </w:r>
    </w:p>
    <w:p>
      <w:pPr>
        <w:spacing w:after="0" w:line="240" w:lineRule="auto"/>
        <w:rPr>
          <w:rFonts w:ascii="Times New Roman" w:hAnsi="Times New Roman"/>
          <w:noProof/>
        </w:rPr>
      </w:pPr>
    </w:p>
    <w:p>
      <w:pPr>
        <w:rPr>
          <w:noProof/>
          <w:lang w:val="en-US"/>
        </w:rPr>
      </w:pPr>
    </w:p>
    <w:p>
      <w:pPr>
        <w:spacing w:after="0" w:line="240" w:lineRule="auto"/>
        <w:rPr>
          <w:rFonts w:ascii="Times New Roman" w:eastAsia="Times New Roman" w:hAnsi="Times New Roman"/>
          <w:b/>
          <w:bCs/>
          <w:i/>
          <w:noProof/>
          <w:sz w:val="24"/>
          <w:szCs w:val="24"/>
        </w:rPr>
      </w:pPr>
      <w:bookmarkStart w:id="508" w:name="_Toc453056140"/>
      <w:bookmarkStart w:id="509" w:name="_Toc453058080"/>
      <w:bookmarkStart w:id="510" w:name="_Toc453058537"/>
      <w:bookmarkStart w:id="511" w:name="_Toc453067067"/>
      <w:bookmarkStart w:id="512" w:name="_Toc453068101"/>
      <w:bookmarkStart w:id="513" w:name="_Toc453056141"/>
      <w:bookmarkStart w:id="514" w:name="_Toc453058081"/>
      <w:bookmarkStart w:id="515" w:name="_Toc453058538"/>
      <w:bookmarkStart w:id="516" w:name="_Toc453066845"/>
      <w:bookmarkStart w:id="517" w:name="_Toc453066973"/>
      <w:bookmarkStart w:id="518" w:name="_Toc453067068"/>
      <w:bookmarkStart w:id="519" w:name="_Toc453068102"/>
      <w:bookmarkStart w:id="520" w:name="_Toc453056142"/>
      <w:bookmarkStart w:id="521" w:name="_Toc453058082"/>
      <w:bookmarkStart w:id="522" w:name="_Toc453058539"/>
      <w:bookmarkStart w:id="523" w:name="_Toc453066846"/>
      <w:bookmarkStart w:id="524" w:name="_Toc453066974"/>
      <w:bookmarkStart w:id="525" w:name="_Toc453067069"/>
      <w:bookmarkStart w:id="526" w:name="_Toc453068103"/>
      <w:bookmarkStart w:id="527" w:name="_Toc452566295"/>
      <w:bookmarkStart w:id="528" w:name="_Toc453058540"/>
      <w:bookmarkStart w:id="529" w:name="_Toc455682321"/>
      <w:bookmarkStart w:id="530" w:name="_Toc455682881"/>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r>
        <w:rPr>
          <w:rFonts w:ascii="Times New Roman" w:hAnsi="Times New Roman"/>
          <w:i/>
          <w:noProof/>
          <w:sz w:val="24"/>
          <w:szCs w:val="24"/>
        </w:rPr>
        <w:br w:type="page"/>
      </w:r>
    </w:p>
    <w:p>
      <w:pPr>
        <w:pStyle w:val="Heading2"/>
        <w:keepLines w:val="0"/>
        <w:suppressAutoHyphens/>
        <w:spacing w:before="0" w:after="240" w:line="240" w:lineRule="auto"/>
        <w:ind w:left="480"/>
        <w:jc w:val="both"/>
        <w:rPr>
          <w:rFonts w:ascii="Times New Roman" w:hAnsi="Times New Roman"/>
          <w:i/>
          <w:noProof/>
          <w:color w:val="auto"/>
          <w:sz w:val="24"/>
          <w:szCs w:val="24"/>
        </w:rPr>
      </w:pPr>
      <w:bookmarkStart w:id="531" w:name="_Toc457466112"/>
      <w:r>
        <w:rPr>
          <w:rFonts w:ascii="Times New Roman" w:hAnsi="Times New Roman"/>
          <w:i/>
          <w:noProof/>
          <w:color w:val="auto"/>
          <w:sz w:val="24"/>
          <w:szCs w:val="24"/>
        </w:rPr>
        <w:t>Annex 9: EU Relationships in R&amp;I with Non-EU PRIMA Participating States</w:t>
      </w:r>
      <w:bookmarkEnd w:id="527"/>
      <w:bookmarkEnd w:id="528"/>
      <w:bookmarkEnd w:id="529"/>
      <w:bookmarkEnd w:id="530"/>
      <w:bookmarkEnd w:id="531"/>
      <w:r>
        <w:rPr>
          <w:rFonts w:ascii="Times New Roman" w:hAnsi="Times New Roman"/>
          <w:i/>
          <w:noProof/>
          <w:color w:val="auto"/>
          <w:sz w:val="24"/>
          <w:szCs w:val="24"/>
        </w:rPr>
        <w:t xml:space="preserve"> </w:t>
      </w:r>
    </w:p>
    <w:tbl>
      <w:tblPr>
        <w:tblStyle w:val="TableGrid"/>
        <w:tblpPr w:leftFromText="180" w:rightFromText="180" w:horzAnchor="margin" w:tblpY="611"/>
        <w:tblW w:w="9854" w:type="dxa"/>
        <w:tblLook w:val="04A0" w:firstRow="1" w:lastRow="0" w:firstColumn="1" w:lastColumn="0" w:noHBand="0" w:noVBand="1"/>
      </w:tblPr>
      <w:tblGrid>
        <w:gridCol w:w="1011"/>
        <w:gridCol w:w="2641"/>
        <w:gridCol w:w="2126"/>
        <w:gridCol w:w="2268"/>
        <w:gridCol w:w="1808"/>
      </w:tblGrid>
      <w:tr>
        <w:tc>
          <w:tcPr>
            <w:tcW w:w="1011" w:type="dxa"/>
          </w:tcPr>
          <w:p>
            <w:pPr>
              <w:rPr>
                <w:rFonts w:ascii="Times New Roman" w:hAnsi="Times New Roman"/>
                <w:b/>
                <w:noProof/>
              </w:rPr>
            </w:pPr>
            <w:r>
              <w:rPr>
                <w:rFonts w:ascii="Times New Roman" w:hAnsi="Times New Roman"/>
                <w:b/>
                <w:noProof/>
              </w:rPr>
              <w:t>Country</w:t>
            </w:r>
          </w:p>
        </w:tc>
        <w:tc>
          <w:tcPr>
            <w:tcW w:w="2641" w:type="dxa"/>
          </w:tcPr>
          <w:p>
            <w:pPr>
              <w:rPr>
                <w:rFonts w:ascii="Times New Roman" w:hAnsi="Times New Roman"/>
                <w:b/>
                <w:noProof/>
              </w:rPr>
            </w:pPr>
            <w:r>
              <w:rPr>
                <w:rFonts w:ascii="Times New Roman" w:hAnsi="Times New Roman"/>
                <w:b/>
                <w:noProof/>
              </w:rPr>
              <w:t>EU-Country Formal cooperation relations</w:t>
            </w:r>
          </w:p>
        </w:tc>
        <w:tc>
          <w:tcPr>
            <w:tcW w:w="2126" w:type="dxa"/>
          </w:tcPr>
          <w:p>
            <w:pPr>
              <w:rPr>
                <w:rFonts w:ascii="Times New Roman" w:hAnsi="Times New Roman"/>
                <w:b/>
                <w:noProof/>
              </w:rPr>
            </w:pPr>
            <w:r>
              <w:rPr>
                <w:rFonts w:ascii="Times New Roman" w:hAnsi="Times New Roman"/>
                <w:b/>
                <w:noProof/>
              </w:rPr>
              <w:t>Relationship in R&amp;I Established through Agreement</w:t>
            </w:r>
          </w:p>
        </w:tc>
        <w:tc>
          <w:tcPr>
            <w:tcW w:w="2268" w:type="dxa"/>
          </w:tcPr>
          <w:p>
            <w:pPr>
              <w:rPr>
                <w:rFonts w:ascii="Times New Roman" w:hAnsi="Times New Roman"/>
                <w:b/>
                <w:noProof/>
              </w:rPr>
            </w:pPr>
            <w:r>
              <w:rPr>
                <w:rFonts w:ascii="Times New Roman" w:hAnsi="Times New Roman"/>
                <w:b/>
                <w:noProof/>
              </w:rPr>
              <w:t>Participation in Research Framework Programmes (direct flow of funds from COM to participants)</w:t>
            </w:r>
          </w:p>
        </w:tc>
        <w:tc>
          <w:tcPr>
            <w:tcW w:w="1808" w:type="dxa"/>
          </w:tcPr>
          <w:p>
            <w:pPr>
              <w:rPr>
                <w:rFonts w:ascii="Times New Roman" w:hAnsi="Times New Roman"/>
                <w:b/>
                <w:noProof/>
              </w:rPr>
            </w:pPr>
            <w:r>
              <w:rPr>
                <w:rFonts w:ascii="Times New Roman" w:hAnsi="Times New Roman"/>
                <w:b/>
                <w:noProof/>
              </w:rPr>
              <w:t>National budgets implemented through ERANETMED Call 1 (Joint Programming 2014 only) -(direct flow of funds from National Administration to participants)®</w:t>
            </w:r>
          </w:p>
        </w:tc>
      </w:tr>
      <w:tr>
        <w:trPr>
          <w:trHeight w:val="2540"/>
        </w:trPr>
        <w:tc>
          <w:tcPr>
            <w:tcW w:w="1011" w:type="dxa"/>
          </w:tcPr>
          <w:p>
            <w:pPr>
              <w:rPr>
                <w:rFonts w:ascii="Times New Roman" w:hAnsi="Times New Roman"/>
                <w:noProof/>
              </w:rPr>
            </w:pPr>
            <w:r>
              <w:rPr>
                <w:rFonts w:ascii="Times New Roman" w:hAnsi="Times New Roman"/>
                <w:noProof/>
              </w:rPr>
              <w:t>Egypt</w:t>
            </w:r>
          </w:p>
        </w:tc>
        <w:tc>
          <w:tcPr>
            <w:tcW w:w="2641" w:type="dxa"/>
          </w:tcPr>
          <w:p>
            <w:pPr>
              <w:rPr>
                <w:rFonts w:ascii="Times New Roman" w:hAnsi="Times New Roman"/>
                <w:noProof/>
              </w:rPr>
            </w:pPr>
            <w:r>
              <w:rPr>
                <w:rFonts w:ascii="Times New Roman" w:hAnsi="Times New Roman"/>
                <w:noProof/>
              </w:rPr>
              <w:t xml:space="preserve">EU-Egypt Association Agreement (OJ L304, 30/09/2004, p. 39) – Art 43 'Scientific and technological cooperation' on </w:t>
            </w:r>
            <w:r>
              <w:rPr>
                <w:rFonts w:ascii="Times New Roman" w:hAnsi="Times New Roman"/>
                <w:i/>
                <w:noProof/>
              </w:rPr>
              <w:t>access Union R&amp;D programmes'</w:t>
            </w:r>
          </w:p>
        </w:tc>
        <w:tc>
          <w:tcPr>
            <w:tcW w:w="2126" w:type="dxa"/>
          </w:tcPr>
          <w:p>
            <w:pPr>
              <w:rPr>
                <w:rFonts w:ascii="Times New Roman" w:hAnsi="Times New Roman"/>
                <w:noProof/>
              </w:rPr>
            </w:pPr>
            <w:r>
              <w:rPr>
                <w:rFonts w:ascii="Times New Roman" w:hAnsi="Times New Roman"/>
                <w:noProof/>
              </w:rPr>
              <w:t xml:space="preserve">EU-Egypt S&amp;T Agreement (OJ L182, 13/07/2005, p. 12) in force since </w:t>
            </w:r>
            <w:r>
              <w:rPr>
                <w:rFonts w:ascii="Times New Roman" w:hAnsi="Times New Roman"/>
                <w:noProof/>
                <w:color w:val="000000"/>
                <w:sz w:val="22"/>
                <w:szCs w:val="22"/>
              </w:rPr>
              <w:t>2008.</w:t>
            </w:r>
          </w:p>
        </w:tc>
        <w:tc>
          <w:tcPr>
            <w:tcW w:w="2268" w:type="dxa"/>
          </w:tcPr>
          <w:p>
            <w:pPr>
              <w:rPr>
                <w:rFonts w:ascii="Times New Roman" w:hAnsi="Times New Roman"/>
                <w:noProof/>
                <w:lang w:val="fr-BE"/>
              </w:rPr>
            </w:pPr>
            <w:r>
              <w:rPr>
                <w:rFonts w:ascii="Times New Roman" w:hAnsi="Times New Roman"/>
                <w:noProof/>
                <w:lang w:val="fr-BE"/>
              </w:rPr>
              <w:t>Participant total cost (FP7: 19.070.831 EUR; Horizon 2020: 1,584,719  EUR)</w:t>
            </w:r>
          </w:p>
          <w:p>
            <w:pPr>
              <w:rPr>
                <w:rFonts w:ascii="Times New Roman" w:hAnsi="Times New Roman"/>
                <w:noProof/>
                <w:lang w:val="fr-BE"/>
              </w:rPr>
            </w:pPr>
            <w:r>
              <w:rPr>
                <w:rFonts w:ascii="Times New Roman" w:hAnsi="Times New Roman"/>
                <w:noProof/>
                <w:lang w:val="fr-BE"/>
              </w:rPr>
              <w:t>Participant EC Contribution (FP7: 15.019.131  EUR; Horizon 2020,:2.321.469 EUR)</w:t>
            </w:r>
          </w:p>
        </w:tc>
        <w:tc>
          <w:tcPr>
            <w:tcW w:w="1808" w:type="dxa"/>
          </w:tcPr>
          <w:p>
            <w:pPr>
              <w:rPr>
                <w:rFonts w:ascii="Times New Roman" w:hAnsi="Times New Roman"/>
                <w:noProof/>
              </w:rPr>
            </w:pPr>
            <w:r>
              <w:rPr>
                <w:rFonts w:ascii="Times New Roman" w:hAnsi="Times New Roman"/>
                <w:noProof/>
              </w:rPr>
              <w:t xml:space="preserve">1,500,000 </w:t>
            </w:r>
            <w:r>
              <w:rPr>
                <w:rFonts w:ascii="Times New Roman" w:hAnsi="Times New Roman"/>
                <w:noProof/>
                <w:lang w:val="fr-BE"/>
              </w:rPr>
              <w:t xml:space="preserve"> EUR</w:t>
            </w:r>
          </w:p>
          <w:p>
            <w:pPr>
              <w:rPr>
                <w:rFonts w:ascii="Times New Roman" w:hAnsi="Times New Roman"/>
                <w:noProof/>
                <w:lang w:val="fr-BE"/>
              </w:rPr>
            </w:pPr>
          </w:p>
        </w:tc>
      </w:tr>
      <w:tr>
        <w:trPr>
          <w:trHeight w:val="2722"/>
        </w:trPr>
        <w:tc>
          <w:tcPr>
            <w:tcW w:w="1011" w:type="dxa"/>
          </w:tcPr>
          <w:p>
            <w:pPr>
              <w:rPr>
                <w:rFonts w:ascii="Times New Roman" w:hAnsi="Times New Roman"/>
                <w:noProof/>
              </w:rPr>
            </w:pPr>
            <w:r>
              <w:rPr>
                <w:rFonts w:ascii="Times New Roman" w:hAnsi="Times New Roman"/>
                <w:noProof/>
              </w:rPr>
              <w:t>Israel</w:t>
            </w:r>
          </w:p>
        </w:tc>
        <w:tc>
          <w:tcPr>
            <w:tcW w:w="2641" w:type="dxa"/>
          </w:tcPr>
          <w:p>
            <w:pPr>
              <w:rPr>
                <w:rFonts w:ascii="Times New Roman" w:hAnsi="Times New Roman"/>
                <w:noProof/>
              </w:rPr>
            </w:pPr>
            <w:r>
              <w:rPr>
                <w:rFonts w:ascii="Times New Roman" w:hAnsi="Times New Roman"/>
                <w:noProof/>
              </w:rPr>
              <w:t xml:space="preserve">EU-Israel Association Agreement (OJ L147, 21/06/2000, p. 3) Art 40 </w:t>
            </w:r>
            <w:r>
              <w:rPr>
                <w:rFonts w:ascii="Times New Roman" w:hAnsi="Times New Roman"/>
                <w:i/>
                <w:noProof/>
              </w:rPr>
              <w:t>'</w:t>
            </w:r>
            <w:r>
              <w:rPr>
                <w:rFonts w:ascii="Times New Roman" w:hAnsi="Times New Roman"/>
                <w:noProof/>
              </w:rPr>
              <w:t xml:space="preserve">Scientific, technical and technological cooperation' on </w:t>
            </w:r>
            <w:r>
              <w:rPr>
                <w:rFonts w:ascii="Times New Roman" w:hAnsi="Times New Roman"/>
                <w:i/>
                <w:noProof/>
              </w:rPr>
              <w:t>the intensification of cooperation in science and technology</w:t>
            </w:r>
          </w:p>
        </w:tc>
        <w:tc>
          <w:tcPr>
            <w:tcW w:w="2126" w:type="dxa"/>
          </w:tcPr>
          <w:p>
            <w:pPr>
              <w:rPr>
                <w:rFonts w:ascii="Times New Roman" w:hAnsi="Times New Roman"/>
                <w:noProof/>
              </w:rPr>
            </w:pPr>
            <w:r>
              <w:rPr>
                <w:rFonts w:ascii="Times New Roman" w:hAnsi="Times New Roman"/>
                <w:noProof/>
              </w:rPr>
              <w:t>Horizon 2020 Association Agreement (</w:t>
            </w:r>
            <w:r>
              <w:rPr>
                <w:rFonts w:ascii="Times New Roman" w:hAnsi="Times New Roman"/>
                <w:iCs/>
                <w:noProof/>
                <w:lang w:val="en"/>
              </w:rPr>
              <w:t>OJ L 177, 17.6.2014, p. 1) applicable since</w:t>
            </w:r>
            <w:r>
              <w:rPr>
                <w:rFonts w:ascii="Times New Roman" w:hAnsi="Times New Roman"/>
                <w:noProof/>
              </w:rPr>
              <w:t xml:space="preserve"> 01/01/2014. (previously Associated to RFPs since 1996) </w:t>
            </w:r>
          </w:p>
        </w:tc>
        <w:tc>
          <w:tcPr>
            <w:tcW w:w="2268" w:type="dxa"/>
          </w:tcPr>
          <w:p>
            <w:pPr>
              <w:rPr>
                <w:rFonts w:ascii="Times New Roman" w:hAnsi="Times New Roman"/>
                <w:noProof/>
                <w:lang w:val="fr-BE"/>
              </w:rPr>
            </w:pPr>
            <w:r>
              <w:rPr>
                <w:rFonts w:ascii="Times New Roman" w:hAnsi="Times New Roman"/>
                <w:noProof/>
                <w:lang w:val="fr-BE"/>
              </w:rPr>
              <w:t>Participant total cost (FP7: 997,654,830  EUR; Horizon 2020: 282,072,106  EUR)</w:t>
            </w:r>
          </w:p>
          <w:p>
            <w:pPr>
              <w:rPr>
                <w:rFonts w:ascii="Times New Roman" w:hAnsi="Times New Roman"/>
                <w:noProof/>
                <w:lang w:val="fr-BE"/>
              </w:rPr>
            </w:pPr>
            <w:r>
              <w:rPr>
                <w:rFonts w:ascii="Times New Roman" w:hAnsi="Times New Roman"/>
                <w:noProof/>
                <w:lang w:val="fr-BE"/>
              </w:rPr>
              <w:t>Participant EC Contribution (FP7: 832,123,423  EUR; Horizon 2020: 357,126,581  EUR)</w:t>
            </w:r>
          </w:p>
        </w:tc>
        <w:tc>
          <w:tcPr>
            <w:tcW w:w="1808" w:type="dxa"/>
          </w:tcPr>
          <w:p>
            <w:pPr>
              <w:rPr>
                <w:rFonts w:ascii="Times New Roman" w:hAnsi="Times New Roman"/>
                <w:noProof/>
                <w:lang w:val="fr-BE"/>
              </w:rPr>
            </w:pPr>
            <w:r>
              <w:rPr>
                <w:rFonts w:ascii="Times New Roman" w:hAnsi="Times New Roman"/>
                <w:noProof/>
                <w:lang w:val="fr-BE"/>
              </w:rPr>
              <w:t xml:space="preserve">- not </w:t>
            </w:r>
            <w:r>
              <w:rPr>
                <w:rFonts w:ascii="Times New Roman" w:hAnsi="Times New Roman"/>
                <w:noProof/>
              </w:rPr>
              <w:t>participating</w:t>
            </w:r>
            <w:r>
              <w:rPr>
                <w:rFonts w:ascii="Times New Roman" w:hAnsi="Times New Roman"/>
                <w:noProof/>
                <w:lang w:val="fr-BE"/>
              </w:rPr>
              <w:t xml:space="preserve"> in ERANETMED</w:t>
            </w:r>
          </w:p>
        </w:tc>
      </w:tr>
      <w:tr>
        <w:trPr>
          <w:trHeight w:val="2918"/>
        </w:trPr>
        <w:tc>
          <w:tcPr>
            <w:tcW w:w="1011" w:type="dxa"/>
          </w:tcPr>
          <w:p>
            <w:pPr>
              <w:rPr>
                <w:rFonts w:ascii="Times New Roman" w:hAnsi="Times New Roman"/>
                <w:noProof/>
              </w:rPr>
            </w:pPr>
            <w:r>
              <w:rPr>
                <w:rFonts w:ascii="Times New Roman" w:hAnsi="Times New Roman"/>
                <w:noProof/>
              </w:rPr>
              <w:t>Lebanon</w:t>
            </w:r>
          </w:p>
        </w:tc>
        <w:tc>
          <w:tcPr>
            <w:tcW w:w="2641" w:type="dxa"/>
          </w:tcPr>
          <w:p>
            <w:pPr>
              <w:rPr>
                <w:rFonts w:ascii="Times New Roman" w:hAnsi="Times New Roman"/>
                <w:noProof/>
              </w:rPr>
            </w:pPr>
            <w:r>
              <w:rPr>
                <w:rFonts w:ascii="Times New Roman" w:hAnsi="Times New Roman"/>
                <w:noProof/>
              </w:rPr>
              <w:t>EU-Lebanon Association Agreement (OJ</w:t>
            </w:r>
            <w:r>
              <w:rPr>
                <w:rFonts w:ascii="Times New Roman" w:hAnsi="Times New Roman"/>
                <w:noProof/>
                <w:color w:val="000000"/>
                <w:sz w:val="22"/>
                <w:szCs w:val="22"/>
              </w:rPr>
              <w:t xml:space="preserve"> </w:t>
            </w:r>
            <w:r>
              <w:rPr>
                <w:rFonts w:ascii="Times New Roman" w:hAnsi="Times New Roman"/>
                <w:noProof/>
              </w:rPr>
              <w:t xml:space="preserve">L143, 30/05/2006, p. 2 ) – Art 44 'Scientific, technical and technological cooperation' on </w:t>
            </w:r>
            <w:r>
              <w:rPr>
                <w:rFonts w:ascii="Times New Roman" w:hAnsi="Times New Roman"/>
                <w:i/>
                <w:noProof/>
              </w:rPr>
              <w:t xml:space="preserve">access Union R&amp;I programmes </w:t>
            </w:r>
            <w:r>
              <w:rPr>
                <w:rFonts w:ascii="Times New Roman" w:hAnsi="Times New Roman"/>
                <w:noProof/>
              </w:rPr>
              <w:t xml:space="preserve">and </w:t>
            </w:r>
            <w:r>
              <w:rPr>
                <w:rFonts w:ascii="Times New Roman" w:hAnsi="Times New Roman"/>
                <w:i/>
                <w:noProof/>
              </w:rPr>
              <w:t>'study' means for Lebanon to participate in European Framework Programmes for Research</w:t>
            </w:r>
          </w:p>
        </w:tc>
        <w:tc>
          <w:tcPr>
            <w:tcW w:w="2126" w:type="dxa"/>
          </w:tcPr>
          <w:p>
            <w:pPr>
              <w:rPr>
                <w:rFonts w:ascii="Times New Roman" w:hAnsi="Times New Roman"/>
                <w:noProof/>
              </w:rPr>
            </w:pPr>
            <w:r>
              <w:rPr>
                <w:rFonts w:ascii="Times New Roman" w:hAnsi="Times New Roman"/>
                <w:noProof/>
              </w:rPr>
              <w:t>-</w:t>
            </w:r>
          </w:p>
        </w:tc>
        <w:tc>
          <w:tcPr>
            <w:tcW w:w="2268" w:type="dxa"/>
          </w:tcPr>
          <w:p>
            <w:pPr>
              <w:rPr>
                <w:rFonts w:ascii="Times New Roman" w:hAnsi="Times New Roman"/>
                <w:noProof/>
                <w:lang w:val="fr-BE"/>
              </w:rPr>
            </w:pPr>
            <w:r>
              <w:rPr>
                <w:rFonts w:ascii="Times New Roman" w:hAnsi="Times New Roman"/>
                <w:noProof/>
                <w:lang w:val="fr-BE"/>
              </w:rPr>
              <w:t>Participant total cost (FP7: 3,331,925 EUR; Horizon 2020: 2,766,349  EUR)</w:t>
            </w:r>
          </w:p>
          <w:p>
            <w:pPr>
              <w:rPr>
                <w:rFonts w:ascii="Times New Roman" w:hAnsi="Times New Roman"/>
                <w:noProof/>
                <w:lang w:val="fr-BE"/>
              </w:rPr>
            </w:pPr>
            <w:r>
              <w:rPr>
                <w:rFonts w:ascii="Times New Roman" w:hAnsi="Times New Roman"/>
                <w:noProof/>
                <w:lang w:val="fr-BE"/>
              </w:rPr>
              <w:t>Participant EC Contribution (FP7: 842,269 EUR; Horizon 2020: 842.269 EUR)</w:t>
            </w:r>
          </w:p>
        </w:tc>
        <w:tc>
          <w:tcPr>
            <w:tcW w:w="1808" w:type="dxa"/>
          </w:tcPr>
          <w:p>
            <w:pPr>
              <w:rPr>
                <w:rFonts w:ascii="Times New Roman" w:hAnsi="Times New Roman"/>
                <w:noProof/>
                <w:lang w:val="fr-BE"/>
              </w:rPr>
            </w:pPr>
            <w:r>
              <w:rPr>
                <w:rFonts w:ascii="Times New Roman" w:hAnsi="Times New Roman"/>
                <w:noProof/>
              </w:rPr>
              <w:t xml:space="preserve">200,000 </w:t>
            </w:r>
            <w:r>
              <w:rPr>
                <w:rFonts w:ascii="Times New Roman" w:hAnsi="Times New Roman"/>
                <w:noProof/>
                <w:lang w:val="fr-BE"/>
              </w:rPr>
              <w:t>EUR</w:t>
            </w:r>
          </w:p>
        </w:tc>
      </w:tr>
      <w:tr>
        <w:tc>
          <w:tcPr>
            <w:tcW w:w="1011" w:type="dxa"/>
          </w:tcPr>
          <w:p>
            <w:pPr>
              <w:rPr>
                <w:rFonts w:ascii="Times New Roman" w:hAnsi="Times New Roman"/>
                <w:noProof/>
              </w:rPr>
            </w:pPr>
            <w:r>
              <w:rPr>
                <w:rFonts w:ascii="Times New Roman" w:hAnsi="Times New Roman"/>
                <w:noProof/>
              </w:rPr>
              <w:t>Morocco</w:t>
            </w:r>
          </w:p>
        </w:tc>
        <w:tc>
          <w:tcPr>
            <w:tcW w:w="2641" w:type="dxa"/>
          </w:tcPr>
          <w:p>
            <w:pPr>
              <w:rPr>
                <w:rFonts w:ascii="Times New Roman" w:hAnsi="Times New Roman"/>
                <w:noProof/>
              </w:rPr>
            </w:pPr>
            <w:r>
              <w:rPr>
                <w:rFonts w:ascii="Times New Roman" w:hAnsi="Times New Roman"/>
                <w:noProof/>
              </w:rPr>
              <w:t xml:space="preserve">EU-Morocco Association Agreement (OJ L70, 18/03/2000, p. 2 ) – Art 45 'Regional cooperation': d) </w:t>
            </w:r>
            <w:r>
              <w:rPr>
                <w:rFonts w:ascii="Times New Roman" w:hAnsi="Times New Roman"/>
                <w:i/>
                <w:noProof/>
              </w:rPr>
              <w:t>'research in science and technology' to be fostered with a regional impact involving third countries'</w:t>
            </w:r>
          </w:p>
        </w:tc>
        <w:tc>
          <w:tcPr>
            <w:tcW w:w="2126" w:type="dxa"/>
          </w:tcPr>
          <w:p>
            <w:pPr>
              <w:rPr>
                <w:rFonts w:ascii="Times New Roman" w:hAnsi="Times New Roman"/>
                <w:noProof/>
              </w:rPr>
            </w:pPr>
            <w:r>
              <w:rPr>
                <w:rFonts w:ascii="Times New Roman" w:hAnsi="Times New Roman"/>
                <w:noProof/>
              </w:rPr>
              <w:t>EU-Morocco S&amp;T Agreement (</w:t>
            </w:r>
            <w:r>
              <w:rPr>
                <w:rFonts w:ascii="Times New Roman" w:hAnsi="Times New Roman"/>
                <w:noProof/>
                <w:color w:val="000000"/>
                <w:sz w:val="22"/>
                <w:szCs w:val="22"/>
              </w:rPr>
              <w:t xml:space="preserve">L37, 10/02/2004, p. 9) </w:t>
            </w:r>
            <w:r>
              <w:rPr>
                <w:rFonts w:ascii="Times New Roman" w:hAnsi="Times New Roman"/>
                <w:noProof/>
              </w:rPr>
              <w:t>in force since 2005.</w:t>
            </w:r>
          </w:p>
        </w:tc>
        <w:tc>
          <w:tcPr>
            <w:tcW w:w="2268" w:type="dxa"/>
          </w:tcPr>
          <w:p>
            <w:pPr>
              <w:rPr>
                <w:rFonts w:ascii="Times New Roman" w:hAnsi="Times New Roman"/>
                <w:noProof/>
                <w:lang w:val="fr-BE"/>
              </w:rPr>
            </w:pPr>
            <w:r>
              <w:rPr>
                <w:rFonts w:ascii="Times New Roman" w:hAnsi="Times New Roman"/>
                <w:noProof/>
                <w:lang w:val="fr-BE"/>
              </w:rPr>
              <w:t>Participant total cost (FP7: 17,212,149 EUR; Horizon 2020: 3,072,099 EUR)</w:t>
            </w:r>
          </w:p>
          <w:p>
            <w:pPr>
              <w:rPr>
                <w:rFonts w:ascii="Times New Roman" w:hAnsi="Times New Roman"/>
                <w:noProof/>
                <w:lang w:val="fr-BE"/>
              </w:rPr>
            </w:pPr>
            <w:r>
              <w:rPr>
                <w:rFonts w:ascii="Times New Roman" w:hAnsi="Times New Roman"/>
                <w:noProof/>
                <w:lang w:val="fr-BE"/>
              </w:rPr>
              <w:t>Participant EC Contribution (FP7: 13.620.383 EUR; Horizon 2020: 3.275.187 EUR)</w:t>
            </w:r>
          </w:p>
        </w:tc>
        <w:tc>
          <w:tcPr>
            <w:tcW w:w="1808" w:type="dxa"/>
          </w:tcPr>
          <w:p>
            <w:pPr>
              <w:rPr>
                <w:rFonts w:ascii="Times New Roman" w:hAnsi="Times New Roman"/>
                <w:noProof/>
                <w:lang w:val="fr-BE"/>
              </w:rPr>
            </w:pPr>
            <w:r>
              <w:rPr>
                <w:rFonts w:ascii="Times New Roman" w:hAnsi="Times New Roman"/>
                <w:noProof/>
              </w:rPr>
              <w:t>1,000,000</w:t>
            </w:r>
            <w:r>
              <w:rPr>
                <w:rFonts w:ascii="Times New Roman" w:hAnsi="Times New Roman"/>
                <w:noProof/>
                <w:lang w:val="fr-BE"/>
              </w:rPr>
              <w:t xml:space="preserve"> EUR</w:t>
            </w:r>
          </w:p>
        </w:tc>
      </w:tr>
      <w:tr>
        <w:trPr>
          <w:trHeight w:val="2415"/>
        </w:trPr>
        <w:tc>
          <w:tcPr>
            <w:tcW w:w="1011" w:type="dxa"/>
          </w:tcPr>
          <w:p>
            <w:pPr>
              <w:rPr>
                <w:rFonts w:ascii="Times New Roman" w:hAnsi="Times New Roman"/>
                <w:noProof/>
              </w:rPr>
            </w:pPr>
            <w:r>
              <w:rPr>
                <w:rFonts w:ascii="Times New Roman" w:hAnsi="Times New Roman"/>
                <w:noProof/>
              </w:rPr>
              <w:t>Tunisia</w:t>
            </w:r>
          </w:p>
        </w:tc>
        <w:tc>
          <w:tcPr>
            <w:tcW w:w="2641" w:type="dxa"/>
          </w:tcPr>
          <w:p>
            <w:pPr>
              <w:rPr>
                <w:rFonts w:ascii="Times New Roman" w:hAnsi="Times New Roman"/>
                <w:noProof/>
              </w:rPr>
            </w:pPr>
            <w:r>
              <w:rPr>
                <w:rFonts w:ascii="Times New Roman" w:hAnsi="Times New Roman"/>
                <w:noProof/>
              </w:rPr>
              <w:t xml:space="preserve">EU-Tunisia Association Agreement (OJ L97, 30/03/1998, p. 2 )  Art 45 'Regional cooperation': d) </w:t>
            </w:r>
            <w:r>
              <w:rPr>
                <w:rFonts w:ascii="Times New Roman" w:hAnsi="Times New Roman"/>
                <w:i/>
                <w:noProof/>
              </w:rPr>
              <w:t>'research in science and technology' to be fostered with a regional impact involving third countries'</w:t>
            </w:r>
          </w:p>
        </w:tc>
        <w:tc>
          <w:tcPr>
            <w:tcW w:w="2126" w:type="dxa"/>
          </w:tcPr>
          <w:p>
            <w:pPr>
              <w:rPr>
                <w:rFonts w:ascii="Times New Roman" w:hAnsi="Times New Roman"/>
                <w:noProof/>
              </w:rPr>
            </w:pPr>
            <w:r>
              <w:rPr>
                <w:rFonts w:ascii="Times New Roman" w:hAnsi="Times New Roman"/>
                <w:noProof/>
              </w:rPr>
              <w:t xml:space="preserve">EU-Tunisia S&amp;T Agreement (OJ </w:t>
            </w:r>
            <w:r>
              <w:rPr>
                <w:rFonts w:ascii="Times New Roman" w:hAnsi="Times New Roman"/>
                <w:iCs/>
                <w:noProof/>
                <w:lang w:val="en"/>
              </w:rPr>
              <w:t>L 37, 10.2.2004, p. 17)</w:t>
            </w:r>
            <w:r>
              <w:rPr>
                <w:rFonts w:ascii="Times New Roman" w:hAnsi="Times New Roman"/>
                <w:noProof/>
              </w:rPr>
              <w:t xml:space="preserve"> in force since 2004.</w:t>
            </w:r>
          </w:p>
          <w:p>
            <w:pPr>
              <w:rPr>
                <w:rFonts w:ascii="Times New Roman" w:hAnsi="Times New Roman"/>
                <w:noProof/>
              </w:rPr>
            </w:pPr>
            <w:r>
              <w:rPr>
                <w:rFonts w:ascii="Times New Roman" w:hAnsi="Times New Roman"/>
                <w:noProof/>
              </w:rPr>
              <w:t>Horizon 2020 Association Agreement, applicable since 01/01/2016.</w:t>
            </w:r>
          </w:p>
        </w:tc>
        <w:tc>
          <w:tcPr>
            <w:tcW w:w="2268" w:type="dxa"/>
          </w:tcPr>
          <w:p>
            <w:pPr>
              <w:rPr>
                <w:rFonts w:ascii="Times New Roman" w:hAnsi="Times New Roman"/>
                <w:noProof/>
                <w:lang w:val="fr-BE"/>
              </w:rPr>
            </w:pPr>
            <w:r>
              <w:rPr>
                <w:rFonts w:ascii="Times New Roman" w:hAnsi="Times New Roman"/>
                <w:noProof/>
                <w:lang w:val="fr-BE"/>
              </w:rPr>
              <w:t>Participant total cost (FP7: 15,250,420 EUR; Horizon 2020: 1,622,772 EUR)</w:t>
            </w:r>
          </w:p>
          <w:p>
            <w:pPr>
              <w:rPr>
                <w:rFonts w:ascii="Times New Roman" w:hAnsi="Times New Roman"/>
                <w:noProof/>
                <w:lang w:val="fr-BE"/>
              </w:rPr>
            </w:pPr>
            <w:r>
              <w:rPr>
                <w:rFonts w:ascii="Times New Roman" w:hAnsi="Times New Roman"/>
                <w:noProof/>
                <w:lang w:val="fr-BE"/>
              </w:rPr>
              <w:t>Participant EC Contribution (FP7: 12,055,778 EUR; Horizon 2020: 2,044,210 EUR)</w:t>
            </w:r>
          </w:p>
        </w:tc>
        <w:tc>
          <w:tcPr>
            <w:tcW w:w="1808" w:type="dxa"/>
          </w:tcPr>
          <w:p>
            <w:pPr>
              <w:rPr>
                <w:rFonts w:ascii="Times New Roman" w:hAnsi="Times New Roman"/>
                <w:noProof/>
                <w:lang w:val="fr-BE"/>
              </w:rPr>
            </w:pPr>
            <w:r>
              <w:rPr>
                <w:rFonts w:ascii="Times New Roman" w:hAnsi="Times New Roman"/>
                <w:noProof/>
              </w:rPr>
              <w:t>600,000</w:t>
            </w:r>
            <w:r>
              <w:rPr>
                <w:rFonts w:ascii="Times New Roman" w:hAnsi="Times New Roman"/>
                <w:noProof/>
                <w:lang w:val="fr-BE"/>
              </w:rPr>
              <w:t xml:space="preserve"> EUR</w:t>
            </w:r>
          </w:p>
        </w:tc>
      </w:tr>
      <w:tr>
        <w:trPr>
          <w:trHeight w:val="2596"/>
        </w:trPr>
        <w:tc>
          <w:tcPr>
            <w:tcW w:w="1011" w:type="dxa"/>
          </w:tcPr>
          <w:p>
            <w:pPr>
              <w:rPr>
                <w:rFonts w:ascii="Times New Roman" w:hAnsi="Times New Roman"/>
                <w:noProof/>
              </w:rPr>
            </w:pPr>
            <w:r>
              <w:rPr>
                <w:rFonts w:ascii="Times New Roman" w:hAnsi="Times New Roman"/>
                <w:noProof/>
              </w:rPr>
              <w:t>Turkey</w:t>
            </w:r>
          </w:p>
        </w:tc>
        <w:tc>
          <w:tcPr>
            <w:tcW w:w="2641" w:type="dxa"/>
          </w:tcPr>
          <w:p>
            <w:pPr>
              <w:rPr>
                <w:rFonts w:ascii="Times New Roman" w:hAnsi="Times New Roman"/>
                <w:noProof/>
              </w:rPr>
            </w:pPr>
            <w:r>
              <w:rPr>
                <w:rFonts w:ascii="Times New Roman" w:hAnsi="Times New Roman"/>
                <w:noProof/>
              </w:rPr>
              <w:t>-</w:t>
            </w:r>
          </w:p>
        </w:tc>
        <w:tc>
          <w:tcPr>
            <w:tcW w:w="2126" w:type="dxa"/>
          </w:tcPr>
          <w:p>
            <w:pPr>
              <w:rPr>
                <w:rFonts w:ascii="Times New Roman" w:hAnsi="Times New Roman"/>
                <w:noProof/>
              </w:rPr>
            </w:pPr>
            <w:r>
              <w:rPr>
                <w:rFonts w:ascii="Times New Roman" w:hAnsi="Times New Roman"/>
                <w:noProof/>
              </w:rPr>
              <w:t xml:space="preserve">Horizon 2020 Association Agreement, applicable since 01/01/2014 (previously Associated to RFPs since 2003)  </w:t>
            </w:r>
          </w:p>
        </w:tc>
        <w:tc>
          <w:tcPr>
            <w:tcW w:w="2268" w:type="dxa"/>
          </w:tcPr>
          <w:p>
            <w:pPr>
              <w:rPr>
                <w:rFonts w:ascii="Times New Roman" w:hAnsi="Times New Roman"/>
                <w:noProof/>
                <w:lang w:val="fr-BE"/>
              </w:rPr>
            </w:pPr>
            <w:r>
              <w:rPr>
                <w:rFonts w:ascii="Times New Roman" w:hAnsi="Times New Roman"/>
                <w:noProof/>
                <w:lang w:val="fr-BE"/>
              </w:rPr>
              <w:t>Participant total cost (FP7: 265,202,494 EUR; Horizon 2020: 62,790,978 EUR)</w:t>
            </w:r>
          </w:p>
          <w:p>
            <w:pPr>
              <w:rPr>
                <w:rFonts w:ascii="Times New Roman" w:hAnsi="Times New Roman"/>
                <w:noProof/>
                <w:lang w:val="fr-BE"/>
              </w:rPr>
            </w:pPr>
            <w:r>
              <w:rPr>
                <w:rFonts w:ascii="Times New Roman" w:hAnsi="Times New Roman"/>
                <w:noProof/>
                <w:lang w:val="fr-BE"/>
              </w:rPr>
              <w:t>Participant EC Contribution (FP7: 195,614,212 EUR; Horizon 2020: 88,262,744 EUR)</w:t>
            </w:r>
          </w:p>
        </w:tc>
        <w:tc>
          <w:tcPr>
            <w:tcW w:w="1808" w:type="dxa"/>
          </w:tcPr>
          <w:p>
            <w:pPr>
              <w:rPr>
                <w:rFonts w:ascii="Times New Roman" w:hAnsi="Times New Roman"/>
                <w:noProof/>
                <w:lang w:val="fr-BE"/>
              </w:rPr>
            </w:pPr>
            <w:r>
              <w:rPr>
                <w:rFonts w:ascii="Times New Roman" w:hAnsi="Times New Roman"/>
                <w:noProof/>
              </w:rPr>
              <w:t>500,000</w:t>
            </w:r>
            <w:r>
              <w:rPr>
                <w:rFonts w:ascii="Times New Roman" w:hAnsi="Times New Roman"/>
                <w:noProof/>
                <w:lang w:val="fr-BE"/>
              </w:rPr>
              <w:t xml:space="preserve"> EUR</w:t>
            </w:r>
          </w:p>
        </w:tc>
      </w:tr>
    </w:tbl>
    <w:p>
      <w:pPr>
        <w:rPr>
          <w:noProof/>
          <w:sz w:val="20"/>
        </w:rPr>
      </w:pPr>
      <w:r>
        <w:rPr>
          <w:rFonts w:ascii="Times New Roman" w:hAnsi="Times New Roman"/>
          <w:b/>
          <w:noProof/>
          <w:sz w:val="20"/>
          <w:szCs w:val="20"/>
          <w:lang w:eastAsia="ar-SA"/>
        </w:rPr>
        <w:t>Table 9.1. Cooperation relationships between PRIMA Participating States</w:t>
      </w:r>
    </w:p>
    <w:p>
      <w:pPr>
        <w:spacing w:line="240" w:lineRule="auto"/>
        <w:jc w:val="both"/>
        <w:rPr>
          <w:rFonts w:ascii="Times New Roman" w:hAnsi="Times New Roman"/>
          <w:noProof/>
          <w:szCs w:val="24"/>
        </w:rPr>
      </w:pPr>
      <w:r>
        <w:rPr>
          <w:rFonts w:ascii="Times New Roman" w:hAnsi="Times New Roman"/>
          <w:noProof/>
          <w:szCs w:val="24"/>
        </w:rPr>
        <w:t>® Note: data refers solely to Call 1 of ERANETMED, an ERA-NET type joint programming projects under FP7 which started implementation in 2014. The amounts refer to national budgets being implemented by authorities. Participating Member States are Cyprus, France, Portugal, Germany, Malta, Spain, Italy and Greece. Other third countries participating are Algeria and Jordan. In total Call 1 raised 13,520,000 EUR, of which 5,020,000 EUR were contributed and are managed by non EU countries.</w:t>
      </w:r>
    </w:p>
    <w:p>
      <w:pPr>
        <w:rPr>
          <w:rFonts w:ascii="Times New Roman" w:hAnsi="Times New Roman"/>
          <w:noProof/>
          <w:sz w:val="20"/>
          <w:szCs w:val="20"/>
        </w:rPr>
      </w:pPr>
    </w:p>
    <w:p>
      <w:pPr>
        <w:rPr>
          <w:noProof/>
        </w:rPr>
      </w:pPr>
      <w:r>
        <w:rPr>
          <w:noProof/>
        </w:rPr>
        <w:br w:type="page"/>
      </w:r>
    </w:p>
    <w:p>
      <w:pPr>
        <w:rPr>
          <w:noProof/>
          <w:lang w:val="en-US"/>
        </w:rPr>
      </w:pPr>
      <w:bookmarkStart w:id="532" w:name="_Toc453056148"/>
      <w:bookmarkStart w:id="533" w:name="_Toc453058088"/>
      <w:bookmarkStart w:id="534" w:name="_Toc453058545"/>
      <w:bookmarkStart w:id="535" w:name="_Toc453067075"/>
      <w:bookmarkStart w:id="536" w:name="_Toc453068109"/>
      <w:bookmarkStart w:id="537" w:name="_Toc453056150"/>
      <w:bookmarkStart w:id="538" w:name="_Toc453058090"/>
      <w:bookmarkStart w:id="539" w:name="_Toc453058547"/>
      <w:bookmarkStart w:id="540" w:name="_Toc453067077"/>
      <w:bookmarkStart w:id="541" w:name="_Toc453068111"/>
      <w:bookmarkStart w:id="542" w:name="_Toc453056152"/>
      <w:bookmarkStart w:id="543" w:name="_Toc453058092"/>
      <w:bookmarkStart w:id="544" w:name="_Toc453058549"/>
      <w:bookmarkStart w:id="545" w:name="_Toc453067079"/>
      <w:bookmarkStart w:id="546" w:name="_Toc453068113"/>
      <w:bookmarkStart w:id="547" w:name="_Toc453056154"/>
      <w:bookmarkStart w:id="548" w:name="_Toc453058094"/>
      <w:bookmarkStart w:id="549" w:name="_Toc453058551"/>
      <w:bookmarkStart w:id="550" w:name="_Toc453067081"/>
      <w:bookmarkStart w:id="551" w:name="_Toc453068115"/>
      <w:bookmarkStart w:id="552" w:name="_Toc453056155"/>
      <w:bookmarkStart w:id="553" w:name="_Toc453058095"/>
      <w:bookmarkStart w:id="554" w:name="_Toc453058552"/>
      <w:bookmarkStart w:id="555" w:name="_Toc453067082"/>
      <w:bookmarkStart w:id="556" w:name="_Toc453068116"/>
      <w:bookmarkStart w:id="557" w:name="_Toc453056157"/>
      <w:bookmarkStart w:id="558" w:name="_Toc453058097"/>
      <w:bookmarkStart w:id="559" w:name="_Toc453058554"/>
      <w:bookmarkStart w:id="560" w:name="_Toc453067084"/>
      <w:bookmarkStart w:id="561" w:name="_Toc453068118"/>
      <w:bookmarkStart w:id="562" w:name="_Toc453056160"/>
      <w:bookmarkStart w:id="563" w:name="_Toc453058100"/>
      <w:bookmarkStart w:id="564" w:name="_Toc453058557"/>
      <w:bookmarkStart w:id="565" w:name="_Toc453067087"/>
      <w:bookmarkStart w:id="566" w:name="_Toc453068121"/>
      <w:bookmarkStart w:id="567" w:name="_Toc453056161"/>
      <w:bookmarkStart w:id="568" w:name="_Toc453058101"/>
      <w:bookmarkStart w:id="569" w:name="_Toc453058558"/>
      <w:bookmarkStart w:id="570" w:name="_Toc453067088"/>
      <w:bookmarkStart w:id="571" w:name="_Toc453068122"/>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pPr>
        <w:pStyle w:val="Heading2"/>
        <w:keepLines w:val="0"/>
        <w:suppressAutoHyphens/>
        <w:spacing w:before="0" w:after="240" w:line="240" w:lineRule="auto"/>
        <w:ind w:left="480"/>
        <w:jc w:val="both"/>
        <w:rPr>
          <w:rFonts w:ascii="Times New Roman" w:hAnsi="Times New Roman"/>
          <w:i/>
          <w:noProof/>
          <w:color w:val="auto"/>
          <w:sz w:val="24"/>
          <w:szCs w:val="24"/>
        </w:rPr>
      </w:pPr>
      <w:bookmarkStart w:id="572" w:name="_Toc457466113"/>
      <w:r>
        <w:rPr>
          <w:rFonts w:ascii="Times New Roman" w:hAnsi="Times New Roman"/>
          <w:i/>
          <w:noProof/>
          <w:color w:val="auto"/>
          <w:sz w:val="24"/>
          <w:szCs w:val="24"/>
        </w:rPr>
        <w:t>Annex 10: Analytical models used in preparing the impact assessment</w:t>
      </w:r>
      <w:bookmarkEnd w:id="572"/>
    </w:p>
    <w:p>
      <w:pPr>
        <w:spacing w:after="120" w:line="240" w:lineRule="auto"/>
        <w:jc w:val="both"/>
        <w:rPr>
          <w:rFonts w:ascii="Times New Roman" w:hAnsi="Times New Roman"/>
          <w:noProof/>
          <w:sz w:val="24"/>
        </w:rPr>
      </w:pPr>
      <w:r>
        <w:rPr>
          <w:rFonts w:ascii="Times New Roman" w:hAnsi="Times New Roman"/>
          <w:noProof/>
          <w:sz w:val="24"/>
        </w:rPr>
        <w:t>On the Expert Group side, this Impact Assessment does not rely on modelling, given the broad range of potential impacts and a lack of adequate data sets. It was not possible to compare the potential impacts of the Policy Options using sophisticated modelling techniques. Models of the relationship between R&amp;D inputs and economic outcomes (such as changes in productivity and employment levels) do exist, but they are typically used at macro-levels (e.g. to explore the links between total national R&amp;D inputs and changes in productivity levels across all relevant sectors) where aggregate data exist on a relatively small number of relevant variables (typically one input and one output variable). They are not suitable for use at more disaggregated levels where data sets are rarely available and the number of variables of interest is much larger. Even if the number of variables of interest was restricted and data sets did exist across all countries in the Mediterranean region, the costs associated with collecting these data, developing appropriate models and performing the requisite analyses would be considerable, and certainly outside the scope of this exercise.</w:t>
      </w:r>
    </w:p>
    <w:p>
      <w:pPr>
        <w:spacing w:after="120" w:line="240" w:lineRule="auto"/>
        <w:jc w:val="both"/>
        <w:rPr>
          <w:rFonts w:ascii="Times New Roman" w:hAnsi="Times New Roman"/>
          <w:noProof/>
          <w:sz w:val="24"/>
          <w:szCs w:val="24"/>
          <w:lang w:val="en-US" w:eastAsia="ar-SA"/>
        </w:rPr>
      </w:pPr>
      <w:r>
        <w:rPr>
          <w:rFonts w:ascii="Times New Roman" w:hAnsi="Times New Roman"/>
          <w:noProof/>
          <w:sz w:val="24"/>
          <w:szCs w:val="24"/>
        </w:rPr>
        <w:t xml:space="preserve">Commission views stand for a problem that it is not suited to modelling anyway, as it is too broad and complex.  </w:t>
      </w:r>
      <w:r>
        <w:rPr>
          <w:rFonts w:ascii="Times New Roman" w:eastAsia="Times New Roman" w:hAnsi="Times New Roman"/>
          <w:noProof/>
          <w:sz w:val="24"/>
          <w:szCs w:val="24"/>
        </w:rPr>
        <w:t xml:space="preserve">Models are generally suited to more narrowly-defined problems. Models available in the JRC are in the MIDAS portal: </w:t>
      </w:r>
      <w:hyperlink r:id="rId63" w:history="1">
        <w:r>
          <w:rPr>
            <w:rStyle w:val="Hyperlink"/>
            <w:rFonts w:ascii="Times New Roman" w:hAnsi="Times New Roman"/>
            <w:noProof/>
            <w:sz w:val="24"/>
            <w:szCs w:val="24"/>
          </w:rPr>
          <w:t>http://midas.jrc.it/discovery/midas/</w:t>
        </w:r>
      </w:hyperlink>
      <w:r>
        <w:rPr>
          <w:rFonts w:ascii="Times New Roman" w:eastAsia="Times New Roman" w:hAnsi="Times New Roman"/>
          <w:noProof/>
          <w:sz w:val="24"/>
          <w:szCs w:val="24"/>
        </w:rPr>
        <w:t>, which shows models to be potentially run in the Mediterranean, but in the scope of marine sciences, so they are not applicable to the complex R&amp;I water provision and food systems problem of this impact assessment.</w:t>
      </w:r>
      <w:r>
        <w:rPr>
          <w:rFonts w:ascii="Times New Roman" w:hAnsi="Times New Roman"/>
          <w:noProof/>
          <w:sz w:val="24"/>
          <w:szCs w:val="24"/>
          <w:lang w:val="en-US" w:eastAsia="ar-SA"/>
        </w:rPr>
        <w:t xml:space="preserve"> </w:t>
      </w:r>
    </w:p>
    <w:p>
      <w:pPr>
        <w:spacing w:after="0" w:line="240" w:lineRule="auto"/>
        <w:rPr>
          <w:noProof/>
          <w:lang w:val="en-US"/>
        </w:rPr>
      </w:pPr>
    </w:p>
    <w:sectPr>
      <w:headerReference w:type="even" r:id="rId64"/>
      <w:headerReference w:type="default" r:id="rId65"/>
      <w:footerReference w:type="even" r:id="rId66"/>
      <w:footerReference w:type="default" r:id="rId67"/>
      <w:headerReference w:type="first" r:id="rId68"/>
      <w:footerReference w:type="first" r:id="rId69"/>
      <w:pgSz w:w="11901" w:h="16817"/>
      <w:pgMar w:top="1135"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960605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99</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165184"/>
      <w:docPartObj>
        <w:docPartGallery w:val="Page Numbers (Bottom of Page)"/>
        <w:docPartUnique/>
      </w:docPartObj>
    </w:sdtPr>
    <w:sdtEndPr>
      <w:rPr>
        <w:rFonts w:ascii="Times New Roman" w:hAnsi="Times New Roman"/>
        <w:noProof/>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61</w:t>
        </w:r>
        <w:r>
          <w:rPr>
            <w:rFonts w:ascii="Times New Roman" w:hAnsi="Times New Roman"/>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spacing w:after="0"/>
        <w:ind w:left="0" w:firstLine="0"/>
        <w:rPr>
          <w:sz w:val="18"/>
          <w:szCs w:val="18"/>
        </w:rPr>
      </w:pPr>
      <w:r>
        <w:rPr>
          <w:rStyle w:val="FootnoteReference"/>
          <w:sz w:val="18"/>
          <w:szCs w:val="18"/>
        </w:rPr>
        <w:footnoteRef/>
      </w:r>
      <w:r>
        <w:rPr>
          <w:sz w:val="18"/>
          <w:szCs w:val="18"/>
        </w:rPr>
        <w:t xml:space="preserve"> </w:t>
      </w:r>
      <w:r>
        <w:rPr>
          <w:sz w:val="18"/>
        </w:rPr>
        <w:t>Litus Advisory / Alma Economics (2016) Mediterranean Growth Initiative</w:t>
      </w:r>
    </w:p>
  </w:footnote>
  <w:footnote w:id="3">
    <w:p>
      <w:pPr>
        <w:pStyle w:val="FootnoteText"/>
        <w:spacing w:after="0"/>
        <w:rPr>
          <w:sz w:val="18"/>
        </w:rPr>
      </w:pPr>
      <w:r>
        <w:rPr>
          <w:rStyle w:val="FootnoteReference"/>
          <w:sz w:val="18"/>
        </w:rPr>
        <w:footnoteRef/>
      </w:r>
      <w:r>
        <w:rPr>
          <w:sz w:val="18"/>
        </w:rPr>
        <w:t xml:space="preserve"> See Annex 3</w:t>
      </w:r>
    </w:p>
  </w:footnote>
  <w:footnote w:id="4">
    <w:p>
      <w:pPr>
        <w:pStyle w:val="FootnoteText"/>
        <w:spacing w:after="0"/>
        <w:rPr>
          <w:sz w:val="18"/>
        </w:rPr>
      </w:pPr>
      <w:r>
        <w:rPr>
          <w:rStyle w:val="FootnoteReference"/>
          <w:sz w:val="18"/>
        </w:rPr>
        <w:footnoteRef/>
      </w:r>
      <w:r>
        <w:rPr>
          <w:sz w:val="18"/>
        </w:rPr>
        <w:t xml:space="preserve"> World Economic Forum (2015) Global Risks</w:t>
      </w:r>
    </w:p>
  </w:footnote>
  <w:footnote w:id="5">
    <w:p>
      <w:pPr>
        <w:pStyle w:val="FootnoteText"/>
        <w:spacing w:after="0"/>
        <w:rPr>
          <w:sz w:val="18"/>
        </w:rPr>
      </w:pPr>
      <w:r>
        <w:rPr>
          <w:rStyle w:val="FootnoteReference"/>
          <w:sz w:val="18"/>
        </w:rPr>
        <w:footnoteRef/>
      </w:r>
      <w:r>
        <w:rPr>
          <w:sz w:val="18"/>
        </w:rPr>
        <w:t xml:space="preserve"> World Bank(2016) High and Dry: Climate Change, Water, and the Economy</w:t>
      </w:r>
    </w:p>
  </w:footnote>
  <w:footnote w:id="6">
    <w:p>
      <w:pPr>
        <w:pStyle w:val="FootnoteText"/>
        <w:spacing w:after="0"/>
        <w:rPr>
          <w:sz w:val="18"/>
        </w:rPr>
      </w:pPr>
      <w:r>
        <w:rPr>
          <w:rStyle w:val="FootnoteReference"/>
          <w:sz w:val="18"/>
        </w:rPr>
        <w:footnoteRef/>
      </w:r>
      <w:r>
        <w:rPr>
          <w:sz w:val="18"/>
        </w:rPr>
        <w:t xml:space="preserve"> PRIMA Joint Programme Proposal (2014)</w:t>
      </w:r>
    </w:p>
  </w:footnote>
  <w:footnote w:id="7">
    <w:p>
      <w:pPr>
        <w:pStyle w:val="FootnoteText"/>
        <w:spacing w:after="0"/>
        <w:rPr>
          <w:sz w:val="18"/>
        </w:rPr>
      </w:pPr>
      <w:r>
        <w:rPr>
          <w:rStyle w:val="FootnoteReference"/>
          <w:sz w:val="18"/>
        </w:rPr>
        <w:footnoteRef/>
      </w:r>
      <w:r>
        <w:rPr>
          <w:sz w:val="18"/>
        </w:rPr>
        <w:t xml:space="preserve"> Litus Advisory / Alma Economics (2016) Mediterranean Growth Initiative</w:t>
      </w:r>
    </w:p>
  </w:footnote>
  <w:footnote w:id="8">
    <w:p>
      <w:pPr>
        <w:pStyle w:val="FootnoteText"/>
        <w:spacing w:after="0"/>
        <w:ind w:left="0" w:firstLine="0"/>
        <w:rPr>
          <w:sz w:val="18"/>
          <w:szCs w:val="18"/>
        </w:rPr>
      </w:pPr>
      <w:r>
        <w:rPr>
          <w:rStyle w:val="FootnoteReference"/>
          <w:sz w:val="18"/>
          <w:szCs w:val="18"/>
        </w:rPr>
        <w:footnoteRef/>
      </w:r>
      <w:r>
        <w:rPr>
          <w:sz w:val="18"/>
          <w:szCs w:val="18"/>
        </w:rPr>
        <w:t xml:space="preserve"> </w:t>
      </w:r>
      <w:hyperlink r:id="rId1" w:history="1">
        <w:r>
          <w:rPr>
            <w:rStyle w:val="Hyperlink"/>
            <w:sz w:val="18"/>
            <w:szCs w:val="18"/>
          </w:rPr>
          <w:t>http://data.consilium.europa.eu/doc/document/ST-16421-2014-INIT/en/pdf</w:t>
        </w:r>
      </w:hyperlink>
    </w:p>
  </w:footnote>
  <w:footnote w:id="9">
    <w:p>
      <w:pPr>
        <w:pStyle w:val="FootnoteText"/>
        <w:spacing w:after="0"/>
        <w:rPr>
          <w:sz w:val="18"/>
          <w:szCs w:val="18"/>
        </w:rPr>
      </w:pPr>
      <w:r>
        <w:rPr>
          <w:rStyle w:val="FootnoteReference"/>
          <w:sz w:val="18"/>
          <w:szCs w:val="18"/>
        </w:rPr>
        <w:footnoteRef/>
      </w:r>
      <w:r>
        <w:rPr>
          <w:sz w:val="18"/>
          <w:szCs w:val="18"/>
        </w:rPr>
        <w:t xml:space="preserve"> Croatia, Cyprus, Czech Republic, France, Greece, Italy, Luxembourg, Malta, Portugal, Slovenia and Spain</w:t>
      </w:r>
    </w:p>
  </w:footnote>
  <w:footnote w:id="10">
    <w:p>
      <w:pPr>
        <w:pStyle w:val="FootnoteText"/>
        <w:spacing w:after="0"/>
        <w:ind w:left="0" w:firstLine="0"/>
        <w:rPr>
          <w:sz w:val="18"/>
          <w:szCs w:val="18"/>
        </w:rPr>
      </w:pPr>
      <w:r>
        <w:rPr>
          <w:rStyle w:val="FootnoteReference"/>
          <w:sz w:val="18"/>
          <w:szCs w:val="18"/>
        </w:rPr>
        <w:footnoteRef/>
      </w:r>
      <w:r>
        <w:rPr>
          <w:sz w:val="18"/>
          <w:szCs w:val="18"/>
        </w:rPr>
        <w:t xml:space="preserve"> </w:t>
      </w:r>
      <w:hyperlink r:id="rId2" w:history="1">
        <w:r>
          <w:rPr>
            <w:rStyle w:val="Hyperlink"/>
            <w:rFonts w:eastAsiaTheme="majorEastAsia"/>
            <w:sz w:val="18"/>
            <w:szCs w:val="18"/>
          </w:rPr>
          <w:t>http://www.unisi.it/sites/default/files/allegatiparagrafo/PRIMA_0.pdf</w:t>
        </w:r>
      </w:hyperlink>
    </w:p>
  </w:footnote>
  <w:footnote w:id="11">
    <w:p>
      <w:pPr>
        <w:pStyle w:val="FootnoteText"/>
        <w:spacing w:after="0"/>
        <w:ind w:left="0" w:firstLine="0"/>
        <w:rPr>
          <w:sz w:val="18"/>
          <w:szCs w:val="18"/>
        </w:rPr>
      </w:pPr>
      <w:r>
        <w:rPr>
          <w:rStyle w:val="FootnoteReference"/>
          <w:sz w:val="18"/>
          <w:szCs w:val="18"/>
        </w:rPr>
        <w:footnoteRef/>
      </w:r>
      <w:r>
        <w:rPr>
          <w:sz w:val="18"/>
          <w:szCs w:val="18"/>
        </w:rPr>
        <w:t xml:space="preserve"> </w:t>
      </w:r>
      <w:hyperlink r:id="rId3" w:history="1">
        <w:r>
          <w:rPr>
            <w:rStyle w:val="Hyperlink"/>
            <w:sz w:val="18"/>
            <w:szCs w:val="18"/>
          </w:rPr>
          <w:t>http://eur-lex.europa.eu/legal-content/EN/TXT/PDF/?uri=CELEX:12012E/TXT&amp;from=EN</w:t>
        </w:r>
      </w:hyperlink>
      <w:r>
        <w:rPr>
          <w:sz w:val="18"/>
          <w:szCs w:val="18"/>
        </w:rPr>
        <w:t xml:space="preserve"> </w:t>
      </w:r>
    </w:p>
  </w:footnote>
  <w:footnote w:id="12">
    <w:p>
      <w:pPr>
        <w:pStyle w:val="FootnoteText"/>
        <w:spacing w:after="0"/>
        <w:ind w:left="0" w:firstLine="0"/>
        <w:rPr>
          <w:sz w:val="18"/>
          <w:szCs w:val="18"/>
        </w:rPr>
      </w:pPr>
      <w:r>
        <w:rPr>
          <w:rStyle w:val="FootnoteReference"/>
          <w:sz w:val="18"/>
          <w:szCs w:val="18"/>
        </w:rPr>
        <w:footnoteRef/>
      </w:r>
      <w:r>
        <w:rPr>
          <w:sz w:val="18"/>
          <w:szCs w:val="18"/>
        </w:rPr>
        <w:t xml:space="preserve"> </w:t>
      </w:r>
      <w:hyperlink r:id="rId4" w:history="1">
        <w:r>
          <w:rPr>
            <w:rStyle w:val="Hyperlink"/>
            <w:sz w:val="18"/>
            <w:szCs w:val="18"/>
          </w:rPr>
          <w:t>https://ec.europa.eu/research/environment/pdf/prima/prima_proposal_addendum.pdf</w:t>
        </w:r>
      </w:hyperlink>
    </w:p>
  </w:footnote>
  <w:footnote w:id="13">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According to Article 26 of the Regulation establishing Regulation Horizon 2020 - the Framework Programme for Research and Innovation (2014-2020), only the indicative financial commitments have to be identified for programmes undertaken by several Member States in accordance with Article 185 TFEU.</w:t>
      </w:r>
    </w:p>
  </w:footnote>
  <w:footnote w:id="14">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With the exception of Portugal and Israel that committed for five years and to revise their initial figures for the following five years according to the progress of the PRIMA initiative.</w:t>
      </w:r>
    </w:p>
  </w:footnote>
  <w:footnote w:id="15">
    <w:p>
      <w:pPr>
        <w:pStyle w:val="FootnoteText"/>
        <w:spacing w:after="0"/>
        <w:ind w:left="0" w:firstLine="0"/>
        <w:rPr>
          <w:sz w:val="16"/>
          <w:lang w:val="en-US"/>
        </w:rPr>
      </w:pPr>
      <w:r>
        <w:rPr>
          <w:rStyle w:val="FootnoteReference"/>
          <w:sz w:val="18"/>
        </w:rPr>
        <w:footnoteRef/>
      </w:r>
      <w:r>
        <w:rPr>
          <w:sz w:val="18"/>
        </w:rPr>
        <w:t xml:space="preserve"> </w:t>
      </w:r>
      <w:r>
        <w:rPr>
          <w:sz w:val="18"/>
          <w:lang w:val="en-US"/>
        </w:rPr>
        <w:t>Communication from the Commission – Enhancing and focusing EU international cooperation in research and innovation: A strategic approach (COM(2012)497final)</w:t>
      </w:r>
    </w:p>
  </w:footnote>
  <w:footnote w:id="16">
    <w:p>
      <w:pPr>
        <w:pStyle w:val="FootnoteText"/>
        <w:spacing w:after="0"/>
        <w:ind w:left="0" w:firstLine="0"/>
      </w:pPr>
      <w:r>
        <w:rPr>
          <w:rStyle w:val="FootnoteReference"/>
          <w:rFonts w:eastAsiaTheme="majorEastAsia"/>
          <w:sz w:val="18"/>
        </w:rPr>
        <w:footnoteRef/>
      </w:r>
      <w:r>
        <w:rPr>
          <w:sz w:val="18"/>
        </w:rPr>
        <w:t xml:space="preserve"> Report on the Review of the European Water Scarcity and Droughts Policy, COM(2012) 672 final - </w:t>
      </w:r>
      <w:hyperlink r:id="rId5" w:history="1">
        <w:r>
          <w:rPr>
            <w:rStyle w:val="Hyperlink"/>
            <w:sz w:val="18"/>
          </w:rPr>
          <w:t>http://ec.europa.eu/environment/water/quantity/pdf/COM-2012-672final-EN.pdf</w:t>
        </w:r>
      </w:hyperlink>
      <w:r>
        <w:rPr>
          <w:sz w:val="18"/>
        </w:rPr>
        <w:t xml:space="preserve"> </w:t>
      </w:r>
    </w:p>
  </w:footnote>
  <w:footnote w:id="17">
    <w:p>
      <w:pPr>
        <w:pStyle w:val="FootnoteText"/>
        <w:spacing w:after="0"/>
        <w:rPr>
          <w:sz w:val="18"/>
        </w:rPr>
      </w:pPr>
      <w:r>
        <w:rPr>
          <w:rStyle w:val="FootnoteReference"/>
          <w:sz w:val="18"/>
        </w:rPr>
        <w:footnoteRef/>
      </w:r>
      <w:r>
        <w:rPr>
          <w:sz w:val="18"/>
        </w:rPr>
        <w:t xml:space="preserve"> [instert' MIRA 2009-2011, CRIA 2012, CIHEAM, 2012]</w:t>
      </w:r>
    </w:p>
  </w:footnote>
  <w:footnote w:id="18">
    <w:p>
      <w:pPr>
        <w:pStyle w:val="FootnoteText"/>
        <w:spacing w:after="0"/>
      </w:pPr>
      <w:r>
        <w:rPr>
          <w:rStyle w:val="FootnoteReference"/>
          <w:sz w:val="18"/>
        </w:rPr>
        <w:footnoteRef/>
      </w:r>
      <w:r>
        <w:rPr>
          <w:sz w:val="18"/>
        </w:rPr>
        <w:t xml:space="preserve"> MED-SPRING, 2014 – ongoing, quoting European Commission, 2012, CRIA, 2012, MIRA, 2009-2011.</w:t>
      </w:r>
    </w:p>
  </w:footnote>
  <w:footnote w:id="19">
    <w:p>
      <w:pPr>
        <w:pStyle w:val="FootnoteText"/>
        <w:spacing w:after="0"/>
        <w:rPr>
          <w:sz w:val="18"/>
          <w:szCs w:val="18"/>
        </w:rPr>
      </w:pPr>
      <w:r>
        <w:rPr>
          <w:rStyle w:val="FootnoteReference"/>
          <w:sz w:val="18"/>
          <w:szCs w:val="18"/>
        </w:rPr>
        <w:footnoteRef/>
      </w:r>
      <w:r>
        <w:rPr>
          <w:sz w:val="18"/>
          <w:szCs w:val="18"/>
        </w:rPr>
        <w:t xml:space="preserve"> </w:t>
      </w:r>
      <w:r>
        <w:rPr>
          <w:bCs/>
          <w:sz w:val="18"/>
          <w:szCs w:val="18"/>
          <w:lang w:eastAsia="en-US"/>
        </w:rPr>
        <w:t xml:space="preserve">Chartzoulakis, K. and Bertaki, M. (2015) </w:t>
      </w:r>
      <w:r>
        <w:rPr>
          <w:bCs/>
          <w:i/>
          <w:sz w:val="18"/>
          <w:szCs w:val="18"/>
          <w:lang w:eastAsia="en-US"/>
        </w:rPr>
        <w:t>op.cit.</w:t>
      </w:r>
    </w:p>
  </w:footnote>
  <w:footnote w:id="20">
    <w:p>
      <w:pPr>
        <w:pStyle w:val="FootnoteText"/>
        <w:spacing w:after="0"/>
        <w:ind w:left="0" w:firstLine="0"/>
        <w:rPr>
          <w:sz w:val="18"/>
          <w:szCs w:val="18"/>
          <w:lang w:val="en"/>
        </w:rPr>
      </w:pPr>
      <w:r>
        <w:rPr>
          <w:rStyle w:val="FootnoteReference"/>
          <w:sz w:val="18"/>
          <w:szCs w:val="18"/>
        </w:rPr>
        <w:footnoteRef/>
      </w:r>
      <w:r>
        <w:rPr>
          <w:sz w:val="18"/>
          <w:szCs w:val="18"/>
        </w:rPr>
        <w:t xml:space="preserve"> See for instance the recommendations from a historical analysis made by Bru, C. and Cabrera (2010) "Agua, historia y sostenibilidad, un trinomio complejo de armonizar en los países mediterraneos", in Cabrera, E. and Arregui, F. (Ed.) </w:t>
      </w:r>
      <w:r>
        <w:rPr>
          <w:i/>
          <w:sz w:val="18"/>
          <w:szCs w:val="18"/>
          <w:lang w:val="es-ES"/>
        </w:rPr>
        <w:t xml:space="preserve">La ingeniería y la gestión del agua a través de los tiempos. </w:t>
      </w:r>
      <w:r>
        <w:rPr>
          <w:i/>
          <w:sz w:val="18"/>
          <w:szCs w:val="18"/>
        </w:rPr>
        <w:t>Aprendiendo de la historia</w:t>
      </w:r>
      <w:r>
        <w:rPr>
          <w:sz w:val="18"/>
          <w:szCs w:val="18"/>
        </w:rPr>
        <w:t>. ITA-Aqualia, pp.210-241. McKinsey also calls for engaging on regulation with participation of stakeholders, in order "</w:t>
      </w:r>
      <w:r>
        <w:rPr>
          <w:sz w:val="18"/>
          <w:szCs w:val="18"/>
          <w:lang w:val="en"/>
        </w:rPr>
        <w:t>shape the sector’s economics, separating winners from losers". See: Boccaletti, G.; Grobbel, M. and Stuchtey, M. R. (2009) "The business opportunity in water conservation", in McKinsey Quarterly, December 2009 (</w:t>
      </w:r>
      <w:hyperlink r:id="rId6" w:history="1">
        <w:r>
          <w:rPr>
            <w:rStyle w:val="Hyperlink"/>
            <w:sz w:val="18"/>
            <w:szCs w:val="18"/>
            <w:lang w:val="en"/>
          </w:rPr>
          <w:t>http://www.mckinsey.com/business-functions/sustainability-and-resource-productivity/our-insights/the-business-opportunity-in-water-conservation</w:t>
        </w:r>
      </w:hyperlink>
      <w:r>
        <w:rPr>
          <w:rStyle w:val="Hyperlink"/>
          <w:sz w:val="18"/>
          <w:szCs w:val="18"/>
        </w:rPr>
        <w:t>).</w:t>
      </w:r>
      <w:r>
        <w:rPr>
          <w:sz w:val="18"/>
          <w:szCs w:val="18"/>
          <w:lang w:val="en"/>
        </w:rPr>
        <w:t xml:space="preserve"> </w:t>
      </w:r>
    </w:p>
  </w:footnote>
  <w:footnote w:id="21">
    <w:p>
      <w:pPr>
        <w:pStyle w:val="FootnoteText"/>
        <w:spacing w:after="0"/>
        <w:ind w:left="0" w:firstLine="0"/>
        <w:jc w:val="left"/>
        <w:rPr>
          <w:sz w:val="18"/>
          <w:szCs w:val="18"/>
          <w:lang w:val="pt-PT"/>
        </w:rPr>
      </w:pPr>
      <w:r>
        <w:rPr>
          <w:rStyle w:val="FootnoteReference"/>
          <w:rFonts w:eastAsiaTheme="majorEastAsia"/>
          <w:sz w:val="18"/>
          <w:szCs w:val="18"/>
        </w:rPr>
        <w:footnoteRef/>
      </w:r>
      <w:r>
        <w:rPr>
          <w:sz w:val="18"/>
          <w:szCs w:val="18"/>
        </w:rPr>
        <w:t xml:space="preserve"> Overseas Development Institute et al. (2012) </w:t>
      </w:r>
      <w:r>
        <w:rPr>
          <w:rFonts w:eastAsia="Calibri"/>
          <w:i/>
          <w:sz w:val="18"/>
          <w:szCs w:val="18"/>
          <w:lang w:eastAsia="en-US"/>
        </w:rPr>
        <w:t xml:space="preserve">Confronting scarcity: Managing water, energy and land for inclusive and sustainable growth. </w:t>
      </w:r>
      <w:r>
        <w:rPr>
          <w:rFonts w:eastAsia="Calibri"/>
          <w:sz w:val="18"/>
          <w:szCs w:val="18"/>
          <w:lang w:val="pt-PT" w:eastAsia="en-US"/>
        </w:rPr>
        <w:t>Luxembourg, OPOCE, at:</w:t>
      </w:r>
      <w:r>
        <w:rPr>
          <w:rFonts w:eastAsia="Calibri"/>
          <w:i/>
          <w:sz w:val="18"/>
          <w:szCs w:val="18"/>
          <w:lang w:val="pt-PT" w:eastAsia="en-US"/>
        </w:rPr>
        <w:t xml:space="preserve"> </w:t>
      </w:r>
      <w:hyperlink r:id="rId7" w:history="1">
        <w:r>
          <w:rPr>
            <w:rStyle w:val="Hyperlink"/>
            <w:rFonts w:eastAsia="Calibri"/>
            <w:sz w:val="18"/>
            <w:szCs w:val="18"/>
            <w:lang w:val="pt-PT" w:eastAsia="en-US"/>
          </w:rPr>
          <w:t>https://ec.europa.eu/europeaid/sites/devco/files/consca-report-erd-2011_en.pdf</w:t>
        </w:r>
      </w:hyperlink>
      <w:r>
        <w:rPr>
          <w:rFonts w:eastAsia="Calibri"/>
          <w:i/>
          <w:sz w:val="18"/>
          <w:szCs w:val="18"/>
          <w:lang w:val="pt-PT" w:eastAsia="en-US"/>
        </w:rPr>
        <w:t xml:space="preserve"> </w:t>
      </w:r>
    </w:p>
  </w:footnote>
  <w:footnote w:id="22">
    <w:p>
      <w:pPr>
        <w:pStyle w:val="FootnoteText"/>
        <w:spacing w:after="0"/>
        <w:ind w:left="0" w:firstLine="0"/>
      </w:pPr>
      <w:r>
        <w:rPr>
          <w:rStyle w:val="FootnoteReference"/>
          <w:rFonts w:eastAsiaTheme="majorEastAsia"/>
          <w:sz w:val="18"/>
          <w:szCs w:val="18"/>
        </w:rPr>
        <w:footnoteRef/>
      </w:r>
      <w:r>
        <w:rPr>
          <w:sz w:val="18"/>
          <w:szCs w:val="18"/>
        </w:rPr>
        <w:t>According to the Better regulation Toolbox, Tool #30, the reference list of developing countries can be found in IMF (</w:t>
      </w:r>
      <w:hyperlink r:id="rId8" w:history="1">
        <w:r>
          <w:rPr>
            <w:rStyle w:val="Hyperlink"/>
            <w:sz w:val="18"/>
            <w:szCs w:val="18"/>
          </w:rPr>
          <w:t>https://www.imf.org/external/pubs/ft/weo/2011/02/pdf/tables.pdf</w:t>
        </w:r>
      </w:hyperlink>
      <w:r>
        <w:rPr>
          <w:sz w:val="18"/>
          <w:szCs w:val="18"/>
        </w:rPr>
        <w:t>) and World Bank (</w:t>
      </w:r>
      <w:hyperlink r:id="rId9" w:history="1">
        <w:r>
          <w:rPr>
            <w:rStyle w:val="Hyperlink"/>
            <w:sz w:val="18"/>
            <w:szCs w:val="18"/>
          </w:rPr>
          <w:t>http://data.worldbank.org/region/MNA</w:t>
        </w:r>
      </w:hyperlink>
      <w:r>
        <w:rPr>
          <w:sz w:val="18"/>
          <w:szCs w:val="18"/>
        </w:rPr>
        <w:t>) websites.</w:t>
      </w:r>
    </w:p>
  </w:footnote>
  <w:footnote w:id="23">
    <w:p>
      <w:pPr>
        <w:pStyle w:val="FootnoteText"/>
        <w:spacing w:after="0"/>
        <w:ind w:left="0" w:firstLine="0"/>
        <w:rPr>
          <w:sz w:val="18"/>
          <w:szCs w:val="18"/>
        </w:rPr>
      </w:pPr>
      <w:r>
        <w:rPr>
          <w:rStyle w:val="FootnoteReference"/>
          <w:sz w:val="18"/>
          <w:szCs w:val="18"/>
        </w:rPr>
        <w:footnoteRef/>
      </w:r>
      <w:r>
        <w:rPr>
          <w:sz w:val="18"/>
          <w:szCs w:val="18"/>
        </w:rPr>
        <w:t xml:space="preserve"> </w:t>
      </w:r>
      <w:r>
        <w:rPr>
          <w:color w:val="000000"/>
          <w:sz w:val="18"/>
          <w:szCs w:val="18"/>
        </w:rPr>
        <w:t>FAO, Aquastat database.</w:t>
      </w:r>
    </w:p>
  </w:footnote>
  <w:footnote w:id="24">
    <w:p>
      <w:pPr>
        <w:pStyle w:val="FootnoteText"/>
        <w:spacing w:after="0"/>
        <w:ind w:left="0" w:firstLine="0"/>
        <w:rPr>
          <w:sz w:val="18"/>
          <w:szCs w:val="18"/>
        </w:rPr>
      </w:pPr>
      <w:r>
        <w:rPr>
          <w:rStyle w:val="FootnoteReference"/>
          <w:sz w:val="18"/>
          <w:szCs w:val="18"/>
        </w:rPr>
        <w:footnoteRef/>
      </w:r>
      <w:r>
        <w:rPr>
          <w:sz w:val="18"/>
          <w:szCs w:val="18"/>
        </w:rPr>
        <w:t xml:space="preserve"> Global Footprint Network Rapport (</w:t>
      </w:r>
      <w:hyperlink r:id="rId10" w:history="1">
        <w:r>
          <w:rPr>
            <w:rStyle w:val="Hyperlink"/>
            <w:sz w:val="18"/>
            <w:szCs w:val="18"/>
          </w:rPr>
          <w:t>http://www.footprintnetwork.org/en/index.php/GFN/</w:t>
        </w:r>
      </w:hyperlink>
      <w:r>
        <w:rPr>
          <w:sz w:val="18"/>
          <w:szCs w:val="18"/>
        </w:rPr>
        <w:t>): "How can Mediterranean societies thrive in an era of decreasing resources?"</w:t>
      </w:r>
    </w:p>
  </w:footnote>
  <w:footnote w:id="25">
    <w:p>
      <w:pPr>
        <w:pStyle w:val="FootnoteText"/>
        <w:spacing w:after="0"/>
        <w:rPr>
          <w:sz w:val="18"/>
          <w:szCs w:val="18"/>
        </w:rPr>
      </w:pPr>
      <w:r>
        <w:rPr>
          <w:rStyle w:val="FootnoteReference"/>
          <w:sz w:val="18"/>
          <w:szCs w:val="18"/>
        </w:rPr>
        <w:footnoteRef/>
      </w:r>
      <w:r>
        <w:rPr>
          <w:sz w:val="18"/>
          <w:szCs w:val="18"/>
        </w:rPr>
        <w:t xml:space="preserve"> PRIMA Expert Group</w:t>
      </w:r>
    </w:p>
  </w:footnote>
  <w:footnote w:id="26">
    <w:p>
      <w:pPr>
        <w:pStyle w:val="FootnoteText"/>
        <w:spacing w:after="0"/>
        <w:ind w:left="0" w:firstLine="0"/>
        <w:jc w:val="left"/>
        <w:rPr>
          <w:sz w:val="18"/>
          <w:szCs w:val="18"/>
        </w:rPr>
      </w:pPr>
      <w:r>
        <w:rPr>
          <w:rStyle w:val="FootnoteReference"/>
          <w:sz w:val="18"/>
          <w:szCs w:val="18"/>
        </w:rPr>
        <w:footnoteRef/>
      </w:r>
      <w:r>
        <w:rPr>
          <w:sz w:val="18"/>
          <w:szCs w:val="18"/>
        </w:rPr>
        <w:t xml:space="preserve"> Promoting Innovation in the Mediterranean – Profiles and expectations of business incubators, technology parks and technology transfer offices, study No. 63, November 2012. This study covers Cyprus, France, Greece, Italy, Malta, Portugal, Spain, Algeria, Egypt, Israel, Jordan, Lebanon, Morocco, Tunisia, and Turkey with a focus on Algeria, Egypt, Jordan, Lebanon, Morocco, Palestine, and Tunisia.  (</w:t>
      </w:r>
      <w:hyperlink r:id="rId11" w:history="1">
        <w:r>
          <w:rPr>
            <w:rStyle w:val="Hyperlink"/>
            <w:sz w:val="18"/>
            <w:szCs w:val="18"/>
          </w:rPr>
          <w:t>http://www.animaweb.org/sites/default/files/ain_cmi_it1_promoting_innovation_en_2012.pdf</w:t>
        </w:r>
      </w:hyperlink>
      <w:r>
        <w:rPr>
          <w:sz w:val="18"/>
          <w:szCs w:val="18"/>
        </w:rPr>
        <w:t>).</w:t>
      </w:r>
    </w:p>
  </w:footnote>
  <w:footnote w:id="27">
    <w:p>
      <w:pPr>
        <w:pStyle w:val="FootnoteText"/>
        <w:spacing w:after="0"/>
        <w:ind w:left="0" w:firstLine="0"/>
        <w:rPr>
          <w:sz w:val="18"/>
          <w:szCs w:val="18"/>
        </w:rPr>
      </w:pPr>
      <w:r>
        <w:rPr>
          <w:rStyle w:val="FootnoteReference"/>
          <w:sz w:val="18"/>
          <w:szCs w:val="18"/>
        </w:rPr>
        <w:footnoteRef/>
      </w:r>
      <w:r>
        <w:rPr>
          <w:sz w:val="18"/>
          <w:szCs w:val="18"/>
        </w:rPr>
        <w:t xml:space="preserve"> </w:t>
      </w:r>
      <w:r>
        <w:rPr>
          <w:color w:val="000000"/>
          <w:sz w:val="18"/>
          <w:szCs w:val="18"/>
        </w:rPr>
        <w:t>Investments in R&amp;D are low compared to international averages: between 0.2% and 0.7% of GDP in the MED countries (Tunisia is an exception with approximately 1%), compared to almost 2% of GDP in Europe</w:t>
      </w:r>
      <w:r>
        <w:rPr>
          <w:sz w:val="18"/>
          <w:szCs w:val="18"/>
        </w:rPr>
        <w:t>. According to FAO (2012), given the positive role of R&amp;D in promoting agricultural growth and poverty reduction, there is an urgent need to increase R&amp;D funding for agriculture in the low- and middle-income countries.</w:t>
      </w:r>
    </w:p>
  </w:footnote>
  <w:footnote w:id="28">
    <w:p>
      <w:pPr>
        <w:pStyle w:val="FootnoteText"/>
        <w:spacing w:after="0"/>
        <w:ind w:left="0" w:firstLine="0"/>
        <w:rPr>
          <w:sz w:val="18"/>
          <w:szCs w:val="18"/>
        </w:rPr>
      </w:pPr>
      <w:r>
        <w:rPr>
          <w:rStyle w:val="FootnoteReference"/>
          <w:sz w:val="18"/>
          <w:szCs w:val="18"/>
        </w:rPr>
        <w:footnoteRef/>
      </w:r>
      <w:r>
        <w:rPr>
          <w:sz w:val="18"/>
          <w:szCs w:val="18"/>
        </w:rPr>
        <w:t xml:space="preserve"> TOWARDS JOINT PROGRAMMING IN RESEARCH: Working together to tackle common challenges more effectively, COM(2008) 468 final (</w:t>
      </w:r>
      <w:hyperlink r:id="rId12" w:history="1">
        <w:r>
          <w:rPr>
            <w:rStyle w:val="Hyperlink"/>
            <w:sz w:val="18"/>
            <w:szCs w:val="18"/>
          </w:rPr>
          <w:t>http://ec.europa.eu/research/press/2008/pdf/com_2008_468_en.pdf</w:t>
        </w:r>
      </w:hyperlink>
      <w:r>
        <w:rPr>
          <w:sz w:val="18"/>
          <w:szCs w:val="18"/>
        </w:rPr>
        <w:t xml:space="preserve">). </w:t>
      </w:r>
    </w:p>
  </w:footnote>
  <w:footnote w:id="29">
    <w:p>
      <w:pPr>
        <w:pStyle w:val="FootnoteText"/>
        <w:spacing w:after="0"/>
        <w:ind w:left="0" w:firstLine="0"/>
        <w:rPr>
          <w:sz w:val="18"/>
          <w:szCs w:val="18"/>
        </w:rPr>
      </w:pPr>
      <w:r>
        <w:rPr>
          <w:rStyle w:val="FootnoteReference"/>
          <w:sz w:val="18"/>
          <w:szCs w:val="18"/>
        </w:rPr>
        <w:footnoteRef/>
      </w:r>
      <w:r>
        <w:rPr>
          <w:sz w:val="18"/>
          <w:szCs w:val="18"/>
        </w:rPr>
        <w:t xml:space="preserve"> Joint Programming Initiative on Agriculture, Food Security and Climate Change (</w:t>
      </w:r>
      <w:hyperlink r:id="rId13" w:history="1">
        <w:r>
          <w:rPr>
            <w:rStyle w:val="Hyperlink"/>
            <w:sz w:val="18"/>
            <w:szCs w:val="18"/>
          </w:rPr>
          <w:t>https://www.faccejpi.com/</w:t>
        </w:r>
      </w:hyperlink>
      <w:r>
        <w:rPr>
          <w:rStyle w:val="Hyperlink"/>
          <w:sz w:val="18"/>
          <w:szCs w:val="18"/>
        </w:rPr>
        <w:t>).</w:t>
      </w:r>
      <w:r>
        <w:rPr>
          <w:sz w:val="18"/>
          <w:szCs w:val="18"/>
        </w:rPr>
        <w:t xml:space="preserve"> </w:t>
      </w:r>
    </w:p>
  </w:footnote>
  <w:footnote w:id="30">
    <w:p>
      <w:pPr>
        <w:pStyle w:val="FootnoteText"/>
        <w:spacing w:after="0"/>
        <w:ind w:left="0" w:firstLine="0"/>
        <w:rPr>
          <w:sz w:val="18"/>
          <w:szCs w:val="18"/>
        </w:rPr>
      </w:pPr>
      <w:r>
        <w:rPr>
          <w:rStyle w:val="FootnoteReference"/>
          <w:sz w:val="18"/>
          <w:szCs w:val="18"/>
        </w:rPr>
        <w:footnoteRef/>
      </w:r>
      <w:r>
        <w:rPr>
          <w:sz w:val="18"/>
          <w:szCs w:val="18"/>
        </w:rPr>
        <w:t xml:space="preserve"> Joint Programming Initiative Water challenges for a changing world (</w:t>
      </w:r>
      <w:hyperlink r:id="rId14" w:history="1">
        <w:r>
          <w:rPr>
            <w:rStyle w:val="Hyperlink"/>
            <w:sz w:val="18"/>
            <w:szCs w:val="18"/>
          </w:rPr>
          <w:t>http://www.waterjpi.eu</w:t>
        </w:r>
      </w:hyperlink>
      <w:r>
        <w:rPr>
          <w:rStyle w:val="Hyperlink"/>
          <w:sz w:val="18"/>
          <w:szCs w:val="18"/>
        </w:rPr>
        <w:t>).</w:t>
      </w:r>
      <w:r>
        <w:rPr>
          <w:sz w:val="18"/>
          <w:szCs w:val="18"/>
        </w:rPr>
        <w:t xml:space="preserve"> </w:t>
      </w:r>
    </w:p>
  </w:footnote>
  <w:footnote w:id="31">
    <w:p>
      <w:pPr>
        <w:pStyle w:val="FootnoteText"/>
        <w:spacing w:after="0"/>
        <w:ind w:left="0" w:firstLine="0"/>
        <w:rPr>
          <w:sz w:val="18"/>
          <w:szCs w:val="18"/>
        </w:rPr>
      </w:pPr>
      <w:r>
        <w:rPr>
          <w:rStyle w:val="FootnoteReference"/>
          <w:sz w:val="18"/>
          <w:szCs w:val="18"/>
        </w:rPr>
        <w:footnoteRef/>
      </w:r>
      <w:r>
        <w:rPr>
          <w:sz w:val="18"/>
          <w:szCs w:val="18"/>
        </w:rPr>
        <w:t xml:space="preserve"> </w:t>
      </w:r>
      <w:hyperlink r:id="rId15" w:history="1">
        <w:r>
          <w:rPr>
            <w:rStyle w:val="Hyperlink"/>
            <w:sz w:val="18"/>
            <w:szCs w:val="18"/>
          </w:rPr>
          <w:t>http://www.healthydietforhealthylife.eu/</w:t>
        </w:r>
      </w:hyperlink>
      <w:r>
        <w:rPr>
          <w:sz w:val="18"/>
          <w:szCs w:val="18"/>
        </w:rPr>
        <w:t xml:space="preserve"> </w:t>
      </w:r>
    </w:p>
  </w:footnote>
  <w:footnote w:id="32">
    <w:p>
      <w:pPr>
        <w:pStyle w:val="FootnoteText"/>
        <w:spacing w:after="0"/>
        <w:ind w:left="0" w:firstLine="0"/>
        <w:rPr>
          <w:sz w:val="18"/>
          <w:szCs w:val="18"/>
        </w:rPr>
      </w:pPr>
      <w:r>
        <w:rPr>
          <w:rStyle w:val="FootnoteReference"/>
          <w:sz w:val="18"/>
          <w:szCs w:val="18"/>
        </w:rPr>
        <w:footnoteRef/>
      </w:r>
      <w:r>
        <w:rPr>
          <w:sz w:val="18"/>
          <w:szCs w:val="18"/>
        </w:rPr>
        <w:t xml:space="preserve"> The Joint Programming Initiative Healthy and Productive Seas and Oceans (</w:t>
      </w:r>
      <w:hyperlink r:id="rId16" w:history="1">
        <w:r>
          <w:rPr>
            <w:rStyle w:val="Hyperlink"/>
            <w:sz w:val="18"/>
            <w:szCs w:val="18"/>
          </w:rPr>
          <w:t>http://www.jpi-oceans.eu</w:t>
        </w:r>
      </w:hyperlink>
      <w:r>
        <w:rPr>
          <w:rStyle w:val="Hyperlink"/>
          <w:sz w:val="18"/>
          <w:szCs w:val="18"/>
        </w:rPr>
        <w:t>).</w:t>
      </w:r>
      <w:r>
        <w:rPr>
          <w:sz w:val="18"/>
          <w:szCs w:val="18"/>
        </w:rPr>
        <w:t xml:space="preserve"> </w:t>
      </w:r>
    </w:p>
  </w:footnote>
  <w:footnote w:id="33">
    <w:p>
      <w:pPr>
        <w:pStyle w:val="FootnoteText"/>
        <w:spacing w:after="0"/>
        <w:ind w:left="0" w:firstLine="0"/>
        <w:rPr>
          <w:sz w:val="18"/>
          <w:szCs w:val="18"/>
        </w:rPr>
      </w:pPr>
      <w:r>
        <w:rPr>
          <w:rStyle w:val="FootnoteReference"/>
          <w:sz w:val="18"/>
          <w:szCs w:val="18"/>
        </w:rPr>
        <w:footnoteRef/>
      </w:r>
      <w:r>
        <w:rPr>
          <w:sz w:val="18"/>
          <w:szCs w:val="18"/>
        </w:rPr>
        <w:t xml:space="preserve"> Under the ERA-NET scheme, national and regional authorities identify research programmes they wish to coordinate or open up mutually; their participants are programme 'owners' or programme 'managers'.</w:t>
      </w:r>
    </w:p>
  </w:footnote>
  <w:footnote w:id="34">
    <w:p>
      <w:pPr>
        <w:pStyle w:val="FootnoteText"/>
        <w:spacing w:after="0"/>
        <w:ind w:left="0" w:firstLine="0"/>
        <w:jc w:val="left"/>
        <w:rPr>
          <w:sz w:val="18"/>
          <w:szCs w:val="18"/>
        </w:rPr>
      </w:pPr>
      <w:r>
        <w:rPr>
          <w:rStyle w:val="FootnoteReference"/>
          <w:sz w:val="18"/>
          <w:szCs w:val="18"/>
        </w:rPr>
        <w:footnoteRef/>
      </w:r>
      <w:r>
        <w:rPr>
          <w:sz w:val="18"/>
          <w:szCs w:val="18"/>
        </w:rPr>
        <w:t xml:space="preserve"> Promoting Innovation in the Mediterranean – Profiles and expectations of business incubators, technology parks and technology transfer offices, study No. 63, November 2012. This study covers Cyprus, France, Greece, Italy, Malta, Portugal, Spain, Algeria, Egypt, Israel, Jordan, Lebanon, Morocco, Tunisia, and Turkey with a focus on Algeria, Egypt, Jordan, Lebanon, Morocco, Palestine, and Tunisia.  (</w:t>
      </w:r>
      <w:hyperlink r:id="rId17" w:history="1">
        <w:r>
          <w:rPr>
            <w:rStyle w:val="Hyperlink"/>
            <w:sz w:val="18"/>
            <w:szCs w:val="18"/>
          </w:rPr>
          <w:t>http://www.animaweb.org/sites/default/files/ain_cmi_it1_promoting_innovation_en_2012.pdf</w:t>
        </w:r>
      </w:hyperlink>
      <w:r>
        <w:rPr>
          <w:sz w:val="18"/>
          <w:szCs w:val="18"/>
        </w:rPr>
        <w:t>).</w:t>
      </w:r>
    </w:p>
  </w:footnote>
  <w:footnote w:id="35">
    <w:p>
      <w:pPr>
        <w:pStyle w:val="FootnoteText"/>
        <w:spacing w:after="0"/>
        <w:ind w:left="0" w:firstLine="0"/>
        <w:rPr>
          <w:sz w:val="18"/>
          <w:szCs w:val="18"/>
        </w:rPr>
      </w:pPr>
      <w:r>
        <w:rPr>
          <w:rStyle w:val="FootnoteReference"/>
          <w:sz w:val="18"/>
          <w:szCs w:val="18"/>
        </w:rPr>
        <w:footnoteRef/>
      </w:r>
      <w:r>
        <w:rPr>
          <w:sz w:val="18"/>
          <w:szCs w:val="18"/>
        </w:rPr>
        <w:t xml:space="preserve"> The Promoting Innovation in the Mediterranean study was carried out within the framework an initiative of the Marseille Centre for Mediterranean Integration and coordinated by the European Investment Bank. The study was conducted by ANIMA Investment Network in coordination with the Madri+ foundation and the FP7 Project MIRA.</w:t>
      </w:r>
    </w:p>
  </w:footnote>
  <w:footnote w:id="36">
    <w:p>
      <w:pPr>
        <w:pStyle w:val="FootnoteText"/>
        <w:spacing w:after="0"/>
        <w:ind w:left="0" w:firstLine="0"/>
      </w:pPr>
      <w:r>
        <w:rPr>
          <w:rStyle w:val="FootnoteReference"/>
          <w:sz w:val="18"/>
          <w:szCs w:val="18"/>
        </w:rPr>
        <w:footnoteRef/>
      </w:r>
      <w:r>
        <w:rPr>
          <w:sz w:val="18"/>
          <w:szCs w:val="18"/>
        </w:rPr>
        <w:t xml:space="preserve"> Lefebvre, V. M., Raggi, M., Viaggi, D., Ljungström, C. S., Minarelli, F., Kühne, B., and Gellynck, X. (2014), SMEs’ preference for innovation networks: A choice experimental approach. Creativity and Innovation Management, Vol. 23 No. 4 pp. 415-435; Bigliardi, B., Colacino, P. and Dormio, A.I. (2011), Innovative characteristics of small and medium enterprises. Journal of Technology Management &amp; Innovation, Vol. 6 No. 2, pp. 83-93; Zeng, S.X., Xie, X.M. and Tam, C.M. (2010), Relationship between cooperation networks and innovation performance of SMEs. Technovation, Vol. 30 No. 3, pp. 181-194.</w:t>
      </w:r>
    </w:p>
  </w:footnote>
  <w:footnote w:id="37">
    <w:p>
      <w:pPr>
        <w:pStyle w:val="FootnoteText"/>
        <w:spacing w:after="120"/>
      </w:pPr>
      <w:r>
        <w:rPr>
          <w:rStyle w:val="FootnoteReference"/>
        </w:rPr>
        <w:footnoteRef/>
      </w:r>
      <w:r>
        <w:t xml:space="preserve"> </w:t>
      </w:r>
      <w:r>
        <w:rPr>
          <w:sz w:val="18"/>
        </w:rPr>
        <w:t>World Bank (2016) "High and Dry: Climate Change, Water, and the Economy"</w:t>
      </w:r>
    </w:p>
  </w:footnote>
  <w:footnote w:id="38">
    <w:p>
      <w:pPr>
        <w:autoSpaceDE w:val="0"/>
        <w:autoSpaceDN w:val="0"/>
        <w:adjustRightInd w:val="0"/>
        <w:spacing w:after="0" w:line="240" w:lineRule="auto"/>
        <w:jc w:val="both"/>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European Commission (2011) </w:t>
      </w:r>
      <w:r>
        <w:rPr>
          <w:rFonts w:ascii="Times New Roman" w:hAnsi="Times New Roman"/>
          <w:i/>
          <w:sz w:val="18"/>
          <w:szCs w:val="18"/>
        </w:rPr>
        <w:t>EuroMed 2030. Long term challenges for the Mediterranean area. Report of an Expert Group</w:t>
      </w:r>
      <w:r>
        <w:rPr>
          <w:rFonts w:ascii="Times New Roman" w:hAnsi="Times New Roman"/>
          <w:sz w:val="18"/>
          <w:szCs w:val="18"/>
        </w:rPr>
        <w:t>. Luxembourg: OPOCE (</w:t>
      </w:r>
      <w:hyperlink r:id="rId18" w:history="1">
        <w:r>
          <w:rPr>
            <w:rStyle w:val="Hyperlink"/>
            <w:rFonts w:ascii="Times New Roman" w:hAnsi="Times New Roman"/>
            <w:sz w:val="18"/>
            <w:szCs w:val="18"/>
          </w:rPr>
          <w:t>http://espas.eu/orbis/sites/default/files/generated/document/en/euromed2030.pdf</w:t>
        </w:r>
      </w:hyperlink>
      <w:r>
        <w:rPr>
          <w:rStyle w:val="Hyperlink"/>
          <w:rFonts w:ascii="Times New Roman" w:hAnsi="Times New Roman"/>
          <w:sz w:val="18"/>
          <w:szCs w:val="18"/>
        </w:rPr>
        <w:t>).</w:t>
      </w:r>
      <w:r>
        <w:rPr>
          <w:rFonts w:ascii="Times New Roman" w:hAnsi="Times New Roman"/>
          <w:sz w:val="18"/>
          <w:szCs w:val="18"/>
        </w:rPr>
        <w:t xml:space="preserve"> </w:t>
      </w:r>
    </w:p>
  </w:footnote>
  <w:footnote w:id="39">
    <w:p>
      <w:pPr>
        <w:pStyle w:val="FootnoteText"/>
        <w:spacing w:after="0"/>
        <w:ind w:left="0" w:firstLine="0"/>
        <w:rPr>
          <w:sz w:val="18"/>
          <w:szCs w:val="18"/>
        </w:rPr>
      </w:pPr>
      <w:r>
        <w:rPr>
          <w:rStyle w:val="FootnoteReference"/>
          <w:sz w:val="18"/>
          <w:szCs w:val="18"/>
        </w:rPr>
        <w:footnoteRef/>
      </w:r>
      <w:r>
        <w:rPr>
          <w:sz w:val="18"/>
          <w:szCs w:val="18"/>
        </w:rPr>
        <w:t xml:space="preserve"> The PRIMA Expert Group report includes figures on participation of beneficiaries from PRIMA non-EU States in FP7 projects, and on their EC contribution, addressing PRIMA objectives (see pages 148 and 149).</w:t>
      </w:r>
    </w:p>
  </w:footnote>
  <w:footnote w:id="40">
    <w:p>
      <w:pPr>
        <w:pStyle w:val="Default"/>
        <w:rPr>
          <w:rFonts w:ascii="Times New Roman" w:hAnsi="Times New Roman" w:cs="Times New Roman"/>
          <w:sz w:val="18"/>
          <w:szCs w:val="18"/>
        </w:rPr>
      </w:pPr>
      <w:r>
        <w:rPr>
          <w:rStyle w:val="FootnoteReference"/>
          <w:rFonts w:ascii="Times New Roman" w:hAnsi="Times New Roman"/>
          <w:sz w:val="18"/>
          <w:szCs w:val="18"/>
        </w:rPr>
        <w:footnoteRef/>
      </w:r>
      <w:r>
        <w:rPr>
          <w:rFonts w:ascii="Times New Roman" w:hAnsi="Times New Roman" w:cs="Times New Roman"/>
          <w:sz w:val="18"/>
          <w:szCs w:val="18"/>
        </w:rPr>
        <w:t xml:space="preserve"> Regulation (EU) No </w:t>
      </w:r>
      <w:r>
        <w:rPr>
          <w:rFonts w:ascii="Times New Roman" w:hAnsi="Times New Roman" w:cs="Times New Roman"/>
          <w:bCs/>
          <w:sz w:val="18"/>
          <w:szCs w:val="18"/>
          <w:lang w:eastAsia="en-US"/>
        </w:rPr>
        <w:t>1291/2013 of the European Parliament and of the Council of 11 December 2013 establishing Horizon 2020 - The Framework Programme for Research and Innovation (2014-2020) (OJ L 347, 20.12.2013, p.104) (</w:t>
      </w:r>
      <w:hyperlink r:id="rId19" w:history="1">
        <w:r>
          <w:rPr>
            <w:rStyle w:val="Hyperlink"/>
            <w:rFonts w:ascii="Times New Roman" w:hAnsi="Times New Roman"/>
            <w:bCs/>
            <w:sz w:val="18"/>
            <w:szCs w:val="18"/>
            <w:lang w:eastAsia="en-US"/>
          </w:rPr>
          <w:t>http://eur-lex.europa.eu/LexUriServ/LexUriServ.do?uri=OJ:L:2013:347:0104:0173:EN:PDF</w:t>
        </w:r>
      </w:hyperlink>
      <w:r>
        <w:rPr>
          <w:rStyle w:val="Hyperlink"/>
          <w:rFonts w:ascii="Times New Roman" w:hAnsi="Times New Roman"/>
          <w:bCs/>
          <w:sz w:val="18"/>
          <w:szCs w:val="18"/>
          <w:lang w:eastAsia="en-US"/>
        </w:rPr>
        <w:t>).</w:t>
      </w:r>
    </w:p>
  </w:footnote>
  <w:footnote w:id="41">
    <w:p>
      <w:pPr>
        <w:pStyle w:val="FootnoteText"/>
        <w:spacing w:after="0"/>
        <w:ind w:left="0" w:firstLine="0"/>
        <w:rPr>
          <w:sz w:val="18"/>
          <w:szCs w:val="18"/>
        </w:rPr>
      </w:pPr>
      <w:r>
        <w:rPr>
          <w:rStyle w:val="FootnoteReference"/>
          <w:sz w:val="18"/>
          <w:szCs w:val="18"/>
        </w:rPr>
        <w:footnoteRef/>
      </w:r>
      <w:r>
        <w:rPr>
          <w:sz w:val="18"/>
          <w:szCs w:val="18"/>
        </w:rPr>
        <w:t xml:space="preserve"> 8 Member States: Italy, Spain, France, Slovenia, Greece, Cyprus, Portugal and Malta (266 participations in total);4 Associated Mediterranean third countries: Turkey and Tunisia (5 participations in total); 2 Non-Associated Mediterranean countries: Morocco and Egypt (4 participations in total)</w:t>
      </w:r>
    </w:p>
  </w:footnote>
  <w:footnote w:id="42">
    <w:p>
      <w:pPr>
        <w:pStyle w:val="FootnoteText"/>
        <w:spacing w:after="0"/>
        <w:rPr>
          <w:sz w:val="18"/>
          <w:szCs w:val="18"/>
        </w:rPr>
      </w:pPr>
      <w:r>
        <w:rPr>
          <w:rStyle w:val="FootnoteReference"/>
          <w:sz w:val="18"/>
          <w:szCs w:val="18"/>
        </w:rPr>
        <w:footnoteRef/>
      </w:r>
      <w:r>
        <w:rPr>
          <w:sz w:val="18"/>
          <w:szCs w:val="18"/>
        </w:rPr>
        <w:t xml:space="preserve"> </w:t>
      </w:r>
      <w:hyperlink r:id="rId20" w:history="1">
        <w:r>
          <w:rPr>
            <w:rStyle w:val="Hyperlink"/>
            <w:sz w:val="18"/>
            <w:szCs w:val="18"/>
          </w:rPr>
          <w:t>http://www.cgiar.org/our-strategy/</w:t>
        </w:r>
      </w:hyperlink>
    </w:p>
  </w:footnote>
  <w:footnote w:id="43">
    <w:p>
      <w:pPr>
        <w:pStyle w:val="FootnoteText"/>
        <w:spacing w:after="0"/>
        <w:rPr>
          <w:sz w:val="18"/>
          <w:szCs w:val="18"/>
        </w:rPr>
      </w:pPr>
      <w:r>
        <w:rPr>
          <w:rStyle w:val="FootnoteReference"/>
          <w:sz w:val="18"/>
          <w:szCs w:val="18"/>
        </w:rPr>
        <w:footnoteRef/>
      </w:r>
      <w:r>
        <w:rPr>
          <w:sz w:val="18"/>
          <w:szCs w:val="18"/>
        </w:rPr>
        <w:t xml:space="preserve"> </w:t>
      </w:r>
      <w:hyperlink r:id="rId21" w:history="1">
        <w:r>
          <w:rPr>
            <w:rStyle w:val="Hyperlink"/>
            <w:sz w:val="18"/>
            <w:szCs w:val="18"/>
          </w:rPr>
          <w:t>http://www.icarda.org/</w:t>
        </w:r>
      </w:hyperlink>
    </w:p>
  </w:footnote>
  <w:footnote w:id="44">
    <w:p>
      <w:pPr>
        <w:pStyle w:val="FootnoteText"/>
        <w:spacing w:after="0"/>
        <w:rPr>
          <w:sz w:val="18"/>
          <w:szCs w:val="18"/>
        </w:rPr>
      </w:pPr>
      <w:r>
        <w:rPr>
          <w:rStyle w:val="FootnoteReference"/>
          <w:sz w:val="18"/>
          <w:szCs w:val="18"/>
        </w:rPr>
        <w:footnoteRef/>
      </w:r>
      <w:r>
        <w:rPr>
          <w:sz w:val="18"/>
          <w:szCs w:val="18"/>
        </w:rPr>
        <w:t xml:space="preserve"> </w:t>
      </w:r>
      <w:hyperlink r:id="rId22" w:history="1">
        <w:r>
          <w:rPr>
            <w:rStyle w:val="Hyperlink"/>
            <w:sz w:val="18"/>
            <w:szCs w:val="18"/>
          </w:rPr>
          <w:t>http://planbleu.org/en/publications/lagriculture-mediterraneenne-en-recherche-dadaptation-climatique</w:t>
        </w:r>
      </w:hyperlink>
    </w:p>
  </w:footnote>
  <w:footnote w:id="45">
    <w:p>
      <w:pPr>
        <w:pStyle w:val="FootnoteText"/>
        <w:spacing w:after="0"/>
        <w:ind w:left="0" w:firstLine="0"/>
        <w:rPr>
          <w:sz w:val="18"/>
          <w:szCs w:val="18"/>
        </w:rPr>
      </w:pPr>
      <w:r>
        <w:rPr>
          <w:rStyle w:val="FootnoteReference"/>
          <w:sz w:val="18"/>
          <w:szCs w:val="18"/>
        </w:rPr>
        <w:footnoteRef/>
      </w:r>
      <w:r>
        <w:rPr>
          <w:sz w:val="18"/>
          <w:szCs w:val="18"/>
        </w:rPr>
        <w:t xml:space="preserve"> </w:t>
      </w:r>
      <w:hyperlink r:id="rId23" w:tgtFrame="_blank" w:history="1">
        <w:r>
          <w:rPr>
            <w:rStyle w:val="Hyperlink"/>
            <w:bCs/>
            <w:color w:val="1F497D"/>
            <w:sz w:val="18"/>
            <w:szCs w:val="18"/>
          </w:rPr>
          <w:t>https://ec.europa.eu/programmes/horizon2020/en/news/grand-challenge-design-and-societal-impact-horizon-2020</w:t>
        </w:r>
      </w:hyperlink>
    </w:p>
  </w:footnote>
  <w:footnote w:id="46">
    <w:p>
      <w:pPr>
        <w:pStyle w:val="FootnoteText"/>
        <w:spacing w:after="0"/>
        <w:ind w:left="0" w:firstLine="0"/>
        <w:rPr>
          <w:sz w:val="18"/>
          <w:szCs w:val="18"/>
        </w:rPr>
      </w:pPr>
      <w:r>
        <w:rPr>
          <w:rStyle w:val="FootnoteReference"/>
          <w:sz w:val="18"/>
          <w:szCs w:val="18"/>
        </w:rPr>
        <w:footnoteRef/>
      </w:r>
      <w:r>
        <w:rPr>
          <w:sz w:val="18"/>
          <w:szCs w:val="18"/>
        </w:rPr>
        <w:t xml:space="preserve"> Activities at the international level are equally important to enhance the competitiveness of European industry by promoting the take-up and trade of novel technologies, for instance through the development of worldwide standards and guidelines, and by promoting the acceptance and deployment of European solutions outside Europe. The three major third country groupings are: (1) industrialised and emerging economies; (2) enlargement and neighbourhood countries (which is the case of all Mediterranean Third Countries); and (3) developing countries. Horizon 2020 promotes cooperation at regional or multilateral level</w:t>
      </w:r>
    </w:p>
  </w:footnote>
  <w:footnote w:id="47">
    <w:p>
      <w:pPr>
        <w:pStyle w:val="FootnoteText"/>
        <w:spacing w:after="0"/>
        <w:ind w:left="0" w:firstLine="0"/>
        <w:rPr>
          <w:sz w:val="18"/>
          <w:szCs w:val="18"/>
        </w:rPr>
      </w:pPr>
      <w:r>
        <w:rPr>
          <w:rStyle w:val="FootnoteReference"/>
          <w:sz w:val="18"/>
          <w:szCs w:val="18"/>
        </w:rPr>
        <w:footnoteRef/>
      </w:r>
      <w:r>
        <w:rPr>
          <w:sz w:val="18"/>
          <w:szCs w:val="18"/>
        </w:rPr>
        <w:t xml:space="preserve"> The “Euro-Mediterranean Monitoring Committee on Research and Innovation” (MoCo, established in 1995) is now termed “Group of Senior Officials” (GSO). </w:t>
      </w:r>
    </w:p>
  </w:footnote>
  <w:footnote w:id="48">
    <w:p>
      <w:pPr>
        <w:pStyle w:val="FootnoteText"/>
        <w:spacing w:after="0"/>
        <w:ind w:left="0" w:firstLine="0"/>
        <w:rPr>
          <w:sz w:val="18"/>
          <w:szCs w:val="18"/>
        </w:rPr>
      </w:pPr>
      <w:r>
        <w:rPr>
          <w:rStyle w:val="FootnoteReference"/>
          <w:sz w:val="18"/>
          <w:szCs w:val="18"/>
        </w:rPr>
        <w:footnoteRef/>
      </w:r>
      <w:r>
        <w:rPr>
          <w:sz w:val="18"/>
          <w:szCs w:val="18"/>
        </w:rPr>
        <w:t xml:space="preserve"> A resource-efficient Europe – Flagship initiative under the Europe 2020 Strategy - COM(2011)21.</w:t>
      </w:r>
    </w:p>
  </w:footnote>
  <w:footnote w:id="49">
    <w:p>
      <w:pPr>
        <w:pStyle w:val="FootnoteText"/>
        <w:spacing w:after="0"/>
        <w:ind w:left="0" w:firstLine="0"/>
        <w:jc w:val="left"/>
        <w:rPr>
          <w:sz w:val="18"/>
          <w:szCs w:val="18"/>
        </w:rPr>
      </w:pPr>
      <w:r>
        <w:rPr>
          <w:rStyle w:val="FootnoteReference"/>
          <w:sz w:val="18"/>
          <w:szCs w:val="18"/>
        </w:rPr>
        <w:footnoteRef/>
      </w:r>
      <w:r>
        <w:rPr>
          <w:sz w:val="18"/>
          <w:szCs w:val="18"/>
        </w:rPr>
        <w:t xml:space="preserve"> Science, Research and Innovation performance of the EU - A contribution to the Open Innovation, Open Science, Open to the World agenda (European Commission, 2016) (</w:t>
      </w:r>
      <w:hyperlink r:id="rId24" w:history="1">
        <w:r>
          <w:rPr>
            <w:rStyle w:val="Hyperlink"/>
            <w:sz w:val="18"/>
            <w:szCs w:val="18"/>
          </w:rPr>
          <w:t>http://bookshop.europa.eu/is-bin/INTERSHOP.enfinity/WFS/EU-Bookshop-Site/en_GB/-/EUR/ViewPublication-Start?PublicationKey=KI0415512</w:t>
        </w:r>
      </w:hyperlink>
      <w:r>
        <w:rPr>
          <w:rStyle w:val="Hyperlink"/>
          <w:sz w:val="18"/>
          <w:szCs w:val="18"/>
        </w:rPr>
        <w:t>).</w:t>
      </w:r>
      <w:r>
        <w:rPr>
          <w:sz w:val="18"/>
          <w:szCs w:val="18"/>
        </w:rPr>
        <w:t xml:space="preserve"> </w:t>
      </w:r>
    </w:p>
  </w:footnote>
  <w:footnote w:id="50">
    <w:p>
      <w:pPr>
        <w:pStyle w:val="FootnoteText"/>
        <w:spacing w:after="0"/>
        <w:ind w:left="0" w:firstLine="0"/>
        <w:jc w:val="left"/>
        <w:rPr>
          <w:sz w:val="18"/>
          <w:szCs w:val="18"/>
        </w:rPr>
      </w:pPr>
      <w:r>
        <w:rPr>
          <w:rStyle w:val="FootnoteReference"/>
          <w:sz w:val="18"/>
          <w:szCs w:val="18"/>
        </w:rPr>
        <w:footnoteRef/>
      </w:r>
      <w:r>
        <w:rPr>
          <w:sz w:val="18"/>
          <w:szCs w:val="18"/>
        </w:rPr>
        <w:t xml:space="preserve"> Transforming Our World: The 2030 Agenda For Sustainable Development (A/RES/70/1), UN 2015 (</w:t>
      </w:r>
      <w:hyperlink r:id="rId25" w:history="1">
        <w:r>
          <w:rPr>
            <w:rStyle w:val="Hyperlink"/>
            <w:sz w:val="16"/>
            <w:szCs w:val="18"/>
          </w:rPr>
          <w:t>https://sustainabledevelopment.un.org/content/documents/21252030%20Agenda%20for%20Sustainable%20Development%20web.pdf</w:t>
        </w:r>
      </w:hyperlink>
      <w:r>
        <w:rPr>
          <w:sz w:val="18"/>
          <w:szCs w:val="18"/>
        </w:rPr>
        <w:t>).</w:t>
      </w:r>
    </w:p>
  </w:footnote>
  <w:footnote w:id="51">
    <w:p>
      <w:pPr>
        <w:pStyle w:val="FootnoteText"/>
        <w:spacing w:after="0"/>
        <w:ind w:left="0" w:firstLine="0"/>
        <w:rPr>
          <w:sz w:val="18"/>
          <w:szCs w:val="18"/>
        </w:rPr>
      </w:pPr>
      <w:r>
        <w:rPr>
          <w:rStyle w:val="FootnoteReference"/>
          <w:sz w:val="18"/>
          <w:szCs w:val="18"/>
        </w:rPr>
        <w:footnoteRef/>
      </w:r>
      <w:r>
        <w:rPr>
          <w:sz w:val="18"/>
          <w:szCs w:val="18"/>
        </w:rPr>
        <w:t xml:space="preserve"> COM(2015)44final of 5.02.2015.</w:t>
      </w:r>
    </w:p>
  </w:footnote>
  <w:footnote w:id="52">
    <w:p>
      <w:pPr>
        <w:pStyle w:val="FootnoteText"/>
        <w:spacing w:after="0"/>
        <w:rPr>
          <w:sz w:val="18"/>
          <w:szCs w:val="18"/>
        </w:rPr>
      </w:pPr>
      <w:r>
        <w:rPr>
          <w:rStyle w:val="FootnoteReference"/>
          <w:sz w:val="18"/>
          <w:szCs w:val="18"/>
        </w:rPr>
        <w:footnoteRef/>
      </w:r>
      <w:r>
        <w:rPr>
          <w:sz w:val="18"/>
          <w:szCs w:val="18"/>
        </w:rPr>
        <w:t xml:space="preserve"> </w:t>
      </w:r>
      <w:r>
        <w:rPr>
          <w:iCs/>
          <w:sz w:val="18"/>
          <w:szCs w:val="18"/>
        </w:rPr>
        <w:t>OJ C 326, 26.10.2012, p. 391–407, (</w:t>
      </w:r>
      <w:hyperlink r:id="rId26" w:history="1">
        <w:r>
          <w:rPr>
            <w:rStyle w:val="Hyperlink"/>
            <w:iCs/>
            <w:sz w:val="18"/>
            <w:szCs w:val="18"/>
          </w:rPr>
          <w:t>http://eur-lex.europa.eu/legalcontent/EN/TXT/HTML/?uri=CELEX:12012P/TXT&amp;from=EN</w:t>
        </w:r>
      </w:hyperlink>
      <w:r>
        <w:rPr>
          <w:rStyle w:val="Hyperlink"/>
          <w:iCs/>
          <w:sz w:val="18"/>
          <w:szCs w:val="18"/>
        </w:rPr>
        <w:t>).</w:t>
      </w:r>
    </w:p>
  </w:footnote>
  <w:footnote w:id="53">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An overview on past and ongoing ERA-NET actions and country participation can be found on ERA-LEARN 2020 </w:t>
      </w:r>
      <w:hyperlink r:id="rId27" w:history="1">
        <w:r>
          <w:rPr>
            <w:rStyle w:val="Hyperlink"/>
            <w:sz w:val="18"/>
            <w:szCs w:val="18"/>
          </w:rPr>
          <w:t>https://www.era-learn.eu/network-information/countries</w:t>
        </w:r>
      </w:hyperlink>
      <w:r>
        <w:rPr>
          <w:sz w:val="18"/>
          <w:szCs w:val="18"/>
        </w:rPr>
        <w:t xml:space="preserve"> </w:t>
      </w:r>
    </w:p>
  </w:footnote>
  <w:footnote w:id="54">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JPco-fuND would have been able to fund only 8 to 10 proposals from the call; with the EC top up funding they were able to fund 20 proposals.</w:t>
      </w:r>
    </w:p>
  </w:footnote>
  <w:footnote w:id="55">
    <w:p>
      <w:pPr>
        <w:pStyle w:val="FootnoteText"/>
        <w:spacing w:after="0"/>
        <w:ind w:left="0" w:firstLine="0"/>
      </w:pPr>
      <w:r>
        <w:rPr>
          <w:rStyle w:val="FootnoteReference"/>
          <w:sz w:val="18"/>
          <w:szCs w:val="18"/>
        </w:rPr>
        <w:footnoteRef/>
      </w:r>
      <w:r>
        <w:rPr>
          <w:sz w:val="18"/>
          <w:szCs w:val="18"/>
        </w:rPr>
        <w:t xml:space="preserve"> In the case of PRIMA, the EU has long-standing cooperation in R&amp;I with third countries not Associated to Horizon 2020 (Egypt, Morocco, and Lebanon): Egypt and Morocco have Science and Technology Cooperation Agreements with the EU, and all three countries have or are currently participating in ERA-NET activities funded by FP7</w:t>
      </w:r>
    </w:p>
  </w:footnote>
  <w:footnote w:id="56">
    <w:p>
      <w:pPr>
        <w:pStyle w:val="FootnoteText"/>
        <w:spacing w:after="0"/>
        <w:rPr>
          <w:rStyle w:val="FootnoteReference"/>
          <w:rFonts w:eastAsia="Calibri"/>
          <w:szCs w:val="18"/>
          <w:lang w:eastAsia="en-US"/>
        </w:rPr>
      </w:pPr>
      <w:r>
        <w:rPr>
          <w:rStyle w:val="FootnoteReference"/>
        </w:rPr>
        <w:footnoteRef/>
      </w:r>
      <w:r>
        <w:t xml:space="preserve"> </w:t>
      </w:r>
      <w:r>
        <w:tab/>
      </w:r>
      <w:r>
        <w:rPr>
          <w:sz w:val="18"/>
        </w:rPr>
        <w:t>Cyprus, Czech Republic, Egypt, France, Greece, Israel, Italy, Lebanon, Luxembourg, Malta, Morocco, Portugal, Spain and Tunisia</w:t>
      </w:r>
    </w:p>
  </w:footnote>
  <w:footnote w:id="57">
    <w:p>
      <w:pPr>
        <w:pStyle w:val="FootnoteText"/>
        <w:spacing w:after="0"/>
        <w:ind w:left="0" w:firstLine="0"/>
        <w:rPr>
          <w:sz w:val="18"/>
          <w:szCs w:val="18"/>
        </w:rPr>
      </w:pPr>
      <w:r>
        <w:rPr>
          <w:rStyle w:val="FootnoteReference"/>
          <w:sz w:val="18"/>
          <w:szCs w:val="18"/>
        </w:rPr>
        <w:footnoteRef/>
      </w:r>
      <w:r>
        <w:rPr>
          <w:sz w:val="18"/>
          <w:szCs w:val="18"/>
        </w:rPr>
        <w:t xml:space="preserve"> </w:t>
      </w:r>
      <w:r>
        <w:rPr>
          <w:color w:val="000000"/>
          <w:sz w:val="18"/>
          <w:szCs w:val="18"/>
        </w:rPr>
        <w:t>Euro- Med Development Center for Micro, Small and Medium Enterprises, 2012, presentation at the Workshop on challenges and opportunities for the textiles and clothing sector in the Euro Mediterranean region, based on Eurostat data</w:t>
      </w:r>
    </w:p>
  </w:footnote>
  <w:footnote w:id="58">
    <w:p>
      <w:pPr>
        <w:pStyle w:val="FootnoteText"/>
        <w:spacing w:after="0"/>
        <w:ind w:left="0" w:firstLine="0"/>
        <w:rPr>
          <w:sz w:val="18"/>
          <w:szCs w:val="18"/>
        </w:rPr>
      </w:pPr>
      <w:r>
        <w:rPr>
          <w:rStyle w:val="FootnoteReference"/>
          <w:sz w:val="18"/>
          <w:szCs w:val="18"/>
        </w:rPr>
        <w:footnoteRef/>
      </w:r>
      <w:r>
        <w:rPr>
          <w:sz w:val="18"/>
          <w:szCs w:val="18"/>
        </w:rPr>
        <w:t xml:space="preserve"> Extrapolations made by the Commission services based on erva, M.C., Triguero-Cano, A., and Corcoles, D. (2013), Differences in innovation between food and manufacturing firms: An analysis of persistence. Agribusiness Vol. 29 No. 3, pp. 273-292.</w:t>
      </w:r>
    </w:p>
  </w:footnote>
  <w:footnote w:id="59">
    <w:p>
      <w:pPr>
        <w:pStyle w:val="FootnoteText"/>
        <w:spacing w:after="0"/>
        <w:ind w:left="0" w:firstLine="0"/>
        <w:rPr>
          <w:sz w:val="18"/>
          <w:szCs w:val="18"/>
        </w:rPr>
      </w:pPr>
      <w:r>
        <w:rPr>
          <w:rStyle w:val="FootnoteReference"/>
          <w:sz w:val="18"/>
          <w:szCs w:val="18"/>
        </w:rPr>
        <w:footnoteRef/>
      </w:r>
      <w:r>
        <w:rPr>
          <w:sz w:val="18"/>
          <w:szCs w:val="18"/>
        </w:rPr>
        <w:t xml:space="preserve"> Nelson, G.C., Rosegrant, M.W., Koo, J., Robertson, R., Sulser, T., Zhu, T., Ringler, C., Msangi, S., Palazzo, A., Batka, M., Magalhaes, M., Valmonte-Santos, R., Ewing, M., and Lee, D., 2009. Climate Change Impact on Agriculture and Costs of Adaptation. International Food Policy Research Institute, Washington, D.C. (USA)</w:t>
      </w:r>
    </w:p>
  </w:footnote>
  <w:footnote w:id="60">
    <w:p>
      <w:pPr>
        <w:pStyle w:val="FootnoteText"/>
        <w:spacing w:after="0"/>
        <w:ind w:left="0" w:firstLine="0"/>
        <w:rPr>
          <w:sz w:val="18"/>
          <w:szCs w:val="18"/>
        </w:rPr>
      </w:pPr>
      <w:r>
        <w:rPr>
          <w:rStyle w:val="FootnoteReference"/>
          <w:sz w:val="18"/>
          <w:szCs w:val="18"/>
        </w:rPr>
        <w:footnoteRef/>
      </w:r>
      <w:r>
        <w:rPr>
          <w:sz w:val="18"/>
          <w:szCs w:val="18"/>
        </w:rPr>
        <w:t xml:space="preserve"> IFAD (2010) Rural Poverty Report 2011, Rome: International Fund for Agricultural Development</w:t>
      </w:r>
    </w:p>
  </w:footnote>
  <w:footnote w:id="61">
    <w:p>
      <w:pPr>
        <w:pStyle w:val="FootnoteText"/>
        <w:spacing w:after="0"/>
        <w:ind w:left="0" w:firstLine="0"/>
      </w:pPr>
      <w:r>
        <w:rPr>
          <w:rStyle w:val="FootnoteReference"/>
          <w:sz w:val="18"/>
          <w:szCs w:val="18"/>
        </w:rPr>
        <w:footnoteRef/>
      </w:r>
      <w:r>
        <w:rPr>
          <w:sz w:val="18"/>
          <w:szCs w:val="18"/>
        </w:rPr>
        <w:t xml:space="preserve"> White, B., 2012. Agriculture and the Generation Problem: Rural Youth, Employment and the Future of Farming. Institute of Development Studies (IDS) Bulletin Vol. 43 (6):9-19.</w:t>
      </w:r>
    </w:p>
  </w:footnote>
  <w:footnote w:id="62">
    <w:p>
      <w:pPr>
        <w:pStyle w:val="FootnoteText"/>
        <w:spacing w:after="0"/>
        <w:rPr>
          <w:sz w:val="18"/>
        </w:rPr>
      </w:pPr>
      <w:r>
        <w:rPr>
          <w:rStyle w:val="FootnoteReference"/>
          <w:sz w:val="18"/>
        </w:rPr>
        <w:footnoteRef/>
      </w:r>
      <w:r>
        <w:rPr>
          <w:sz w:val="18"/>
        </w:rPr>
        <w:t xml:space="preserve"> World Bank(2016) High and Dry: Climate Change, Water, and the Economy</w:t>
      </w:r>
    </w:p>
  </w:footnote>
  <w:footnote w:id="63">
    <w:p>
      <w:pPr>
        <w:pStyle w:val="FootnoteText"/>
        <w:spacing w:after="120"/>
        <w:rPr>
          <w:sz w:val="18"/>
        </w:rPr>
      </w:pPr>
      <w:r>
        <w:rPr>
          <w:rStyle w:val="FootnoteReference"/>
          <w:sz w:val="18"/>
        </w:rPr>
        <w:footnoteRef/>
      </w:r>
      <w:r>
        <w:rPr>
          <w:sz w:val="18"/>
        </w:rPr>
        <w:t xml:space="preserve"> Barrios, Luisito, and Strobl 2006</w:t>
      </w:r>
    </w:p>
  </w:footnote>
  <w:footnote w:id="64">
    <w:p>
      <w:pPr>
        <w:pStyle w:val="FootnoteText"/>
        <w:spacing w:after="0"/>
        <w:rPr>
          <w:sz w:val="18"/>
          <w:szCs w:val="18"/>
        </w:rPr>
      </w:pPr>
      <w:r>
        <w:rPr>
          <w:rStyle w:val="FootnoteReference"/>
          <w:sz w:val="18"/>
          <w:szCs w:val="18"/>
        </w:rPr>
        <w:footnoteRef/>
      </w:r>
      <w:r>
        <w:rPr>
          <w:sz w:val="18"/>
          <w:szCs w:val="18"/>
        </w:rPr>
        <w:t xml:space="preserve"> Contributions from Egyptian national funding agencies as follows: Science &amp; Technology Development Fund (STDF): €0.75 million – 2014, €0.75 million – 2016; and the Academy of Scientific Research and Technology (ASRT): €0.75 million  – 2014, €0.5 million – 2016</w:t>
      </w:r>
    </w:p>
  </w:footnote>
  <w:footnote w:id="65">
    <w:p>
      <w:pPr>
        <w:pStyle w:val="FootnoteText"/>
        <w:spacing w:after="0"/>
      </w:pPr>
      <w:r>
        <w:rPr>
          <w:rStyle w:val="FootnoteReference"/>
          <w:sz w:val="18"/>
        </w:rPr>
        <w:footnoteRef/>
      </w:r>
      <w:r>
        <w:rPr>
          <w:sz w:val="18"/>
        </w:rPr>
        <w:t xml:space="preserve"> Contributions from Lebanese National Council for Scientific Research (CNRS)</w:t>
      </w:r>
    </w:p>
  </w:footnote>
  <w:footnote w:id="66">
    <w:p>
      <w:pPr>
        <w:pStyle w:val="FootnoteText"/>
        <w:spacing w:after="0"/>
        <w:rPr>
          <w:sz w:val="18"/>
          <w:szCs w:val="18"/>
        </w:rPr>
      </w:pPr>
      <w:r>
        <w:rPr>
          <w:rStyle w:val="FootnoteReference"/>
          <w:sz w:val="18"/>
          <w:szCs w:val="18"/>
        </w:rPr>
        <w:footnoteRef/>
      </w:r>
      <w:r>
        <w:rPr>
          <w:sz w:val="18"/>
          <w:szCs w:val="18"/>
        </w:rPr>
        <w:t xml:space="preserve"> The annual budget of CNRS amounts to approximately USD 8 million per year.</w:t>
      </w:r>
    </w:p>
  </w:footnote>
  <w:footnote w:id="67">
    <w:p>
      <w:pPr>
        <w:pStyle w:val="FootnoteText"/>
        <w:spacing w:after="0"/>
        <w:rPr>
          <w:sz w:val="18"/>
          <w:szCs w:val="18"/>
        </w:rPr>
      </w:pPr>
      <w:r>
        <w:rPr>
          <w:rStyle w:val="FootnoteReference"/>
          <w:sz w:val="18"/>
          <w:szCs w:val="18"/>
        </w:rPr>
        <w:footnoteRef/>
      </w:r>
      <w:r>
        <w:rPr>
          <w:sz w:val="18"/>
          <w:szCs w:val="18"/>
        </w:rPr>
        <w:t xml:space="preserve"> Source: MERID, FP7 project 645846.</w:t>
      </w:r>
    </w:p>
  </w:footnote>
  <w:footnote w:id="68">
    <w:p>
      <w:pPr>
        <w:pStyle w:val="FootnoteText"/>
        <w:spacing w:after="0"/>
      </w:pPr>
      <w:r>
        <w:rPr>
          <w:rStyle w:val="FootnoteReference"/>
          <w:sz w:val="18"/>
          <w:szCs w:val="18"/>
        </w:rPr>
        <w:footnoteRef/>
      </w:r>
      <w:r>
        <w:rPr>
          <w:sz w:val="18"/>
          <w:szCs w:val="18"/>
        </w:rPr>
        <w:t xml:space="preserve"> Contributions from the Morocco </w:t>
      </w:r>
      <w:r>
        <w:rPr>
          <w:color w:val="000000"/>
          <w:sz w:val="18"/>
          <w:szCs w:val="18"/>
        </w:rPr>
        <w:t>MESRSFC</w:t>
      </w:r>
    </w:p>
  </w:footnote>
  <w:footnote w:id="69">
    <w:p>
      <w:pPr>
        <w:pStyle w:val="FootnoteText"/>
        <w:spacing w:after="0"/>
        <w:rPr>
          <w:sz w:val="18"/>
        </w:rPr>
      </w:pPr>
      <w:r>
        <w:rPr>
          <w:rStyle w:val="FootnoteReference"/>
          <w:sz w:val="18"/>
        </w:rPr>
        <w:footnoteRef/>
      </w:r>
      <w:r>
        <w:rPr>
          <w:sz w:val="18"/>
        </w:rPr>
        <w:t xml:space="preserve"> Source URL: http://www.cnrs.fr/derci/spip.php?article131</w:t>
      </w:r>
    </w:p>
  </w:footnote>
  <w:footnote w:id="70">
    <w:p>
      <w:pPr>
        <w:pStyle w:val="FootnoteText"/>
        <w:spacing w:after="0"/>
        <w:rPr>
          <w:sz w:val="18"/>
        </w:rPr>
      </w:pPr>
      <w:r>
        <w:rPr>
          <w:rStyle w:val="FootnoteReference"/>
          <w:sz w:val="18"/>
        </w:rPr>
        <w:footnoteRef/>
      </w:r>
      <w:r>
        <w:rPr>
          <w:sz w:val="18"/>
        </w:rPr>
        <w:t xml:space="preserve"> Source (2012) URL http://www.fao.org/nr/water/aquastat/countries_regions/mar/index.stm</w:t>
      </w:r>
    </w:p>
  </w:footnote>
  <w:footnote w:id="71">
    <w:p>
      <w:pPr>
        <w:pStyle w:val="FootnoteText"/>
        <w:spacing w:after="0"/>
      </w:pPr>
      <w:r>
        <w:rPr>
          <w:rStyle w:val="FootnoteReference"/>
          <w:sz w:val="18"/>
        </w:rPr>
        <w:footnoteRef/>
      </w:r>
      <w:r>
        <w:rPr>
          <w:sz w:val="18"/>
        </w:rPr>
        <w:t xml:space="preserve"> Source URL: http://menanwc.org/projects/global-yield-gap-and-water-productivity-atlas-jordan-morocco-and-tunisia</w:t>
      </w:r>
    </w:p>
  </w:footnote>
  <w:footnote w:id="72">
    <w:p>
      <w:pPr>
        <w:pStyle w:val="FootnoteText"/>
        <w:rPr>
          <w:sz w:val="18"/>
          <w:szCs w:val="18"/>
        </w:rPr>
      </w:pPr>
      <w:r>
        <w:rPr>
          <w:rStyle w:val="FootnoteReference"/>
          <w:sz w:val="18"/>
          <w:szCs w:val="18"/>
        </w:rPr>
        <w:footnoteRef/>
      </w:r>
      <w:r>
        <w:rPr>
          <w:sz w:val="18"/>
          <w:szCs w:val="18"/>
        </w:rPr>
        <w:t xml:space="preserve"> </w:t>
      </w:r>
      <w:hyperlink r:id="rId28" w:history="1">
        <w:r>
          <w:rPr>
            <w:rStyle w:val="Hyperlink"/>
            <w:sz w:val="18"/>
            <w:szCs w:val="18"/>
          </w:rPr>
          <w:t>http://ec.europa.eu/transparency/regexpert/index.cfm?do=groupDetail.groupDetail&amp;groupID=3342</w:t>
        </w:r>
      </w:hyperlink>
      <w:r>
        <w:rPr>
          <w:sz w:val="18"/>
          <w:szCs w:val="18"/>
        </w:rPr>
        <w:t xml:space="preserve"> </w:t>
      </w:r>
    </w:p>
  </w:footnote>
  <w:footnote w:id="73">
    <w:p>
      <w:pPr>
        <w:pStyle w:val="FootnoteText"/>
        <w:spacing w:after="0"/>
        <w:ind w:left="0" w:firstLine="0"/>
        <w:jc w:val="left"/>
        <w:rPr>
          <w:sz w:val="18"/>
          <w:szCs w:val="18"/>
        </w:rPr>
      </w:pPr>
      <w:r>
        <w:rPr>
          <w:rStyle w:val="FootnoteReference"/>
          <w:sz w:val="18"/>
          <w:szCs w:val="18"/>
        </w:rPr>
        <w:footnoteRef/>
      </w:r>
      <w:r>
        <w:rPr>
          <w:sz w:val="18"/>
          <w:szCs w:val="18"/>
        </w:rPr>
        <w:t xml:space="preserve"> Link to the PRIMA Impact Assessment Consultation Strategy:</w:t>
      </w:r>
      <w:r>
        <w:rPr>
          <w:sz w:val="18"/>
          <w:szCs w:val="18"/>
        </w:rPr>
        <w:br/>
        <w:t xml:space="preserve"> </w:t>
      </w:r>
      <w:hyperlink r:id="rId29" w:anchor="view=fit&amp;pagemode=none" w:history="1">
        <w:r>
          <w:rPr>
            <w:rStyle w:val="Hyperlink"/>
            <w:sz w:val="18"/>
            <w:szCs w:val="18"/>
          </w:rPr>
          <w:t>https://ec.europa.eu/research/environment/pdf/prima/prima-ia_consultation_strategy.pdf#view=fit&amp;pagemode=none</w:t>
        </w:r>
      </w:hyperlink>
      <w:r>
        <w:rPr>
          <w:sz w:val="18"/>
          <w:szCs w:val="18"/>
        </w:rPr>
        <w:t xml:space="preserve">  </w:t>
      </w:r>
    </w:p>
  </w:footnote>
  <w:footnote w:id="74">
    <w:p>
      <w:pPr>
        <w:pStyle w:val="FootnoteText"/>
        <w:spacing w:after="0"/>
        <w:ind w:left="0" w:firstLine="0"/>
        <w:jc w:val="left"/>
        <w:rPr>
          <w:sz w:val="18"/>
          <w:szCs w:val="18"/>
        </w:rPr>
      </w:pPr>
      <w:r>
        <w:rPr>
          <w:rStyle w:val="FootnoteReference"/>
          <w:sz w:val="18"/>
          <w:szCs w:val="18"/>
        </w:rPr>
        <w:footnoteRef/>
      </w:r>
      <w:r>
        <w:rPr>
          <w:sz w:val="18"/>
          <w:szCs w:val="18"/>
        </w:rPr>
        <w:t xml:space="preserve"> Link to the webpage dedicated to the PRIMA initiative:</w:t>
      </w:r>
      <w:r>
        <w:rPr>
          <w:sz w:val="18"/>
          <w:szCs w:val="18"/>
        </w:rPr>
        <w:br/>
        <w:t xml:space="preserve"> </w:t>
      </w:r>
      <w:hyperlink r:id="rId30" w:history="1">
        <w:r>
          <w:rPr>
            <w:rStyle w:val="Hyperlink"/>
            <w:sz w:val="18"/>
            <w:szCs w:val="18"/>
          </w:rPr>
          <w:t>https://ec.europa.eu/research/environment/index.cfm?pg=prima</w:t>
        </w:r>
      </w:hyperlink>
      <w:r>
        <w:rPr>
          <w:sz w:val="18"/>
          <w:szCs w:val="18"/>
        </w:rPr>
        <w:t xml:space="preserve"> </w:t>
      </w:r>
    </w:p>
  </w:footnote>
  <w:footnote w:id="75">
    <w:p>
      <w:pPr>
        <w:pStyle w:val="FootnoteText"/>
        <w:spacing w:after="0"/>
        <w:ind w:left="0" w:firstLine="0"/>
        <w:jc w:val="left"/>
        <w:rPr>
          <w:sz w:val="18"/>
          <w:szCs w:val="18"/>
        </w:rPr>
      </w:pPr>
      <w:r>
        <w:rPr>
          <w:rStyle w:val="FootnoteReference"/>
          <w:sz w:val="18"/>
          <w:szCs w:val="18"/>
        </w:rPr>
        <w:footnoteRef/>
      </w:r>
      <w:r>
        <w:rPr>
          <w:sz w:val="18"/>
          <w:szCs w:val="18"/>
        </w:rPr>
        <w:t xml:space="preserve"> Link to PRIMA Impact Assessment Stakeholder Event – Short Summary Report: </w:t>
      </w:r>
      <w:hyperlink r:id="rId31" w:anchor="view=fit&amp;pagemode=none" w:history="1">
        <w:r>
          <w:rPr>
            <w:rStyle w:val="Hyperlink"/>
            <w:sz w:val="18"/>
            <w:szCs w:val="18"/>
          </w:rPr>
          <w:t>https://ec.europa.eu/research/environment/pdf/prima/prima-ia_stakeholder_event_ssr.pdf#view=fit&amp;pagemode=none</w:t>
        </w:r>
      </w:hyperlink>
      <w:r>
        <w:rPr>
          <w:sz w:val="18"/>
          <w:szCs w:val="18"/>
        </w:rPr>
        <w:t xml:space="preserve"> </w:t>
      </w:r>
    </w:p>
  </w:footnote>
  <w:footnote w:id="76">
    <w:p>
      <w:pPr>
        <w:pStyle w:val="FootnoteText"/>
        <w:spacing w:after="0"/>
        <w:ind w:left="0" w:firstLine="0"/>
        <w:jc w:val="left"/>
        <w:rPr>
          <w:sz w:val="18"/>
          <w:szCs w:val="18"/>
        </w:rPr>
      </w:pPr>
      <w:r>
        <w:rPr>
          <w:rStyle w:val="FootnoteReference"/>
          <w:sz w:val="18"/>
          <w:szCs w:val="18"/>
        </w:rPr>
        <w:footnoteRef/>
      </w:r>
      <w:r>
        <w:rPr>
          <w:sz w:val="18"/>
          <w:szCs w:val="18"/>
        </w:rPr>
        <w:t xml:space="preserve"> Link to PRIMA Open Online Public Consultation – Short Summary Report: </w:t>
      </w:r>
      <w:hyperlink r:id="rId32" w:anchor="view=fit&amp;pagemode=none" w:history="1">
        <w:r>
          <w:rPr>
            <w:rStyle w:val="Hyperlink"/>
            <w:sz w:val="18"/>
            <w:szCs w:val="18"/>
          </w:rPr>
          <w:t>https://ec.europa.eu/research/environment/pdf/prima/prima-ia_consultation_ssr.pdf#view=fit&amp;pagemode=none</w:t>
        </w:r>
      </w:hyperlink>
      <w:r>
        <w:rPr>
          <w:sz w:val="18"/>
          <w:szCs w:val="18"/>
        </w:rPr>
        <w:t xml:space="preserve"> </w:t>
      </w:r>
    </w:p>
  </w:footnote>
  <w:footnote w:id="77">
    <w:p>
      <w:pPr>
        <w:pStyle w:val="FootnoteText"/>
        <w:spacing w:after="0"/>
        <w:rPr>
          <w:sz w:val="18"/>
          <w:szCs w:val="18"/>
        </w:rPr>
      </w:pPr>
      <w:r>
        <w:rPr>
          <w:rStyle w:val="FootnoteReference"/>
          <w:sz w:val="18"/>
          <w:szCs w:val="18"/>
        </w:rPr>
        <w:footnoteRef/>
      </w:r>
      <w:r>
        <w:rPr>
          <w:sz w:val="18"/>
          <w:szCs w:val="18"/>
        </w:rPr>
        <w:t xml:space="preserve"> Link to the Roadmaps/Inception Impact Assessments of the Better Regulation webpage: </w:t>
      </w:r>
    </w:p>
    <w:p>
      <w:pPr>
        <w:pStyle w:val="FootnoteText"/>
        <w:spacing w:after="0"/>
        <w:rPr>
          <w:sz w:val="18"/>
          <w:szCs w:val="18"/>
        </w:rPr>
      </w:pPr>
      <w:hyperlink r:id="rId33" w:history="1">
        <w:r>
          <w:rPr>
            <w:rStyle w:val="Hyperlink"/>
            <w:sz w:val="18"/>
            <w:szCs w:val="18"/>
          </w:rPr>
          <w:t>http://ec.europa.eu/smart-regulation/roadmaps/index_en.htm</w:t>
        </w:r>
      </w:hyperlink>
    </w:p>
  </w:footnote>
  <w:footnote w:id="78">
    <w:p>
      <w:pPr>
        <w:pStyle w:val="FootnoteText"/>
        <w:spacing w:after="0"/>
        <w:ind w:left="0" w:firstLine="0"/>
        <w:jc w:val="left"/>
        <w:rPr>
          <w:sz w:val="18"/>
          <w:szCs w:val="18"/>
        </w:rPr>
      </w:pPr>
      <w:r>
        <w:rPr>
          <w:rStyle w:val="FootnoteReference"/>
          <w:sz w:val="18"/>
          <w:szCs w:val="18"/>
        </w:rPr>
        <w:footnoteRef/>
      </w:r>
      <w:r>
        <w:rPr>
          <w:sz w:val="18"/>
          <w:szCs w:val="18"/>
        </w:rPr>
        <w:t xml:space="preserve"> Link to the questionnaire of the PRIMA Open Public Online Consultation: </w:t>
      </w:r>
      <w:hyperlink r:id="rId34" w:history="1">
        <w:r>
          <w:rPr>
            <w:rStyle w:val="Hyperlink"/>
            <w:sz w:val="18"/>
            <w:szCs w:val="18"/>
          </w:rPr>
          <w:t>http://ec.europa.eu/research/consultations/prima/survey.pdf</w:t>
        </w:r>
      </w:hyperlink>
      <w:r>
        <w:rPr>
          <w:sz w:val="18"/>
          <w:szCs w:val="18"/>
        </w:rPr>
        <w:t xml:space="preserve"> </w:t>
      </w:r>
    </w:p>
  </w:footnote>
  <w:footnote w:id="79">
    <w:p>
      <w:pPr>
        <w:pStyle w:val="FootnoteText"/>
        <w:spacing w:after="0"/>
      </w:pPr>
      <w:r>
        <w:rPr>
          <w:rStyle w:val="FootnoteReference"/>
          <w:sz w:val="18"/>
        </w:rPr>
        <w:footnoteRef/>
      </w:r>
      <w:r>
        <w:rPr>
          <w:sz w:val="18"/>
        </w:rPr>
        <w:t xml:space="preserve"> Litus Advisory / Alma Economics (2016) Mediterranean Growth Initiative, p. 7.</w:t>
      </w:r>
    </w:p>
  </w:footnote>
  <w:footnote w:id="80">
    <w:p>
      <w:pPr>
        <w:pStyle w:val="FootnoteText"/>
        <w:spacing w:after="0"/>
        <w:rPr>
          <w:sz w:val="18"/>
        </w:rPr>
      </w:pPr>
      <w:r>
        <w:rPr>
          <w:rStyle w:val="FootnoteReference"/>
          <w:sz w:val="18"/>
        </w:rPr>
        <w:footnoteRef/>
      </w:r>
      <w:r>
        <w:rPr>
          <w:sz w:val="18"/>
        </w:rPr>
        <w:t xml:space="preserve"> Litus Advisory / Alma Economics (2016) Mediterranean Growth Initiative, p. 4.</w:t>
      </w:r>
    </w:p>
  </w:footnote>
  <w:footnote w:id="81">
    <w:p>
      <w:pPr>
        <w:pStyle w:val="FootnoteText"/>
        <w:spacing w:after="0"/>
      </w:pPr>
      <w:r>
        <w:rPr>
          <w:rStyle w:val="FootnoteReference"/>
          <w:sz w:val="18"/>
        </w:rPr>
        <w:footnoteRef/>
      </w:r>
      <w:r>
        <w:rPr>
          <w:sz w:val="18"/>
        </w:rPr>
        <w:t xml:space="preserve"> Litus Advisory / Alma Economics (2016) Mediterranean Growth Initiative, p. 11</w:t>
      </w:r>
    </w:p>
  </w:footnote>
  <w:footnote w:id="82">
    <w:p>
      <w:pPr>
        <w:pStyle w:val="FootnoteText"/>
        <w:spacing w:after="0"/>
        <w:rPr>
          <w:sz w:val="18"/>
        </w:rPr>
      </w:pPr>
      <w:r>
        <w:rPr>
          <w:rStyle w:val="FootnoteReference"/>
          <w:sz w:val="18"/>
        </w:rPr>
        <w:footnoteRef/>
      </w:r>
      <w:r>
        <w:rPr>
          <w:sz w:val="18"/>
        </w:rPr>
        <w:t xml:space="preserve"> Litus Advisory / Alma Economics (2016) Mediterranean Growth Initiative, p. 33.</w:t>
      </w:r>
    </w:p>
  </w:footnote>
  <w:footnote w:id="83">
    <w:p>
      <w:pPr>
        <w:pStyle w:val="FootnoteText"/>
        <w:spacing w:after="0"/>
      </w:pPr>
      <w:r>
        <w:rPr>
          <w:rStyle w:val="FootnoteReference"/>
          <w:sz w:val="18"/>
        </w:rPr>
        <w:footnoteRef/>
      </w:r>
      <w:r>
        <w:rPr>
          <w:sz w:val="18"/>
        </w:rPr>
        <w:t xml:space="preserve"> International Organization for Migration (IOM) (2016): </w:t>
      </w:r>
      <w:hyperlink r:id="rId35" w:history="1">
        <w:r>
          <w:rPr>
            <w:rStyle w:val="Hyperlink"/>
            <w:sz w:val="18"/>
          </w:rPr>
          <w:t>http://migration.iom.int/europe/</w:t>
        </w:r>
      </w:hyperlink>
      <w:r>
        <w:rPr>
          <w:sz w:val="18"/>
        </w:rPr>
        <w:t xml:space="preserve"> </w:t>
      </w:r>
    </w:p>
  </w:footnote>
  <w:footnote w:id="84">
    <w:p>
      <w:pPr>
        <w:pStyle w:val="FootnoteText"/>
        <w:spacing w:after="0"/>
        <w:rPr>
          <w:sz w:val="18"/>
        </w:rPr>
      </w:pPr>
      <w:r>
        <w:rPr>
          <w:rStyle w:val="FootnoteReference"/>
          <w:sz w:val="18"/>
        </w:rPr>
        <w:footnoteRef/>
      </w:r>
      <w:r>
        <w:rPr>
          <w:sz w:val="18"/>
        </w:rPr>
        <w:t xml:space="preserve"> Litus Advisory / Alma Economics (2016) Mediterranean Growth Initiative, 16.</w:t>
      </w:r>
    </w:p>
  </w:footnote>
  <w:footnote w:id="85">
    <w:p>
      <w:pPr>
        <w:pStyle w:val="FootnoteText"/>
        <w:spacing w:after="0"/>
      </w:pPr>
      <w:r>
        <w:rPr>
          <w:rStyle w:val="FootnoteReference"/>
          <w:sz w:val="18"/>
        </w:rPr>
        <w:footnoteRef/>
      </w:r>
      <w:r>
        <w:rPr>
          <w:sz w:val="18"/>
        </w:rPr>
        <w:t xml:space="preserve"> Litus Advisory / Alma Economics (2016) Mediterranean Growth Initiative, p. 16.</w:t>
      </w:r>
    </w:p>
  </w:footnote>
  <w:footnote w:id="86">
    <w:p>
      <w:pPr>
        <w:pStyle w:val="FootnoteText"/>
        <w:spacing w:after="0"/>
      </w:pPr>
      <w:r>
        <w:rPr>
          <w:rStyle w:val="FootnoteReference"/>
          <w:sz w:val="18"/>
        </w:rPr>
        <w:footnoteRef/>
      </w:r>
      <w:r>
        <w:rPr>
          <w:sz w:val="18"/>
        </w:rPr>
        <w:t xml:space="preserve"> Litus Advisory / Alma Economics (2016) Mediterranean Growth Initiative, p. 15.</w:t>
      </w:r>
    </w:p>
  </w:footnote>
  <w:footnote w:id="87">
    <w:p>
      <w:pPr>
        <w:pStyle w:val="FootnoteText"/>
        <w:spacing w:after="0"/>
        <w:rPr>
          <w:sz w:val="18"/>
        </w:rPr>
      </w:pPr>
      <w:r>
        <w:rPr>
          <w:rStyle w:val="FootnoteReference"/>
          <w:sz w:val="18"/>
        </w:rPr>
        <w:footnoteRef/>
      </w:r>
      <w:r>
        <w:rPr>
          <w:sz w:val="18"/>
        </w:rPr>
        <w:t xml:space="preserve"> Litus Advisory / Alma Economics (2016) Mediterranean Growth Initiative, p. 18.</w:t>
      </w:r>
    </w:p>
  </w:footnote>
  <w:footnote w:id="88">
    <w:p>
      <w:pPr>
        <w:pStyle w:val="FootnoteText"/>
        <w:spacing w:after="0"/>
        <w:rPr>
          <w:sz w:val="18"/>
        </w:rPr>
      </w:pPr>
      <w:r>
        <w:rPr>
          <w:rStyle w:val="FootnoteReference"/>
          <w:sz w:val="18"/>
        </w:rPr>
        <w:footnoteRef/>
      </w:r>
      <w:r>
        <w:rPr>
          <w:sz w:val="18"/>
        </w:rPr>
        <w:t xml:space="preserve"> Litus Advisory / Alma Economics (2016) Mediterranean Growth Initiative, p. 24.</w:t>
      </w:r>
    </w:p>
  </w:footnote>
  <w:footnote w:id="89">
    <w:p>
      <w:pPr>
        <w:pStyle w:val="FootnoteText"/>
        <w:spacing w:after="0"/>
      </w:pPr>
      <w:r>
        <w:rPr>
          <w:rStyle w:val="FootnoteReference"/>
          <w:sz w:val="18"/>
        </w:rPr>
        <w:footnoteRef/>
      </w:r>
      <w:r>
        <w:rPr>
          <w:sz w:val="18"/>
        </w:rPr>
        <w:t xml:space="preserve"> Litus Advisory / Alma Economics (2016) Mediterranean Growth Initiative, p. 23.</w:t>
      </w:r>
    </w:p>
  </w:footnote>
  <w:footnote w:id="90">
    <w:p>
      <w:pPr>
        <w:pStyle w:val="FootnoteText"/>
        <w:spacing w:after="0"/>
        <w:rPr>
          <w:sz w:val="18"/>
        </w:rPr>
      </w:pPr>
      <w:r>
        <w:rPr>
          <w:rStyle w:val="FootnoteReference"/>
          <w:sz w:val="18"/>
        </w:rPr>
        <w:footnoteRef/>
      </w:r>
      <w:r>
        <w:rPr>
          <w:sz w:val="18"/>
        </w:rPr>
        <w:t xml:space="preserve"> Litus Advisory / Alma Economics (2016) Mediterranean Growth Initiative, p. 22.</w:t>
      </w:r>
    </w:p>
  </w:footnote>
  <w:footnote w:id="91">
    <w:p>
      <w:pPr>
        <w:pStyle w:val="FootnoteText"/>
        <w:spacing w:after="0"/>
      </w:pPr>
      <w:r>
        <w:rPr>
          <w:rStyle w:val="FootnoteReference"/>
          <w:sz w:val="18"/>
        </w:rPr>
        <w:footnoteRef/>
      </w:r>
      <w:r>
        <w:rPr>
          <w:sz w:val="18"/>
        </w:rPr>
        <w:t xml:space="preserve"> Litus Advisory / Alma Economics (2016) Mediterranean Growth Initiative, p. 8.</w:t>
      </w:r>
    </w:p>
  </w:footnote>
  <w:footnote w:id="92">
    <w:p>
      <w:pPr>
        <w:pStyle w:val="FootnoteText"/>
        <w:spacing w:after="0"/>
        <w:rPr>
          <w:sz w:val="18"/>
        </w:rPr>
      </w:pPr>
      <w:r>
        <w:rPr>
          <w:rStyle w:val="FootnoteReference"/>
          <w:sz w:val="18"/>
        </w:rPr>
        <w:footnoteRef/>
      </w:r>
      <w:r>
        <w:rPr>
          <w:sz w:val="18"/>
        </w:rPr>
        <w:t xml:space="preserve"> Litus Advisory / Alma Economics (2016) Mediterranean Growth Initiative, p. 25.</w:t>
      </w:r>
    </w:p>
  </w:footnote>
  <w:footnote w:id="93">
    <w:p>
      <w:pPr>
        <w:pStyle w:val="FootnoteText"/>
        <w:spacing w:after="0"/>
      </w:pPr>
      <w:r>
        <w:rPr>
          <w:rStyle w:val="FootnoteReference"/>
          <w:sz w:val="18"/>
        </w:rPr>
        <w:footnoteRef/>
      </w:r>
      <w:r>
        <w:rPr>
          <w:sz w:val="18"/>
        </w:rPr>
        <w:t xml:space="preserve"> Litus Advisory / Alma Economics (2016) Mediterranean Growth Initiative, p. 28.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A5B4E"/>
    <w:multiLevelType w:val="hybridMultilevel"/>
    <w:tmpl w:val="0D54C79A"/>
    <w:lvl w:ilvl="0" w:tplc="5B8EF07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E11569"/>
    <w:multiLevelType w:val="hybridMultilevel"/>
    <w:tmpl w:val="005E84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A84B12"/>
    <w:multiLevelType w:val="hybridMultilevel"/>
    <w:tmpl w:val="4F40D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C224D6"/>
    <w:multiLevelType w:val="hybridMultilevel"/>
    <w:tmpl w:val="E20ECA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5402582"/>
    <w:multiLevelType w:val="hybridMultilevel"/>
    <w:tmpl w:val="34C2633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7BE2326"/>
    <w:multiLevelType w:val="hybridMultilevel"/>
    <w:tmpl w:val="474A6BF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8100CD3"/>
    <w:multiLevelType w:val="hybridMultilevel"/>
    <w:tmpl w:val="6298EC5A"/>
    <w:lvl w:ilvl="0" w:tplc="2520AD3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8457871"/>
    <w:multiLevelType w:val="hybridMultilevel"/>
    <w:tmpl w:val="A2E007A0"/>
    <w:lvl w:ilvl="0" w:tplc="2520AD3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9C3303C"/>
    <w:multiLevelType w:val="hybridMultilevel"/>
    <w:tmpl w:val="5434E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DD559B8"/>
    <w:multiLevelType w:val="hybridMultilevel"/>
    <w:tmpl w:val="7E46A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145369F"/>
    <w:multiLevelType w:val="hybridMultilevel"/>
    <w:tmpl w:val="80803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3652B54"/>
    <w:multiLevelType w:val="hybridMultilevel"/>
    <w:tmpl w:val="F416A9EE"/>
    <w:lvl w:ilvl="0" w:tplc="2520AD3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37E7B69"/>
    <w:multiLevelType w:val="hybridMultilevel"/>
    <w:tmpl w:val="89C61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5285DD8"/>
    <w:multiLevelType w:val="hybridMultilevel"/>
    <w:tmpl w:val="C05AEA9E"/>
    <w:lvl w:ilvl="0" w:tplc="7366888A">
      <w:start w:val="1"/>
      <w:numFmt w:val="decimal"/>
      <w:lvlText w:val="%1."/>
      <w:lvlJc w:val="left"/>
      <w:pPr>
        <w:ind w:left="360" w:hanging="360"/>
      </w:pPr>
      <w:rPr>
        <w:rFonts w:hint="default"/>
        <w:color w:val="00AEF0"/>
      </w:rPr>
    </w:lvl>
    <w:lvl w:ilvl="1" w:tplc="FFFFFFFF">
      <w:start w:val="1"/>
      <w:numFmt w:val="bullet"/>
      <w:pStyle w:val="Bulletpoint1"/>
      <w:lvlText w:val="o"/>
      <w:lvlJc w:val="left"/>
      <w:pPr>
        <w:ind w:left="1083" w:hanging="360"/>
      </w:pPr>
      <w:rPr>
        <w:rFonts w:ascii="Courier New" w:hAnsi="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14">
    <w:nsid w:val="157011A6"/>
    <w:multiLevelType w:val="hybridMultilevel"/>
    <w:tmpl w:val="79122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168F1D65"/>
    <w:multiLevelType w:val="hybridMultilevel"/>
    <w:tmpl w:val="C2688292"/>
    <w:lvl w:ilvl="0" w:tplc="1CC05D82">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82274AD"/>
    <w:multiLevelType w:val="hybridMultilevel"/>
    <w:tmpl w:val="7A56C72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18CA2C07"/>
    <w:multiLevelType w:val="hybridMultilevel"/>
    <w:tmpl w:val="9E68A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9063B49"/>
    <w:multiLevelType w:val="hybridMultilevel"/>
    <w:tmpl w:val="2B62D92A"/>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2520AD3E">
      <w:start w:val="1"/>
      <w:numFmt w:val="bullet"/>
      <w:lvlText w:val="-"/>
      <w:lvlJc w:val="left"/>
      <w:pPr>
        <w:ind w:left="2160" w:hanging="180"/>
      </w:pPr>
      <w:rPr>
        <w:rFonts w:ascii="Courier New" w:hAnsi="Courier New"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94A50CF"/>
    <w:multiLevelType w:val="hybridMultilevel"/>
    <w:tmpl w:val="A8A07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9BF5A6B"/>
    <w:multiLevelType w:val="hybridMultilevel"/>
    <w:tmpl w:val="457AB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B177E7E"/>
    <w:multiLevelType w:val="hybridMultilevel"/>
    <w:tmpl w:val="142E8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DDE01FF"/>
    <w:multiLevelType w:val="hybridMultilevel"/>
    <w:tmpl w:val="8A6A6E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nsid w:val="1DF73418"/>
    <w:multiLevelType w:val="hybridMultilevel"/>
    <w:tmpl w:val="676ABE92"/>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E4157F1"/>
    <w:multiLevelType w:val="hybridMultilevel"/>
    <w:tmpl w:val="F83CBEEA"/>
    <w:lvl w:ilvl="0" w:tplc="2520AD3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F5D7454"/>
    <w:multiLevelType w:val="hybridMultilevel"/>
    <w:tmpl w:val="F5E04CB4"/>
    <w:lvl w:ilvl="0" w:tplc="5B8EF070">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FD44488"/>
    <w:multiLevelType w:val="multilevel"/>
    <w:tmpl w:val="71461038"/>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080"/>
        </w:tabs>
        <w:ind w:left="1080" w:hanging="600"/>
      </w:pPr>
      <w:rPr>
        <w:rFonts w:hint="default"/>
      </w:rPr>
    </w:lvl>
    <w:lvl w:ilvl="2">
      <w:start w:val="1"/>
      <w:numFmt w:val="decimal"/>
      <w:lvlText w:val="%1.%2.%3."/>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1FF828A1"/>
    <w:multiLevelType w:val="hybridMultilevel"/>
    <w:tmpl w:val="BCA221A4"/>
    <w:lvl w:ilvl="0" w:tplc="4918A874">
      <w:numFmt w:val="bullet"/>
      <w:lvlText w:val="•"/>
      <w:lvlJc w:val="left"/>
      <w:pPr>
        <w:ind w:left="720" w:hanging="72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206913AC"/>
    <w:multiLevelType w:val="hybridMultilevel"/>
    <w:tmpl w:val="6AA6DD42"/>
    <w:lvl w:ilvl="0" w:tplc="08090001">
      <w:start w:val="1"/>
      <w:numFmt w:val="bullet"/>
      <w:lvlText w:val=""/>
      <w:lvlJc w:val="left"/>
      <w:pPr>
        <w:ind w:left="1080" w:hanging="360"/>
      </w:pPr>
      <w:rPr>
        <w:rFonts w:ascii="Symbol" w:hAnsi="Symbol" w:hint="default"/>
      </w:rPr>
    </w:lvl>
    <w:lvl w:ilvl="1" w:tplc="2520AD3E">
      <w:start w:val="1"/>
      <w:numFmt w:val="bullet"/>
      <w:lvlText w:val="-"/>
      <w:lvlJc w:val="left"/>
      <w:pPr>
        <w:ind w:left="1800" w:hanging="360"/>
      </w:pPr>
      <w:rPr>
        <w:rFonts w:ascii="Courier New" w:hAnsi="Courier New" w:hint="default"/>
      </w:rPr>
    </w:lvl>
    <w:lvl w:ilvl="2" w:tplc="0809000D">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20C9652F"/>
    <w:multiLevelType w:val="hybridMultilevel"/>
    <w:tmpl w:val="1882742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0">
    <w:nsid w:val="210B516E"/>
    <w:multiLevelType w:val="hybridMultilevel"/>
    <w:tmpl w:val="5776D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13357B4"/>
    <w:multiLevelType w:val="hybridMultilevel"/>
    <w:tmpl w:val="C804B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18C22E4"/>
    <w:multiLevelType w:val="hybridMultilevel"/>
    <w:tmpl w:val="9E4EB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23C0F21"/>
    <w:multiLevelType w:val="hybridMultilevel"/>
    <w:tmpl w:val="4220126E"/>
    <w:lvl w:ilvl="0" w:tplc="5B8EF070">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42D17A6"/>
    <w:multiLevelType w:val="hybridMultilevel"/>
    <w:tmpl w:val="E136794C"/>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0F">
      <w:start w:val="1"/>
      <w:numFmt w:val="decimal"/>
      <w:lvlText w:val="%3."/>
      <w:lvlJc w:val="lef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24AC115D"/>
    <w:multiLevelType w:val="hybridMultilevel"/>
    <w:tmpl w:val="B066E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5224BFF"/>
    <w:multiLevelType w:val="hybridMultilevel"/>
    <w:tmpl w:val="905CB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69B36A2"/>
    <w:multiLevelType w:val="hybridMultilevel"/>
    <w:tmpl w:val="E5F483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nsid w:val="29D929B2"/>
    <w:multiLevelType w:val="hybridMultilevel"/>
    <w:tmpl w:val="DA7A0F52"/>
    <w:lvl w:ilvl="0" w:tplc="1CC05D8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2B7F5BD2"/>
    <w:multiLevelType w:val="hybridMultilevel"/>
    <w:tmpl w:val="B832D1E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C2949FA"/>
    <w:multiLevelType w:val="hybridMultilevel"/>
    <w:tmpl w:val="A49A4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0E738E8"/>
    <w:multiLevelType w:val="hybridMultilevel"/>
    <w:tmpl w:val="AC141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0F433E1"/>
    <w:multiLevelType w:val="hybridMultilevel"/>
    <w:tmpl w:val="0422F734"/>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43">
    <w:nsid w:val="33550811"/>
    <w:multiLevelType w:val="hybridMultilevel"/>
    <w:tmpl w:val="3D5C4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35B55BD"/>
    <w:multiLevelType w:val="hybridMultilevel"/>
    <w:tmpl w:val="F202C4E4"/>
    <w:lvl w:ilvl="0" w:tplc="2520AD3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4B012BA"/>
    <w:multiLevelType w:val="hybridMultilevel"/>
    <w:tmpl w:val="5F2227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350D6B81"/>
    <w:multiLevelType w:val="multilevel"/>
    <w:tmpl w:val="67E8AAEE"/>
    <w:lvl w:ilvl="0">
      <w:start w:val="5"/>
      <w:numFmt w:val="decimal"/>
      <w:lvlText w:val="%1."/>
      <w:lvlJc w:val="left"/>
      <w:pPr>
        <w:tabs>
          <w:tab w:val="num" w:pos="960"/>
        </w:tabs>
        <w:ind w:left="960" w:hanging="480"/>
      </w:pPr>
      <w:rPr>
        <w:rFonts w:hint="default"/>
      </w:rPr>
    </w:lvl>
    <w:lvl w:ilvl="1">
      <w:start w:val="1"/>
      <w:numFmt w:val="decimal"/>
      <w:lvlText w:val="%1.%2."/>
      <w:lvlJc w:val="left"/>
      <w:pPr>
        <w:tabs>
          <w:tab w:val="num" w:pos="1560"/>
        </w:tabs>
        <w:ind w:left="1560" w:hanging="600"/>
      </w:pPr>
      <w:rPr>
        <w:rFonts w:hint="default"/>
      </w:rPr>
    </w:lvl>
    <w:lvl w:ilvl="2">
      <w:start w:val="1"/>
      <w:numFmt w:val="decimal"/>
      <w:lvlText w:val="%1.%2.%3."/>
      <w:lvlJc w:val="left"/>
      <w:pPr>
        <w:tabs>
          <w:tab w:val="num" w:pos="2400"/>
        </w:tabs>
        <w:ind w:left="2400" w:hanging="840"/>
      </w:pPr>
      <w:rPr>
        <w:rFonts w:hint="default"/>
      </w:rPr>
    </w:lvl>
    <w:lvl w:ilvl="3">
      <w:start w:val="1"/>
      <w:numFmt w:val="decimal"/>
      <w:lvlText w:val="%1.%2.%3.%4."/>
      <w:lvlJc w:val="left"/>
      <w:pPr>
        <w:tabs>
          <w:tab w:val="num" w:pos="3360"/>
        </w:tabs>
        <w:ind w:left="3360" w:hanging="960"/>
      </w:pPr>
      <w:rPr>
        <w:rFonts w:hint="default"/>
      </w:rPr>
    </w:lvl>
    <w:lvl w:ilvl="4">
      <w:start w:val="1"/>
      <w:numFmt w:val="lowerLetter"/>
      <w:lvlText w:val="(%5)"/>
      <w:lvlJc w:val="left"/>
      <w:pPr>
        <w:tabs>
          <w:tab w:val="num" w:pos="2280"/>
        </w:tabs>
        <w:ind w:left="2280" w:hanging="360"/>
      </w:pPr>
      <w:rPr>
        <w:rFonts w:hint="default"/>
      </w:rPr>
    </w:lvl>
    <w:lvl w:ilvl="5">
      <w:start w:val="1"/>
      <w:numFmt w:val="lowerRoman"/>
      <w:lvlText w:val="(%6)"/>
      <w:lvlJc w:val="left"/>
      <w:pPr>
        <w:tabs>
          <w:tab w:val="num" w:pos="2640"/>
        </w:tabs>
        <w:ind w:left="2640" w:hanging="360"/>
      </w:pPr>
      <w:rPr>
        <w:rFonts w:hint="default"/>
      </w:rPr>
    </w:lvl>
    <w:lvl w:ilvl="6">
      <w:start w:val="1"/>
      <w:numFmt w:val="decimal"/>
      <w:lvlText w:val="%7."/>
      <w:lvlJc w:val="left"/>
      <w:pPr>
        <w:tabs>
          <w:tab w:val="num" w:pos="3000"/>
        </w:tabs>
        <w:ind w:left="3000" w:hanging="360"/>
      </w:pPr>
      <w:rPr>
        <w:rFonts w:hint="default"/>
      </w:rPr>
    </w:lvl>
    <w:lvl w:ilvl="7">
      <w:start w:val="1"/>
      <w:numFmt w:val="lowerLetter"/>
      <w:lvlText w:val="%8."/>
      <w:lvlJc w:val="left"/>
      <w:pPr>
        <w:tabs>
          <w:tab w:val="num" w:pos="3360"/>
        </w:tabs>
        <w:ind w:left="3360" w:hanging="360"/>
      </w:pPr>
      <w:rPr>
        <w:rFonts w:hint="default"/>
      </w:rPr>
    </w:lvl>
    <w:lvl w:ilvl="8">
      <w:start w:val="1"/>
      <w:numFmt w:val="lowerRoman"/>
      <w:lvlText w:val="%9."/>
      <w:lvlJc w:val="left"/>
      <w:pPr>
        <w:tabs>
          <w:tab w:val="num" w:pos="3720"/>
        </w:tabs>
        <w:ind w:left="3720" w:hanging="360"/>
      </w:pPr>
      <w:rPr>
        <w:rFonts w:hint="default"/>
      </w:rPr>
    </w:lvl>
  </w:abstractNum>
  <w:abstractNum w:abstractNumId="47">
    <w:nsid w:val="35BF229D"/>
    <w:multiLevelType w:val="hybridMultilevel"/>
    <w:tmpl w:val="1E7E5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65C3787"/>
    <w:multiLevelType w:val="hybridMultilevel"/>
    <w:tmpl w:val="F4C4B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37FF769E"/>
    <w:multiLevelType w:val="hybridMultilevel"/>
    <w:tmpl w:val="D5C0D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3B056239"/>
    <w:multiLevelType w:val="hybridMultilevel"/>
    <w:tmpl w:val="F62ED7C0"/>
    <w:lvl w:ilvl="0" w:tplc="5B8EF07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B19655C"/>
    <w:multiLevelType w:val="hybridMultilevel"/>
    <w:tmpl w:val="44420A54"/>
    <w:lvl w:ilvl="0" w:tplc="6DE435A4">
      <w:start w:val="1"/>
      <w:numFmt w:val="decimal"/>
      <w:lvlText w:val="%1."/>
      <w:lvlJc w:val="left"/>
      <w:pPr>
        <w:ind w:left="462" w:hanging="405"/>
      </w:pPr>
      <w:rPr>
        <w:rFonts w:hint="default"/>
        <w:u w:val="none"/>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52">
    <w:nsid w:val="3BD529F7"/>
    <w:multiLevelType w:val="hybridMultilevel"/>
    <w:tmpl w:val="3048C94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3">
    <w:nsid w:val="3C0C60D3"/>
    <w:multiLevelType w:val="hybridMultilevel"/>
    <w:tmpl w:val="B3789D38"/>
    <w:lvl w:ilvl="0" w:tplc="5B8EF07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3C1B0629"/>
    <w:multiLevelType w:val="hybridMultilevel"/>
    <w:tmpl w:val="296A35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3C235D70"/>
    <w:multiLevelType w:val="hybridMultilevel"/>
    <w:tmpl w:val="985C891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3EA742BE"/>
    <w:multiLevelType w:val="hybridMultilevel"/>
    <w:tmpl w:val="4A76EE1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nsid w:val="3F3B6F55"/>
    <w:multiLevelType w:val="hybridMultilevel"/>
    <w:tmpl w:val="B282D76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8">
    <w:nsid w:val="4085706C"/>
    <w:multiLevelType w:val="hybridMultilevel"/>
    <w:tmpl w:val="7A709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40F819D5"/>
    <w:multiLevelType w:val="hybridMultilevel"/>
    <w:tmpl w:val="1D3E1D66"/>
    <w:lvl w:ilvl="0" w:tplc="39003762">
      <w:start w:val="1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3EB6270"/>
    <w:multiLevelType w:val="hybridMultilevel"/>
    <w:tmpl w:val="80B41812"/>
    <w:lvl w:ilvl="0" w:tplc="5B8EF07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44025329"/>
    <w:multiLevelType w:val="hybridMultilevel"/>
    <w:tmpl w:val="17F8F766"/>
    <w:lvl w:ilvl="0" w:tplc="1CC05D8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44117B2E"/>
    <w:multiLevelType w:val="hybridMultilevel"/>
    <w:tmpl w:val="C514444E"/>
    <w:lvl w:ilvl="0" w:tplc="1CC05D8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44257BBA"/>
    <w:multiLevelType w:val="hybridMultilevel"/>
    <w:tmpl w:val="E5104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44EA18AB"/>
    <w:multiLevelType w:val="hybridMultilevel"/>
    <w:tmpl w:val="34ECCBEA"/>
    <w:lvl w:ilvl="0" w:tplc="2520AD3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46074D62"/>
    <w:multiLevelType w:val="multilevel"/>
    <w:tmpl w:val="C560AB78"/>
    <w:lvl w:ilvl="0">
      <w:start w:val="2"/>
      <w:numFmt w:val="decimal"/>
      <w:lvlText w:val="%1."/>
      <w:lvlJc w:val="left"/>
      <w:pPr>
        <w:tabs>
          <w:tab w:val="num" w:pos="960"/>
        </w:tabs>
        <w:ind w:left="960" w:hanging="480"/>
      </w:pPr>
      <w:rPr>
        <w:rFonts w:hint="default"/>
      </w:rPr>
    </w:lvl>
    <w:lvl w:ilvl="1">
      <w:start w:val="1"/>
      <w:numFmt w:val="decimal"/>
      <w:lvlText w:val="%1.%2."/>
      <w:lvlJc w:val="left"/>
      <w:pPr>
        <w:tabs>
          <w:tab w:val="num" w:pos="1560"/>
        </w:tabs>
        <w:ind w:left="1560" w:hanging="600"/>
      </w:pPr>
      <w:rPr>
        <w:rFonts w:hint="default"/>
      </w:rPr>
    </w:lvl>
    <w:lvl w:ilvl="2">
      <w:start w:val="1"/>
      <w:numFmt w:val="decimal"/>
      <w:lvlText w:val="%1.%2.%3."/>
      <w:lvlJc w:val="left"/>
      <w:pPr>
        <w:tabs>
          <w:tab w:val="num" w:pos="2400"/>
        </w:tabs>
        <w:ind w:left="2400" w:hanging="840"/>
      </w:pPr>
      <w:rPr>
        <w:rFonts w:hint="default"/>
      </w:rPr>
    </w:lvl>
    <w:lvl w:ilvl="3">
      <w:start w:val="1"/>
      <w:numFmt w:val="decimal"/>
      <w:lvlText w:val="%1.%2.%3.%4."/>
      <w:lvlJc w:val="left"/>
      <w:pPr>
        <w:tabs>
          <w:tab w:val="num" w:pos="3360"/>
        </w:tabs>
        <w:ind w:left="3360" w:hanging="960"/>
      </w:pPr>
      <w:rPr>
        <w:rFonts w:hint="default"/>
      </w:rPr>
    </w:lvl>
    <w:lvl w:ilvl="4">
      <w:start w:val="1"/>
      <w:numFmt w:val="lowerLetter"/>
      <w:lvlText w:val="(%5)"/>
      <w:lvlJc w:val="left"/>
      <w:pPr>
        <w:tabs>
          <w:tab w:val="num" w:pos="2280"/>
        </w:tabs>
        <w:ind w:left="2280" w:hanging="360"/>
      </w:pPr>
      <w:rPr>
        <w:rFonts w:hint="default"/>
      </w:rPr>
    </w:lvl>
    <w:lvl w:ilvl="5">
      <w:start w:val="1"/>
      <w:numFmt w:val="lowerRoman"/>
      <w:lvlText w:val="(%6)"/>
      <w:lvlJc w:val="left"/>
      <w:pPr>
        <w:tabs>
          <w:tab w:val="num" w:pos="2640"/>
        </w:tabs>
        <w:ind w:left="2640" w:hanging="360"/>
      </w:pPr>
      <w:rPr>
        <w:rFonts w:hint="default"/>
      </w:rPr>
    </w:lvl>
    <w:lvl w:ilvl="6">
      <w:start w:val="1"/>
      <w:numFmt w:val="decimal"/>
      <w:lvlText w:val="%7."/>
      <w:lvlJc w:val="left"/>
      <w:pPr>
        <w:tabs>
          <w:tab w:val="num" w:pos="3000"/>
        </w:tabs>
        <w:ind w:left="3000" w:hanging="360"/>
      </w:pPr>
      <w:rPr>
        <w:rFonts w:hint="default"/>
      </w:rPr>
    </w:lvl>
    <w:lvl w:ilvl="7">
      <w:start w:val="1"/>
      <w:numFmt w:val="lowerLetter"/>
      <w:lvlText w:val="%8."/>
      <w:lvlJc w:val="left"/>
      <w:pPr>
        <w:tabs>
          <w:tab w:val="num" w:pos="3360"/>
        </w:tabs>
        <w:ind w:left="3360" w:hanging="360"/>
      </w:pPr>
      <w:rPr>
        <w:rFonts w:hint="default"/>
      </w:rPr>
    </w:lvl>
    <w:lvl w:ilvl="8">
      <w:start w:val="1"/>
      <w:numFmt w:val="lowerRoman"/>
      <w:lvlText w:val="%9."/>
      <w:lvlJc w:val="left"/>
      <w:pPr>
        <w:tabs>
          <w:tab w:val="num" w:pos="3720"/>
        </w:tabs>
        <w:ind w:left="3720" w:hanging="360"/>
      </w:pPr>
      <w:rPr>
        <w:rFonts w:hint="default"/>
      </w:rPr>
    </w:lvl>
  </w:abstractNum>
  <w:abstractNum w:abstractNumId="66">
    <w:nsid w:val="475B2E69"/>
    <w:multiLevelType w:val="hybridMultilevel"/>
    <w:tmpl w:val="6ED8C8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7D331CB"/>
    <w:multiLevelType w:val="hybridMultilevel"/>
    <w:tmpl w:val="DD10304A"/>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4829178D"/>
    <w:multiLevelType w:val="hybridMultilevel"/>
    <w:tmpl w:val="81C012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nsid w:val="48436657"/>
    <w:multiLevelType w:val="hybridMultilevel"/>
    <w:tmpl w:val="C4988A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4A100E58"/>
    <w:multiLevelType w:val="hybridMultilevel"/>
    <w:tmpl w:val="FDF8C2D8"/>
    <w:lvl w:ilvl="0" w:tplc="5B8EF07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4A304DB2"/>
    <w:multiLevelType w:val="hybridMultilevel"/>
    <w:tmpl w:val="D87E1A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2">
    <w:nsid w:val="4A432656"/>
    <w:multiLevelType w:val="multilevel"/>
    <w:tmpl w:val="9B78DAD0"/>
    <w:lvl w:ilvl="0">
      <w:start w:val="1"/>
      <w:numFmt w:val="decimal"/>
      <w:lvlText w:val="%1."/>
      <w:lvlJc w:val="left"/>
      <w:pPr>
        <w:tabs>
          <w:tab w:val="num" w:pos="480"/>
        </w:tabs>
        <w:ind w:left="480" w:hanging="480"/>
      </w:pPr>
    </w:lvl>
    <w:lvl w:ilvl="1">
      <w:start w:val="1"/>
      <w:numFmt w:val="decimal"/>
      <w:lvlText w:val="%1.%2."/>
      <w:lvlJc w:val="left"/>
      <w:pPr>
        <w:tabs>
          <w:tab w:val="num" w:pos="1080"/>
        </w:tabs>
        <w:ind w:left="1080" w:hanging="600"/>
      </w:pPr>
    </w:lvl>
    <w:lvl w:ilvl="2">
      <w:start w:val="1"/>
      <w:numFmt w:val="decimal"/>
      <w:lvlText w:val="%1.%2.%3."/>
      <w:lvlJc w:val="left"/>
      <w:pPr>
        <w:tabs>
          <w:tab w:val="num" w:pos="1920"/>
        </w:tabs>
        <w:ind w:left="1920"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nsid w:val="4A5D10E1"/>
    <w:multiLevelType w:val="hybridMultilevel"/>
    <w:tmpl w:val="658062C2"/>
    <w:lvl w:ilvl="0" w:tplc="0809000F">
      <w:start w:val="1"/>
      <w:numFmt w:val="decimal"/>
      <w:lvlText w:val="%1."/>
      <w:lvlJc w:val="left"/>
      <w:pPr>
        <w:ind w:left="720" w:hanging="360"/>
      </w:pPr>
    </w:lvl>
    <w:lvl w:ilvl="1" w:tplc="5B8EF070">
      <w:start w:val="1"/>
      <w:numFmt w:val="bullet"/>
      <w:lvlText w:val="▪"/>
      <w:lvlJc w:val="left"/>
      <w:pPr>
        <w:ind w:left="1440" w:hanging="360"/>
      </w:pPr>
      <w:rPr>
        <w:rFonts w:ascii="Times New Roman"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4C8F5BB0"/>
    <w:multiLevelType w:val="hybridMultilevel"/>
    <w:tmpl w:val="871A7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4E49129D"/>
    <w:multiLevelType w:val="multilevel"/>
    <w:tmpl w:val="B7EA1802"/>
    <w:lvl w:ilvl="0">
      <w:start w:val="3"/>
      <w:numFmt w:val="decimal"/>
      <w:lvlText w:val="%1."/>
      <w:lvlJc w:val="left"/>
      <w:pPr>
        <w:tabs>
          <w:tab w:val="num" w:pos="480"/>
        </w:tabs>
        <w:ind w:left="480" w:hanging="480"/>
      </w:pPr>
      <w:rPr>
        <w:rFonts w:hint="default"/>
      </w:rPr>
    </w:lvl>
    <w:lvl w:ilvl="1">
      <w:start w:val="1"/>
      <w:numFmt w:val="decimal"/>
      <w:lvlText w:val="%1.%2."/>
      <w:lvlJc w:val="left"/>
      <w:pPr>
        <w:tabs>
          <w:tab w:val="num" w:pos="1080"/>
        </w:tabs>
        <w:ind w:left="1080" w:hanging="600"/>
      </w:pPr>
      <w:rPr>
        <w:rFonts w:hint="default"/>
      </w:rPr>
    </w:lvl>
    <w:lvl w:ilvl="2">
      <w:start w:val="1"/>
      <w:numFmt w:val="decimal"/>
      <w:lvlText w:val="%1.%2.%3."/>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6">
    <w:nsid w:val="4E834946"/>
    <w:multiLevelType w:val="hybridMultilevel"/>
    <w:tmpl w:val="9F2494EE"/>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F065DCB"/>
    <w:multiLevelType w:val="hybridMultilevel"/>
    <w:tmpl w:val="0FB2729A"/>
    <w:lvl w:ilvl="0" w:tplc="2520AD3E">
      <w:start w:val="1"/>
      <w:numFmt w:val="bullet"/>
      <w:lvlText w:val="-"/>
      <w:lvlJc w:val="left"/>
      <w:pPr>
        <w:ind w:left="1080" w:hanging="360"/>
      </w:pPr>
      <w:rPr>
        <w:rFonts w:ascii="Courier New" w:hAnsi="Courier New" w:hint="default"/>
      </w:rPr>
    </w:lvl>
    <w:lvl w:ilvl="1" w:tplc="040A0003" w:tentative="1">
      <w:start w:val="1"/>
      <w:numFmt w:val="bullet"/>
      <w:lvlText w:val="o"/>
      <w:lvlJc w:val="left"/>
      <w:pPr>
        <w:ind w:left="1800" w:hanging="360"/>
      </w:pPr>
      <w:rPr>
        <w:rFonts w:ascii="Courier New" w:hAnsi="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78">
    <w:nsid w:val="4F8153DA"/>
    <w:multiLevelType w:val="hybridMultilevel"/>
    <w:tmpl w:val="54084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514E5B0E"/>
    <w:multiLevelType w:val="hybridMultilevel"/>
    <w:tmpl w:val="DDF24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51F44464"/>
    <w:multiLevelType w:val="hybridMultilevel"/>
    <w:tmpl w:val="FFD07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5236222B"/>
    <w:multiLevelType w:val="hybridMultilevel"/>
    <w:tmpl w:val="B930F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52B64BFC"/>
    <w:multiLevelType w:val="multilevel"/>
    <w:tmpl w:val="71461038"/>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080"/>
        </w:tabs>
        <w:ind w:left="1080" w:hanging="600"/>
      </w:pPr>
      <w:rPr>
        <w:rFonts w:hint="default"/>
      </w:rPr>
    </w:lvl>
    <w:lvl w:ilvl="2">
      <w:start w:val="1"/>
      <w:numFmt w:val="decimal"/>
      <w:lvlText w:val="%1.%2.%3."/>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3">
    <w:nsid w:val="53743DEF"/>
    <w:multiLevelType w:val="hybridMultilevel"/>
    <w:tmpl w:val="90BC2478"/>
    <w:lvl w:ilvl="0" w:tplc="1CC05D8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nsid w:val="53912771"/>
    <w:multiLevelType w:val="hybridMultilevel"/>
    <w:tmpl w:val="9A96F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53B45FF1"/>
    <w:multiLevelType w:val="hybridMultilevel"/>
    <w:tmpl w:val="EAD23B6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6">
    <w:nsid w:val="56B52531"/>
    <w:multiLevelType w:val="multilevel"/>
    <w:tmpl w:val="74A8C164"/>
    <w:lvl w:ilvl="0">
      <w:numFmt w:val="decimal"/>
      <w:pStyle w:val="HeaderCoverPage"/>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7">
    <w:nsid w:val="586027D6"/>
    <w:multiLevelType w:val="hybridMultilevel"/>
    <w:tmpl w:val="0A6C263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5860361F"/>
    <w:multiLevelType w:val="hybridMultilevel"/>
    <w:tmpl w:val="1F7E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5C0D2BE5"/>
    <w:multiLevelType w:val="hybridMultilevel"/>
    <w:tmpl w:val="3C28154E"/>
    <w:lvl w:ilvl="0" w:tplc="08090001">
      <w:start w:val="1"/>
      <w:numFmt w:val="bullet"/>
      <w:lvlText w:val=""/>
      <w:lvlJc w:val="left"/>
      <w:pPr>
        <w:ind w:left="720" w:hanging="72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0">
    <w:nsid w:val="5C433A76"/>
    <w:multiLevelType w:val="hybridMultilevel"/>
    <w:tmpl w:val="E7007C2A"/>
    <w:lvl w:ilvl="0" w:tplc="2520AD3E">
      <w:start w:val="1"/>
      <w:numFmt w:val="bullet"/>
      <w:lvlText w:val="-"/>
      <w:lvlJc w:val="left"/>
      <w:pPr>
        <w:ind w:left="786" w:hanging="360"/>
      </w:pPr>
      <w:rPr>
        <w:rFonts w:ascii="Courier New" w:hAnsi="Courier New"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91">
    <w:nsid w:val="5C6C7059"/>
    <w:multiLevelType w:val="hybridMultilevel"/>
    <w:tmpl w:val="AAAAE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5F6D22D9"/>
    <w:multiLevelType w:val="hybridMultilevel"/>
    <w:tmpl w:val="51826F14"/>
    <w:lvl w:ilvl="0" w:tplc="1CC05D8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nsid w:val="5F9F2B17"/>
    <w:multiLevelType w:val="hybridMultilevel"/>
    <w:tmpl w:val="54CED7DA"/>
    <w:lvl w:ilvl="0" w:tplc="08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60893880"/>
    <w:multiLevelType w:val="hybridMultilevel"/>
    <w:tmpl w:val="A568EEA6"/>
    <w:lvl w:ilvl="0" w:tplc="0809000D">
      <w:start w:val="1"/>
      <w:numFmt w:val="bullet"/>
      <w:lvlText w:val=""/>
      <w:lvlJc w:val="left"/>
      <w:pPr>
        <w:ind w:left="720" w:hanging="360"/>
      </w:pPr>
      <w:rPr>
        <w:rFonts w:ascii="Wingdings" w:hAnsi="Wingdings" w:hint="default"/>
      </w:rPr>
    </w:lvl>
    <w:lvl w:ilvl="1" w:tplc="2520AD3E">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6110740D"/>
    <w:multiLevelType w:val="hybridMultilevel"/>
    <w:tmpl w:val="AACA774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6">
    <w:nsid w:val="62AF2C6C"/>
    <w:multiLevelType w:val="hybridMultilevel"/>
    <w:tmpl w:val="E1ECBF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62C61F5D"/>
    <w:multiLevelType w:val="hybridMultilevel"/>
    <w:tmpl w:val="FA5895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660053C9"/>
    <w:multiLevelType w:val="hybridMultilevel"/>
    <w:tmpl w:val="1AF826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9">
    <w:nsid w:val="67073D4C"/>
    <w:multiLevelType w:val="hybridMultilevel"/>
    <w:tmpl w:val="843C8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67FB4AC8"/>
    <w:multiLevelType w:val="hybridMultilevel"/>
    <w:tmpl w:val="0A1ADD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67FB580F"/>
    <w:multiLevelType w:val="hybridMultilevel"/>
    <w:tmpl w:val="1EF05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6870502C"/>
    <w:multiLevelType w:val="multilevel"/>
    <w:tmpl w:val="4AC0FBE2"/>
    <w:lvl w:ilvl="0">
      <w:start w:val="12"/>
      <w:numFmt w:val="decimal"/>
      <w:lvlText w:val="%1."/>
      <w:lvlJc w:val="left"/>
      <w:pPr>
        <w:tabs>
          <w:tab w:val="num" w:pos="480"/>
        </w:tabs>
        <w:ind w:left="480" w:hanging="480"/>
      </w:pPr>
      <w:rPr>
        <w:rFonts w:hint="default"/>
      </w:rPr>
    </w:lvl>
    <w:lvl w:ilvl="1">
      <w:start w:val="1"/>
      <w:numFmt w:val="decimal"/>
      <w:lvlText w:val="%1.%2."/>
      <w:lvlJc w:val="left"/>
      <w:pPr>
        <w:tabs>
          <w:tab w:val="num" w:pos="1080"/>
        </w:tabs>
        <w:ind w:left="1080" w:hanging="600"/>
      </w:pPr>
      <w:rPr>
        <w:rFonts w:hint="default"/>
      </w:rPr>
    </w:lvl>
    <w:lvl w:ilvl="2">
      <w:start w:val="1"/>
      <w:numFmt w:val="decimal"/>
      <w:lvlText w:val="%1.%2.%3."/>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3">
    <w:nsid w:val="692A457C"/>
    <w:multiLevelType w:val="hybridMultilevel"/>
    <w:tmpl w:val="B79081F2"/>
    <w:lvl w:ilvl="0" w:tplc="5B8EF07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6A1324FF"/>
    <w:multiLevelType w:val="hybridMultilevel"/>
    <w:tmpl w:val="833E5192"/>
    <w:lvl w:ilvl="0" w:tplc="04090001">
      <w:start w:val="1"/>
      <w:numFmt w:val="bullet"/>
      <w:lvlText w:val=""/>
      <w:lvlJc w:val="left"/>
      <w:pPr>
        <w:ind w:left="428" w:hanging="360"/>
      </w:pPr>
      <w:rPr>
        <w:rFonts w:ascii="Symbol" w:hAnsi="Symbol" w:hint="default"/>
      </w:rPr>
    </w:lvl>
    <w:lvl w:ilvl="1" w:tplc="04090003">
      <w:start w:val="1"/>
      <w:numFmt w:val="bullet"/>
      <w:lvlText w:val="o"/>
      <w:lvlJc w:val="left"/>
      <w:pPr>
        <w:ind w:left="1148" w:hanging="360"/>
      </w:pPr>
      <w:rPr>
        <w:rFonts w:ascii="Courier New" w:hAnsi="Courier New" w:hint="default"/>
      </w:rPr>
    </w:lvl>
    <w:lvl w:ilvl="2" w:tplc="04090005">
      <w:start w:val="1"/>
      <w:numFmt w:val="bullet"/>
      <w:lvlText w:val=""/>
      <w:lvlJc w:val="left"/>
      <w:pPr>
        <w:ind w:left="1868" w:hanging="360"/>
      </w:pPr>
      <w:rPr>
        <w:rFonts w:ascii="Wingdings" w:hAnsi="Wingdings" w:hint="default"/>
      </w:rPr>
    </w:lvl>
    <w:lvl w:ilvl="3" w:tplc="9F54C2EE">
      <w:numFmt w:val="bullet"/>
      <w:lvlText w:val="-"/>
      <w:lvlJc w:val="left"/>
      <w:pPr>
        <w:ind w:left="2588" w:hanging="360"/>
      </w:pPr>
      <w:rPr>
        <w:rFonts w:ascii="Times New Roman" w:eastAsiaTheme="minorHAnsi" w:hAnsi="Times New Roman" w:cs="Times New Roman" w:hint="default"/>
      </w:rPr>
    </w:lvl>
    <w:lvl w:ilvl="4" w:tplc="04090003" w:tentative="1">
      <w:start w:val="1"/>
      <w:numFmt w:val="bullet"/>
      <w:lvlText w:val="o"/>
      <w:lvlJc w:val="left"/>
      <w:pPr>
        <w:ind w:left="3308" w:hanging="360"/>
      </w:pPr>
      <w:rPr>
        <w:rFonts w:ascii="Courier New" w:hAnsi="Courier New" w:hint="default"/>
      </w:rPr>
    </w:lvl>
    <w:lvl w:ilvl="5" w:tplc="04090005" w:tentative="1">
      <w:start w:val="1"/>
      <w:numFmt w:val="bullet"/>
      <w:lvlText w:val=""/>
      <w:lvlJc w:val="left"/>
      <w:pPr>
        <w:ind w:left="4028" w:hanging="360"/>
      </w:pPr>
      <w:rPr>
        <w:rFonts w:ascii="Wingdings" w:hAnsi="Wingdings" w:hint="default"/>
      </w:rPr>
    </w:lvl>
    <w:lvl w:ilvl="6" w:tplc="04090001" w:tentative="1">
      <w:start w:val="1"/>
      <w:numFmt w:val="bullet"/>
      <w:lvlText w:val=""/>
      <w:lvlJc w:val="left"/>
      <w:pPr>
        <w:ind w:left="4748" w:hanging="360"/>
      </w:pPr>
      <w:rPr>
        <w:rFonts w:ascii="Symbol" w:hAnsi="Symbol" w:hint="default"/>
      </w:rPr>
    </w:lvl>
    <w:lvl w:ilvl="7" w:tplc="04090003" w:tentative="1">
      <w:start w:val="1"/>
      <w:numFmt w:val="bullet"/>
      <w:lvlText w:val="o"/>
      <w:lvlJc w:val="left"/>
      <w:pPr>
        <w:ind w:left="5468" w:hanging="360"/>
      </w:pPr>
      <w:rPr>
        <w:rFonts w:ascii="Courier New" w:hAnsi="Courier New" w:hint="default"/>
      </w:rPr>
    </w:lvl>
    <w:lvl w:ilvl="8" w:tplc="04090005" w:tentative="1">
      <w:start w:val="1"/>
      <w:numFmt w:val="bullet"/>
      <w:lvlText w:val=""/>
      <w:lvlJc w:val="left"/>
      <w:pPr>
        <w:ind w:left="6188" w:hanging="360"/>
      </w:pPr>
      <w:rPr>
        <w:rFonts w:ascii="Wingdings" w:hAnsi="Wingdings" w:hint="default"/>
      </w:rPr>
    </w:lvl>
  </w:abstractNum>
  <w:abstractNum w:abstractNumId="105">
    <w:nsid w:val="6B1B2F4C"/>
    <w:multiLevelType w:val="hybridMultilevel"/>
    <w:tmpl w:val="ED881416"/>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6CB07225"/>
    <w:multiLevelType w:val="hybridMultilevel"/>
    <w:tmpl w:val="44420A54"/>
    <w:lvl w:ilvl="0" w:tplc="6DE435A4">
      <w:start w:val="1"/>
      <w:numFmt w:val="decimal"/>
      <w:lvlText w:val="%1."/>
      <w:lvlJc w:val="left"/>
      <w:pPr>
        <w:ind w:left="462" w:hanging="405"/>
      </w:pPr>
      <w:rPr>
        <w:rFonts w:hint="default"/>
        <w:u w:val="none"/>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107">
    <w:nsid w:val="6F3353EA"/>
    <w:multiLevelType w:val="hybridMultilevel"/>
    <w:tmpl w:val="1BAE4F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nsid w:val="70C624C7"/>
    <w:multiLevelType w:val="hybridMultilevel"/>
    <w:tmpl w:val="5F5EF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720E4E25"/>
    <w:multiLevelType w:val="hybridMultilevel"/>
    <w:tmpl w:val="4D2866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0">
    <w:nsid w:val="730C57E9"/>
    <w:multiLevelType w:val="hybridMultilevel"/>
    <w:tmpl w:val="C4FECE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1">
    <w:nsid w:val="73195498"/>
    <w:multiLevelType w:val="hybridMultilevel"/>
    <w:tmpl w:val="41641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751212B4"/>
    <w:multiLevelType w:val="hybridMultilevel"/>
    <w:tmpl w:val="7854A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756A34DC"/>
    <w:multiLevelType w:val="hybridMultilevel"/>
    <w:tmpl w:val="35ECF60E"/>
    <w:lvl w:ilvl="0" w:tplc="08090003">
      <w:start w:val="1"/>
      <w:numFmt w:val="bullet"/>
      <w:lvlText w:val="o"/>
      <w:lvlJc w:val="left"/>
      <w:pPr>
        <w:ind w:left="1080" w:hanging="360"/>
      </w:pPr>
      <w:rPr>
        <w:rFonts w:ascii="Courier New" w:hAnsi="Courier New" w:cs="Courier New" w:hint="default"/>
      </w:rPr>
    </w:lvl>
    <w:lvl w:ilvl="1" w:tplc="040A0003" w:tentative="1">
      <w:start w:val="1"/>
      <w:numFmt w:val="bullet"/>
      <w:lvlText w:val="o"/>
      <w:lvlJc w:val="left"/>
      <w:pPr>
        <w:ind w:left="1800" w:hanging="360"/>
      </w:pPr>
      <w:rPr>
        <w:rFonts w:ascii="Courier New" w:hAnsi="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14">
    <w:nsid w:val="78CB4522"/>
    <w:multiLevelType w:val="hybridMultilevel"/>
    <w:tmpl w:val="CF42D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791C6DB6"/>
    <w:multiLevelType w:val="hybridMultilevel"/>
    <w:tmpl w:val="4A3A1024"/>
    <w:lvl w:ilvl="0" w:tplc="A7F4D9E8">
      <w:start w:val="1"/>
      <w:numFmt w:val="bullet"/>
      <w:lvlText w:val=""/>
      <w:lvlJc w:val="left"/>
      <w:pPr>
        <w:ind w:left="786" w:hanging="360"/>
      </w:pPr>
      <w:rPr>
        <w:rFonts w:ascii="Symbol" w:hAnsi="Symbol" w:hint="default"/>
      </w:rPr>
    </w:lvl>
    <w:lvl w:ilvl="1" w:tplc="A7F4D9E8">
      <w:start w:val="1"/>
      <w:numFmt w:val="bullet"/>
      <w:lvlText w:val=""/>
      <w:lvlJc w:val="left"/>
      <w:pPr>
        <w:ind w:left="1506" w:hanging="360"/>
      </w:pPr>
      <w:rPr>
        <w:rFonts w:ascii="Symbol" w:hAnsi="Symbol"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6">
    <w:nsid w:val="79C71F3E"/>
    <w:multiLevelType w:val="hybridMultilevel"/>
    <w:tmpl w:val="9CEA5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79DB2009"/>
    <w:multiLevelType w:val="hybridMultilevel"/>
    <w:tmpl w:val="7316B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7AC531A0"/>
    <w:multiLevelType w:val="hybridMultilevel"/>
    <w:tmpl w:val="27CAC8BC"/>
    <w:lvl w:ilvl="0" w:tplc="08090015">
      <w:start w:val="1"/>
      <w:numFmt w:val="upp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nsid w:val="7BF964F3"/>
    <w:multiLevelType w:val="hybridMultilevel"/>
    <w:tmpl w:val="1F626BCA"/>
    <w:lvl w:ilvl="0" w:tplc="5B8EF07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nsid w:val="7D0E628D"/>
    <w:multiLevelType w:val="hybridMultilevel"/>
    <w:tmpl w:val="FC6E8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nsid w:val="7DAD3352"/>
    <w:multiLevelType w:val="hybridMultilevel"/>
    <w:tmpl w:val="3C2E05B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2">
    <w:nsid w:val="7DB263BD"/>
    <w:multiLevelType w:val="hybridMultilevel"/>
    <w:tmpl w:val="33FA484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7E043AD4"/>
    <w:multiLevelType w:val="hybridMultilevel"/>
    <w:tmpl w:val="162E40E4"/>
    <w:lvl w:ilvl="0" w:tplc="A7F4D9E8">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4">
    <w:nsid w:val="7F442074"/>
    <w:multiLevelType w:val="hybridMultilevel"/>
    <w:tmpl w:val="55E6B7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5">
    <w:nsid w:val="7FD7279A"/>
    <w:multiLevelType w:val="multilevel"/>
    <w:tmpl w:val="9B78DAD0"/>
    <w:lvl w:ilvl="0">
      <w:start w:val="1"/>
      <w:numFmt w:val="decimal"/>
      <w:lvlText w:val="%1."/>
      <w:lvlJc w:val="left"/>
      <w:pPr>
        <w:tabs>
          <w:tab w:val="num" w:pos="480"/>
        </w:tabs>
        <w:ind w:left="480" w:hanging="480"/>
      </w:pPr>
    </w:lvl>
    <w:lvl w:ilvl="1">
      <w:start w:val="1"/>
      <w:numFmt w:val="decimal"/>
      <w:lvlText w:val="%1.%2."/>
      <w:lvlJc w:val="left"/>
      <w:pPr>
        <w:tabs>
          <w:tab w:val="num" w:pos="1080"/>
        </w:tabs>
        <w:ind w:left="1080" w:hanging="600"/>
      </w:pPr>
    </w:lvl>
    <w:lvl w:ilvl="2">
      <w:start w:val="1"/>
      <w:numFmt w:val="decimal"/>
      <w:lvlText w:val="%1.%2.%3."/>
      <w:lvlJc w:val="left"/>
      <w:pPr>
        <w:tabs>
          <w:tab w:val="num" w:pos="1920"/>
        </w:tabs>
        <w:ind w:left="1920"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3"/>
  </w:num>
  <w:num w:numId="2">
    <w:abstractNumId w:val="69"/>
  </w:num>
  <w:num w:numId="3">
    <w:abstractNumId w:val="20"/>
  </w:num>
  <w:num w:numId="4">
    <w:abstractNumId w:val="49"/>
  </w:num>
  <w:num w:numId="5">
    <w:abstractNumId w:val="104"/>
  </w:num>
  <w:num w:numId="6">
    <w:abstractNumId w:val="114"/>
  </w:num>
  <w:num w:numId="7">
    <w:abstractNumId w:val="86"/>
  </w:num>
  <w:num w:numId="8">
    <w:abstractNumId w:val="40"/>
  </w:num>
  <w:num w:numId="9">
    <w:abstractNumId w:val="71"/>
  </w:num>
  <w:num w:numId="10">
    <w:abstractNumId w:val="113"/>
  </w:num>
  <w:num w:numId="11">
    <w:abstractNumId w:val="2"/>
  </w:num>
  <w:num w:numId="12">
    <w:abstractNumId w:val="110"/>
  </w:num>
  <w:num w:numId="13">
    <w:abstractNumId w:val="89"/>
  </w:num>
  <w:num w:numId="14">
    <w:abstractNumId w:val="27"/>
  </w:num>
  <w:num w:numId="15">
    <w:abstractNumId w:val="98"/>
  </w:num>
  <w:num w:numId="16">
    <w:abstractNumId w:val="109"/>
  </w:num>
  <w:num w:numId="17">
    <w:abstractNumId w:val="124"/>
  </w:num>
  <w:num w:numId="18">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num>
  <w:num w:numId="23">
    <w:abstractNumId w:val="52"/>
  </w:num>
  <w:num w:numId="24">
    <w:abstractNumId w:val="85"/>
  </w:num>
  <w:num w:numId="25">
    <w:abstractNumId w:val="121"/>
  </w:num>
  <w:num w:numId="26">
    <w:abstractNumId w:val="57"/>
  </w:num>
  <w:num w:numId="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6"/>
  </w:num>
  <w:num w:numId="29">
    <w:abstractNumId w:val="51"/>
  </w:num>
  <w:num w:numId="30">
    <w:abstractNumId w:val="35"/>
  </w:num>
  <w:num w:numId="31">
    <w:abstractNumId w:val="116"/>
  </w:num>
  <w:num w:numId="32">
    <w:abstractNumId w:val="80"/>
  </w:num>
  <w:num w:numId="33">
    <w:abstractNumId w:val="78"/>
  </w:num>
  <w:num w:numId="34">
    <w:abstractNumId w:val="17"/>
  </w:num>
  <w:num w:numId="35">
    <w:abstractNumId w:val="43"/>
  </w:num>
  <w:num w:numId="36">
    <w:abstractNumId w:val="1"/>
  </w:num>
  <w:num w:numId="37">
    <w:abstractNumId w:val="9"/>
  </w:num>
  <w:num w:numId="38">
    <w:abstractNumId w:val="36"/>
  </w:num>
  <w:num w:numId="39">
    <w:abstractNumId w:val="3"/>
  </w:num>
  <w:num w:numId="40">
    <w:abstractNumId w:val="32"/>
  </w:num>
  <w:num w:numId="41">
    <w:abstractNumId w:val="72"/>
  </w:num>
  <w:num w:numId="42">
    <w:abstractNumId w:val="115"/>
  </w:num>
  <w:num w:numId="43">
    <w:abstractNumId w:val="14"/>
  </w:num>
  <w:num w:numId="44">
    <w:abstractNumId w:val="83"/>
  </w:num>
  <w:num w:numId="45">
    <w:abstractNumId w:val="15"/>
  </w:num>
  <w:num w:numId="46">
    <w:abstractNumId w:val="62"/>
  </w:num>
  <w:num w:numId="47">
    <w:abstractNumId w:val="68"/>
  </w:num>
  <w:num w:numId="48">
    <w:abstractNumId w:val="38"/>
  </w:num>
  <w:num w:numId="49">
    <w:abstractNumId w:val="61"/>
  </w:num>
  <w:num w:numId="50">
    <w:abstractNumId w:val="59"/>
  </w:num>
  <w:num w:numId="51">
    <w:abstractNumId w:val="92"/>
  </w:num>
  <w:num w:numId="52">
    <w:abstractNumId w:val="31"/>
  </w:num>
  <w:num w:numId="53">
    <w:abstractNumId w:val="120"/>
  </w:num>
  <w:num w:numId="54">
    <w:abstractNumId w:val="107"/>
  </w:num>
  <w:num w:numId="55">
    <w:abstractNumId w:val="56"/>
  </w:num>
  <w:num w:numId="56">
    <w:abstractNumId w:val="77"/>
  </w:num>
  <w:num w:numId="57">
    <w:abstractNumId w:val="21"/>
  </w:num>
  <w:num w:numId="58">
    <w:abstractNumId w:val="45"/>
  </w:num>
  <w:num w:numId="59">
    <w:abstractNumId w:val="106"/>
  </w:num>
  <w:num w:numId="60">
    <w:abstractNumId w:val="81"/>
  </w:num>
  <w:num w:numId="61">
    <w:abstractNumId w:val="58"/>
  </w:num>
  <w:num w:numId="62">
    <w:abstractNumId w:val="74"/>
  </w:num>
  <w:num w:numId="6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5"/>
  </w:num>
  <w:num w:numId="65">
    <w:abstractNumId w:val="23"/>
  </w:num>
  <w:num w:numId="66">
    <w:abstractNumId w:val="34"/>
  </w:num>
  <w:num w:numId="67">
    <w:abstractNumId w:val="111"/>
  </w:num>
  <w:num w:numId="68">
    <w:abstractNumId w:val="99"/>
  </w:num>
  <w:num w:numId="69">
    <w:abstractNumId w:val="112"/>
  </w:num>
  <w:num w:numId="70">
    <w:abstractNumId w:val="118"/>
  </w:num>
  <w:num w:numId="71">
    <w:abstractNumId w:val="18"/>
  </w:num>
  <w:num w:numId="72">
    <w:abstractNumId w:val="119"/>
  </w:num>
  <w:num w:numId="73">
    <w:abstractNumId w:val="60"/>
  </w:num>
  <w:num w:numId="74">
    <w:abstractNumId w:val="0"/>
  </w:num>
  <w:num w:numId="75">
    <w:abstractNumId w:val="41"/>
  </w:num>
  <w:num w:numId="76">
    <w:abstractNumId w:val="48"/>
  </w:num>
  <w:num w:numId="77">
    <w:abstractNumId w:val="10"/>
  </w:num>
  <w:num w:numId="78">
    <w:abstractNumId w:val="125"/>
  </w:num>
  <w:num w:numId="79">
    <w:abstractNumId w:val="65"/>
  </w:num>
  <w:num w:numId="80">
    <w:abstractNumId w:val="26"/>
  </w:num>
  <w:num w:numId="81">
    <w:abstractNumId w:val="82"/>
  </w:num>
  <w:num w:numId="82">
    <w:abstractNumId w:val="70"/>
  </w:num>
  <w:num w:numId="83">
    <w:abstractNumId w:val="33"/>
  </w:num>
  <w:num w:numId="84">
    <w:abstractNumId w:val="47"/>
  </w:num>
  <w:num w:numId="85">
    <w:abstractNumId w:val="84"/>
  </w:num>
  <w:num w:numId="86">
    <w:abstractNumId w:val="46"/>
  </w:num>
  <w:num w:numId="87">
    <w:abstractNumId w:val="97"/>
  </w:num>
  <w:num w:numId="88">
    <w:abstractNumId w:val="75"/>
  </w:num>
  <w:num w:numId="89">
    <w:abstractNumId w:val="102"/>
  </w:num>
  <w:num w:numId="90">
    <w:abstractNumId w:val="63"/>
  </w:num>
  <w:num w:numId="91">
    <w:abstractNumId w:val="91"/>
  </w:num>
  <w:num w:numId="92">
    <w:abstractNumId w:val="64"/>
  </w:num>
  <w:num w:numId="93">
    <w:abstractNumId w:val="44"/>
  </w:num>
  <w:num w:numId="94">
    <w:abstractNumId w:val="90"/>
  </w:num>
  <w:num w:numId="95">
    <w:abstractNumId w:val="7"/>
  </w:num>
  <w:num w:numId="96">
    <w:abstractNumId w:val="100"/>
  </w:num>
  <w:num w:numId="97">
    <w:abstractNumId w:val="16"/>
  </w:num>
  <w:num w:numId="98">
    <w:abstractNumId w:val="24"/>
  </w:num>
  <w:num w:numId="99">
    <w:abstractNumId w:val="28"/>
  </w:num>
  <w:num w:numId="100">
    <w:abstractNumId w:val="11"/>
  </w:num>
  <w:num w:numId="101">
    <w:abstractNumId w:val="76"/>
  </w:num>
  <w:num w:numId="102">
    <w:abstractNumId w:val="19"/>
  </w:num>
  <w:num w:numId="103">
    <w:abstractNumId w:val="122"/>
  </w:num>
  <w:num w:numId="104">
    <w:abstractNumId w:val="8"/>
  </w:num>
  <w:num w:numId="105">
    <w:abstractNumId w:val="101"/>
  </w:num>
  <w:num w:numId="106">
    <w:abstractNumId w:val="6"/>
  </w:num>
  <w:num w:numId="107">
    <w:abstractNumId w:val="88"/>
  </w:num>
  <w:num w:numId="108">
    <w:abstractNumId w:val="12"/>
  </w:num>
  <w:num w:numId="109">
    <w:abstractNumId w:val="50"/>
  </w:num>
  <w:num w:numId="110">
    <w:abstractNumId w:val="103"/>
  </w:num>
  <w:num w:numId="111">
    <w:abstractNumId w:val="25"/>
  </w:num>
  <w:num w:numId="112">
    <w:abstractNumId w:val="73"/>
  </w:num>
  <w:num w:numId="113">
    <w:abstractNumId w:val="117"/>
  </w:num>
  <w:num w:numId="114">
    <w:abstractNumId w:val="96"/>
  </w:num>
  <w:num w:numId="115">
    <w:abstractNumId w:val="53"/>
  </w:num>
  <w:num w:numId="116">
    <w:abstractNumId w:val="93"/>
  </w:num>
  <w:num w:numId="117">
    <w:abstractNumId w:val="87"/>
  </w:num>
  <w:num w:numId="118">
    <w:abstractNumId w:val="39"/>
  </w:num>
  <w:num w:numId="119">
    <w:abstractNumId w:val="67"/>
  </w:num>
  <w:num w:numId="120">
    <w:abstractNumId w:val="54"/>
  </w:num>
  <w:num w:numId="121">
    <w:abstractNumId w:val="5"/>
  </w:num>
  <w:num w:numId="122">
    <w:abstractNumId w:val="30"/>
  </w:num>
  <w:num w:numId="123">
    <w:abstractNumId w:val="55"/>
  </w:num>
  <w:num w:numId="124">
    <w:abstractNumId w:val="108"/>
  </w:num>
  <w:num w:numId="125">
    <w:abstractNumId w:val="79"/>
  </w:num>
  <w:num w:numId="126">
    <w:abstractNumId w:val="4"/>
  </w:num>
  <w:num w:numId="127">
    <w:abstractNumId w:val="94"/>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revisionView w:markup="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1278FB32A3C347C2871B6DFD76229AD6"/>
    <w:docVar w:name="LW_CROSSREFERENCE" w:val="{COM(2016) 662 final}_x000b_{SWD(2016) 331 final}"/>
    <w:docVar w:name="LW_DocType" w:val="NORMAL"/>
    <w:docVar w:name="LW_EMISSION" w:val="18.10.2016"/>
    <w:docVar w:name="LW_EMISSION_ISODATE" w:val="2016-10-18"/>
    <w:docVar w:name="LW_EMISSION_LOCATION" w:val="BRX"/>
    <w:docVar w:name="LW_EMISSION_PREFIX" w:val="Brussels,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on the participation of the Union in the Partnership for Research and Innovation in the Mediterranean Area (PRIMA) jointly undertaken by several Member States"/>
    <w:docVar w:name="LW_PART_NBR" w:val="1"/>
    <w:docVar w:name="LW_PART_NBR_TOTAL" w:val="1"/>
    <w:docVar w:name="LW_REF.INST.NEW" w:val="SWD"/>
    <w:docVar w:name="LW_REF.INST.NEW_ADOPTED" w:val="final"/>
    <w:docVar w:name="LW_REF.INST.NEW_TEXT" w:val="(2016) 332"/>
    <w:docVar w:name="LW_REF.INTERNE" w:val="&lt;UNUSED&gt;"/>
    <w:docVar w:name="LW_SUPERTITRE" w:val="&lt;UNUSED&gt;"/>
    <w:docVar w:name="LW_TITRE.OBJ.CP" w:val="&lt;UNUSED&gt;"/>
    <w:docVar w:name="LW_TYPE.DOC.CP" w:val="COMMISSION STAFF WORKING DOCUMENT_x000b__x000b_IMPACT ASSESSMENT_x000b_"/>
    <w:docVar w:name="LW_TYPEACTEPRINCIPAL.CP" w:val="Proposal for a Decision of the European Parliament and of the Council"/>
  </w:docVar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locked="1" w:semiHidden="0" w:unhideWhenUsed="0" w:qFormat="1"/>
    <w:lsdException w:name="caption" w:locked="1" w:uiPriority="0" w:qFormat="1"/>
    <w:lsdException w:name="footnote reference" w:locked="1" w:semiHidden="0" w:unhideWhenUsed="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val="en-GB"/>
    </w:rPr>
  </w:style>
  <w:style w:type="paragraph" w:styleId="Heading1">
    <w:name w:val="heading 1"/>
    <w:basedOn w:val="Normal"/>
    <w:next w:val="Normal"/>
    <w:link w:val="Heading1Char"/>
    <w:uiPriority w:val="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locke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mbria" w:hAnsi="Cambria" w:cs="Times New Roman"/>
      <w:b/>
      <w:bCs/>
      <w:color w:val="365F91"/>
      <w:sz w:val="28"/>
      <w:szCs w:val="28"/>
      <w:lang w:val="en-GB"/>
    </w:rPr>
  </w:style>
  <w:style w:type="character" w:customStyle="1" w:styleId="Heading2Char">
    <w:name w:val="Heading 2 Char"/>
    <w:basedOn w:val="DefaultParagraphFont"/>
    <w:link w:val="Heading2"/>
    <w:uiPriority w:val="9"/>
    <w:locked/>
    <w:rPr>
      <w:rFonts w:ascii="Cambria" w:hAnsi="Cambria" w:cs="Times New Roman"/>
      <w:b/>
      <w:bCs/>
      <w:color w:val="4F81BD"/>
      <w:sz w:val="26"/>
      <w:szCs w:val="26"/>
      <w:lang w:val="en-GB"/>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semiHidden/>
    <w:rPr>
      <w:rFonts w:asciiTheme="majorHAnsi" w:eastAsiaTheme="majorEastAsia" w:hAnsiTheme="majorHAnsi" w:cstheme="majorBidi"/>
      <w:b/>
      <w:bCs/>
      <w:i/>
      <w:iCs/>
      <w:color w:val="4F81BD" w:themeColor="accent1"/>
      <w:lang w:val="en-GB"/>
    </w:rPr>
  </w:style>
  <w:style w:type="character" w:styleId="FootnoteReference">
    <w:name w:val="footnote reference"/>
    <w:aliases w:val="Footnote Reference Superscript,BVI fnr,Footnote symbol,Footnote reference number,note TESI,Appel note de bas de p,Nota,SUPERS,Footnote number,EN Footnote Reference,-E Fußnotenzeichen,number Char Char,number,Ref,styl,styli, BVI fnr,fr"/>
    <w:basedOn w:val="DefaultParagraphFont"/>
    <w:link w:val="CharCharChar1"/>
    <w:uiPriority w:val="99"/>
    <w:qFormat/>
    <w:rPr>
      <w:rFonts w:cs="Times New Roman"/>
      <w:vertAlign w:val="superscript"/>
    </w:rPr>
  </w:style>
  <w:style w:type="paragraph" w:customStyle="1" w:styleId="CharCharChar1">
    <w:name w:val="Char Char Char1"/>
    <w:basedOn w:val="Normal"/>
    <w:link w:val="FootnoteReference"/>
    <w:uiPriority w:val="99"/>
    <w:pPr>
      <w:spacing w:after="160" w:line="240" w:lineRule="exact"/>
    </w:pPr>
    <w:rPr>
      <w:vertAlign w:val="superscript"/>
      <w:lang w:val="en-US"/>
    </w:rPr>
  </w:style>
  <w:style w:type="paragraph" w:customStyle="1" w:styleId="Default">
    <w:name w:val="Default"/>
    <w:pPr>
      <w:autoSpaceDE w:val="0"/>
      <w:autoSpaceDN w:val="0"/>
      <w:adjustRightInd w:val="0"/>
      <w:jc w:val="both"/>
    </w:pPr>
    <w:rPr>
      <w:rFonts w:ascii="Verdana" w:eastAsia="Times New Roman" w:hAnsi="Verdana" w:cs="Verdana"/>
      <w:color w:val="000000"/>
      <w:sz w:val="24"/>
      <w:szCs w:val="24"/>
      <w:lang w:val="en-GB" w:eastAsia="en-GB"/>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Schriftart: 9 pt,ftx"/>
    <w:basedOn w:val="Normal"/>
    <w:link w:val="FootnoteTextChar"/>
    <w:uiPriority w:val="99"/>
    <w:qFormat/>
    <w:pPr>
      <w:spacing w:after="240" w:line="240" w:lineRule="auto"/>
      <w:ind w:left="357" w:hanging="357"/>
      <w:jc w:val="both"/>
    </w:pPr>
    <w:rPr>
      <w:rFonts w:ascii="Times New Roman" w:eastAsia="Times New Roman" w:hAnsi="Times New Roman"/>
      <w:sz w:val="20"/>
      <w:szCs w:val="20"/>
      <w:lang w:eastAsia="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locked/>
    <w:rPr>
      <w:rFonts w:ascii="Times New Roman" w:hAnsi="Times New Roman" w:cs="Times New Roman"/>
      <w:sz w:val="20"/>
      <w:szCs w:val="20"/>
      <w:lang w:val="en-GB" w:eastAsia="en-GB"/>
    </w:rPr>
  </w:style>
  <w:style w:type="paragraph" w:styleId="ListParagraph">
    <w:name w:val="List Paragraph"/>
    <w:basedOn w:val="Normal"/>
    <w:link w:val="ListParagraphChar"/>
    <w:uiPriority w:val="34"/>
    <w:qFormat/>
    <w:pPr>
      <w:ind w:left="720"/>
      <w:contextualSpacing/>
      <w:jc w:val="both"/>
    </w:pPr>
  </w:style>
  <w:style w:type="character" w:styleId="Hyperlink">
    <w:name w:val="Hyperlink"/>
    <w:basedOn w:val="DefaultParagraphFont"/>
    <w:uiPriority w:val="99"/>
    <w:rPr>
      <w:rFonts w:cs="Times New Roman"/>
      <w:color w:val="0000FF"/>
      <w:u w:val="single"/>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en-GB"/>
    </w:rPr>
  </w:style>
  <w:style w:type="table" w:styleId="TableGrid">
    <w:name w:val="Table Grid"/>
    <w:basedOn w:val="TableNormal"/>
    <w:uiPriority w:val="59"/>
    <w:rPr>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Pr>
      <w:rFonts w:cs="Times New Roman"/>
      <w:b/>
      <w:bCs/>
    </w:rPr>
  </w:style>
  <w:style w:type="character" w:styleId="FollowedHyperlink">
    <w:name w:val="FollowedHyperlink"/>
    <w:basedOn w:val="DefaultParagraphFont"/>
    <w:uiPriority w:val="99"/>
    <w:semiHidden/>
    <w:rPr>
      <w:rFonts w:cs="Times New Roman"/>
      <w:color w:val="800080"/>
      <w:u w:val="single"/>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locked/>
    <w:rPr>
      <w:rFonts w:cs="Times New Roman"/>
      <w:lang w:val="en-GB"/>
    </w:rPr>
  </w:style>
  <w:style w:type="paragraph" w:styleId="Footer">
    <w:name w:val="footer"/>
    <w:basedOn w:val="Normal"/>
    <w:link w:val="FooterChar"/>
    <w:uiPriority w:val="99"/>
    <w:pPr>
      <w:tabs>
        <w:tab w:val="center" w:pos="4536"/>
        <w:tab w:val="right" w:pos="9072"/>
      </w:tabs>
      <w:spacing w:after="0" w:line="240" w:lineRule="auto"/>
    </w:pPr>
  </w:style>
  <w:style w:type="character" w:customStyle="1" w:styleId="FooterChar">
    <w:name w:val="Footer Char"/>
    <w:basedOn w:val="DefaultParagraphFont"/>
    <w:link w:val="Footer"/>
    <w:uiPriority w:val="99"/>
    <w:locked/>
    <w:rPr>
      <w:rFonts w:cs="Times New Roman"/>
      <w:lang w:val="en-GB"/>
    </w:rPr>
  </w:style>
  <w:style w:type="paragraph" w:customStyle="1" w:styleId="CM1">
    <w:name w:val="CM1"/>
    <w:basedOn w:val="Default"/>
    <w:next w:val="Default"/>
    <w:uiPriority w:val="99"/>
    <w:pPr>
      <w:jc w:val="left"/>
    </w:pPr>
    <w:rPr>
      <w:rFonts w:ascii="EUAlbertina" w:eastAsia="Calibri" w:hAnsi="EUAlbertina" w:cs="Times New Roman"/>
      <w:color w:val="auto"/>
      <w:lang w:eastAsia="en-US"/>
    </w:rPr>
  </w:style>
  <w:style w:type="paragraph" w:customStyle="1" w:styleId="CM3">
    <w:name w:val="CM3"/>
    <w:basedOn w:val="Default"/>
    <w:next w:val="Default"/>
    <w:uiPriority w:val="99"/>
    <w:pPr>
      <w:jc w:val="left"/>
    </w:pPr>
    <w:rPr>
      <w:rFonts w:ascii="EUAlbertina" w:eastAsia="Calibri" w:hAnsi="EUAlbertina" w:cs="Times New Roman"/>
      <w:color w:val="auto"/>
      <w:lang w:eastAsia="en-US"/>
    </w:rPr>
  </w:style>
  <w:style w:type="paragraph" w:customStyle="1" w:styleId="CM4">
    <w:name w:val="CM4"/>
    <w:basedOn w:val="Default"/>
    <w:next w:val="Default"/>
    <w:uiPriority w:val="99"/>
    <w:pPr>
      <w:jc w:val="left"/>
    </w:pPr>
    <w:rPr>
      <w:rFonts w:ascii="EUAlbertina" w:eastAsia="Calibri" w:hAnsi="EUAlbertina" w:cs="Times New Roman"/>
      <w:color w:val="auto"/>
      <w:lang w:eastAsia="en-US"/>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sz w:val="24"/>
      <w:szCs w:val="24"/>
      <w:lang w:eastAsia="en-GB"/>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lang w:val="en-GB"/>
    </w:rPr>
  </w:style>
  <w:style w:type="character" w:styleId="EndnoteReference">
    <w:name w:val="endnote reference"/>
    <w:basedOn w:val="DefaultParagraphFont"/>
    <w:uiPriority w:val="99"/>
    <w:semiHidden/>
    <w:unhideWhenUsed/>
    <w:rPr>
      <w:vertAlign w:val="superscript"/>
    </w:rPr>
  </w:style>
  <w:style w:type="paragraph" w:customStyle="1" w:styleId="Bulletpoint1">
    <w:name w:val="Bullet point1"/>
    <w:basedOn w:val="NormalIndent"/>
    <w:link w:val="Bulletpoint1Char"/>
    <w:uiPriority w:val="99"/>
    <w:qFormat/>
    <w:pPr>
      <w:numPr>
        <w:ilvl w:val="1"/>
        <w:numId w:val="1"/>
      </w:numPr>
      <w:spacing w:after="120" w:line="240" w:lineRule="auto"/>
      <w:ind w:left="360"/>
    </w:pPr>
    <w:rPr>
      <w:rFonts w:ascii="Verdana" w:eastAsia="Times New Roman" w:hAnsi="Verdana"/>
      <w:sz w:val="18"/>
      <w:szCs w:val="24"/>
      <w:lang w:val="fr-FR"/>
    </w:rPr>
  </w:style>
  <w:style w:type="paragraph" w:styleId="NormalIndent">
    <w:name w:val="Normal Indent"/>
    <w:basedOn w:val="Normal"/>
    <w:uiPriority w:val="99"/>
    <w:semiHidden/>
    <w:unhideWhenUsed/>
    <w:pPr>
      <w:ind w:left="720"/>
    </w:pPr>
  </w:style>
  <w:style w:type="character" w:customStyle="1" w:styleId="Bulletpoint1Char">
    <w:name w:val="Bullet point1 Char"/>
    <w:basedOn w:val="DefaultParagraphFont"/>
    <w:link w:val="Bulletpoint1"/>
    <w:uiPriority w:val="99"/>
    <w:rPr>
      <w:rFonts w:ascii="Verdana" w:eastAsia="Times New Roman" w:hAnsi="Verdana"/>
      <w:sz w:val="18"/>
      <w:szCs w:val="24"/>
      <w:lang w:val="fr-FR"/>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en-GB"/>
    </w:rPr>
  </w:style>
  <w:style w:type="character" w:customStyle="1" w:styleId="st">
    <w:name w:val="st"/>
    <w:basedOn w:val="DefaultParagraphFont"/>
  </w:style>
  <w:style w:type="table" w:styleId="MediumShading1-Accent1">
    <w:name w:val="Medium Shading 1 Accent 1"/>
    <w:basedOn w:val="TableNormal"/>
    <w:uiPriority w:val="63"/>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vr">
    <w:name w:val="hvr"/>
    <w:basedOn w:val="DefaultParagraphFont"/>
  </w:style>
  <w:style w:type="paragraph" w:styleId="Revision">
    <w:name w:val="Revision"/>
    <w:hidden/>
    <w:uiPriority w:val="99"/>
    <w:semiHidden/>
    <w:rPr>
      <w:lang w:val="en-GB"/>
    </w:rPr>
  </w:style>
  <w:style w:type="table" w:styleId="LightList-Accent1">
    <w:name w:val="Light List Accent 1"/>
    <w:basedOn w:val="TableNormal"/>
    <w:uiPriority w:val="6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
    <w:name w:val="Table Grid1"/>
    <w:basedOn w:val="TableNormal"/>
    <w:next w:val="TableGrid"/>
    <w:uiPriority w:val="59"/>
    <w:pPr>
      <w:spacing w:after="240"/>
      <w:jc w:val="both"/>
    </w:pPr>
    <w:rPr>
      <w:rFonts w:ascii="Times New Roman" w:eastAsia="Times New Roman" w:hAnsi="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pPr>
      <w:spacing w:after="0" w:line="240" w:lineRule="auto"/>
    </w:pPr>
    <w:rPr>
      <w:rFonts w:eastAsiaTheme="minorHAnsi" w:cs="Consolas"/>
      <w:szCs w:val="21"/>
    </w:rPr>
  </w:style>
  <w:style w:type="character" w:customStyle="1" w:styleId="PlainTextChar">
    <w:name w:val="Plain Text Char"/>
    <w:basedOn w:val="DefaultParagraphFont"/>
    <w:link w:val="PlainText"/>
    <w:uiPriority w:val="99"/>
    <w:rPr>
      <w:rFonts w:eastAsiaTheme="minorHAnsi" w:cs="Consolas"/>
      <w:szCs w:val="21"/>
      <w:lang w:val="en-GB"/>
    </w:rPr>
  </w:style>
  <w:style w:type="paragraph" w:styleId="TOCHeading">
    <w:name w:val="TOC Heading"/>
    <w:basedOn w:val="Heading1"/>
    <w:next w:val="Normal"/>
    <w:uiPriority w:val="39"/>
    <w:unhideWhenUsed/>
    <w:qFormat/>
    <w:pPr>
      <w:outlineLvl w:val="9"/>
    </w:pPr>
    <w:rPr>
      <w:rFonts w:asciiTheme="majorHAnsi" w:eastAsiaTheme="majorEastAsia" w:hAnsiTheme="majorHAnsi" w:cstheme="majorBidi"/>
      <w:color w:val="365F91" w:themeColor="accent1" w:themeShade="BF"/>
      <w:lang w:val="en-US" w:eastAsia="ja-JP"/>
    </w:rPr>
  </w:style>
  <w:style w:type="paragraph" w:styleId="TOC2">
    <w:name w:val="toc 2"/>
    <w:basedOn w:val="Normal"/>
    <w:next w:val="Normal"/>
    <w:autoRedefine/>
    <w:uiPriority w:val="39"/>
    <w:unhideWhenUsed/>
    <w:qFormat/>
    <w:locked/>
    <w:pPr>
      <w:tabs>
        <w:tab w:val="right" w:leader="dot" w:pos="9062"/>
      </w:tabs>
      <w:spacing w:after="100"/>
      <w:ind w:left="993" w:hanging="773"/>
    </w:pPr>
    <w:rPr>
      <w:rFonts w:asciiTheme="minorHAnsi" w:eastAsiaTheme="minorEastAsia" w:hAnsiTheme="minorHAnsi" w:cstheme="minorBidi"/>
      <w:lang w:val="en-US" w:eastAsia="ja-JP"/>
    </w:rPr>
  </w:style>
  <w:style w:type="paragraph" w:styleId="TOC1">
    <w:name w:val="toc 1"/>
    <w:basedOn w:val="Normal"/>
    <w:next w:val="Normal"/>
    <w:autoRedefine/>
    <w:uiPriority w:val="39"/>
    <w:unhideWhenUsed/>
    <w:qFormat/>
    <w:locked/>
    <w:pPr>
      <w:spacing w:after="100"/>
    </w:pPr>
    <w:rPr>
      <w:rFonts w:asciiTheme="minorHAnsi" w:eastAsiaTheme="minorEastAsia" w:hAnsiTheme="minorHAnsi" w:cstheme="minorBidi"/>
      <w:lang w:val="en-US" w:eastAsia="ja-JP"/>
    </w:rPr>
  </w:style>
  <w:style w:type="paragraph" w:styleId="TOC3">
    <w:name w:val="toc 3"/>
    <w:basedOn w:val="Normal"/>
    <w:next w:val="Normal"/>
    <w:autoRedefine/>
    <w:uiPriority w:val="39"/>
    <w:unhideWhenUsed/>
    <w:qFormat/>
    <w:locked/>
    <w:pPr>
      <w:spacing w:after="100"/>
      <w:ind w:left="440"/>
    </w:pPr>
    <w:rPr>
      <w:rFonts w:asciiTheme="minorHAnsi" w:eastAsiaTheme="minorEastAsia" w:hAnsiTheme="minorHAnsi" w:cstheme="minorBidi"/>
      <w:lang w:val="en-US" w:eastAsia="ja-JP"/>
    </w:rPr>
  </w:style>
  <w:style w:type="character" w:customStyle="1" w:styleId="apple-converted-space">
    <w:name w:val="apple-converted-space"/>
    <w:basedOn w:val="DefaultParagraphFont"/>
  </w:style>
  <w:style w:type="character" w:styleId="Emphasis">
    <w:name w:val="Emphasis"/>
    <w:basedOn w:val="DefaultParagraphFont"/>
    <w:uiPriority w:val="20"/>
    <w:qFormat/>
    <w:locked/>
    <w:rPr>
      <w:i/>
      <w:iCs/>
    </w:rPr>
  </w:style>
  <w:style w:type="paragraph" w:styleId="TOC4">
    <w:name w:val="toc 4"/>
    <w:basedOn w:val="Normal"/>
    <w:next w:val="Normal"/>
    <w:autoRedefine/>
    <w:uiPriority w:val="39"/>
    <w:unhideWhenUsed/>
    <w:locked/>
    <w:pPr>
      <w:spacing w:after="100"/>
      <w:ind w:left="660"/>
    </w:pPr>
    <w:rPr>
      <w:rFonts w:asciiTheme="minorHAnsi" w:eastAsiaTheme="minorEastAsia" w:hAnsiTheme="minorHAnsi" w:cstheme="minorBidi"/>
      <w:lang w:eastAsia="en-GB"/>
    </w:rPr>
  </w:style>
  <w:style w:type="paragraph" w:styleId="TOC5">
    <w:name w:val="toc 5"/>
    <w:basedOn w:val="Normal"/>
    <w:next w:val="Normal"/>
    <w:autoRedefine/>
    <w:uiPriority w:val="39"/>
    <w:unhideWhenUsed/>
    <w:locked/>
    <w:pPr>
      <w:spacing w:after="100"/>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locked/>
    <w:pPr>
      <w:spacing w:after="100"/>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locked/>
    <w:pPr>
      <w:spacing w:after="100"/>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locked/>
    <w:pPr>
      <w:spacing w:after="100"/>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locked/>
    <w:pPr>
      <w:spacing w:after="100"/>
      <w:ind w:left="1760"/>
    </w:pPr>
    <w:rPr>
      <w:rFonts w:asciiTheme="minorHAnsi" w:eastAsiaTheme="minorEastAsia" w:hAnsiTheme="minorHAnsi" w:cstheme="minorBidi"/>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sz w:val="24"/>
    </w:rPr>
  </w:style>
  <w:style w:type="paragraph" w:customStyle="1" w:styleId="FooterCoverPage">
    <w:name w:val="Footer Cover Page"/>
    <w:basedOn w:val="Normal"/>
    <w:link w:val="FooterCoverPageChar"/>
    <w:pPr>
      <w:keepNext/>
      <w:keepLines/>
      <w:tabs>
        <w:tab w:val="center" w:pos="4535"/>
        <w:tab w:val="right" w:pos="9071"/>
        <w:tab w:val="right" w:pos="9921"/>
      </w:tabs>
      <w:spacing w:before="360" w:after="0" w:line="240" w:lineRule="auto"/>
      <w:ind w:left="-850" w:right="-850" w:hanging="450"/>
      <w:outlineLvl w:val="0"/>
    </w:pPr>
    <w:rPr>
      <w:rFonts w:ascii="Times New Roman" w:hAnsi="Times New Roman"/>
      <w:sz w:val="24"/>
    </w:rPr>
  </w:style>
  <w:style w:type="character" w:customStyle="1" w:styleId="ListParagraphChar">
    <w:name w:val="List Paragraph Char"/>
    <w:basedOn w:val="DefaultParagraphFont"/>
    <w:link w:val="ListParagraph"/>
    <w:uiPriority w:val="34"/>
    <w:rPr>
      <w:lang w:val="en-GB"/>
    </w:rPr>
  </w:style>
  <w:style w:type="character" w:customStyle="1" w:styleId="FooterCoverPageChar">
    <w:name w:val="Footer Cover Page Char"/>
    <w:basedOn w:val="ListParagraphChar"/>
    <w:link w:val="FooterCoverPage"/>
    <w:rPr>
      <w:rFonts w:ascii="Times New Roman" w:hAnsi="Times New Roman"/>
      <w:sz w:val="24"/>
      <w:lang w:val="en-GB"/>
    </w:rPr>
  </w:style>
  <w:style w:type="paragraph" w:customStyle="1" w:styleId="HeaderCoverPage">
    <w:name w:val="Header Cover Page"/>
    <w:basedOn w:val="Normal"/>
    <w:link w:val="HeaderCoverPageChar"/>
    <w:pPr>
      <w:keepNext/>
      <w:keepLines/>
      <w:numPr>
        <w:numId w:val="7"/>
      </w:numPr>
      <w:tabs>
        <w:tab w:val="center" w:pos="4535"/>
        <w:tab w:val="right" w:pos="9071"/>
      </w:tabs>
      <w:spacing w:after="120" w:line="240" w:lineRule="auto"/>
      <w:ind w:left="0"/>
      <w:jc w:val="both"/>
      <w:outlineLvl w:val="0"/>
    </w:pPr>
    <w:rPr>
      <w:rFonts w:ascii="Times New Roman" w:hAnsi="Times New Roman"/>
      <w:sz w:val="24"/>
    </w:rPr>
  </w:style>
  <w:style w:type="character" w:customStyle="1" w:styleId="HeaderCoverPageChar">
    <w:name w:val="Header Cover Page Char"/>
    <w:basedOn w:val="ListParagraphChar"/>
    <w:link w:val="HeaderCoverPage"/>
    <w:rPr>
      <w:rFonts w:ascii="Times New Roman" w:hAnsi="Times New Roman"/>
      <w:sz w:val="24"/>
      <w:lang w:val="en-GB"/>
    </w:rPr>
  </w:style>
  <w:style w:type="table" w:customStyle="1" w:styleId="TableGrid2">
    <w:name w:val="Table Grid2"/>
    <w:basedOn w:val="TableNormal"/>
    <w:next w:val="TableGrid"/>
    <w:uiPriority w:val="59"/>
    <w:pPr>
      <w:spacing w:after="240"/>
      <w:jc w:val="both"/>
    </w:pPr>
    <w:rPr>
      <w:rFonts w:ascii="Times New Roman" w:eastAsia="Times New Roman" w:hAnsi="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pPr>
      <w:spacing w:after="12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uiPriority w:val="99"/>
    <w:rPr>
      <w:rFonts w:ascii="Times New Roman" w:eastAsia="Times New Roman" w:hAnsi="Times New Roman"/>
      <w:sz w:val="24"/>
      <w:szCs w:val="20"/>
      <w:lang w:val="en-GB"/>
    </w:rPr>
  </w:style>
  <w:style w:type="paragraph" w:customStyle="1" w:styleId="Tablecolumnheader">
    <w:name w:val="Table column header"/>
    <w:basedOn w:val="BodyText"/>
    <w:pPr>
      <w:spacing w:before="60" w:after="0"/>
      <w:jc w:val="center"/>
    </w:pPr>
    <w:rPr>
      <w:rFonts w:ascii="Georgia" w:hAnsi="Georgia"/>
      <w:b/>
      <w:sz w:val="16"/>
      <w:szCs w:val="24"/>
    </w:rPr>
  </w:style>
  <w:style w:type="table" w:customStyle="1" w:styleId="TableGrid3">
    <w:name w:val="Table Grid3"/>
    <w:basedOn w:val="TableNormal"/>
    <w:next w:val="TableGrid"/>
    <w:uiPriority w:val="59"/>
    <w:rPr>
      <w:rFonts w:ascii="Times New Roman" w:eastAsia="Times New Roman" w:hAnsi="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Pr>
      <w:rFonts w:ascii="Times New Roman" w:eastAsia="Times New Roman" w:hAnsi="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Labelling,Figure-Table-Labelling"/>
    <w:basedOn w:val="Normal"/>
    <w:next w:val="Normal"/>
    <w:link w:val="CaptionChar"/>
    <w:qFormat/>
    <w:locked/>
    <w:pPr>
      <w:spacing w:before="120" w:after="120" w:line="240" w:lineRule="auto"/>
      <w:jc w:val="both"/>
    </w:pPr>
    <w:rPr>
      <w:rFonts w:ascii="Times New Roman" w:eastAsia="Times New Roman" w:hAnsi="Times New Roman"/>
      <w:b/>
      <w:sz w:val="24"/>
      <w:szCs w:val="20"/>
    </w:rPr>
  </w:style>
  <w:style w:type="character" w:customStyle="1" w:styleId="CaptionChar">
    <w:name w:val="Caption Char"/>
    <w:aliases w:val="Labelling Char,Figure-Table-Labelling Char"/>
    <w:link w:val="Caption"/>
    <w:locked/>
    <w:rPr>
      <w:rFonts w:ascii="Times New Roman" w:eastAsia="Times New Roman" w:hAnsi="Times New Roman"/>
      <w:b/>
      <w:sz w:val="24"/>
      <w:szCs w:val="20"/>
      <w:lang w:val="en-GB"/>
    </w:rPr>
  </w:style>
  <w:style w:type="table" w:customStyle="1" w:styleId="MediumShading1-Accent11">
    <w:name w:val="Medium Shading 1 - Accent 11"/>
    <w:basedOn w:val="TableNormal"/>
    <w:next w:val="MediumShading1-Accent1"/>
    <w:uiPriority w:val="63"/>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ypedudocument">
    <w:name w:val="Type du document"/>
    <w:basedOn w:val="Normal"/>
    <w:next w:val="Normal"/>
    <w:pPr>
      <w:spacing w:before="360" w:after="0" w:line="240" w:lineRule="auto"/>
      <w:jc w:val="center"/>
    </w:pPr>
    <w:rPr>
      <w:rFonts w:ascii="Times New Roman" w:eastAsiaTheme="minorHAnsi" w:hAnsi="Times New Roman"/>
      <w:b/>
      <w:sz w:val="24"/>
    </w:rPr>
  </w:style>
  <w:style w:type="paragraph" w:customStyle="1" w:styleId="Accompagnant">
    <w:name w:val="Accompagnant"/>
    <w:basedOn w:val="Normal"/>
    <w:next w:val="Normal"/>
    <w:pPr>
      <w:spacing w:after="240" w:line="240" w:lineRule="auto"/>
      <w:jc w:val="center"/>
    </w:pPr>
    <w:rPr>
      <w:rFonts w:ascii="Times New Roman" w:eastAsiaTheme="minorHAnsi" w:hAnsi="Times New Roman"/>
      <w:b/>
      <w:i/>
      <w:sz w:val="24"/>
    </w:rPr>
  </w:style>
  <w:style w:type="paragraph" w:customStyle="1" w:styleId="Typeacteprincipal">
    <w:name w:val="Type acte principal"/>
    <w:basedOn w:val="Normal"/>
    <w:next w:val="Normal"/>
    <w:pPr>
      <w:spacing w:after="240" w:line="240" w:lineRule="auto"/>
      <w:jc w:val="center"/>
    </w:pPr>
    <w:rPr>
      <w:rFonts w:ascii="Times New Roman" w:eastAsiaTheme="minorHAnsi" w:hAnsi="Times New Roman"/>
      <w:b/>
      <w:sz w:val="24"/>
    </w:rPr>
  </w:style>
  <w:style w:type="paragraph" w:customStyle="1" w:styleId="Objetacteprincipal">
    <w:name w:val="Objet acte principal"/>
    <w:basedOn w:val="Normal"/>
    <w:next w:val="Normal"/>
    <w:pPr>
      <w:spacing w:after="360" w:line="240" w:lineRule="auto"/>
      <w:jc w:val="center"/>
    </w:pPr>
    <w:rPr>
      <w:rFonts w:ascii="Times New Roman" w:eastAsiaTheme="minorHAnsi" w:hAnsi="Times New Roman"/>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locked="1" w:semiHidden="0" w:unhideWhenUsed="0" w:qFormat="1"/>
    <w:lsdException w:name="caption" w:locked="1" w:uiPriority="0" w:qFormat="1"/>
    <w:lsdException w:name="footnote reference" w:locked="1" w:semiHidden="0" w:unhideWhenUsed="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val="en-GB"/>
    </w:rPr>
  </w:style>
  <w:style w:type="paragraph" w:styleId="Heading1">
    <w:name w:val="heading 1"/>
    <w:basedOn w:val="Normal"/>
    <w:next w:val="Normal"/>
    <w:link w:val="Heading1Char"/>
    <w:uiPriority w:val="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locke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mbria" w:hAnsi="Cambria" w:cs="Times New Roman"/>
      <w:b/>
      <w:bCs/>
      <w:color w:val="365F91"/>
      <w:sz w:val="28"/>
      <w:szCs w:val="28"/>
      <w:lang w:val="en-GB"/>
    </w:rPr>
  </w:style>
  <w:style w:type="character" w:customStyle="1" w:styleId="Heading2Char">
    <w:name w:val="Heading 2 Char"/>
    <w:basedOn w:val="DefaultParagraphFont"/>
    <w:link w:val="Heading2"/>
    <w:uiPriority w:val="9"/>
    <w:locked/>
    <w:rPr>
      <w:rFonts w:ascii="Cambria" w:hAnsi="Cambria" w:cs="Times New Roman"/>
      <w:b/>
      <w:bCs/>
      <w:color w:val="4F81BD"/>
      <w:sz w:val="26"/>
      <w:szCs w:val="26"/>
      <w:lang w:val="en-GB"/>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semiHidden/>
    <w:rPr>
      <w:rFonts w:asciiTheme="majorHAnsi" w:eastAsiaTheme="majorEastAsia" w:hAnsiTheme="majorHAnsi" w:cstheme="majorBidi"/>
      <w:b/>
      <w:bCs/>
      <w:i/>
      <w:iCs/>
      <w:color w:val="4F81BD" w:themeColor="accent1"/>
      <w:lang w:val="en-GB"/>
    </w:rPr>
  </w:style>
  <w:style w:type="character" w:styleId="FootnoteReference">
    <w:name w:val="footnote reference"/>
    <w:aliases w:val="Footnote Reference Superscript,BVI fnr,Footnote symbol,Footnote reference number,note TESI,Appel note de bas de p,Nota,SUPERS,Footnote number,EN Footnote Reference,-E Fußnotenzeichen,number Char Char,number,Ref,styl,styli, BVI fnr,fr"/>
    <w:basedOn w:val="DefaultParagraphFont"/>
    <w:link w:val="CharCharChar1"/>
    <w:uiPriority w:val="99"/>
    <w:qFormat/>
    <w:rPr>
      <w:rFonts w:cs="Times New Roman"/>
      <w:vertAlign w:val="superscript"/>
    </w:rPr>
  </w:style>
  <w:style w:type="paragraph" w:customStyle="1" w:styleId="CharCharChar1">
    <w:name w:val="Char Char Char1"/>
    <w:basedOn w:val="Normal"/>
    <w:link w:val="FootnoteReference"/>
    <w:uiPriority w:val="99"/>
    <w:pPr>
      <w:spacing w:after="160" w:line="240" w:lineRule="exact"/>
    </w:pPr>
    <w:rPr>
      <w:vertAlign w:val="superscript"/>
      <w:lang w:val="en-US"/>
    </w:rPr>
  </w:style>
  <w:style w:type="paragraph" w:customStyle="1" w:styleId="Default">
    <w:name w:val="Default"/>
    <w:pPr>
      <w:autoSpaceDE w:val="0"/>
      <w:autoSpaceDN w:val="0"/>
      <w:adjustRightInd w:val="0"/>
      <w:jc w:val="both"/>
    </w:pPr>
    <w:rPr>
      <w:rFonts w:ascii="Verdana" w:eastAsia="Times New Roman" w:hAnsi="Verdana" w:cs="Verdana"/>
      <w:color w:val="000000"/>
      <w:sz w:val="24"/>
      <w:szCs w:val="24"/>
      <w:lang w:val="en-GB" w:eastAsia="en-GB"/>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Schriftart: 9 pt,ftx"/>
    <w:basedOn w:val="Normal"/>
    <w:link w:val="FootnoteTextChar"/>
    <w:uiPriority w:val="99"/>
    <w:qFormat/>
    <w:pPr>
      <w:spacing w:after="240" w:line="240" w:lineRule="auto"/>
      <w:ind w:left="357" w:hanging="357"/>
      <w:jc w:val="both"/>
    </w:pPr>
    <w:rPr>
      <w:rFonts w:ascii="Times New Roman" w:eastAsia="Times New Roman" w:hAnsi="Times New Roman"/>
      <w:sz w:val="20"/>
      <w:szCs w:val="20"/>
      <w:lang w:eastAsia="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locked/>
    <w:rPr>
      <w:rFonts w:ascii="Times New Roman" w:hAnsi="Times New Roman" w:cs="Times New Roman"/>
      <w:sz w:val="20"/>
      <w:szCs w:val="20"/>
      <w:lang w:val="en-GB" w:eastAsia="en-GB"/>
    </w:rPr>
  </w:style>
  <w:style w:type="paragraph" w:styleId="ListParagraph">
    <w:name w:val="List Paragraph"/>
    <w:basedOn w:val="Normal"/>
    <w:link w:val="ListParagraphChar"/>
    <w:uiPriority w:val="34"/>
    <w:qFormat/>
    <w:pPr>
      <w:ind w:left="720"/>
      <w:contextualSpacing/>
      <w:jc w:val="both"/>
    </w:pPr>
  </w:style>
  <w:style w:type="character" w:styleId="Hyperlink">
    <w:name w:val="Hyperlink"/>
    <w:basedOn w:val="DefaultParagraphFont"/>
    <w:uiPriority w:val="99"/>
    <w:rPr>
      <w:rFonts w:cs="Times New Roman"/>
      <w:color w:val="0000FF"/>
      <w:u w:val="single"/>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en-GB"/>
    </w:rPr>
  </w:style>
  <w:style w:type="table" w:styleId="TableGrid">
    <w:name w:val="Table Grid"/>
    <w:basedOn w:val="TableNormal"/>
    <w:uiPriority w:val="59"/>
    <w:rPr>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Pr>
      <w:rFonts w:cs="Times New Roman"/>
      <w:b/>
      <w:bCs/>
    </w:rPr>
  </w:style>
  <w:style w:type="character" w:styleId="FollowedHyperlink">
    <w:name w:val="FollowedHyperlink"/>
    <w:basedOn w:val="DefaultParagraphFont"/>
    <w:uiPriority w:val="99"/>
    <w:semiHidden/>
    <w:rPr>
      <w:rFonts w:cs="Times New Roman"/>
      <w:color w:val="800080"/>
      <w:u w:val="single"/>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locked/>
    <w:rPr>
      <w:rFonts w:cs="Times New Roman"/>
      <w:lang w:val="en-GB"/>
    </w:rPr>
  </w:style>
  <w:style w:type="paragraph" w:styleId="Footer">
    <w:name w:val="footer"/>
    <w:basedOn w:val="Normal"/>
    <w:link w:val="FooterChar"/>
    <w:uiPriority w:val="99"/>
    <w:pPr>
      <w:tabs>
        <w:tab w:val="center" w:pos="4536"/>
        <w:tab w:val="right" w:pos="9072"/>
      </w:tabs>
      <w:spacing w:after="0" w:line="240" w:lineRule="auto"/>
    </w:pPr>
  </w:style>
  <w:style w:type="character" w:customStyle="1" w:styleId="FooterChar">
    <w:name w:val="Footer Char"/>
    <w:basedOn w:val="DefaultParagraphFont"/>
    <w:link w:val="Footer"/>
    <w:uiPriority w:val="99"/>
    <w:locked/>
    <w:rPr>
      <w:rFonts w:cs="Times New Roman"/>
      <w:lang w:val="en-GB"/>
    </w:rPr>
  </w:style>
  <w:style w:type="paragraph" w:customStyle="1" w:styleId="CM1">
    <w:name w:val="CM1"/>
    <w:basedOn w:val="Default"/>
    <w:next w:val="Default"/>
    <w:uiPriority w:val="99"/>
    <w:pPr>
      <w:jc w:val="left"/>
    </w:pPr>
    <w:rPr>
      <w:rFonts w:ascii="EUAlbertina" w:eastAsia="Calibri" w:hAnsi="EUAlbertina" w:cs="Times New Roman"/>
      <w:color w:val="auto"/>
      <w:lang w:eastAsia="en-US"/>
    </w:rPr>
  </w:style>
  <w:style w:type="paragraph" w:customStyle="1" w:styleId="CM3">
    <w:name w:val="CM3"/>
    <w:basedOn w:val="Default"/>
    <w:next w:val="Default"/>
    <w:uiPriority w:val="99"/>
    <w:pPr>
      <w:jc w:val="left"/>
    </w:pPr>
    <w:rPr>
      <w:rFonts w:ascii="EUAlbertina" w:eastAsia="Calibri" w:hAnsi="EUAlbertina" w:cs="Times New Roman"/>
      <w:color w:val="auto"/>
      <w:lang w:eastAsia="en-US"/>
    </w:rPr>
  </w:style>
  <w:style w:type="paragraph" w:customStyle="1" w:styleId="CM4">
    <w:name w:val="CM4"/>
    <w:basedOn w:val="Default"/>
    <w:next w:val="Default"/>
    <w:uiPriority w:val="99"/>
    <w:pPr>
      <w:jc w:val="left"/>
    </w:pPr>
    <w:rPr>
      <w:rFonts w:ascii="EUAlbertina" w:eastAsia="Calibri" w:hAnsi="EUAlbertina" w:cs="Times New Roman"/>
      <w:color w:val="auto"/>
      <w:lang w:eastAsia="en-US"/>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sz w:val="24"/>
      <w:szCs w:val="24"/>
      <w:lang w:eastAsia="en-GB"/>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lang w:val="en-GB"/>
    </w:rPr>
  </w:style>
  <w:style w:type="character" w:styleId="EndnoteReference">
    <w:name w:val="endnote reference"/>
    <w:basedOn w:val="DefaultParagraphFont"/>
    <w:uiPriority w:val="99"/>
    <w:semiHidden/>
    <w:unhideWhenUsed/>
    <w:rPr>
      <w:vertAlign w:val="superscript"/>
    </w:rPr>
  </w:style>
  <w:style w:type="paragraph" w:customStyle="1" w:styleId="Bulletpoint1">
    <w:name w:val="Bullet point1"/>
    <w:basedOn w:val="NormalIndent"/>
    <w:link w:val="Bulletpoint1Char"/>
    <w:uiPriority w:val="99"/>
    <w:qFormat/>
    <w:pPr>
      <w:numPr>
        <w:ilvl w:val="1"/>
        <w:numId w:val="1"/>
      </w:numPr>
      <w:spacing w:after="120" w:line="240" w:lineRule="auto"/>
      <w:ind w:left="360"/>
    </w:pPr>
    <w:rPr>
      <w:rFonts w:ascii="Verdana" w:eastAsia="Times New Roman" w:hAnsi="Verdana"/>
      <w:sz w:val="18"/>
      <w:szCs w:val="24"/>
      <w:lang w:val="fr-FR"/>
    </w:rPr>
  </w:style>
  <w:style w:type="paragraph" w:styleId="NormalIndent">
    <w:name w:val="Normal Indent"/>
    <w:basedOn w:val="Normal"/>
    <w:uiPriority w:val="99"/>
    <w:semiHidden/>
    <w:unhideWhenUsed/>
    <w:pPr>
      <w:ind w:left="720"/>
    </w:pPr>
  </w:style>
  <w:style w:type="character" w:customStyle="1" w:styleId="Bulletpoint1Char">
    <w:name w:val="Bullet point1 Char"/>
    <w:basedOn w:val="DefaultParagraphFont"/>
    <w:link w:val="Bulletpoint1"/>
    <w:uiPriority w:val="99"/>
    <w:rPr>
      <w:rFonts w:ascii="Verdana" w:eastAsia="Times New Roman" w:hAnsi="Verdana"/>
      <w:sz w:val="18"/>
      <w:szCs w:val="24"/>
      <w:lang w:val="fr-FR"/>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en-GB"/>
    </w:rPr>
  </w:style>
  <w:style w:type="character" w:customStyle="1" w:styleId="st">
    <w:name w:val="st"/>
    <w:basedOn w:val="DefaultParagraphFont"/>
  </w:style>
  <w:style w:type="table" w:styleId="MediumShading1-Accent1">
    <w:name w:val="Medium Shading 1 Accent 1"/>
    <w:basedOn w:val="TableNormal"/>
    <w:uiPriority w:val="63"/>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vr">
    <w:name w:val="hvr"/>
    <w:basedOn w:val="DefaultParagraphFont"/>
  </w:style>
  <w:style w:type="paragraph" w:styleId="Revision">
    <w:name w:val="Revision"/>
    <w:hidden/>
    <w:uiPriority w:val="99"/>
    <w:semiHidden/>
    <w:rPr>
      <w:lang w:val="en-GB"/>
    </w:rPr>
  </w:style>
  <w:style w:type="table" w:styleId="LightList-Accent1">
    <w:name w:val="Light List Accent 1"/>
    <w:basedOn w:val="TableNormal"/>
    <w:uiPriority w:val="6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
    <w:name w:val="Table Grid1"/>
    <w:basedOn w:val="TableNormal"/>
    <w:next w:val="TableGrid"/>
    <w:uiPriority w:val="59"/>
    <w:pPr>
      <w:spacing w:after="240"/>
      <w:jc w:val="both"/>
    </w:pPr>
    <w:rPr>
      <w:rFonts w:ascii="Times New Roman" w:eastAsia="Times New Roman" w:hAnsi="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pPr>
      <w:spacing w:after="0" w:line="240" w:lineRule="auto"/>
    </w:pPr>
    <w:rPr>
      <w:rFonts w:eastAsiaTheme="minorHAnsi" w:cs="Consolas"/>
      <w:szCs w:val="21"/>
    </w:rPr>
  </w:style>
  <w:style w:type="character" w:customStyle="1" w:styleId="PlainTextChar">
    <w:name w:val="Plain Text Char"/>
    <w:basedOn w:val="DefaultParagraphFont"/>
    <w:link w:val="PlainText"/>
    <w:uiPriority w:val="99"/>
    <w:rPr>
      <w:rFonts w:eastAsiaTheme="minorHAnsi" w:cs="Consolas"/>
      <w:szCs w:val="21"/>
      <w:lang w:val="en-GB"/>
    </w:rPr>
  </w:style>
  <w:style w:type="paragraph" w:styleId="TOCHeading">
    <w:name w:val="TOC Heading"/>
    <w:basedOn w:val="Heading1"/>
    <w:next w:val="Normal"/>
    <w:uiPriority w:val="39"/>
    <w:unhideWhenUsed/>
    <w:qFormat/>
    <w:pPr>
      <w:outlineLvl w:val="9"/>
    </w:pPr>
    <w:rPr>
      <w:rFonts w:asciiTheme="majorHAnsi" w:eastAsiaTheme="majorEastAsia" w:hAnsiTheme="majorHAnsi" w:cstheme="majorBidi"/>
      <w:color w:val="365F91" w:themeColor="accent1" w:themeShade="BF"/>
      <w:lang w:val="en-US" w:eastAsia="ja-JP"/>
    </w:rPr>
  </w:style>
  <w:style w:type="paragraph" w:styleId="TOC2">
    <w:name w:val="toc 2"/>
    <w:basedOn w:val="Normal"/>
    <w:next w:val="Normal"/>
    <w:autoRedefine/>
    <w:uiPriority w:val="39"/>
    <w:unhideWhenUsed/>
    <w:qFormat/>
    <w:locked/>
    <w:pPr>
      <w:tabs>
        <w:tab w:val="right" w:leader="dot" w:pos="9062"/>
      </w:tabs>
      <w:spacing w:after="100"/>
      <w:ind w:left="993" w:hanging="773"/>
    </w:pPr>
    <w:rPr>
      <w:rFonts w:asciiTheme="minorHAnsi" w:eastAsiaTheme="minorEastAsia" w:hAnsiTheme="minorHAnsi" w:cstheme="minorBidi"/>
      <w:lang w:val="en-US" w:eastAsia="ja-JP"/>
    </w:rPr>
  </w:style>
  <w:style w:type="paragraph" w:styleId="TOC1">
    <w:name w:val="toc 1"/>
    <w:basedOn w:val="Normal"/>
    <w:next w:val="Normal"/>
    <w:autoRedefine/>
    <w:uiPriority w:val="39"/>
    <w:unhideWhenUsed/>
    <w:qFormat/>
    <w:locked/>
    <w:pPr>
      <w:spacing w:after="100"/>
    </w:pPr>
    <w:rPr>
      <w:rFonts w:asciiTheme="minorHAnsi" w:eastAsiaTheme="minorEastAsia" w:hAnsiTheme="minorHAnsi" w:cstheme="minorBidi"/>
      <w:lang w:val="en-US" w:eastAsia="ja-JP"/>
    </w:rPr>
  </w:style>
  <w:style w:type="paragraph" w:styleId="TOC3">
    <w:name w:val="toc 3"/>
    <w:basedOn w:val="Normal"/>
    <w:next w:val="Normal"/>
    <w:autoRedefine/>
    <w:uiPriority w:val="39"/>
    <w:unhideWhenUsed/>
    <w:qFormat/>
    <w:locked/>
    <w:pPr>
      <w:spacing w:after="100"/>
      <w:ind w:left="440"/>
    </w:pPr>
    <w:rPr>
      <w:rFonts w:asciiTheme="minorHAnsi" w:eastAsiaTheme="minorEastAsia" w:hAnsiTheme="minorHAnsi" w:cstheme="minorBidi"/>
      <w:lang w:val="en-US" w:eastAsia="ja-JP"/>
    </w:rPr>
  </w:style>
  <w:style w:type="character" w:customStyle="1" w:styleId="apple-converted-space">
    <w:name w:val="apple-converted-space"/>
    <w:basedOn w:val="DefaultParagraphFont"/>
  </w:style>
  <w:style w:type="character" w:styleId="Emphasis">
    <w:name w:val="Emphasis"/>
    <w:basedOn w:val="DefaultParagraphFont"/>
    <w:uiPriority w:val="20"/>
    <w:qFormat/>
    <w:locked/>
    <w:rPr>
      <w:i/>
      <w:iCs/>
    </w:rPr>
  </w:style>
  <w:style w:type="paragraph" w:styleId="TOC4">
    <w:name w:val="toc 4"/>
    <w:basedOn w:val="Normal"/>
    <w:next w:val="Normal"/>
    <w:autoRedefine/>
    <w:uiPriority w:val="39"/>
    <w:unhideWhenUsed/>
    <w:locked/>
    <w:pPr>
      <w:spacing w:after="100"/>
      <w:ind w:left="660"/>
    </w:pPr>
    <w:rPr>
      <w:rFonts w:asciiTheme="minorHAnsi" w:eastAsiaTheme="minorEastAsia" w:hAnsiTheme="minorHAnsi" w:cstheme="minorBidi"/>
      <w:lang w:eastAsia="en-GB"/>
    </w:rPr>
  </w:style>
  <w:style w:type="paragraph" w:styleId="TOC5">
    <w:name w:val="toc 5"/>
    <w:basedOn w:val="Normal"/>
    <w:next w:val="Normal"/>
    <w:autoRedefine/>
    <w:uiPriority w:val="39"/>
    <w:unhideWhenUsed/>
    <w:locked/>
    <w:pPr>
      <w:spacing w:after="100"/>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locked/>
    <w:pPr>
      <w:spacing w:after="100"/>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locked/>
    <w:pPr>
      <w:spacing w:after="100"/>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locked/>
    <w:pPr>
      <w:spacing w:after="100"/>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locked/>
    <w:pPr>
      <w:spacing w:after="100"/>
      <w:ind w:left="1760"/>
    </w:pPr>
    <w:rPr>
      <w:rFonts w:asciiTheme="minorHAnsi" w:eastAsiaTheme="minorEastAsia" w:hAnsiTheme="minorHAnsi" w:cstheme="minorBidi"/>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sz w:val="24"/>
    </w:rPr>
  </w:style>
  <w:style w:type="paragraph" w:customStyle="1" w:styleId="FooterCoverPage">
    <w:name w:val="Footer Cover Page"/>
    <w:basedOn w:val="Normal"/>
    <w:link w:val="FooterCoverPageChar"/>
    <w:pPr>
      <w:keepNext/>
      <w:keepLines/>
      <w:tabs>
        <w:tab w:val="center" w:pos="4535"/>
        <w:tab w:val="right" w:pos="9071"/>
        <w:tab w:val="right" w:pos="9921"/>
      </w:tabs>
      <w:spacing w:before="360" w:after="0" w:line="240" w:lineRule="auto"/>
      <w:ind w:left="-850" w:right="-850" w:hanging="450"/>
      <w:outlineLvl w:val="0"/>
    </w:pPr>
    <w:rPr>
      <w:rFonts w:ascii="Times New Roman" w:hAnsi="Times New Roman"/>
      <w:sz w:val="24"/>
    </w:rPr>
  </w:style>
  <w:style w:type="character" w:customStyle="1" w:styleId="ListParagraphChar">
    <w:name w:val="List Paragraph Char"/>
    <w:basedOn w:val="DefaultParagraphFont"/>
    <w:link w:val="ListParagraph"/>
    <w:uiPriority w:val="34"/>
    <w:rPr>
      <w:lang w:val="en-GB"/>
    </w:rPr>
  </w:style>
  <w:style w:type="character" w:customStyle="1" w:styleId="FooterCoverPageChar">
    <w:name w:val="Footer Cover Page Char"/>
    <w:basedOn w:val="ListParagraphChar"/>
    <w:link w:val="FooterCoverPage"/>
    <w:rPr>
      <w:rFonts w:ascii="Times New Roman" w:hAnsi="Times New Roman"/>
      <w:sz w:val="24"/>
      <w:lang w:val="en-GB"/>
    </w:rPr>
  </w:style>
  <w:style w:type="paragraph" w:customStyle="1" w:styleId="HeaderCoverPage">
    <w:name w:val="Header Cover Page"/>
    <w:basedOn w:val="Normal"/>
    <w:link w:val="HeaderCoverPageChar"/>
    <w:pPr>
      <w:keepNext/>
      <w:keepLines/>
      <w:numPr>
        <w:numId w:val="7"/>
      </w:numPr>
      <w:tabs>
        <w:tab w:val="center" w:pos="4535"/>
        <w:tab w:val="right" w:pos="9071"/>
      </w:tabs>
      <w:spacing w:after="120" w:line="240" w:lineRule="auto"/>
      <w:ind w:left="0"/>
      <w:jc w:val="both"/>
      <w:outlineLvl w:val="0"/>
    </w:pPr>
    <w:rPr>
      <w:rFonts w:ascii="Times New Roman" w:hAnsi="Times New Roman"/>
      <w:sz w:val="24"/>
    </w:rPr>
  </w:style>
  <w:style w:type="character" w:customStyle="1" w:styleId="HeaderCoverPageChar">
    <w:name w:val="Header Cover Page Char"/>
    <w:basedOn w:val="ListParagraphChar"/>
    <w:link w:val="HeaderCoverPage"/>
    <w:rPr>
      <w:rFonts w:ascii="Times New Roman" w:hAnsi="Times New Roman"/>
      <w:sz w:val="24"/>
      <w:lang w:val="en-GB"/>
    </w:rPr>
  </w:style>
  <w:style w:type="table" w:customStyle="1" w:styleId="TableGrid2">
    <w:name w:val="Table Grid2"/>
    <w:basedOn w:val="TableNormal"/>
    <w:next w:val="TableGrid"/>
    <w:uiPriority w:val="59"/>
    <w:pPr>
      <w:spacing w:after="240"/>
      <w:jc w:val="both"/>
    </w:pPr>
    <w:rPr>
      <w:rFonts w:ascii="Times New Roman" w:eastAsia="Times New Roman" w:hAnsi="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pPr>
      <w:spacing w:after="12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uiPriority w:val="99"/>
    <w:rPr>
      <w:rFonts w:ascii="Times New Roman" w:eastAsia="Times New Roman" w:hAnsi="Times New Roman"/>
      <w:sz w:val="24"/>
      <w:szCs w:val="20"/>
      <w:lang w:val="en-GB"/>
    </w:rPr>
  </w:style>
  <w:style w:type="paragraph" w:customStyle="1" w:styleId="Tablecolumnheader">
    <w:name w:val="Table column header"/>
    <w:basedOn w:val="BodyText"/>
    <w:pPr>
      <w:spacing w:before="60" w:after="0"/>
      <w:jc w:val="center"/>
    </w:pPr>
    <w:rPr>
      <w:rFonts w:ascii="Georgia" w:hAnsi="Georgia"/>
      <w:b/>
      <w:sz w:val="16"/>
      <w:szCs w:val="24"/>
    </w:rPr>
  </w:style>
  <w:style w:type="table" w:customStyle="1" w:styleId="TableGrid3">
    <w:name w:val="Table Grid3"/>
    <w:basedOn w:val="TableNormal"/>
    <w:next w:val="TableGrid"/>
    <w:uiPriority w:val="59"/>
    <w:rPr>
      <w:rFonts w:ascii="Times New Roman" w:eastAsia="Times New Roman" w:hAnsi="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Pr>
      <w:rFonts w:ascii="Times New Roman" w:eastAsia="Times New Roman" w:hAnsi="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Labelling,Figure-Table-Labelling"/>
    <w:basedOn w:val="Normal"/>
    <w:next w:val="Normal"/>
    <w:link w:val="CaptionChar"/>
    <w:qFormat/>
    <w:locked/>
    <w:pPr>
      <w:spacing w:before="120" w:after="120" w:line="240" w:lineRule="auto"/>
      <w:jc w:val="both"/>
    </w:pPr>
    <w:rPr>
      <w:rFonts w:ascii="Times New Roman" w:eastAsia="Times New Roman" w:hAnsi="Times New Roman"/>
      <w:b/>
      <w:sz w:val="24"/>
      <w:szCs w:val="20"/>
    </w:rPr>
  </w:style>
  <w:style w:type="character" w:customStyle="1" w:styleId="CaptionChar">
    <w:name w:val="Caption Char"/>
    <w:aliases w:val="Labelling Char,Figure-Table-Labelling Char"/>
    <w:link w:val="Caption"/>
    <w:locked/>
    <w:rPr>
      <w:rFonts w:ascii="Times New Roman" w:eastAsia="Times New Roman" w:hAnsi="Times New Roman"/>
      <w:b/>
      <w:sz w:val="24"/>
      <w:szCs w:val="20"/>
      <w:lang w:val="en-GB"/>
    </w:rPr>
  </w:style>
  <w:style w:type="table" w:customStyle="1" w:styleId="MediumShading1-Accent11">
    <w:name w:val="Medium Shading 1 - Accent 11"/>
    <w:basedOn w:val="TableNormal"/>
    <w:next w:val="MediumShading1-Accent1"/>
    <w:uiPriority w:val="63"/>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ypedudocument">
    <w:name w:val="Type du document"/>
    <w:basedOn w:val="Normal"/>
    <w:next w:val="Normal"/>
    <w:pPr>
      <w:spacing w:before="360" w:after="0" w:line="240" w:lineRule="auto"/>
      <w:jc w:val="center"/>
    </w:pPr>
    <w:rPr>
      <w:rFonts w:ascii="Times New Roman" w:eastAsiaTheme="minorHAnsi" w:hAnsi="Times New Roman"/>
      <w:b/>
      <w:sz w:val="24"/>
    </w:rPr>
  </w:style>
  <w:style w:type="paragraph" w:customStyle="1" w:styleId="Accompagnant">
    <w:name w:val="Accompagnant"/>
    <w:basedOn w:val="Normal"/>
    <w:next w:val="Normal"/>
    <w:pPr>
      <w:spacing w:after="240" w:line="240" w:lineRule="auto"/>
      <w:jc w:val="center"/>
    </w:pPr>
    <w:rPr>
      <w:rFonts w:ascii="Times New Roman" w:eastAsiaTheme="minorHAnsi" w:hAnsi="Times New Roman"/>
      <w:b/>
      <w:i/>
      <w:sz w:val="24"/>
    </w:rPr>
  </w:style>
  <w:style w:type="paragraph" w:customStyle="1" w:styleId="Typeacteprincipal">
    <w:name w:val="Type acte principal"/>
    <w:basedOn w:val="Normal"/>
    <w:next w:val="Normal"/>
    <w:pPr>
      <w:spacing w:after="240" w:line="240" w:lineRule="auto"/>
      <w:jc w:val="center"/>
    </w:pPr>
    <w:rPr>
      <w:rFonts w:ascii="Times New Roman" w:eastAsiaTheme="minorHAnsi" w:hAnsi="Times New Roman"/>
      <w:b/>
      <w:sz w:val="24"/>
    </w:rPr>
  </w:style>
  <w:style w:type="paragraph" w:customStyle="1" w:styleId="Objetacteprincipal">
    <w:name w:val="Objet acte principal"/>
    <w:basedOn w:val="Normal"/>
    <w:next w:val="Normal"/>
    <w:pPr>
      <w:spacing w:after="360" w:line="240" w:lineRule="auto"/>
      <w:jc w:val="center"/>
    </w:pPr>
    <w:rPr>
      <w:rFonts w:ascii="Times New Roman" w:eastAsiaTheme="minorHAnsi" w:hAnsi="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14107">
      <w:bodyDiv w:val="1"/>
      <w:marLeft w:val="0"/>
      <w:marRight w:val="0"/>
      <w:marTop w:val="0"/>
      <w:marBottom w:val="0"/>
      <w:divBdr>
        <w:top w:val="none" w:sz="0" w:space="0" w:color="auto"/>
        <w:left w:val="none" w:sz="0" w:space="0" w:color="auto"/>
        <w:bottom w:val="none" w:sz="0" w:space="0" w:color="auto"/>
        <w:right w:val="none" w:sz="0" w:space="0" w:color="auto"/>
      </w:divBdr>
    </w:div>
    <w:div w:id="48500824">
      <w:bodyDiv w:val="1"/>
      <w:marLeft w:val="0"/>
      <w:marRight w:val="0"/>
      <w:marTop w:val="0"/>
      <w:marBottom w:val="0"/>
      <w:divBdr>
        <w:top w:val="none" w:sz="0" w:space="0" w:color="auto"/>
        <w:left w:val="none" w:sz="0" w:space="0" w:color="auto"/>
        <w:bottom w:val="none" w:sz="0" w:space="0" w:color="auto"/>
        <w:right w:val="none" w:sz="0" w:space="0" w:color="auto"/>
      </w:divBdr>
      <w:divsChild>
        <w:div w:id="1369725458">
          <w:marLeft w:val="547"/>
          <w:marRight w:val="0"/>
          <w:marTop w:val="0"/>
          <w:marBottom w:val="0"/>
          <w:divBdr>
            <w:top w:val="none" w:sz="0" w:space="0" w:color="auto"/>
            <w:left w:val="none" w:sz="0" w:space="0" w:color="auto"/>
            <w:bottom w:val="none" w:sz="0" w:space="0" w:color="auto"/>
            <w:right w:val="none" w:sz="0" w:space="0" w:color="auto"/>
          </w:divBdr>
        </w:div>
      </w:divsChild>
    </w:div>
    <w:div w:id="98263459">
      <w:bodyDiv w:val="1"/>
      <w:marLeft w:val="0"/>
      <w:marRight w:val="0"/>
      <w:marTop w:val="0"/>
      <w:marBottom w:val="0"/>
      <w:divBdr>
        <w:top w:val="none" w:sz="0" w:space="0" w:color="auto"/>
        <w:left w:val="none" w:sz="0" w:space="0" w:color="auto"/>
        <w:bottom w:val="none" w:sz="0" w:space="0" w:color="auto"/>
        <w:right w:val="none" w:sz="0" w:space="0" w:color="auto"/>
      </w:divBdr>
    </w:div>
    <w:div w:id="119609954">
      <w:bodyDiv w:val="1"/>
      <w:marLeft w:val="0"/>
      <w:marRight w:val="0"/>
      <w:marTop w:val="0"/>
      <w:marBottom w:val="0"/>
      <w:divBdr>
        <w:top w:val="none" w:sz="0" w:space="0" w:color="auto"/>
        <w:left w:val="none" w:sz="0" w:space="0" w:color="auto"/>
        <w:bottom w:val="none" w:sz="0" w:space="0" w:color="auto"/>
        <w:right w:val="none" w:sz="0" w:space="0" w:color="auto"/>
      </w:divBdr>
    </w:div>
    <w:div w:id="134446386">
      <w:bodyDiv w:val="1"/>
      <w:marLeft w:val="0"/>
      <w:marRight w:val="0"/>
      <w:marTop w:val="0"/>
      <w:marBottom w:val="0"/>
      <w:divBdr>
        <w:top w:val="none" w:sz="0" w:space="0" w:color="auto"/>
        <w:left w:val="none" w:sz="0" w:space="0" w:color="auto"/>
        <w:bottom w:val="none" w:sz="0" w:space="0" w:color="auto"/>
        <w:right w:val="none" w:sz="0" w:space="0" w:color="auto"/>
      </w:divBdr>
    </w:div>
    <w:div w:id="160240888">
      <w:bodyDiv w:val="1"/>
      <w:marLeft w:val="0"/>
      <w:marRight w:val="0"/>
      <w:marTop w:val="0"/>
      <w:marBottom w:val="0"/>
      <w:divBdr>
        <w:top w:val="none" w:sz="0" w:space="0" w:color="auto"/>
        <w:left w:val="none" w:sz="0" w:space="0" w:color="auto"/>
        <w:bottom w:val="none" w:sz="0" w:space="0" w:color="auto"/>
        <w:right w:val="none" w:sz="0" w:space="0" w:color="auto"/>
      </w:divBdr>
      <w:divsChild>
        <w:div w:id="988090963">
          <w:marLeft w:val="547"/>
          <w:marRight w:val="0"/>
          <w:marTop w:val="0"/>
          <w:marBottom w:val="120"/>
          <w:divBdr>
            <w:top w:val="none" w:sz="0" w:space="0" w:color="auto"/>
            <w:left w:val="none" w:sz="0" w:space="0" w:color="auto"/>
            <w:bottom w:val="none" w:sz="0" w:space="0" w:color="auto"/>
            <w:right w:val="none" w:sz="0" w:space="0" w:color="auto"/>
          </w:divBdr>
        </w:div>
        <w:div w:id="1817260062">
          <w:marLeft w:val="547"/>
          <w:marRight w:val="0"/>
          <w:marTop w:val="0"/>
          <w:marBottom w:val="120"/>
          <w:divBdr>
            <w:top w:val="none" w:sz="0" w:space="0" w:color="auto"/>
            <w:left w:val="none" w:sz="0" w:space="0" w:color="auto"/>
            <w:bottom w:val="none" w:sz="0" w:space="0" w:color="auto"/>
            <w:right w:val="none" w:sz="0" w:space="0" w:color="auto"/>
          </w:divBdr>
        </w:div>
      </w:divsChild>
    </w:div>
    <w:div w:id="161356791">
      <w:bodyDiv w:val="1"/>
      <w:marLeft w:val="0"/>
      <w:marRight w:val="0"/>
      <w:marTop w:val="0"/>
      <w:marBottom w:val="0"/>
      <w:divBdr>
        <w:top w:val="none" w:sz="0" w:space="0" w:color="auto"/>
        <w:left w:val="none" w:sz="0" w:space="0" w:color="auto"/>
        <w:bottom w:val="none" w:sz="0" w:space="0" w:color="auto"/>
        <w:right w:val="none" w:sz="0" w:space="0" w:color="auto"/>
      </w:divBdr>
      <w:divsChild>
        <w:div w:id="1915626752">
          <w:marLeft w:val="547"/>
          <w:marRight w:val="0"/>
          <w:marTop w:val="0"/>
          <w:marBottom w:val="0"/>
          <w:divBdr>
            <w:top w:val="none" w:sz="0" w:space="0" w:color="auto"/>
            <w:left w:val="none" w:sz="0" w:space="0" w:color="auto"/>
            <w:bottom w:val="none" w:sz="0" w:space="0" w:color="auto"/>
            <w:right w:val="none" w:sz="0" w:space="0" w:color="auto"/>
          </w:divBdr>
        </w:div>
      </w:divsChild>
    </w:div>
    <w:div w:id="167065378">
      <w:bodyDiv w:val="1"/>
      <w:marLeft w:val="0"/>
      <w:marRight w:val="0"/>
      <w:marTop w:val="0"/>
      <w:marBottom w:val="0"/>
      <w:divBdr>
        <w:top w:val="none" w:sz="0" w:space="0" w:color="auto"/>
        <w:left w:val="none" w:sz="0" w:space="0" w:color="auto"/>
        <w:bottom w:val="none" w:sz="0" w:space="0" w:color="auto"/>
        <w:right w:val="none" w:sz="0" w:space="0" w:color="auto"/>
      </w:divBdr>
    </w:div>
    <w:div w:id="219830570">
      <w:bodyDiv w:val="1"/>
      <w:marLeft w:val="0"/>
      <w:marRight w:val="0"/>
      <w:marTop w:val="0"/>
      <w:marBottom w:val="0"/>
      <w:divBdr>
        <w:top w:val="none" w:sz="0" w:space="0" w:color="auto"/>
        <w:left w:val="none" w:sz="0" w:space="0" w:color="auto"/>
        <w:bottom w:val="none" w:sz="0" w:space="0" w:color="auto"/>
        <w:right w:val="none" w:sz="0" w:space="0" w:color="auto"/>
      </w:divBdr>
    </w:div>
    <w:div w:id="230971246">
      <w:bodyDiv w:val="1"/>
      <w:marLeft w:val="0"/>
      <w:marRight w:val="0"/>
      <w:marTop w:val="0"/>
      <w:marBottom w:val="0"/>
      <w:divBdr>
        <w:top w:val="none" w:sz="0" w:space="0" w:color="auto"/>
        <w:left w:val="none" w:sz="0" w:space="0" w:color="auto"/>
        <w:bottom w:val="none" w:sz="0" w:space="0" w:color="auto"/>
        <w:right w:val="none" w:sz="0" w:space="0" w:color="auto"/>
      </w:divBdr>
      <w:divsChild>
        <w:div w:id="2032099622">
          <w:marLeft w:val="547"/>
          <w:marRight w:val="0"/>
          <w:marTop w:val="0"/>
          <w:marBottom w:val="0"/>
          <w:divBdr>
            <w:top w:val="none" w:sz="0" w:space="0" w:color="auto"/>
            <w:left w:val="none" w:sz="0" w:space="0" w:color="auto"/>
            <w:bottom w:val="none" w:sz="0" w:space="0" w:color="auto"/>
            <w:right w:val="none" w:sz="0" w:space="0" w:color="auto"/>
          </w:divBdr>
        </w:div>
      </w:divsChild>
    </w:div>
    <w:div w:id="241329504">
      <w:bodyDiv w:val="1"/>
      <w:marLeft w:val="0"/>
      <w:marRight w:val="0"/>
      <w:marTop w:val="0"/>
      <w:marBottom w:val="0"/>
      <w:divBdr>
        <w:top w:val="none" w:sz="0" w:space="0" w:color="auto"/>
        <w:left w:val="none" w:sz="0" w:space="0" w:color="auto"/>
        <w:bottom w:val="none" w:sz="0" w:space="0" w:color="auto"/>
        <w:right w:val="none" w:sz="0" w:space="0" w:color="auto"/>
      </w:divBdr>
      <w:divsChild>
        <w:div w:id="989091024">
          <w:marLeft w:val="0"/>
          <w:marRight w:val="0"/>
          <w:marTop w:val="0"/>
          <w:marBottom w:val="120"/>
          <w:divBdr>
            <w:top w:val="none" w:sz="0" w:space="0" w:color="auto"/>
            <w:left w:val="none" w:sz="0" w:space="0" w:color="auto"/>
            <w:bottom w:val="none" w:sz="0" w:space="0" w:color="auto"/>
            <w:right w:val="none" w:sz="0" w:space="0" w:color="auto"/>
          </w:divBdr>
        </w:div>
        <w:div w:id="1087767801">
          <w:marLeft w:val="0"/>
          <w:marRight w:val="0"/>
          <w:marTop w:val="0"/>
          <w:marBottom w:val="120"/>
          <w:divBdr>
            <w:top w:val="none" w:sz="0" w:space="0" w:color="auto"/>
            <w:left w:val="none" w:sz="0" w:space="0" w:color="auto"/>
            <w:bottom w:val="none" w:sz="0" w:space="0" w:color="auto"/>
            <w:right w:val="none" w:sz="0" w:space="0" w:color="auto"/>
          </w:divBdr>
        </w:div>
        <w:div w:id="131945235">
          <w:marLeft w:val="0"/>
          <w:marRight w:val="0"/>
          <w:marTop w:val="0"/>
          <w:marBottom w:val="120"/>
          <w:divBdr>
            <w:top w:val="none" w:sz="0" w:space="0" w:color="auto"/>
            <w:left w:val="none" w:sz="0" w:space="0" w:color="auto"/>
            <w:bottom w:val="none" w:sz="0" w:space="0" w:color="auto"/>
            <w:right w:val="none" w:sz="0" w:space="0" w:color="auto"/>
          </w:divBdr>
        </w:div>
      </w:divsChild>
    </w:div>
    <w:div w:id="247926181">
      <w:bodyDiv w:val="1"/>
      <w:marLeft w:val="0"/>
      <w:marRight w:val="0"/>
      <w:marTop w:val="0"/>
      <w:marBottom w:val="0"/>
      <w:divBdr>
        <w:top w:val="none" w:sz="0" w:space="0" w:color="auto"/>
        <w:left w:val="none" w:sz="0" w:space="0" w:color="auto"/>
        <w:bottom w:val="none" w:sz="0" w:space="0" w:color="auto"/>
        <w:right w:val="none" w:sz="0" w:space="0" w:color="auto"/>
      </w:divBdr>
    </w:div>
    <w:div w:id="267740797">
      <w:bodyDiv w:val="1"/>
      <w:marLeft w:val="0"/>
      <w:marRight w:val="0"/>
      <w:marTop w:val="0"/>
      <w:marBottom w:val="0"/>
      <w:divBdr>
        <w:top w:val="none" w:sz="0" w:space="0" w:color="auto"/>
        <w:left w:val="none" w:sz="0" w:space="0" w:color="auto"/>
        <w:bottom w:val="none" w:sz="0" w:space="0" w:color="auto"/>
        <w:right w:val="none" w:sz="0" w:space="0" w:color="auto"/>
      </w:divBdr>
    </w:div>
    <w:div w:id="299728103">
      <w:bodyDiv w:val="1"/>
      <w:marLeft w:val="0"/>
      <w:marRight w:val="0"/>
      <w:marTop w:val="0"/>
      <w:marBottom w:val="0"/>
      <w:divBdr>
        <w:top w:val="none" w:sz="0" w:space="0" w:color="auto"/>
        <w:left w:val="none" w:sz="0" w:space="0" w:color="auto"/>
        <w:bottom w:val="none" w:sz="0" w:space="0" w:color="auto"/>
        <w:right w:val="none" w:sz="0" w:space="0" w:color="auto"/>
      </w:divBdr>
    </w:div>
    <w:div w:id="364134501">
      <w:bodyDiv w:val="1"/>
      <w:marLeft w:val="0"/>
      <w:marRight w:val="0"/>
      <w:marTop w:val="0"/>
      <w:marBottom w:val="0"/>
      <w:divBdr>
        <w:top w:val="none" w:sz="0" w:space="0" w:color="auto"/>
        <w:left w:val="none" w:sz="0" w:space="0" w:color="auto"/>
        <w:bottom w:val="none" w:sz="0" w:space="0" w:color="auto"/>
        <w:right w:val="none" w:sz="0" w:space="0" w:color="auto"/>
      </w:divBdr>
      <w:divsChild>
        <w:div w:id="30804881">
          <w:marLeft w:val="720"/>
          <w:marRight w:val="0"/>
          <w:marTop w:val="0"/>
          <w:marBottom w:val="0"/>
          <w:divBdr>
            <w:top w:val="none" w:sz="0" w:space="0" w:color="auto"/>
            <w:left w:val="none" w:sz="0" w:space="0" w:color="auto"/>
            <w:bottom w:val="none" w:sz="0" w:space="0" w:color="auto"/>
            <w:right w:val="none" w:sz="0" w:space="0" w:color="auto"/>
          </w:divBdr>
        </w:div>
        <w:div w:id="50036462">
          <w:marLeft w:val="720"/>
          <w:marRight w:val="0"/>
          <w:marTop w:val="0"/>
          <w:marBottom w:val="0"/>
          <w:divBdr>
            <w:top w:val="none" w:sz="0" w:space="0" w:color="auto"/>
            <w:left w:val="none" w:sz="0" w:space="0" w:color="auto"/>
            <w:bottom w:val="none" w:sz="0" w:space="0" w:color="auto"/>
            <w:right w:val="none" w:sz="0" w:space="0" w:color="auto"/>
          </w:divBdr>
        </w:div>
        <w:div w:id="95103813">
          <w:marLeft w:val="720"/>
          <w:marRight w:val="0"/>
          <w:marTop w:val="0"/>
          <w:marBottom w:val="0"/>
          <w:divBdr>
            <w:top w:val="none" w:sz="0" w:space="0" w:color="auto"/>
            <w:left w:val="none" w:sz="0" w:space="0" w:color="auto"/>
            <w:bottom w:val="none" w:sz="0" w:space="0" w:color="auto"/>
            <w:right w:val="none" w:sz="0" w:space="0" w:color="auto"/>
          </w:divBdr>
        </w:div>
        <w:div w:id="96022005">
          <w:marLeft w:val="720"/>
          <w:marRight w:val="0"/>
          <w:marTop w:val="0"/>
          <w:marBottom w:val="0"/>
          <w:divBdr>
            <w:top w:val="none" w:sz="0" w:space="0" w:color="auto"/>
            <w:left w:val="none" w:sz="0" w:space="0" w:color="auto"/>
            <w:bottom w:val="none" w:sz="0" w:space="0" w:color="auto"/>
            <w:right w:val="none" w:sz="0" w:space="0" w:color="auto"/>
          </w:divBdr>
        </w:div>
        <w:div w:id="128130345">
          <w:marLeft w:val="720"/>
          <w:marRight w:val="0"/>
          <w:marTop w:val="0"/>
          <w:marBottom w:val="0"/>
          <w:divBdr>
            <w:top w:val="none" w:sz="0" w:space="0" w:color="auto"/>
            <w:left w:val="none" w:sz="0" w:space="0" w:color="auto"/>
            <w:bottom w:val="none" w:sz="0" w:space="0" w:color="auto"/>
            <w:right w:val="none" w:sz="0" w:space="0" w:color="auto"/>
          </w:divBdr>
        </w:div>
        <w:div w:id="333916033">
          <w:marLeft w:val="720"/>
          <w:marRight w:val="0"/>
          <w:marTop w:val="0"/>
          <w:marBottom w:val="0"/>
          <w:divBdr>
            <w:top w:val="none" w:sz="0" w:space="0" w:color="auto"/>
            <w:left w:val="none" w:sz="0" w:space="0" w:color="auto"/>
            <w:bottom w:val="none" w:sz="0" w:space="0" w:color="auto"/>
            <w:right w:val="none" w:sz="0" w:space="0" w:color="auto"/>
          </w:divBdr>
        </w:div>
        <w:div w:id="357630827">
          <w:marLeft w:val="720"/>
          <w:marRight w:val="0"/>
          <w:marTop w:val="0"/>
          <w:marBottom w:val="0"/>
          <w:divBdr>
            <w:top w:val="none" w:sz="0" w:space="0" w:color="auto"/>
            <w:left w:val="none" w:sz="0" w:space="0" w:color="auto"/>
            <w:bottom w:val="none" w:sz="0" w:space="0" w:color="auto"/>
            <w:right w:val="none" w:sz="0" w:space="0" w:color="auto"/>
          </w:divBdr>
        </w:div>
        <w:div w:id="535697538">
          <w:marLeft w:val="720"/>
          <w:marRight w:val="0"/>
          <w:marTop w:val="0"/>
          <w:marBottom w:val="0"/>
          <w:divBdr>
            <w:top w:val="none" w:sz="0" w:space="0" w:color="auto"/>
            <w:left w:val="none" w:sz="0" w:space="0" w:color="auto"/>
            <w:bottom w:val="none" w:sz="0" w:space="0" w:color="auto"/>
            <w:right w:val="none" w:sz="0" w:space="0" w:color="auto"/>
          </w:divBdr>
        </w:div>
        <w:div w:id="633025057">
          <w:marLeft w:val="720"/>
          <w:marRight w:val="0"/>
          <w:marTop w:val="0"/>
          <w:marBottom w:val="0"/>
          <w:divBdr>
            <w:top w:val="none" w:sz="0" w:space="0" w:color="auto"/>
            <w:left w:val="none" w:sz="0" w:space="0" w:color="auto"/>
            <w:bottom w:val="none" w:sz="0" w:space="0" w:color="auto"/>
            <w:right w:val="none" w:sz="0" w:space="0" w:color="auto"/>
          </w:divBdr>
        </w:div>
        <w:div w:id="762845338">
          <w:marLeft w:val="720"/>
          <w:marRight w:val="0"/>
          <w:marTop w:val="0"/>
          <w:marBottom w:val="0"/>
          <w:divBdr>
            <w:top w:val="none" w:sz="0" w:space="0" w:color="auto"/>
            <w:left w:val="none" w:sz="0" w:space="0" w:color="auto"/>
            <w:bottom w:val="none" w:sz="0" w:space="0" w:color="auto"/>
            <w:right w:val="none" w:sz="0" w:space="0" w:color="auto"/>
          </w:divBdr>
        </w:div>
        <w:div w:id="803277634">
          <w:marLeft w:val="720"/>
          <w:marRight w:val="0"/>
          <w:marTop w:val="0"/>
          <w:marBottom w:val="0"/>
          <w:divBdr>
            <w:top w:val="none" w:sz="0" w:space="0" w:color="auto"/>
            <w:left w:val="none" w:sz="0" w:space="0" w:color="auto"/>
            <w:bottom w:val="none" w:sz="0" w:space="0" w:color="auto"/>
            <w:right w:val="none" w:sz="0" w:space="0" w:color="auto"/>
          </w:divBdr>
        </w:div>
        <w:div w:id="866143764">
          <w:marLeft w:val="720"/>
          <w:marRight w:val="0"/>
          <w:marTop w:val="0"/>
          <w:marBottom w:val="0"/>
          <w:divBdr>
            <w:top w:val="none" w:sz="0" w:space="0" w:color="auto"/>
            <w:left w:val="none" w:sz="0" w:space="0" w:color="auto"/>
            <w:bottom w:val="none" w:sz="0" w:space="0" w:color="auto"/>
            <w:right w:val="none" w:sz="0" w:space="0" w:color="auto"/>
          </w:divBdr>
        </w:div>
        <w:div w:id="931353811">
          <w:marLeft w:val="720"/>
          <w:marRight w:val="0"/>
          <w:marTop w:val="0"/>
          <w:marBottom w:val="0"/>
          <w:divBdr>
            <w:top w:val="none" w:sz="0" w:space="0" w:color="auto"/>
            <w:left w:val="none" w:sz="0" w:space="0" w:color="auto"/>
            <w:bottom w:val="none" w:sz="0" w:space="0" w:color="auto"/>
            <w:right w:val="none" w:sz="0" w:space="0" w:color="auto"/>
          </w:divBdr>
        </w:div>
        <w:div w:id="1058238375">
          <w:marLeft w:val="720"/>
          <w:marRight w:val="0"/>
          <w:marTop w:val="0"/>
          <w:marBottom w:val="0"/>
          <w:divBdr>
            <w:top w:val="none" w:sz="0" w:space="0" w:color="auto"/>
            <w:left w:val="none" w:sz="0" w:space="0" w:color="auto"/>
            <w:bottom w:val="none" w:sz="0" w:space="0" w:color="auto"/>
            <w:right w:val="none" w:sz="0" w:space="0" w:color="auto"/>
          </w:divBdr>
        </w:div>
        <w:div w:id="1059480557">
          <w:marLeft w:val="720"/>
          <w:marRight w:val="0"/>
          <w:marTop w:val="0"/>
          <w:marBottom w:val="0"/>
          <w:divBdr>
            <w:top w:val="none" w:sz="0" w:space="0" w:color="auto"/>
            <w:left w:val="none" w:sz="0" w:space="0" w:color="auto"/>
            <w:bottom w:val="none" w:sz="0" w:space="0" w:color="auto"/>
            <w:right w:val="none" w:sz="0" w:space="0" w:color="auto"/>
          </w:divBdr>
        </w:div>
        <w:div w:id="1123767689">
          <w:marLeft w:val="720"/>
          <w:marRight w:val="0"/>
          <w:marTop w:val="0"/>
          <w:marBottom w:val="0"/>
          <w:divBdr>
            <w:top w:val="none" w:sz="0" w:space="0" w:color="auto"/>
            <w:left w:val="none" w:sz="0" w:space="0" w:color="auto"/>
            <w:bottom w:val="none" w:sz="0" w:space="0" w:color="auto"/>
            <w:right w:val="none" w:sz="0" w:space="0" w:color="auto"/>
          </w:divBdr>
        </w:div>
        <w:div w:id="1180503655">
          <w:marLeft w:val="720"/>
          <w:marRight w:val="0"/>
          <w:marTop w:val="0"/>
          <w:marBottom w:val="0"/>
          <w:divBdr>
            <w:top w:val="none" w:sz="0" w:space="0" w:color="auto"/>
            <w:left w:val="none" w:sz="0" w:space="0" w:color="auto"/>
            <w:bottom w:val="none" w:sz="0" w:space="0" w:color="auto"/>
            <w:right w:val="none" w:sz="0" w:space="0" w:color="auto"/>
          </w:divBdr>
        </w:div>
        <w:div w:id="1291472601">
          <w:marLeft w:val="720"/>
          <w:marRight w:val="0"/>
          <w:marTop w:val="0"/>
          <w:marBottom w:val="0"/>
          <w:divBdr>
            <w:top w:val="none" w:sz="0" w:space="0" w:color="auto"/>
            <w:left w:val="none" w:sz="0" w:space="0" w:color="auto"/>
            <w:bottom w:val="none" w:sz="0" w:space="0" w:color="auto"/>
            <w:right w:val="none" w:sz="0" w:space="0" w:color="auto"/>
          </w:divBdr>
        </w:div>
        <w:div w:id="1737194792">
          <w:marLeft w:val="720"/>
          <w:marRight w:val="0"/>
          <w:marTop w:val="0"/>
          <w:marBottom w:val="0"/>
          <w:divBdr>
            <w:top w:val="none" w:sz="0" w:space="0" w:color="auto"/>
            <w:left w:val="none" w:sz="0" w:space="0" w:color="auto"/>
            <w:bottom w:val="none" w:sz="0" w:space="0" w:color="auto"/>
            <w:right w:val="none" w:sz="0" w:space="0" w:color="auto"/>
          </w:divBdr>
        </w:div>
        <w:div w:id="1796681721">
          <w:marLeft w:val="720"/>
          <w:marRight w:val="0"/>
          <w:marTop w:val="0"/>
          <w:marBottom w:val="0"/>
          <w:divBdr>
            <w:top w:val="none" w:sz="0" w:space="0" w:color="auto"/>
            <w:left w:val="none" w:sz="0" w:space="0" w:color="auto"/>
            <w:bottom w:val="none" w:sz="0" w:space="0" w:color="auto"/>
            <w:right w:val="none" w:sz="0" w:space="0" w:color="auto"/>
          </w:divBdr>
        </w:div>
        <w:div w:id="1915427116">
          <w:marLeft w:val="720"/>
          <w:marRight w:val="0"/>
          <w:marTop w:val="0"/>
          <w:marBottom w:val="0"/>
          <w:divBdr>
            <w:top w:val="none" w:sz="0" w:space="0" w:color="auto"/>
            <w:left w:val="none" w:sz="0" w:space="0" w:color="auto"/>
            <w:bottom w:val="none" w:sz="0" w:space="0" w:color="auto"/>
            <w:right w:val="none" w:sz="0" w:space="0" w:color="auto"/>
          </w:divBdr>
        </w:div>
        <w:div w:id="2053336075">
          <w:marLeft w:val="720"/>
          <w:marRight w:val="0"/>
          <w:marTop w:val="0"/>
          <w:marBottom w:val="0"/>
          <w:divBdr>
            <w:top w:val="none" w:sz="0" w:space="0" w:color="auto"/>
            <w:left w:val="none" w:sz="0" w:space="0" w:color="auto"/>
            <w:bottom w:val="none" w:sz="0" w:space="0" w:color="auto"/>
            <w:right w:val="none" w:sz="0" w:space="0" w:color="auto"/>
          </w:divBdr>
        </w:div>
        <w:div w:id="2121141007">
          <w:marLeft w:val="720"/>
          <w:marRight w:val="0"/>
          <w:marTop w:val="0"/>
          <w:marBottom w:val="0"/>
          <w:divBdr>
            <w:top w:val="none" w:sz="0" w:space="0" w:color="auto"/>
            <w:left w:val="none" w:sz="0" w:space="0" w:color="auto"/>
            <w:bottom w:val="none" w:sz="0" w:space="0" w:color="auto"/>
            <w:right w:val="none" w:sz="0" w:space="0" w:color="auto"/>
          </w:divBdr>
        </w:div>
      </w:divsChild>
    </w:div>
    <w:div w:id="381096736">
      <w:bodyDiv w:val="1"/>
      <w:marLeft w:val="0"/>
      <w:marRight w:val="0"/>
      <w:marTop w:val="0"/>
      <w:marBottom w:val="0"/>
      <w:divBdr>
        <w:top w:val="none" w:sz="0" w:space="0" w:color="auto"/>
        <w:left w:val="none" w:sz="0" w:space="0" w:color="auto"/>
        <w:bottom w:val="none" w:sz="0" w:space="0" w:color="auto"/>
        <w:right w:val="none" w:sz="0" w:space="0" w:color="auto"/>
      </w:divBdr>
    </w:div>
    <w:div w:id="418064530">
      <w:bodyDiv w:val="1"/>
      <w:marLeft w:val="0"/>
      <w:marRight w:val="0"/>
      <w:marTop w:val="0"/>
      <w:marBottom w:val="0"/>
      <w:divBdr>
        <w:top w:val="none" w:sz="0" w:space="0" w:color="auto"/>
        <w:left w:val="none" w:sz="0" w:space="0" w:color="auto"/>
        <w:bottom w:val="none" w:sz="0" w:space="0" w:color="auto"/>
        <w:right w:val="none" w:sz="0" w:space="0" w:color="auto"/>
      </w:divBdr>
    </w:div>
    <w:div w:id="427389244">
      <w:bodyDiv w:val="1"/>
      <w:marLeft w:val="0"/>
      <w:marRight w:val="0"/>
      <w:marTop w:val="0"/>
      <w:marBottom w:val="0"/>
      <w:divBdr>
        <w:top w:val="none" w:sz="0" w:space="0" w:color="auto"/>
        <w:left w:val="none" w:sz="0" w:space="0" w:color="auto"/>
        <w:bottom w:val="none" w:sz="0" w:space="0" w:color="auto"/>
        <w:right w:val="none" w:sz="0" w:space="0" w:color="auto"/>
      </w:divBdr>
      <w:divsChild>
        <w:div w:id="1162114554">
          <w:marLeft w:val="0"/>
          <w:marRight w:val="0"/>
          <w:marTop w:val="0"/>
          <w:marBottom w:val="0"/>
          <w:divBdr>
            <w:top w:val="single" w:sz="2" w:space="0" w:color="CCCCCC"/>
            <w:left w:val="single" w:sz="6" w:space="0" w:color="CCCCCC"/>
            <w:bottom w:val="single" w:sz="6" w:space="0" w:color="CCCCCC"/>
            <w:right w:val="single" w:sz="6" w:space="0" w:color="CCCCCC"/>
          </w:divBdr>
          <w:divsChild>
            <w:div w:id="1132018587">
              <w:marLeft w:val="0"/>
              <w:marRight w:val="0"/>
              <w:marTop w:val="0"/>
              <w:marBottom w:val="0"/>
              <w:divBdr>
                <w:top w:val="none" w:sz="0" w:space="0" w:color="auto"/>
                <w:left w:val="none" w:sz="0" w:space="0" w:color="auto"/>
                <w:bottom w:val="none" w:sz="0" w:space="0" w:color="auto"/>
                <w:right w:val="none" w:sz="0" w:space="0" w:color="auto"/>
              </w:divBdr>
              <w:divsChild>
                <w:div w:id="1041829420">
                  <w:marLeft w:val="-180"/>
                  <w:marRight w:val="-180"/>
                  <w:marTop w:val="0"/>
                  <w:marBottom w:val="0"/>
                  <w:divBdr>
                    <w:top w:val="none" w:sz="0" w:space="0" w:color="auto"/>
                    <w:left w:val="none" w:sz="0" w:space="0" w:color="auto"/>
                    <w:bottom w:val="none" w:sz="0" w:space="0" w:color="auto"/>
                    <w:right w:val="none" w:sz="0" w:space="0" w:color="auto"/>
                  </w:divBdr>
                  <w:divsChild>
                    <w:div w:id="809591183">
                      <w:marLeft w:val="0"/>
                      <w:marRight w:val="0"/>
                      <w:marTop w:val="0"/>
                      <w:marBottom w:val="0"/>
                      <w:divBdr>
                        <w:top w:val="none" w:sz="0" w:space="0" w:color="auto"/>
                        <w:left w:val="none" w:sz="0" w:space="0" w:color="auto"/>
                        <w:bottom w:val="none" w:sz="0" w:space="0" w:color="auto"/>
                        <w:right w:val="none" w:sz="0" w:space="0" w:color="auto"/>
                      </w:divBdr>
                      <w:divsChild>
                        <w:div w:id="1429041174">
                          <w:marLeft w:val="-180"/>
                          <w:marRight w:val="-180"/>
                          <w:marTop w:val="0"/>
                          <w:marBottom w:val="0"/>
                          <w:divBdr>
                            <w:top w:val="none" w:sz="0" w:space="0" w:color="auto"/>
                            <w:left w:val="none" w:sz="0" w:space="0" w:color="auto"/>
                            <w:bottom w:val="none" w:sz="0" w:space="0" w:color="auto"/>
                            <w:right w:val="none" w:sz="0" w:space="0" w:color="auto"/>
                          </w:divBdr>
                          <w:divsChild>
                            <w:div w:id="1412122681">
                              <w:marLeft w:val="0"/>
                              <w:marRight w:val="0"/>
                              <w:marTop w:val="0"/>
                              <w:marBottom w:val="0"/>
                              <w:divBdr>
                                <w:top w:val="none" w:sz="0" w:space="0" w:color="auto"/>
                                <w:left w:val="none" w:sz="0" w:space="0" w:color="auto"/>
                                <w:bottom w:val="none" w:sz="0" w:space="0" w:color="auto"/>
                                <w:right w:val="none" w:sz="0" w:space="0" w:color="auto"/>
                              </w:divBdr>
                              <w:divsChild>
                                <w:div w:id="1250852541">
                                  <w:marLeft w:val="0"/>
                                  <w:marRight w:val="0"/>
                                  <w:marTop w:val="0"/>
                                  <w:marBottom w:val="0"/>
                                  <w:divBdr>
                                    <w:top w:val="none" w:sz="0" w:space="0" w:color="auto"/>
                                    <w:left w:val="none" w:sz="0" w:space="0" w:color="auto"/>
                                    <w:bottom w:val="none" w:sz="0" w:space="0" w:color="auto"/>
                                    <w:right w:val="none" w:sz="0" w:space="0" w:color="auto"/>
                                  </w:divBdr>
                                  <w:divsChild>
                                    <w:div w:id="122969837">
                                      <w:marLeft w:val="0"/>
                                      <w:marRight w:val="0"/>
                                      <w:marTop w:val="0"/>
                                      <w:marBottom w:val="0"/>
                                      <w:divBdr>
                                        <w:top w:val="none" w:sz="0" w:space="0" w:color="auto"/>
                                        <w:left w:val="none" w:sz="0" w:space="0" w:color="auto"/>
                                        <w:bottom w:val="none" w:sz="0" w:space="0" w:color="auto"/>
                                        <w:right w:val="none" w:sz="0" w:space="0" w:color="auto"/>
                                      </w:divBdr>
                                      <w:divsChild>
                                        <w:div w:id="1755777538">
                                          <w:marLeft w:val="0"/>
                                          <w:marRight w:val="0"/>
                                          <w:marTop w:val="0"/>
                                          <w:marBottom w:val="0"/>
                                          <w:divBdr>
                                            <w:top w:val="none" w:sz="0" w:space="0" w:color="auto"/>
                                            <w:left w:val="none" w:sz="0" w:space="0" w:color="auto"/>
                                            <w:bottom w:val="none" w:sz="0" w:space="0" w:color="auto"/>
                                            <w:right w:val="none" w:sz="0" w:space="0" w:color="auto"/>
                                          </w:divBdr>
                                          <w:divsChild>
                                            <w:div w:id="980764930">
                                              <w:marLeft w:val="0"/>
                                              <w:marRight w:val="0"/>
                                              <w:marTop w:val="0"/>
                                              <w:marBottom w:val="0"/>
                                              <w:divBdr>
                                                <w:top w:val="none" w:sz="0" w:space="0" w:color="auto"/>
                                                <w:left w:val="none" w:sz="0" w:space="0" w:color="auto"/>
                                                <w:bottom w:val="none" w:sz="0" w:space="0" w:color="auto"/>
                                                <w:right w:val="none" w:sz="0" w:space="0" w:color="auto"/>
                                              </w:divBdr>
                                              <w:divsChild>
                                                <w:div w:id="956789579">
                                                  <w:marLeft w:val="0"/>
                                                  <w:marRight w:val="0"/>
                                                  <w:marTop w:val="0"/>
                                                  <w:marBottom w:val="0"/>
                                                  <w:divBdr>
                                                    <w:top w:val="none" w:sz="0" w:space="0" w:color="auto"/>
                                                    <w:left w:val="none" w:sz="0" w:space="0" w:color="auto"/>
                                                    <w:bottom w:val="none" w:sz="0" w:space="0" w:color="auto"/>
                                                    <w:right w:val="none" w:sz="0" w:space="0" w:color="auto"/>
                                                  </w:divBdr>
                                                  <w:divsChild>
                                                    <w:div w:id="306782805">
                                                      <w:marLeft w:val="0"/>
                                                      <w:marRight w:val="0"/>
                                                      <w:marTop w:val="0"/>
                                                      <w:marBottom w:val="0"/>
                                                      <w:divBdr>
                                                        <w:top w:val="none" w:sz="0" w:space="0" w:color="auto"/>
                                                        <w:left w:val="none" w:sz="0" w:space="0" w:color="auto"/>
                                                        <w:bottom w:val="none" w:sz="0" w:space="0" w:color="auto"/>
                                                        <w:right w:val="none" w:sz="0" w:space="0" w:color="auto"/>
                                                      </w:divBdr>
                                                      <w:divsChild>
                                                        <w:div w:id="1541818477">
                                                          <w:marLeft w:val="-180"/>
                                                          <w:marRight w:val="-180"/>
                                                          <w:marTop w:val="0"/>
                                                          <w:marBottom w:val="0"/>
                                                          <w:divBdr>
                                                            <w:top w:val="none" w:sz="0" w:space="0" w:color="auto"/>
                                                            <w:left w:val="none" w:sz="0" w:space="0" w:color="auto"/>
                                                            <w:bottom w:val="none" w:sz="0" w:space="0" w:color="auto"/>
                                                            <w:right w:val="none" w:sz="0" w:space="0" w:color="auto"/>
                                                          </w:divBdr>
                                                          <w:divsChild>
                                                            <w:div w:id="1389062667">
                                                              <w:marLeft w:val="0"/>
                                                              <w:marRight w:val="0"/>
                                                              <w:marTop w:val="0"/>
                                                              <w:marBottom w:val="0"/>
                                                              <w:divBdr>
                                                                <w:top w:val="none" w:sz="0" w:space="0" w:color="auto"/>
                                                                <w:left w:val="none" w:sz="0" w:space="0" w:color="auto"/>
                                                                <w:bottom w:val="none" w:sz="0" w:space="0" w:color="auto"/>
                                                                <w:right w:val="none" w:sz="0" w:space="0" w:color="auto"/>
                                                              </w:divBdr>
                                                              <w:divsChild>
                                                                <w:div w:id="1882278042">
                                                                  <w:marLeft w:val="0"/>
                                                                  <w:marRight w:val="0"/>
                                                                  <w:marTop w:val="0"/>
                                                                  <w:marBottom w:val="0"/>
                                                                  <w:divBdr>
                                                                    <w:top w:val="none" w:sz="0" w:space="0" w:color="auto"/>
                                                                    <w:left w:val="none" w:sz="0" w:space="0" w:color="auto"/>
                                                                    <w:bottom w:val="none" w:sz="0" w:space="0" w:color="auto"/>
                                                                    <w:right w:val="none" w:sz="0" w:space="0" w:color="auto"/>
                                                                  </w:divBdr>
                                                                  <w:divsChild>
                                                                    <w:div w:id="1781947575">
                                                                      <w:marLeft w:val="0"/>
                                                                      <w:marRight w:val="0"/>
                                                                      <w:marTop w:val="0"/>
                                                                      <w:marBottom w:val="0"/>
                                                                      <w:divBdr>
                                                                        <w:top w:val="none" w:sz="0" w:space="0" w:color="auto"/>
                                                                        <w:left w:val="none" w:sz="0" w:space="0" w:color="auto"/>
                                                                        <w:bottom w:val="none" w:sz="0" w:space="0" w:color="auto"/>
                                                                        <w:right w:val="none" w:sz="0" w:space="0" w:color="auto"/>
                                                                      </w:divBdr>
                                                                      <w:divsChild>
                                                                        <w:div w:id="14734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7145412">
      <w:marLeft w:val="0"/>
      <w:marRight w:val="0"/>
      <w:marTop w:val="0"/>
      <w:marBottom w:val="0"/>
      <w:divBdr>
        <w:top w:val="none" w:sz="0" w:space="0" w:color="auto"/>
        <w:left w:val="none" w:sz="0" w:space="0" w:color="auto"/>
        <w:bottom w:val="none" w:sz="0" w:space="0" w:color="auto"/>
        <w:right w:val="none" w:sz="0" w:space="0" w:color="auto"/>
      </w:divBdr>
      <w:divsChild>
        <w:div w:id="437145441">
          <w:marLeft w:val="0"/>
          <w:marRight w:val="0"/>
          <w:marTop w:val="0"/>
          <w:marBottom w:val="0"/>
          <w:divBdr>
            <w:top w:val="none" w:sz="0" w:space="0" w:color="auto"/>
            <w:left w:val="none" w:sz="0" w:space="0" w:color="auto"/>
            <w:bottom w:val="none" w:sz="0" w:space="0" w:color="auto"/>
            <w:right w:val="none" w:sz="0" w:space="0" w:color="auto"/>
          </w:divBdr>
          <w:divsChild>
            <w:div w:id="437145440">
              <w:marLeft w:val="0"/>
              <w:marRight w:val="0"/>
              <w:marTop w:val="0"/>
              <w:marBottom w:val="0"/>
              <w:divBdr>
                <w:top w:val="none" w:sz="0" w:space="0" w:color="auto"/>
                <w:left w:val="none" w:sz="0" w:space="0" w:color="auto"/>
                <w:bottom w:val="none" w:sz="0" w:space="0" w:color="auto"/>
                <w:right w:val="none" w:sz="0" w:space="0" w:color="auto"/>
              </w:divBdr>
              <w:divsChild>
                <w:div w:id="437145422">
                  <w:marLeft w:val="0"/>
                  <w:marRight w:val="0"/>
                  <w:marTop w:val="0"/>
                  <w:marBottom w:val="0"/>
                  <w:divBdr>
                    <w:top w:val="none" w:sz="0" w:space="0" w:color="auto"/>
                    <w:left w:val="none" w:sz="0" w:space="0" w:color="auto"/>
                    <w:bottom w:val="none" w:sz="0" w:space="0" w:color="auto"/>
                    <w:right w:val="none" w:sz="0" w:space="0" w:color="auto"/>
                  </w:divBdr>
                  <w:divsChild>
                    <w:div w:id="437145414">
                      <w:marLeft w:val="0"/>
                      <w:marRight w:val="0"/>
                      <w:marTop w:val="0"/>
                      <w:marBottom w:val="0"/>
                      <w:divBdr>
                        <w:top w:val="none" w:sz="0" w:space="0" w:color="auto"/>
                        <w:left w:val="none" w:sz="0" w:space="0" w:color="auto"/>
                        <w:bottom w:val="none" w:sz="0" w:space="0" w:color="auto"/>
                        <w:right w:val="none" w:sz="0" w:space="0" w:color="auto"/>
                      </w:divBdr>
                      <w:divsChild>
                        <w:div w:id="43714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145415">
      <w:marLeft w:val="0"/>
      <w:marRight w:val="0"/>
      <w:marTop w:val="0"/>
      <w:marBottom w:val="0"/>
      <w:divBdr>
        <w:top w:val="none" w:sz="0" w:space="0" w:color="auto"/>
        <w:left w:val="none" w:sz="0" w:space="0" w:color="auto"/>
        <w:bottom w:val="none" w:sz="0" w:space="0" w:color="auto"/>
        <w:right w:val="none" w:sz="0" w:space="0" w:color="auto"/>
      </w:divBdr>
    </w:div>
    <w:div w:id="437145418">
      <w:marLeft w:val="0"/>
      <w:marRight w:val="0"/>
      <w:marTop w:val="0"/>
      <w:marBottom w:val="0"/>
      <w:divBdr>
        <w:top w:val="none" w:sz="0" w:space="0" w:color="auto"/>
        <w:left w:val="none" w:sz="0" w:space="0" w:color="auto"/>
        <w:bottom w:val="none" w:sz="0" w:space="0" w:color="auto"/>
        <w:right w:val="none" w:sz="0" w:space="0" w:color="auto"/>
      </w:divBdr>
    </w:div>
    <w:div w:id="437145420">
      <w:marLeft w:val="0"/>
      <w:marRight w:val="0"/>
      <w:marTop w:val="0"/>
      <w:marBottom w:val="0"/>
      <w:divBdr>
        <w:top w:val="none" w:sz="0" w:space="0" w:color="auto"/>
        <w:left w:val="none" w:sz="0" w:space="0" w:color="auto"/>
        <w:bottom w:val="none" w:sz="0" w:space="0" w:color="auto"/>
        <w:right w:val="none" w:sz="0" w:space="0" w:color="auto"/>
      </w:divBdr>
    </w:div>
    <w:div w:id="437145423">
      <w:marLeft w:val="0"/>
      <w:marRight w:val="0"/>
      <w:marTop w:val="0"/>
      <w:marBottom w:val="0"/>
      <w:divBdr>
        <w:top w:val="none" w:sz="0" w:space="0" w:color="auto"/>
        <w:left w:val="none" w:sz="0" w:space="0" w:color="auto"/>
        <w:bottom w:val="none" w:sz="0" w:space="0" w:color="auto"/>
        <w:right w:val="none" w:sz="0" w:space="0" w:color="auto"/>
      </w:divBdr>
      <w:divsChild>
        <w:div w:id="437145416">
          <w:marLeft w:val="547"/>
          <w:marRight w:val="0"/>
          <w:marTop w:val="120"/>
          <w:marBottom w:val="120"/>
          <w:divBdr>
            <w:top w:val="none" w:sz="0" w:space="0" w:color="auto"/>
            <w:left w:val="none" w:sz="0" w:space="0" w:color="auto"/>
            <w:bottom w:val="none" w:sz="0" w:space="0" w:color="auto"/>
            <w:right w:val="none" w:sz="0" w:space="0" w:color="auto"/>
          </w:divBdr>
        </w:div>
        <w:div w:id="437145424">
          <w:marLeft w:val="547"/>
          <w:marRight w:val="0"/>
          <w:marTop w:val="120"/>
          <w:marBottom w:val="120"/>
          <w:divBdr>
            <w:top w:val="none" w:sz="0" w:space="0" w:color="auto"/>
            <w:left w:val="none" w:sz="0" w:space="0" w:color="auto"/>
            <w:bottom w:val="none" w:sz="0" w:space="0" w:color="auto"/>
            <w:right w:val="none" w:sz="0" w:space="0" w:color="auto"/>
          </w:divBdr>
        </w:div>
        <w:div w:id="437145430">
          <w:marLeft w:val="547"/>
          <w:marRight w:val="0"/>
          <w:marTop w:val="120"/>
          <w:marBottom w:val="120"/>
          <w:divBdr>
            <w:top w:val="none" w:sz="0" w:space="0" w:color="auto"/>
            <w:left w:val="none" w:sz="0" w:space="0" w:color="auto"/>
            <w:bottom w:val="none" w:sz="0" w:space="0" w:color="auto"/>
            <w:right w:val="none" w:sz="0" w:space="0" w:color="auto"/>
          </w:divBdr>
        </w:div>
        <w:div w:id="437145442">
          <w:marLeft w:val="547"/>
          <w:marRight w:val="0"/>
          <w:marTop w:val="120"/>
          <w:marBottom w:val="120"/>
          <w:divBdr>
            <w:top w:val="none" w:sz="0" w:space="0" w:color="auto"/>
            <w:left w:val="none" w:sz="0" w:space="0" w:color="auto"/>
            <w:bottom w:val="none" w:sz="0" w:space="0" w:color="auto"/>
            <w:right w:val="none" w:sz="0" w:space="0" w:color="auto"/>
          </w:divBdr>
        </w:div>
      </w:divsChild>
    </w:div>
    <w:div w:id="437145425">
      <w:marLeft w:val="0"/>
      <w:marRight w:val="0"/>
      <w:marTop w:val="0"/>
      <w:marBottom w:val="0"/>
      <w:divBdr>
        <w:top w:val="none" w:sz="0" w:space="0" w:color="auto"/>
        <w:left w:val="none" w:sz="0" w:space="0" w:color="auto"/>
        <w:bottom w:val="none" w:sz="0" w:space="0" w:color="auto"/>
        <w:right w:val="none" w:sz="0" w:space="0" w:color="auto"/>
      </w:divBdr>
    </w:div>
    <w:div w:id="437145427">
      <w:marLeft w:val="0"/>
      <w:marRight w:val="0"/>
      <w:marTop w:val="0"/>
      <w:marBottom w:val="0"/>
      <w:divBdr>
        <w:top w:val="none" w:sz="0" w:space="0" w:color="auto"/>
        <w:left w:val="none" w:sz="0" w:space="0" w:color="auto"/>
        <w:bottom w:val="none" w:sz="0" w:space="0" w:color="auto"/>
        <w:right w:val="none" w:sz="0" w:space="0" w:color="auto"/>
      </w:divBdr>
    </w:div>
    <w:div w:id="437145428">
      <w:marLeft w:val="0"/>
      <w:marRight w:val="0"/>
      <w:marTop w:val="0"/>
      <w:marBottom w:val="0"/>
      <w:divBdr>
        <w:top w:val="none" w:sz="0" w:space="0" w:color="auto"/>
        <w:left w:val="none" w:sz="0" w:space="0" w:color="auto"/>
        <w:bottom w:val="none" w:sz="0" w:space="0" w:color="auto"/>
        <w:right w:val="none" w:sz="0" w:space="0" w:color="auto"/>
      </w:divBdr>
    </w:div>
    <w:div w:id="437145429">
      <w:marLeft w:val="0"/>
      <w:marRight w:val="0"/>
      <w:marTop w:val="0"/>
      <w:marBottom w:val="0"/>
      <w:divBdr>
        <w:top w:val="none" w:sz="0" w:space="0" w:color="auto"/>
        <w:left w:val="none" w:sz="0" w:space="0" w:color="auto"/>
        <w:bottom w:val="none" w:sz="0" w:space="0" w:color="auto"/>
        <w:right w:val="none" w:sz="0" w:space="0" w:color="auto"/>
      </w:divBdr>
    </w:div>
    <w:div w:id="437145431">
      <w:marLeft w:val="0"/>
      <w:marRight w:val="0"/>
      <w:marTop w:val="0"/>
      <w:marBottom w:val="0"/>
      <w:divBdr>
        <w:top w:val="none" w:sz="0" w:space="0" w:color="auto"/>
        <w:left w:val="none" w:sz="0" w:space="0" w:color="auto"/>
        <w:bottom w:val="none" w:sz="0" w:space="0" w:color="auto"/>
        <w:right w:val="none" w:sz="0" w:space="0" w:color="auto"/>
      </w:divBdr>
      <w:divsChild>
        <w:div w:id="437145413">
          <w:marLeft w:val="547"/>
          <w:marRight w:val="0"/>
          <w:marTop w:val="120"/>
          <w:marBottom w:val="120"/>
          <w:divBdr>
            <w:top w:val="none" w:sz="0" w:space="0" w:color="auto"/>
            <w:left w:val="none" w:sz="0" w:space="0" w:color="auto"/>
            <w:bottom w:val="none" w:sz="0" w:space="0" w:color="auto"/>
            <w:right w:val="none" w:sz="0" w:space="0" w:color="auto"/>
          </w:divBdr>
        </w:div>
        <w:div w:id="437145419">
          <w:marLeft w:val="547"/>
          <w:marRight w:val="0"/>
          <w:marTop w:val="120"/>
          <w:marBottom w:val="120"/>
          <w:divBdr>
            <w:top w:val="none" w:sz="0" w:space="0" w:color="auto"/>
            <w:left w:val="none" w:sz="0" w:space="0" w:color="auto"/>
            <w:bottom w:val="none" w:sz="0" w:space="0" w:color="auto"/>
            <w:right w:val="none" w:sz="0" w:space="0" w:color="auto"/>
          </w:divBdr>
        </w:div>
        <w:div w:id="437145426">
          <w:marLeft w:val="547"/>
          <w:marRight w:val="0"/>
          <w:marTop w:val="120"/>
          <w:marBottom w:val="120"/>
          <w:divBdr>
            <w:top w:val="none" w:sz="0" w:space="0" w:color="auto"/>
            <w:left w:val="none" w:sz="0" w:space="0" w:color="auto"/>
            <w:bottom w:val="none" w:sz="0" w:space="0" w:color="auto"/>
            <w:right w:val="none" w:sz="0" w:space="0" w:color="auto"/>
          </w:divBdr>
        </w:div>
        <w:div w:id="437145433">
          <w:marLeft w:val="547"/>
          <w:marRight w:val="0"/>
          <w:marTop w:val="120"/>
          <w:marBottom w:val="120"/>
          <w:divBdr>
            <w:top w:val="none" w:sz="0" w:space="0" w:color="auto"/>
            <w:left w:val="none" w:sz="0" w:space="0" w:color="auto"/>
            <w:bottom w:val="none" w:sz="0" w:space="0" w:color="auto"/>
            <w:right w:val="none" w:sz="0" w:space="0" w:color="auto"/>
          </w:divBdr>
        </w:div>
      </w:divsChild>
    </w:div>
    <w:div w:id="437145437">
      <w:marLeft w:val="0"/>
      <w:marRight w:val="0"/>
      <w:marTop w:val="0"/>
      <w:marBottom w:val="0"/>
      <w:divBdr>
        <w:top w:val="none" w:sz="0" w:space="0" w:color="auto"/>
        <w:left w:val="none" w:sz="0" w:space="0" w:color="auto"/>
        <w:bottom w:val="none" w:sz="0" w:space="0" w:color="auto"/>
        <w:right w:val="none" w:sz="0" w:space="0" w:color="auto"/>
      </w:divBdr>
    </w:div>
    <w:div w:id="437145438">
      <w:marLeft w:val="0"/>
      <w:marRight w:val="0"/>
      <w:marTop w:val="0"/>
      <w:marBottom w:val="0"/>
      <w:divBdr>
        <w:top w:val="none" w:sz="0" w:space="0" w:color="auto"/>
        <w:left w:val="none" w:sz="0" w:space="0" w:color="auto"/>
        <w:bottom w:val="none" w:sz="0" w:space="0" w:color="auto"/>
        <w:right w:val="none" w:sz="0" w:space="0" w:color="auto"/>
      </w:divBdr>
      <w:divsChild>
        <w:div w:id="437145417">
          <w:marLeft w:val="0"/>
          <w:marRight w:val="0"/>
          <w:marTop w:val="105"/>
          <w:marBottom w:val="105"/>
          <w:divBdr>
            <w:top w:val="none" w:sz="0" w:space="0" w:color="auto"/>
            <w:left w:val="none" w:sz="0" w:space="0" w:color="auto"/>
            <w:bottom w:val="none" w:sz="0" w:space="0" w:color="auto"/>
            <w:right w:val="none" w:sz="0" w:space="0" w:color="auto"/>
          </w:divBdr>
          <w:divsChild>
            <w:div w:id="437145436">
              <w:marLeft w:val="0"/>
              <w:marRight w:val="0"/>
              <w:marTop w:val="105"/>
              <w:marBottom w:val="105"/>
              <w:divBdr>
                <w:top w:val="none" w:sz="0" w:space="0" w:color="auto"/>
                <w:left w:val="none" w:sz="0" w:space="0" w:color="auto"/>
                <w:bottom w:val="none" w:sz="0" w:space="0" w:color="auto"/>
                <w:right w:val="none" w:sz="0" w:space="0" w:color="auto"/>
              </w:divBdr>
              <w:divsChild>
                <w:div w:id="437145421">
                  <w:marLeft w:val="0"/>
                  <w:marRight w:val="0"/>
                  <w:marTop w:val="105"/>
                  <w:marBottom w:val="105"/>
                  <w:divBdr>
                    <w:top w:val="none" w:sz="0" w:space="0" w:color="auto"/>
                    <w:left w:val="none" w:sz="0" w:space="0" w:color="auto"/>
                    <w:bottom w:val="none" w:sz="0" w:space="0" w:color="auto"/>
                    <w:right w:val="none" w:sz="0" w:space="0" w:color="auto"/>
                  </w:divBdr>
                  <w:divsChild>
                    <w:div w:id="437145432">
                      <w:marLeft w:val="0"/>
                      <w:marRight w:val="0"/>
                      <w:marTop w:val="105"/>
                      <w:marBottom w:val="105"/>
                      <w:divBdr>
                        <w:top w:val="none" w:sz="0" w:space="0" w:color="auto"/>
                        <w:left w:val="none" w:sz="0" w:space="0" w:color="auto"/>
                        <w:bottom w:val="none" w:sz="0" w:space="0" w:color="auto"/>
                        <w:right w:val="none" w:sz="0" w:space="0" w:color="auto"/>
                      </w:divBdr>
                      <w:divsChild>
                        <w:div w:id="437145439">
                          <w:marLeft w:val="0"/>
                          <w:marRight w:val="0"/>
                          <w:marTop w:val="105"/>
                          <w:marBottom w:val="105"/>
                          <w:divBdr>
                            <w:top w:val="none" w:sz="0" w:space="0" w:color="auto"/>
                            <w:left w:val="none" w:sz="0" w:space="0" w:color="auto"/>
                            <w:bottom w:val="none" w:sz="0" w:space="0" w:color="auto"/>
                            <w:right w:val="none" w:sz="0" w:space="0" w:color="auto"/>
                          </w:divBdr>
                          <w:divsChild>
                            <w:div w:id="437145443">
                              <w:marLeft w:val="0"/>
                              <w:marRight w:val="0"/>
                              <w:marTop w:val="105"/>
                              <w:marBottom w:val="105"/>
                              <w:divBdr>
                                <w:top w:val="none" w:sz="0" w:space="0" w:color="auto"/>
                                <w:left w:val="none" w:sz="0" w:space="0" w:color="auto"/>
                                <w:bottom w:val="none" w:sz="0" w:space="0" w:color="auto"/>
                                <w:right w:val="none" w:sz="0" w:space="0" w:color="auto"/>
                              </w:divBdr>
                              <w:divsChild>
                                <w:div w:id="437145435">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145444">
      <w:marLeft w:val="0"/>
      <w:marRight w:val="0"/>
      <w:marTop w:val="0"/>
      <w:marBottom w:val="0"/>
      <w:divBdr>
        <w:top w:val="none" w:sz="0" w:space="0" w:color="auto"/>
        <w:left w:val="none" w:sz="0" w:space="0" w:color="auto"/>
        <w:bottom w:val="none" w:sz="0" w:space="0" w:color="auto"/>
        <w:right w:val="none" w:sz="0" w:space="0" w:color="auto"/>
      </w:divBdr>
    </w:div>
    <w:div w:id="475150090">
      <w:bodyDiv w:val="1"/>
      <w:marLeft w:val="0"/>
      <w:marRight w:val="0"/>
      <w:marTop w:val="0"/>
      <w:marBottom w:val="0"/>
      <w:divBdr>
        <w:top w:val="none" w:sz="0" w:space="0" w:color="auto"/>
        <w:left w:val="none" w:sz="0" w:space="0" w:color="auto"/>
        <w:bottom w:val="none" w:sz="0" w:space="0" w:color="auto"/>
        <w:right w:val="none" w:sz="0" w:space="0" w:color="auto"/>
      </w:divBdr>
    </w:div>
    <w:div w:id="511648384">
      <w:bodyDiv w:val="1"/>
      <w:marLeft w:val="0"/>
      <w:marRight w:val="0"/>
      <w:marTop w:val="0"/>
      <w:marBottom w:val="0"/>
      <w:divBdr>
        <w:top w:val="none" w:sz="0" w:space="0" w:color="auto"/>
        <w:left w:val="none" w:sz="0" w:space="0" w:color="auto"/>
        <w:bottom w:val="none" w:sz="0" w:space="0" w:color="auto"/>
        <w:right w:val="none" w:sz="0" w:space="0" w:color="auto"/>
      </w:divBdr>
      <w:divsChild>
        <w:div w:id="693851106">
          <w:marLeft w:val="547"/>
          <w:marRight w:val="0"/>
          <w:marTop w:val="0"/>
          <w:marBottom w:val="0"/>
          <w:divBdr>
            <w:top w:val="none" w:sz="0" w:space="0" w:color="auto"/>
            <w:left w:val="none" w:sz="0" w:space="0" w:color="auto"/>
            <w:bottom w:val="none" w:sz="0" w:space="0" w:color="auto"/>
            <w:right w:val="none" w:sz="0" w:space="0" w:color="auto"/>
          </w:divBdr>
        </w:div>
      </w:divsChild>
    </w:div>
    <w:div w:id="536891722">
      <w:bodyDiv w:val="1"/>
      <w:marLeft w:val="0"/>
      <w:marRight w:val="0"/>
      <w:marTop w:val="0"/>
      <w:marBottom w:val="0"/>
      <w:divBdr>
        <w:top w:val="none" w:sz="0" w:space="0" w:color="auto"/>
        <w:left w:val="none" w:sz="0" w:space="0" w:color="auto"/>
        <w:bottom w:val="none" w:sz="0" w:space="0" w:color="auto"/>
        <w:right w:val="none" w:sz="0" w:space="0" w:color="auto"/>
      </w:divBdr>
    </w:div>
    <w:div w:id="543643947">
      <w:bodyDiv w:val="1"/>
      <w:marLeft w:val="0"/>
      <w:marRight w:val="0"/>
      <w:marTop w:val="0"/>
      <w:marBottom w:val="0"/>
      <w:divBdr>
        <w:top w:val="none" w:sz="0" w:space="0" w:color="auto"/>
        <w:left w:val="none" w:sz="0" w:space="0" w:color="auto"/>
        <w:bottom w:val="none" w:sz="0" w:space="0" w:color="auto"/>
        <w:right w:val="none" w:sz="0" w:space="0" w:color="auto"/>
      </w:divBdr>
    </w:div>
    <w:div w:id="663973687">
      <w:bodyDiv w:val="1"/>
      <w:marLeft w:val="0"/>
      <w:marRight w:val="0"/>
      <w:marTop w:val="0"/>
      <w:marBottom w:val="0"/>
      <w:divBdr>
        <w:top w:val="none" w:sz="0" w:space="0" w:color="auto"/>
        <w:left w:val="none" w:sz="0" w:space="0" w:color="auto"/>
        <w:bottom w:val="none" w:sz="0" w:space="0" w:color="auto"/>
        <w:right w:val="none" w:sz="0" w:space="0" w:color="auto"/>
      </w:divBdr>
    </w:div>
    <w:div w:id="686760974">
      <w:bodyDiv w:val="1"/>
      <w:marLeft w:val="0"/>
      <w:marRight w:val="0"/>
      <w:marTop w:val="0"/>
      <w:marBottom w:val="0"/>
      <w:divBdr>
        <w:top w:val="none" w:sz="0" w:space="0" w:color="auto"/>
        <w:left w:val="none" w:sz="0" w:space="0" w:color="auto"/>
        <w:bottom w:val="none" w:sz="0" w:space="0" w:color="auto"/>
        <w:right w:val="none" w:sz="0" w:space="0" w:color="auto"/>
      </w:divBdr>
    </w:div>
    <w:div w:id="721057663">
      <w:bodyDiv w:val="1"/>
      <w:marLeft w:val="0"/>
      <w:marRight w:val="0"/>
      <w:marTop w:val="0"/>
      <w:marBottom w:val="0"/>
      <w:divBdr>
        <w:top w:val="none" w:sz="0" w:space="0" w:color="auto"/>
        <w:left w:val="none" w:sz="0" w:space="0" w:color="auto"/>
        <w:bottom w:val="none" w:sz="0" w:space="0" w:color="auto"/>
        <w:right w:val="none" w:sz="0" w:space="0" w:color="auto"/>
      </w:divBdr>
      <w:divsChild>
        <w:div w:id="343367658">
          <w:marLeft w:val="0"/>
          <w:marRight w:val="0"/>
          <w:marTop w:val="0"/>
          <w:marBottom w:val="120"/>
          <w:divBdr>
            <w:top w:val="none" w:sz="0" w:space="0" w:color="auto"/>
            <w:left w:val="none" w:sz="0" w:space="0" w:color="auto"/>
            <w:bottom w:val="none" w:sz="0" w:space="0" w:color="auto"/>
            <w:right w:val="none" w:sz="0" w:space="0" w:color="auto"/>
          </w:divBdr>
        </w:div>
      </w:divsChild>
    </w:div>
    <w:div w:id="732823715">
      <w:bodyDiv w:val="1"/>
      <w:marLeft w:val="0"/>
      <w:marRight w:val="0"/>
      <w:marTop w:val="0"/>
      <w:marBottom w:val="0"/>
      <w:divBdr>
        <w:top w:val="none" w:sz="0" w:space="0" w:color="auto"/>
        <w:left w:val="none" w:sz="0" w:space="0" w:color="auto"/>
        <w:bottom w:val="none" w:sz="0" w:space="0" w:color="auto"/>
        <w:right w:val="none" w:sz="0" w:space="0" w:color="auto"/>
      </w:divBdr>
    </w:div>
    <w:div w:id="751969621">
      <w:bodyDiv w:val="1"/>
      <w:marLeft w:val="0"/>
      <w:marRight w:val="0"/>
      <w:marTop w:val="0"/>
      <w:marBottom w:val="0"/>
      <w:divBdr>
        <w:top w:val="none" w:sz="0" w:space="0" w:color="auto"/>
        <w:left w:val="none" w:sz="0" w:space="0" w:color="auto"/>
        <w:bottom w:val="none" w:sz="0" w:space="0" w:color="auto"/>
        <w:right w:val="none" w:sz="0" w:space="0" w:color="auto"/>
      </w:divBdr>
    </w:div>
    <w:div w:id="767312302">
      <w:bodyDiv w:val="1"/>
      <w:marLeft w:val="0"/>
      <w:marRight w:val="0"/>
      <w:marTop w:val="0"/>
      <w:marBottom w:val="0"/>
      <w:divBdr>
        <w:top w:val="none" w:sz="0" w:space="0" w:color="auto"/>
        <w:left w:val="none" w:sz="0" w:space="0" w:color="auto"/>
        <w:bottom w:val="none" w:sz="0" w:space="0" w:color="auto"/>
        <w:right w:val="none" w:sz="0" w:space="0" w:color="auto"/>
      </w:divBdr>
    </w:div>
    <w:div w:id="849754064">
      <w:bodyDiv w:val="1"/>
      <w:marLeft w:val="0"/>
      <w:marRight w:val="0"/>
      <w:marTop w:val="0"/>
      <w:marBottom w:val="0"/>
      <w:divBdr>
        <w:top w:val="none" w:sz="0" w:space="0" w:color="auto"/>
        <w:left w:val="none" w:sz="0" w:space="0" w:color="auto"/>
        <w:bottom w:val="none" w:sz="0" w:space="0" w:color="auto"/>
        <w:right w:val="none" w:sz="0" w:space="0" w:color="auto"/>
      </w:divBdr>
      <w:divsChild>
        <w:div w:id="852452100">
          <w:marLeft w:val="547"/>
          <w:marRight w:val="0"/>
          <w:marTop w:val="0"/>
          <w:marBottom w:val="0"/>
          <w:divBdr>
            <w:top w:val="none" w:sz="0" w:space="0" w:color="auto"/>
            <w:left w:val="none" w:sz="0" w:space="0" w:color="auto"/>
            <w:bottom w:val="none" w:sz="0" w:space="0" w:color="auto"/>
            <w:right w:val="none" w:sz="0" w:space="0" w:color="auto"/>
          </w:divBdr>
        </w:div>
      </w:divsChild>
    </w:div>
    <w:div w:id="859245437">
      <w:bodyDiv w:val="1"/>
      <w:marLeft w:val="0"/>
      <w:marRight w:val="0"/>
      <w:marTop w:val="0"/>
      <w:marBottom w:val="0"/>
      <w:divBdr>
        <w:top w:val="none" w:sz="0" w:space="0" w:color="auto"/>
        <w:left w:val="none" w:sz="0" w:space="0" w:color="auto"/>
        <w:bottom w:val="none" w:sz="0" w:space="0" w:color="auto"/>
        <w:right w:val="none" w:sz="0" w:space="0" w:color="auto"/>
      </w:divBdr>
    </w:div>
    <w:div w:id="889733488">
      <w:bodyDiv w:val="1"/>
      <w:marLeft w:val="0"/>
      <w:marRight w:val="0"/>
      <w:marTop w:val="0"/>
      <w:marBottom w:val="0"/>
      <w:divBdr>
        <w:top w:val="none" w:sz="0" w:space="0" w:color="auto"/>
        <w:left w:val="none" w:sz="0" w:space="0" w:color="auto"/>
        <w:bottom w:val="none" w:sz="0" w:space="0" w:color="auto"/>
        <w:right w:val="none" w:sz="0" w:space="0" w:color="auto"/>
      </w:divBdr>
    </w:div>
    <w:div w:id="1056469196">
      <w:bodyDiv w:val="1"/>
      <w:marLeft w:val="0"/>
      <w:marRight w:val="0"/>
      <w:marTop w:val="0"/>
      <w:marBottom w:val="0"/>
      <w:divBdr>
        <w:top w:val="none" w:sz="0" w:space="0" w:color="auto"/>
        <w:left w:val="none" w:sz="0" w:space="0" w:color="auto"/>
        <w:bottom w:val="none" w:sz="0" w:space="0" w:color="auto"/>
        <w:right w:val="none" w:sz="0" w:space="0" w:color="auto"/>
      </w:divBdr>
    </w:div>
    <w:div w:id="1096898970">
      <w:bodyDiv w:val="1"/>
      <w:marLeft w:val="0"/>
      <w:marRight w:val="0"/>
      <w:marTop w:val="0"/>
      <w:marBottom w:val="0"/>
      <w:divBdr>
        <w:top w:val="none" w:sz="0" w:space="0" w:color="auto"/>
        <w:left w:val="none" w:sz="0" w:space="0" w:color="auto"/>
        <w:bottom w:val="none" w:sz="0" w:space="0" w:color="auto"/>
        <w:right w:val="none" w:sz="0" w:space="0" w:color="auto"/>
      </w:divBdr>
    </w:div>
    <w:div w:id="1190214911">
      <w:bodyDiv w:val="1"/>
      <w:marLeft w:val="0"/>
      <w:marRight w:val="0"/>
      <w:marTop w:val="0"/>
      <w:marBottom w:val="0"/>
      <w:divBdr>
        <w:top w:val="none" w:sz="0" w:space="0" w:color="auto"/>
        <w:left w:val="none" w:sz="0" w:space="0" w:color="auto"/>
        <w:bottom w:val="none" w:sz="0" w:space="0" w:color="auto"/>
        <w:right w:val="none" w:sz="0" w:space="0" w:color="auto"/>
      </w:divBdr>
    </w:div>
    <w:div w:id="1277101742">
      <w:bodyDiv w:val="1"/>
      <w:marLeft w:val="0"/>
      <w:marRight w:val="0"/>
      <w:marTop w:val="0"/>
      <w:marBottom w:val="0"/>
      <w:divBdr>
        <w:top w:val="none" w:sz="0" w:space="0" w:color="auto"/>
        <w:left w:val="none" w:sz="0" w:space="0" w:color="auto"/>
        <w:bottom w:val="none" w:sz="0" w:space="0" w:color="auto"/>
        <w:right w:val="none" w:sz="0" w:space="0" w:color="auto"/>
      </w:divBdr>
    </w:div>
    <w:div w:id="1335259202">
      <w:bodyDiv w:val="1"/>
      <w:marLeft w:val="0"/>
      <w:marRight w:val="0"/>
      <w:marTop w:val="0"/>
      <w:marBottom w:val="0"/>
      <w:divBdr>
        <w:top w:val="none" w:sz="0" w:space="0" w:color="auto"/>
        <w:left w:val="none" w:sz="0" w:space="0" w:color="auto"/>
        <w:bottom w:val="none" w:sz="0" w:space="0" w:color="auto"/>
        <w:right w:val="none" w:sz="0" w:space="0" w:color="auto"/>
      </w:divBdr>
    </w:div>
    <w:div w:id="1359741837">
      <w:bodyDiv w:val="1"/>
      <w:marLeft w:val="0"/>
      <w:marRight w:val="0"/>
      <w:marTop w:val="0"/>
      <w:marBottom w:val="0"/>
      <w:divBdr>
        <w:top w:val="none" w:sz="0" w:space="0" w:color="auto"/>
        <w:left w:val="none" w:sz="0" w:space="0" w:color="auto"/>
        <w:bottom w:val="none" w:sz="0" w:space="0" w:color="auto"/>
        <w:right w:val="none" w:sz="0" w:space="0" w:color="auto"/>
      </w:divBdr>
      <w:divsChild>
        <w:div w:id="1132407860">
          <w:marLeft w:val="0"/>
          <w:marRight w:val="0"/>
          <w:marTop w:val="0"/>
          <w:marBottom w:val="0"/>
          <w:divBdr>
            <w:top w:val="single" w:sz="2" w:space="0" w:color="2E2E2E"/>
            <w:left w:val="single" w:sz="2" w:space="0" w:color="2E2E2E"/>
            <w:bottom w:val="single" w:sz="2" w:space="0" w:color="2E2E2E"/>
            <w:right w:val="single" w:sz="2" w:space="0" w:color="2E2E2E"/>
          </w:divBdr>
          <w:divsChild>
            <w:div w:id="1456094434">
              <w:marLeft w:val="0"/>
              <w:marRight w:val="0"/>
              <w:marTop w:val="0"/>
              <w:marBottom w:val="0"/>
              <w:divBdr>
                <w:top w:val="single" w:sz="6" w:space="0" w:color="C9C9C9"/>
                <w:left w:val="none" w:sz="0" w:space="0" w:color="auto"/>
                <w:bottom w:val="none" w:sz="0" w:space="0" w:color="auto"/>
                <w:right w:val="none" w:sz="0" w:space="0" w:color="auto"/>
              </w:divBdr>
              <w:divsChild>
                <w:div w:id="199517337">
                  <w:marLeft w:val="0"/>
                  <w:marRight w:val="0"/>
                  <w:marTop w:val="0"/>
                  <w:marBottom w:val="0"/>
                  <w:divBdr>
                    <w:top w:val="none" w:sz="0" w:space="0" w:color="auto"/>
                    <w:left w:val="none" w:sz="0" w:space="0" w:color="auto"/>
                    <w:bottom w:val="none" w:sz="0" w:space="0" w:color="auto"/>
                    <w:right w:val="none" w:sz="0" w:space="0" w:color="auto"/>
                  </w:divBdr>
                  <w:divsChild>
                    <w:div w:id="1535532102">
                      <w:marLeft w:val="0"/>
                      <w:marRight w:val="0"/>
                      <w:marTop w:val="0"/>
                      <w:marBottom w:val="0"/>
                      <w:divBdr>
                        <w:top w:val="none" w:sz="0" w:space="0" w:color="auto"/>
                        <w:left w:val="none" w:sz="0" w:space="0" w:color="auto"/>
                        <w:bottom w:val="none" w:sz="0" w:space="0" w:color="auto"/>
                        <w:right w:val="none" w:sz="0" w:space="0" w:color="auto"/>
                      </w:divBdr>
                      <w:divsChild>
                        <w:div w:id="1587153576">
                          <w:marLeft w:val="0"/>
                          <w:marRight w:val="0"/>
                          <w:marTop w:val="225"/>
                          <w:marBottom w:val="180"/>
                          <w:divBdr>
                            <w:top w:val="single" w:sz="6" w:space="0" w:color="D7D7D7"/>
                            <w:left w:val="single" w:sz="2" w:space="0" w:color="D7D7D7"/>
                            <w:bottom w:val="single" w:sz="6" w:space="0" w:color="D7D7D7"/>
                            <w:right w:val="single" w:sz="2" w:space="0" w:color="D7D7D7"/>
                          </w:divBdr>
                          <w:divsChild>
                            <w:div w:id="1592086022">
                              <w:marLeft w:val="0"/>
                              <w:marRight w:val="0"/>
                              <w:marTop w:val="0"/>
                              <w:marBottom w:val="0"/>
                              <w:divBdr>
                                <w:top w:val="none" w:sz="0" w:space="0" w:color="auto"/>
                                <w:left w:val="none" w:sz="0" w:space="0" w:color="auto"/>
                                <w:bottom w:val="none" w:sz="0" w:space="0" w:color="auto"/>
                                <w:right w:val="none" w:sz="0" w:space="0" w:color="auto"/>
                              </w:divBdr>
                              <w:divsChild>
                                <w:div w:id="171288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320254">
      <w:bodyDiv w:val="1"/>
      <w:marLeft w:val="0"/>
      <w:marRight w:val="0"/>
      <w:marTop w:val="0"/>
      <w:marBottom w:val="0"/>
      <w:divBdr>
        <w:top w:val="none" w:sz="0" w:space="0" w:color="auto"/>
        <w:left w:val="none" w:sz="0" w:space="0" w:color="auto"/>
        <w:bottom w:val="none" w:sz="0" w:space="0" w:color="auto"/>
        <w:right w:val="none" w:sz="0" w:space="0" w:color="auto"/>
      </w:divBdr>
    </w:div>
    <w:div w:id="1373385667">
      <w:bodyDiv w:val="1"/>
      <w:marLeft w:val="0"/>
      <w:marRight w:val="0"/>
      <w:marTop w:val="0"/>
      <w:marBottom w:val="0"/>
      <w:divBdr>
        <w:top w:val="none" w:sz="0" w:space="0" w:color="auto"/>
        <w:left w:val="none" w:sz="0" w:space="0" w:color="auto"/>
        <w:bottom w:val="none" w:sz="0" w:space="0" w:color="auto"/>
        <w:right w:val="none" w:sz="0" w:space="0" w:color="auto"/>
      </w:divBdr>
    </w:div>
    <w:div w:id="1397438594">
      <w:bodyDiv w:val="1"/>
      <w:marLeft w:val="0"/>
      <w:marRight w:val="0"/>
      <w:marTop w:val="0"/>
      <w:marBottom w:val="0"/>
      <w:divBdr>
        <w:top w:val="none" w:sz="0" w:space="0" w:color="auto"/>
        <w:left w:val="none" w:sz="0" w:space="0" w:color="auto"/>
        <w:bottom w:val="none" w:sz="0" w:space="0" w:color="auto"/>
        <w:right w:val="none" w:sz="0" w:space="0" w:color="auto"/>
      </w:divBdr>
    </w:div>
    <w:div w:id="1418986524">
      <w:bodyDiv w:val="1"/>
      <w:marLeft w:val="0"/>
      <w:marRight w:val="0"/>
      <w:marTop w:val="0"/>
      <w:marBottom w:val="0"/>
      <w:divBdr>
        <w:top w:val="none" w:sz="0" w:space="0" w:color="auto"/>
        <w:left w:val="none" w:sz="0" w:space="0" w:color="auto"/>
        <w:bottom w:val="none" w:sz="0" w:space="0" w:color="auto"/>
        <w:right w:val="none" w:sz="0" w:space="0" w:color="auto"/>
      </w:divBdr>
    </w:div>
    <w:div w:id="1425033075">
      <w:bodyDiv w:val="1"/>
      <w:marLeft w:val="0"/>
      <w:marRight w:val="0"/>
      <w:marTop w:val="0"/>
      <w:marBottom w:val="0"/>
      <w:divBdr>
        <w:top w:val="none" w:sz="0" w:space="0" w:color="auto"/>
        <w:left w:val="none" w:sz="0" w:space="0" w:color="auto"/>
        <w:bottom w:val="none" w:sz="0" w:space="0" w:color="auto"/>
        <w:right w:val="none" w:sz="0" w:space="0" w:color="auto"/>
      </w:divBdr>
    </w:div>
    <w:div w:id="1435055867">
      <w:bodyDiv w:val="1"/>
      <w:marLeft w:val="0"/>
      <w:marRight w:val="0"/>
      <w:marTop w:val="0"/>
      <w:marBottom w:val="0"/>
      <w:divBdr>
        <w:top w:val="none" w:sz="0" w:space="0" w:color="auto"/>
        <w:left w:val="none" w:sz="0" w:space="0" w:color="auto"/>
        <w:bottom w:val="none" w:sz="0" w:space="0" w:color="auto"/>
        <w:right w:val="none" w:sz="0" w:space="0" w:color="auto"/>
      </w:divBdr>
    </w:div>
    <w:div w:id="1512405003">
      <w:bodyDiv w:val="1"/>
      <w:marLeft w:val="0"/>
      <w:marRight w:val="0"/>
      <w:marTop w:val="0"/>
      <w:marBottom w:val="0"/>
      <w:divBdr>
        <w:top w:val="none" w:sz="0" w:space="0" w:color="auto"/>
        <w:left w:val="none" w:sz="0" w:space="0" w:color="auto"/>
        <w:bottom w:val="none" w:sz="0" w:space="0" w:color="auto"/>
        <w:right w:val="none" w:sz="0" w:space="0" w:color="auto"/>
      </w:divBdr>
    </w:div>
    <w:div w:id="1563099700">
      <w:bodyDiv w:val="1"/>
      <w:marLeft w:val="0"/>
      <w:marRight w:val="0"/>
      <w:marTop w:val="0"/>
      <w:marBottom w:val="0"/>
      <w:divBdr>
        <w:top w:val="none" w:sz="0" w:space="0" w:color="auto"/>
        <w:left w:val="none" w:sz="0" w:space="0" w:color="auto"/>
        <w:bottom w:val="none" w:sz="0" w:space="0" w:color="auto"/>
        <w:right w:val="none" w:sz="0" w:space="0" w:color="auto"/>
      </w:divBdr>
      <w:divsChild>
        <w:div w:id="1738670926">
          <w:marLeft w:val="0"/>
          <w:marRight w:val="0"/>
          <w:marTop w:val="0"/>
          <w:marBottom w:val="0"/>
          <w:divBdr>
            <w:top w:val="none" w:sz="0" w:space="0" w:color="auto"/>
            <w:left w:val="none" w:sz="0" w:space="0" w:color="auto"/>
            <w:bottom w:val="none" w:sz="0" w:space="0" w:color="auto"/>
            <w:right w:val="none" w:sz="0" w:space="0" w:color="auto"/>
          </w:divBdr>
        </w:div>
      </w:divsChild>
    </w:div>
    <w:div w:id="1608194736">
      <w:bodyDiv w:val="1"/>
      <w:marLeft w:val="0"/>
      <w:marRight w:val="0"/>
      <w:marTop w:val="0"/>
      <w:marBottom w:val="0"/>
      <w:divBdr>
        <w:top w:val="none" w:sz="0" w:space="0" w:color="auto"/>
        <w:left w:val="none" w:sz="0" w:space="0" w:color="auto"/>
        <w:bottom w:val="none" w:sz="0" w:space="0" w:color="auto"/>
        <w:right w:val="none" w:sz="0" w:space="0" w:color="auto"/>
      </w:divBdr>
    </w:div>
    <w:div w:id="1620840425">
      <w:bodyDiv w:val="1"/>
      <w:marLeft w:val="0"/>
      <w:marRight w:val="0"/>
      <w:marTop w:val="0"/>
      <w:marBottom w:val="0"/>
      <w:divBdr>
        <w:top w:val="none" w:sz="0" w:space="0" w:color="auto"/>
        <w:left w:val="none" w:sz="0" w:space="0" w:color="auto"/>
        <w:bottom w:val="none" w:sz="0" w:space="0" w:color="auto"/>
        <w:right w:val="none" w:sz="0" w:space="0" w:color="auto"/>
      </w:divBdr>
    </w:div>
    <w:div w:id="1626618801">
      <w:bodyDiv w:val="1"/>
      <w:marLeft w:val="0"/>
      <w:marRight w:val="0"/>
      <w:marTop w:val="0"/>
      <w:marBottom w:val="0"/>
      <w:divBdr>
        <w:top w:val="none" w:sz="0" w:space="0" w:color="auto"/>
        <w:left w:val="none" w:sz="0" w:space="0" w:color="auto"/>
        <w:bottom w:val="none" w:sz="0" w:space="0" w:color="auto"/>
        <w:right w:val="none" w:sz="0" w:space="0" w:color="auto"/>
      </w:divBdr>
    </w:div>
    <w:div w:id="1667589684">
      <w:bodyDiv w:val="1"/>
      <w:marLeft w:val="0"/>
      <w:marRight w:val="0"/>
      <w:marTop w:val="0"/>
      <w:marBottom w:val="0"/>
      <w:divBdr>
        <w:top w:val="none" w:sz="0" w:space="0" w:color="auto"/>
        <w:left w:val="none" w:sz="0" w:space="0" w:color="auto"/>
        <w:bottom w:val="none" w:sz="0" w:space="0" w:color="auto"/>
        <w:right w:val="none" w:sz="0" w:space="0" w:color="auto"/>
      </w:divBdr>
    </w:div>
    <w:div w:id="1710570926">
      <w:bodyDiv w:val="1"/>
      <w:marLeft w:val="0"/>
      <w:marRight w:val="0"/>
      <w:marTop w:val="0"/>
      <w:marBottom w:val="0"/>
      <w:divBdr>
        <w:top w:val="none" w:sz="0" w:space="0" w:color="auto"/>
        <w:left w:val="none" w:sz="0" w:space="0" w:color="auto"/>
        <w:bottom w:val="none" w:sz="0" w:space="0" w:color="auto"/>
        <w:right w:val="none" w:sz="0" w:space="0" w:color="auto"/>
      </w:divBdr>
    </w:div>
    <w:div w:id="1808353611">
      <w:bodyDiv w:val="1"/>
      <w:marLeft w:val="0"/>
      <w:marRight w:val="0"/>
      <w:marTop w:val="0"/>
      <w:marBottom w:val="0"/>
      <w:divBdr>
        <w:top w:val="none" w:sz="0" w:space="0" w:color="auto"/>
        <w:left w:val="none" w:sz="0" w:space="0" w:color="auto"/>
        <w:bottom w:val="none" w:sz="0" w:space="0" w:color="auto"/>
        <w:right w:val="none" w:sz="0" w:space="0" w:color="auto"/>
      </w:divBdr>
    </w:div>
    <w:div w:id="1904944278">
      <w:bodyDiv w:val="1"/>
      <w:marLeft w:val="0"/>
      <w:marRight w:val="0"/>
      <w:marTop w:val="0"/>
      <w:marBottom w:val="0"/>
      <w:divBdr>
        <w:top w:val="none" w:sz="0" w:space="0" w:color="auto"/>
        <w:left w:val="none" w:sz="0" w:space="0" w:color="auto"/>
        <w:bottom w:val="none" w:sz="0" w:space="0" w:color="auto"/>
        <w:right w:val="none" w:sz="0" w:space="0" w:color="auto"/>
      </w:divBdr>
    </w:div>
    <w:div w:id="1913075646">
      <w:bodyDiv w:val="1"/>
      <w:marLeft w:val="0"/>
      <w:marRight w:val="0"/>
      <w:marTop w:val="0"/>
      <w:marBottom w:val="0"/>
      <w:divBdr>
        <w:top w:val="none" w:sz="0" w:space="0" w:color="auto"/>
        <w:left w:val="none" w:sz="0" w:space="0" w:color="auto"/>
        <w:bottom w:val="none" w:sz="0" w:space="0" w:color="auto"/>
        <w:right w:val="none" w:sz="0" w:space="0" w:color="auto"/>
      </w:divBdr>
    </w:div>
    <w:div w:id="1943950378">
      <w:bodyDiv w:val="1"/>
      <w:marLeft w:val="0"/>
      <w:marRight w:val="0"/>
      <w:marTop w:val="0"/>
      <w:marBottom w:val="0"/>
      <w:divBdr>
        <w:top w:val="none" w:sz="0" w:space="0" w:color="auto"/>
        <w:left w:val="none" w:sz="0" w:space="0" w:color="auto"/>
        <w:bottom w:val="none" w:sz="0" w:space="0" w:color="auto"/>
        <w:right w:val="none" w:sz="0" w:space="0" w:color="auto"/>
      </w:divBdr>
    </w:div>
    <w:div w:id="1963419795">
      <w:bodyDiv w:val="1"/>
      <w:marLeft w:val="0"/>
      <w:marRight w:val="0"/>
      <w:marTop w:val="0"/>
      <w:marBottom w:val="0"/>
      <w:divBdr>
        <w:top w:val="none" w:sz="0" w:space="0" w:color="auto"/>
        <w:left w:val="none" w:sz="0" w:space="0" w:color="auto"/>
        <w:bottom w:val="none" w:sz="0" w:space="0" w:color="auto"/>
        <w:right w:val="none" w:sz="0" w:space="0" w:color="auto"/>
      </w:divBdr>
    </w:div>
    <w:div w:id="1996717313">
      <w:bodyDiv w:val="1"/>
      <w:marLeft w:val="0"/>
      <w:marRight w:val="0"/>
      <w:marTop w:val="0"/>
      <w:marBottom w:val="0"/>
      <w:divBdr>
        <w:top w:val="none" w:sz="0" w:space="0" w:color="auto"/>
        <w:left w:val="none" w:sz="0" w:space="0" w:color="auto"/>
        <w:bottom w:val="none" w:sz="0" w:space="0" w:color="auto"/>
        <w:right w:val="none" w:sz="0" w:space="0" w:color="auto"/>
      </w:divBdr>
    </w:div>
    <w:div w:id="2090928745">
      <w:bodyDiv w:val="1"/>
      <w:marLeft w:val="0"/>
      <w:marRight w:val="0"/>
      <w:marTop w:val="0"/>
      <w:marBottom w:val="0"/>
      <w:divBdr>
        <w:top w:val="none" w:sz="0" w:space="0" w:color="auto"/>
        <w:left w:val="none" w:sz="0" w:space="0" w:color="auto"/>
        <w:bottom w:val="none" w:sz="0" w:space="0" w:color="auto"/>
        <w:right w:val="none" w:sz="0" w:space="0" w:color="auto"/>
      </w:divBdr>
    </w:div>
    <w:div w:id="2096589390">
      <w:bodyDiv w:val="1"/>
      <w:marLeft w:val="0"/>
      <w:marRight w:val="0"/>
      <w:marTop w:val="0"/>
      <w:marBottom w:val="0"/>
      <w:divBdr>
        <w:top w:val="none" w:sz="0" w:space="0" w:color="auto"/>
        <w:left w:val="none" w:sz="0" w:space="0" w:color="auto"/>
        <w:bottom w:val="none" w:sz="0" w:space="0" w:color="auto"/>
        <w:right w:val="none" w:sz="0" w:space="0" w:color="auto"/>
      </w:divBdr>
      <w:divsChild>
        <w:div w:id="1602299012">
          <w:marLeft w:val="547"/>
          <w:marRight w:val="0"/>
          <w:marTop w:val="0"/>
          <w:marBottom w:val="0"/>
          <w:divBdr>
            <w:top w:val="none" w:sz="0" w:space="0" w:color="auto"/>
            <w:left w:val="none" w:sz="0" w:space="0" w:color="auto"/>
            <w:bottom w:val="none" w:sz="0" w:space="0" w:color="auto"/>
            <w:right w:val="none" w:sz="0" w:space="0" w:color="auto"/>
          </w:divBdr>
        </w:div>
      </w:divsChild>
    </w:div>
    <w:div w:id="2097435597">
      <w:bodyDiv w:val="1"/>
      <w:marLeft w:val="0"/>
      <w:marRight w:val="0"/>
      <w:marTop w:val="0"/>
      <w:marBottom w:val="0"/>
      <w:divBdr>
        <w:top w:val="none" w:sz="0" w:space="0" w:color="auto"/>
        <w:left w:val="none" w:sz="0" w:space="0" w:color="auto"/>
        <w:bottom w:val="none" w:sz="0" w:space="0" w:color="auto"/>
        <w:right w:val="none" w:sz="0" w:space="0" w:color="auto"/>
      </w:divBdr>
    </w:div>
    <w:div w:id="2123066148">
      <w:bodyDiv w:val="1"/>
      <w:marLeft w:val="0"/>
      <w:marRight w:val="0"/>
      <w:marTop w:val="0"/>
      <w:marBottom w:val="0"/>
      <w:divBdr>
        <w:top w:val="none" w:sz="0" w:space="0" w:color="auto"/>
        <w:left w:val="none" w:sz="0" w:space="0" w:color="auto"/>
        <w:bottom w:val="none" w:sz="0" w:space="0" w:color="auto"/>
        <w:right w:val="none" w:sz="0" w:space="0" w:color="auto"/>
      </w:divBdr>
    </w:div>
    <w:div w:id="212398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7.xml"/><Relationship Id="rId39" Type="http://schemas.openxmlformats.org/officeDocument/2006/relationships/image" Target="media/image9.png"/><Relationship Id="rId21" Type="http://schemas.openxmlformats.org/officeDocument/2006/relationships/footer" Target="footer6.xml"/><Relationship Id="rId34" Type="http://schemas.openxmlformats.org/officeDocument/2006/relationships/hyperlink" Target="https://ec.europa.eu/research/evaluations/pdf/archive/h2020_monitoring_reports/first_h2020_annual_monitoring_report.pdf" TargetMode="Externa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emf"/><Relationship Id="rId63" Type="http://schemas.openxmlformats.org/officeDocument/2006/relationships/hyperlink" Target="http://midas.jrc.it/discovery/midas/" TargetMode="External"/><Relationship Id="rId68" Type="http://schemas.openxmlformats.org/officeDocument/2006/relationships/header" Target="header12.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emf"/><Relationship Id="rId32" Type="http://schemas.openxmlformats.org/officeDocument/2006/relationships/hyperlink" Target="http://bookshop.europa.eu/en/science-research-and-innovation-performance-of-the-eu)"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emf"/><Relationship Id="rId66"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footer" Target="footer7.xml"/><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image" Target="media/image27.emf"/><Relationship Id="rId61" Type="http://schemas.openxmlformats.org/officeDocument/2006/relationships/image" Target="media/image31.emf"/><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9.xm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emf"/><Relationship Id="rId65"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yperlink" Target="mailto:RTD-PRIMA-STAKEHOLDER-CONSULTATION@ec.europa.eu" TargetMode="Externa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emf"/><Relationship Id="rId64" Type="http://schemas.openxmlformats.org/officeDocument/2006/relationships/header" Target="header10.xml"/><Relationship Id="rId69" Type="http://schemas.openxmlformats.org/officeDocument/2006/relationships/footer" Target="footer12.xml"/><Relationship Id="rId8" Type="http://schemas.openxmlformats.org/officeDocument/2006/relationships/endnotes" Target="endnotes.xm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5.png"/><Relationship Id="rId33" Type="http://schemas.openxmlformats.org/officeDocument/2006/relationships/hyperlink" Target="https://ec.europa.eu/research/evaluations/index_en.cfm" TargetMode="External"/><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image" Target="media/image29.emf"/><Relationship Id="rId67" Type="http://schemas.openxmlformats.org/officeDocument/2006/relationships/footer" Target="footer11.xml"/><Relationship Id="rId20" Type="http://schemas.openxmlformats.org/officeDocument/2006/relationships/header" Target="header6.xml"/><Relationship Id="rId41" Type="http://schemas.openxmlformats.org/officeDocument/2006/relationships/image" Target="media/image11.jpeg"/><Relationship Id="rId54" Type="http://schemas.openxmlformats.org/officeDocument/2006/relationships/image" Target="media/image24.png"/><Relationship Id="rId62" Type="http://schemas.openxmlformats.org/officeDocument/2006/relationships/image" Target="media/image32.emf"/><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imf.org/external/pubs/ft/weo/2011/02/pdf/tables.pdf" TargetMode="External"/><Relationship Id="rId13" Type="http://schemas.openxmlformats.org/officeDocument/2006/relationships/hyperlink" Target="https://www.faccejpi.com/" TargetMode="External"/><Relationship Id="rId18" Type="http://schemas.openxmlformats.org/officeDocument/2006/relationships/hyperlink" Target="http://espas.eu/orbis/sites/default/files/generated/document/en/euromed2030.pdf" TargetMode="External"/><Relationship Id="rId26" Type="http://schemas.openxmlformats.org/officeDocument/2006/relationships/hyperlink" Target="http://eur-lex.europa.eu/legalcontent/EN/TXT/HTML/?uri=CELEX:12012P/TXT&amp;from=EN" TargetMode="External"/><Relationship Id="rId3" Type="http://schemas.openxmlformats.org/officeDocument/2006/relationships/hyperlink" Target="http://eur-lex.europa.eu/legal-content/EN/TXT/PDF/?uri=CELEX:12012E/TXT&amp;from=EN" TargetMode="External"/><Relationship Id="rId21" Type="http://schemas.openxmlformats.org/officeDocument/2006/relationships/hyperlink" Target="http://www.icarda.org/" TargetMode="External"/><Relationship Id="rId34" Type="http://schemas.openxmlformats.org/officeDocument/2006/relationships/hyperlink" Target="http://ec.europa.eu/research/consultations/prima/survey.pdf" TargetMode="External"/><Relationship Id="rId7" Type="http://schemas.openxmlformats.org/officeDocument/2006/relationships/hyperlink" Target="https://ec.europa.eu/europeaid/sites/devco/files/consca-report-erd-2011_en.pdf" TargetMode="External"/><Relationship Id="rId12" Type="http://schemas.openxmlformats.org/officeDocument/2006/relationships/hyperlink" Target="http://ec.europa.eu/research/press/2008/pdf/com_2008_468_en.pdf" TargetMode="External"/><Relationship Id="rId17" Type="http://schemas.openxmlformats.org/officeDocument/2006/relationships/hyperlink" Target="http://www.animaweb.org/sites/default/files/ain_cmi_it1_promoting_innovation_en_2012.pdf" TargetMode="External"/><Relationship Id="rId25" Type="http://schemas.openxmlformats.org/officeDocument/2006/relationships/hyperlink" Target="https://sustainabledevelopment.un.org/content/documents/21252030%20Agenda%20for%20Sustainable%20Development%20web.pdf" TargetMode="External"/><Relationship Id="rId33" Type="http://schemas.openxmlformats.org/officeDocument/2006/relationships/hyperlink" Target="http://ec.europa.eu/smart-regulation/roadmaps/index_en.htm" TargetMode="External"/><Relationship Id="rId2" Type="http://schemas.openxmlformats.org/officeDocument/2006/relationships/hyperlink" Target="http://www.unisi.it/sites/default/files/allegatiparagrafo/PRIMA_0.pdf" TargetMode="External"/><Relationship Id="rId16" Type="http://schemas.openxmlformats.org/officeDocument/2006/relationships/hyperlink" Target="http://www.jpi-oceans.eu" TargetMode="External"/><Relationship Id="rId20" Type="http://schemas.openxmlformats.org/officeDocument/2006/relationships/hyperlink" Target="http://www.cgiar.org/our-strategy/" TargetMode="External"/><Relationship Id="rId29" Type="http://schemas.openxmlformats.org/officeDocument/2006/relationships/hyperlink" Target="https://ec.europa.eu/research/environment/pdf/prima/prima-ia_consultation_strategy.pdf" TargetMode="External"/><Relationship Id="rId1" Type="http://schemas.openxmlformats.org/officeDocument/2006/relationships/hyperlink" Target="http://data.consilium.europa.eu/doc/document/ST-16421-2014-INIT/en/pdf" TargetMode="External"/><Relationship Id="rId6" Type="http://schemas.openxmlformats.org/officeDocument/2006/relationships/hyperlink" Target="http://www.mckinsey.com/business-functions/sustainability-and-resource-productivity/our-insights/the-business-opportunity-in-water-conservation" TargetMode="External"/><Relationship Id="rId11" Type="http://schemas.openxmlformats.org/officeDocument/2006/relationships/hyperlink" Target="http://www.animaweb.org/sites/default/files/ain_cmi_it1_promoting_innovation_en_2012.pdf" TargetMode="External"/><Relationship Id="rId24" Type="http://schemas.openxmlformats.org/officeDocument/2006/relationships/hyperlink" Target="http://bookshop.europa.eu/is-bin/INTERSHOP.enfinity/WFS/EU-Bookshop-Site/en_GB/-/EUR/ViewPublication-Start?PublicationKey=KI0415512" TargetMode="External"/><Relationship Id="rId32" Type="http://schemas.openxmlformats.org/officeDocument/2006/relationships/hyperlink" Target="https://ec.europa.eu/research/environment/pdf/prima/prima-ia_consultation_ssr.pdf" TargetMode="External"/><Relationship Id="rId5" Type="http://schemas.openxmlformats.org/officeDocument/2006/relationships/hyperlink" Target="http://ec.europa.eu/environment/water/quantity/pdf/COM-2012-672final-EN.pdf" TargetMode="External"/><Relationship Id="rId15" Type="http://schemas.openxmlformats.org/officeDocument/2006/relationships/hyperlink" Target="http://www.healthydietforhealthylife.eu/" TargetMode="External"/><Relationship Id="rId23" Type="http://schemas.openxmlformats.org/officeDocument/2006/relationships/hyperlink" Target="https://myremote.ec.europa.eu/owa/,DanaInfo=remi.webmail.ec.europa.eu,SSL+redir.aspx?REF=mLntz4mna-WXxakg6Ue3mkdd-JYF7LVuTqKZmqweQNJLSR5BcmTTCAFodHRwczovL2VjLmV1cm9wYS5ldS9wcm9ncmFtbWVzL2hvcml6b24yMDIwL2VuL25ld3MvZ3JhbmQtY2hhbGxlbmdlLWRlc2lnbi1hbmQtc29jaWV0YWwtaW1wYWN0LWhvcml6b24tMjAyMA.." TargetMode="External"/><Relationship Id="rId28" Type="http://schemas.openxmlformats.org/officeDocument/2006/relationships/hyperlink" Target="http://ec.europa.eu/transparency/regexpert/index.cfm?do=groupDetail.groupDetail&amp;groupID=3342" TargetMode="External"/><Relationship Id="rId10" Type="http://schemas.openxmlformats.org/officeDocument/2006/relationships/hyperlink" Target="http://www.footprintnetwork.org/en/index.php/GFN/" TargetMode="External"/><Relationship Id="rId19" Type="http://schemas.openxmlformats.org/officeDocument/2006/relationships/hyperlink" Target="http://eur-lex.europa.eu/LexUriServ/LexUriServ.do?uri=OJ:L:2013:347:0104:0173:EN:PDF" TargetMode="External"/><Relationship Id="rId31" Type="http://schemas.openxmlformats.org/officeDocument/2006/relationships/hyperlink" Target="https://ec.europa.eu/research/environment/pdf/prima/prima-ia_stakeholder_event_ssr.pdf" TargetMode="External"/><Relationship Id="rId4" Type="http://schemas.openxmlformats.org/officeDocument/2006/relationships/hyperlink" Target="https://ec.europa.eu/research/environment/pdf/prima/prima_proposal_addendum.pdf" TargetMode="External"/><Relationship Id="rId9" Type="http://schemas.openxmlformats.org/officeDocument/2006/relationships/hyperlink" Target="http://data.worldbank.org/region/MNA" TargetMode="External"/><Relationship Id="rId14" Type="http://schemas.openxmlformats.org/officeDocument/2006/relationships/hyperlink" Target="http://www.waterjpi.eu" TargetMode="External"/><Relationship Id="rId22" Type="http://schemas.openxmlformats.org/officeDocument/2006/relationships/hyperlink" Target="http://planbleu.org/en/publications/lagriculture-mediterraneenne-en-recherche-dadaptation-climatique" TargetMode="External"/><Relationship Id="rId27" Type="http://schemas.openxmlformats.org/officeDocument/2006/relationships/hyperlink" Target="https://www.era-learn.eu/network-information/countries" TargetMode="External"/><Relationship Id="rId30" Type="http://schemas.openxmlformats.org/officeDocument/2006/relationships/hyperlink" Target="https://ec.europa.eu/research/environment/index.cfm?pg=prima" TargetMode="External"/><Relationship Id="rId35" Type="http://schemas.openxmlformats.org/officeDocument/2006/relationships/hyperlink" Target="http://migration.iom.int/euro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6062C-DCF4-447D-97AD-12BEA9173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101</Pages>
  <Words>40549</Words>
  <Characters>231538</Characters>
  <Application>Microsoft Office Word</Application>
  <DocSecurity>0</DocSecurity>
  <Lines>5936</Lines>
  <Paragraphs>2667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269420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18</cp:revision>
  <cp:lastPrinted>2016-07-28T15:38:00Z</cp:lastPrinted>
  <dcterms:created xsi:type="dcterms:W3CDTF">2016-09-30T13:01:00Z</dcterms:created>
  <dcterms:modified xsi:type="dcterms:W3CDTF">2016-10-17T13:34:00Z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Green</vt:lpwstr>
  </property>
</Properties>
</file>