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E819809B625C43BB989B6B101C1EAED1" style="width:450.75pt;height:407.25pt">
            <v:imagedata r:id="rId9" o:title=""/>
          </v:shape>
        </w:pict>
      </w:r>
    </w:p>
    <w:p>
      <w:pPr>
        <w:rPr>
          <w:noProof/>
        </w:rPr>
        <w:sectPr>
          <w:footerReference w:type="default" r:id="rId10"/>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ОБЯСНИТЕЛЕН МЕМОРАНДУМ</w:t>
      </w:r>
    </w:p>
    <w:p>
      <w:pPr>
        <w:pStyle w:val="ManualHeading1"/>
        <w:rPr>
          <w:noProof/>
        </w:rPr>
      </w:pPr>
      <w:r>
        <w:rPr>
          <w:noProof/>
        </w:rPr>
        <w:t>1.</w:t>
      </w:r>
      <w:r>
        <w:rPr>
          <w:noProof/>
        </w:rPr>
        <w:tab/>
        <w:t>КОНТЕКСТ НА ПРЕДЛОЖЕНИЕТО</w:t>
      </w:r>
    </w:p>
    <w:p>
      <w:pPr>
        <w:pStyle w:val="ManualHeading2"/>
        <w:rPr>
          <w:rFonts w:eastAsia="Arial Unicode MS"/>
          <w:noProof/>
        </w:rPr>
      </w:pPr>
      <w:r>
        <w:rPr>
          <w:noProof/>
          <w:color w:val="000000"/>
          <w:u w:color="000000"/>
          <w:bdr w:val="nil"/>
        </w:rPr>
        <w:t>•</w:t>
      </w:r>
      <w:r>
        <w:rPr>
          <w:noProof/>
        </w:rPr>
        <w:tab/>
        <w:t>Основания и цели на предложението</w:t>
      </w:r>
    </w:p>
    <w:p>
      <w:pPr>
        <w:pBdr>
          <w:top w:val="nil"/>
          <w:left w:val="nil"/>
          <w:bottom w:val="nil"/>
          <w:right w:val="nil"/>
          <w:between w:val="nil"/>
          <w:bar w:val="nil"/>
        </w:pBdr>
        <w:spacing w:before="0" w:after="240"/>
        <w:rPr>
          <w:noProof/>
        </w:rPr>
      </w:pPr>
      <w:r>
        <w:rPr>
          <w:noProof/>
        </w:rPr>
        <w:t>Средиземноморският регион със своите 180 милиона души, считани за „бедни на водни ресурси“, като цяло се характеризира с високи равнища на воден стрес. Поради това устойчивото управление на водоснабдяването и продоволствените системи в региона е толкова важно.</w:t>
      </w:r>
    </w:p>
    <w:p>
      <w:pPr>
        <w:pBdr>
          <w:top w:val="nil"/>
          <w:left w:val="nil"/>
          <w:bottom w:val="nil"/>
          <w:right w:val="nil"/>
          <w:between w:val="nil"/>
          <w:bar w:val="nil"/>
        </w:pBdr>
        <w:spacing w:before="0" w:after="240"/>
        <w:rPr>
          <w:noProof/>
        </w:rPr>
      </w:pPr>
      <w:r>
        <w:rPr>
          <w:noProof/>
        </w:rPr>
        <w:t>Изменението на климата е причина за все по-голям недостиг на вода в региона със значителни въздействия върху селското стопанство. По-голямата част от наличните водни ресурси се използва за напояване. Това означава, че недостигът на вода води до намаляващи и непостоянни добиви, което поставя под допълнителен натиск природните ресурси и способността за осигуряване на чиста вода и храна на достъпни цени за жителите в региона.</w:t>
      </w:r>
    </w:p>
    <w:p>
      <w:pPr>
        <w:pBdr>
          <w:top w:val="nil"/>
          <w:left w:val="nil"/>
          <w:bottom w:val="nil"/>
          <w:right w:val="nil"/>
          <w:between w:val="nil"/>
          <w:bar w:val="nil"/>
        </w:pBdr>
        <w:spacing w:before="0" w:after="240"/>
        <w:rPr>
          <w:noProof/>
        </w:rPr>
      </w:pPr>
      <w:r>
        <w:rPr>
          <w:noProof/>
        </w:rPr>
        <w:t>Това на свой ред има отрицателен ефект върху храненето, здравето, средствата за препитание, стандарта на живот и нивото на благосъстояние. Тази социална и икономическа тежест е основна причина за нестабилност. Тя допринася и за миграцията – както вътрешна, водеща до преселване на много фермерски семейства в градовете, така и външна, подтикваща част от населението да мигрира, по-специално към Европа.</w:t>
      </w:r>
    </w:p>
    <w:p>
      <w:pPr>
        <w:pBdr>
          <w:top w:val="nil"/>
          <w:left w:val="nil"/>
          <w:bottom w:val="nil"/>
          <w:right w:val="nil"/>
          <w:between w:val="nil"/>
          <w:bar w:val="nil"/>
        </w:pBdr>
        <w:spacing w:before="0" w:after="240"/>
        <w:rPr>
          <w:noProof/>
        </w:rPr>
      </w:pPr>
      <w:r>
        <w:rPr>
          <w:noProof/>
        </w:rPr>
        <w:t xml:space="preserve">Неустойчивото управление на водоснабдяването и продоволствените системи в Средиземноморския регион се дължи на редица фактори, в т.ч. политическа нестабилност, изменение на климата и бързо увеличаване на населението. Една от основните причини за това е липсата на набор от общи, новаторски решения, които са адаптирани към реалностите на региона и могат лесно да се пренасят на територията му. Намирането на тези решения не е предстоящо, тъй като общото равнище на инвестициите в научни изследвания и иновации (НИИ) в Средиземноморието не е съизмеримо с мащаба на регионалното предизвикателство. Равнищата на инвестициите се различават значително и за отделните държави. Финансирането не е насочено към справяне с водния и продоволствения проблем, а съответните заинтересовани лица, като например частният сектор, невинаги разполагат с достатъчно голям капацитет за НИИ. Към всичко това се добавя и фактът, че усилията за сътрудничество в областта на НИИ между държавите — членки на Съюза и държавите от Южното и Източното Средиземноморие са твърде несъгласувани (уредени основно чрез двустранни споразумения), за да имат някакво значително въздействие. </w:t>
      </w:r>
    </w:p>
    <w:p>
      <w:pPr>
        <w:pBdr>
          <w:top w:val="nil"/>
          <w:left w:val="nil"/>
          <w:bottom w:val="nil"/>
          <w:right w:val="nil"/>
          <w:between w:val="nil"/>
          <w:bar w:val="nil"/>
        </w:pBdr>
        <w:spacing w:before="0" w:after="240"/>
        <w:rPr>
          <w:noProof/>
        </w:rPr>
      </w:pPr>
      <w:r>
        <w:rPr>
          <w:noProof/>
        </w:rPr>
        <w:t>В този контекст и предвид миграцията особена важност и значимост придобива инициативата за съвместна програма PRIMA, водена от участващите държави от Съюза и Южното Средиземноморие</w:t>
      </w:r>
      <w:r>
        <w:rPr>
          <w:rStyle w:val="FootnoteReference"/>
          <w:noProof/>
        </w:rPr>
        <w:footnoteReference w:id="1"/>
      </w:r>
      <w:r>
        <w:rPr>
          <w:noProof/>
        </w:rPr>
        <w:t xml:space="preserve">. Инициативата следва подхода на новата рамка за </w:t>
      </w:r>
      <w:r>
        <w:rPr>
          <w:noProof/>
        </w:rPr>
        <w:lastRenderedPageBreak/>
        <w:t>партньорство в областта на миграцията за засилено финансово сътрудничество с държавите членки и други партньори. Тя показва как политиката в областта на научните изследвания може да доведе до ефективна координация чрез мобилизиране на националните бюджети и обединяване на средиземноморските държави с цел справяне с дългосрочни общи проблеми.</w:t>
      </w:r>
    </w:p>
    <w:p>
      <w:pPr>
        <w:pBdr>
          <w:top w:val="nil"/>
          <w:left w:val="nil"/>
          <w:bottom w:val="nil"/>
          <w:right w:val="nil"/>
          <w:between w:val="nil"/>
          <w:bar w:val="nil"/>
        </w:pBdr>
        <w:spacing w:before="0" w:after="240"/>
        <w:rPr>
          <w:noProof/>
        </w:rPr>
      </w:pPr>
      <w:r>
        <w:rPr>
          <w:noProof/>
        </w:rPr>
        <w:t xml:space="preserve">Стратегическата цел на програмата е да се разработят общи, новаторски решения за водоснабдяване и продоволствени системи, от които Средиземноморският регион има неотложна необходимост. Постигането на тази стратегическа цел ще направи водоснабдяването и продоволствените системи по-ефективни, по-рентабилни и по-устойчиви. По този начин НИИ биха могли да спомогнат за решаването на по-големи проблеми, свързани с храненето, здравето и социалното благосъстояние, и в крайна сметка да спомогнат за справяне с тенденциите за масова миграция. Така политиките в областта на НИИ могат да бъдат стимулирани в максимална степен с цел справяне с предизвикателството на миграцията в съответствие със </w:t>
      </w:r>
      <w:r>
        <w:rPr>
          <w:i/>
          <w:noProof/>
        </w:rPr>
        <w:t>съобщението на Комисията относно създаването на нова рамка за партньорство с трети държави в рамките на европейската програма за миграцията</w:t>
      </w:r>
      <w:r>
        <w:rPr>
          <w:noProof/>
        </w:rPr>
        <w:t xml:space="preserve">, (COM(2016)385). </w:t>
      </w:r>
    </w:p>
    <w:p>
      <w:pPr>
        <w:pStyle w:val="ManualHeading2"/>
        <w:rPr>
          <w:rFonts w:eastAsia="Arial Unicode MS"/>
          <w:noProof/>
          <w:color w:val="000000"/>
          <w:u w:color="000000"/>
          <w:bdr w:val="nil"/>
        </w:rPr>
      </w:pPr>
      <w:r>
        <w:rPr>
          <w:noProof/>
          <w:color w:val="000000"/>
          <w:u w:color="000000"/>
          <w:bdr w:val="nil"/>
        </w:rPr>
        <w:t>•</w:t>
      </w:r>
      <w:r>
        <w:rPr>
          <w:noProof/>
        </w:rPr>
        <w:tab/>
        <w:t>Институционален контекст</w:t>
      </w:r>
    </w:p>
    <w:p>
      <w:pPr>
        <w:pBdr>
          <w:top w:val="nil"/>
          <w:left w:val="nil"/>
          <w:bottom w:val="nil"/>
          <w:right w:val="nil"/>
          <w:between w:val="nil"/>
          <w:bar w:val="nil"/>
        </w:pBdr>
        <w:spacing w:before="0" w:after="240"/>
        <w:rPr>
          <w:noProof/>
        </w:rPr>
      </w:pPr>
      <w:r>
        <w:rPr>
          <w:noProof/>
        </w:rPr>
        <w:t>Процесът, довел до съвместната програма PRIMA, започна на Евро-средиземноморската конференция за наука, технологии и иновации, проведена в Барселона през 2012 г. Целта е да се засили Евро-средиземноморското сътрудничество в областта на НИИ като част от по-широките цели на външната политика на Съюза по отношение на южното съседство.</w:t>
      </w:r>
    </w:p>
    <w:p>
      <w:pPr>
        <w:pBdr>
          <w:top w:val="nil"/>
          <w:left w:val="nil"/>
          <w:bottom w:val="nil"/>
          <w:right w:val="nil"/>
          <w:between w:val="nil"/>
          <w:bar w:val="nil"/>
        </w:pBdr>
        <w:spacing w:before="0" w:after="240"/>
        <w:rPr>
          <w:noProof/>
        </w:rPr>
      </w:pPr>
      <w:r>
        <w:rPr>
          <w:noProof/>
        </w:rPr>
        <w:t xml:space="preserve">Няколко председателства на Съвета изтъкваха необходимостта от изграждане на регионално партньорство с цел справяне с основните общи предизвикателства, включително наличието и управлението на водите, иновациите и институционалната координация. Идеята на регионалното партньорство е да се работи въз основа на взаимна ангажираност, взаимен интерес и обща полза в дългосрочна, структурирана рамка. </w:t>
      </w:r>
    </w:p>
    <w:p>
      <w:pPr>
        <w:pBdr>
          <w:top w:val="nil"/>
          <w:left w:val="nil"/>
          <w:bottom w:val="nil"/>
          <w:right w:val="nil"/>
          <w:between w:val="nil"/>
          <w:bar w:val="nil"/>
        </w:pBdr>
        <w:spacing w:before="0" w:after="240"/>
        <w:rPr>
          <w:noProof/>
        </w:rPr>
      </w:pPr>
      <w:r>
        <w:rPr>
          <w:noProof/>
        </w:rPr>
        <w:t>На 5 декември 2014 г. Съветът по конкурентоспособност прикани Комисията да оцени дали участието на Съюза в съвместната програма PRIMA на основание член 185 от Договора за функционирането на Европейския съюз (ДФЕС) би било оправдано от обхвата на преследваните цели и обема на необходимите ресурси. В своите заключения Съветът одобри по-специално акцента на програмата върху развитието и прилагането на новаторски, интегрирани решения за устойчиво управление на водоснабдяването и продоволствените системи в Средиземноморския регион. Съветът счете това за приоритет, за да се подобрят здравето, благосъстоянието и социално-културните условия на населението в Средиземноморския регион и да се насърчи икономическият растеж.</w:t>
      </w:r>
    </w:p>
    <w:p>
      <w:pPr>
        <w:pBdr>
          <w:top w:val="nil"/>
          <w:left w:val="nil"/>
          <w:bottom w:val="nil"/>
          <w:right w:val="nil"/>
          <w:between w:val="nil"/>
          <w:bar w:val="nil"/>
        </w:pBdr>
        <w:spacing w:before="0" w:after="240"/>
        <w:rPr>
          <w:noProof/>
        </w:rPr>
      </w:pPr>
      <w:r>
        <w:rPr>
          <w:noProof/>
        </w:rPr>
        <w:lastRenderedPageBreak/>
        <w:t>Впоследствие, през декември 2014 г., държави членки и трети държави от Средиземноморския регион представиха предложение до Комисията за участие в съвместната програма PRIMA.</w:t>
      </w:r>
    </w:p>
    <w:p>
      <w:pPr>
        <w:pBdr>
          <w:top w:val="nil"/>
          <w:left w:val="nil"/>
          <w:bottom w:val="nil"/>
          <w:right w:val="nil"/>
          <w:between w:val="nil"/>
          <w:bar w:val="nil"/>
        </w:pBdr>
        <w:spacing w:before="0" w:after="240"/>
        <w:rPr>
          <w:rFonts w:eastAsia="Arial Unicode MS"/>
          <w:noProof/>
        </w:rPr>
      </w:pPr>
      <w:r>
        <w:rPr>
          <w:noProof/>
        </w:rPr>
        <w:t>На основание на заключенията на Съвета по конкурентоспособност и след формално подаване на предложението комисарят по въпросите на изследванията, науката и иновациите — Карлош Моедаш, поиска от службите на Комисията да изготвят оценка на въздействието на съществуващите варианти на политиката, включително инициатива на правно основание член 185 от ДФЕС.</w:t>
      </w:r>
    </w:p>
    <w:p>
      <w:pPr>
        <w:pStyle w:val="ManualHeading2"/>
        <w:rPr>
          <w:rFonts w:eastAsia="Arial Unicode MS"/>
          <w:noProof/>
          <w:color w:val="000000"/>
          <w:u w:color="000000"/>
          <w:bdr w:val="nil"/>
        </w:rPr>
      </w:pPr>
      <w:r>
        <w:rPr>
          <w:noProof/>
          <w:color w:val="000000"/>
          <w:u w:color="000000"/>
          <w:bdr w:val="nil"/>
        </w:rPr>
        <w:t>•</w:t>
      </w:r>
      <w:r>
        <w:rPr>
          <w:noProof/>
        </w:rPr>
        <w:tab/>
        <w:t>Съгласуваност със съществуващите разпоредби в тази област на политиката</w:t>
      </w:r>
    </w:p>
    <w:p>
      <w:pPr>
        <w:pBdr>
          <w:top w:val="nil"/>
          <w:left w:val="nil"/>
          <w:bottom w:val="nil"/>
          <w:right w:val="nil"/>
          <w:between w:val="nil"/>
          <w:bar w:val="nil"/>
        </w:pBdr>
        <w:spacing w:before="0" w:after="240"/>
        <w:rPr>
          <w:noProof/>
        </w:rPr>
      </w:pPr>
      <w:r>
        <w:rPr>
          <w:noProof/>
        </w:rPr>
        <w:t>Съвместната програма PRIMA съответства на институционален контекст, който на най-високо политическо равнище подчерта необходимостта от засилване на сътрудничеството на Съюза с държавите от Южното Средиземноморие в ключовите области водни ресурси и продоволствени системи и свързани с тях области.</w:t>
      </w:r>
    </w:p>
    <w:p>
      <w:pPr>
        <w:pBdr>
          <w:top w:val="nil"/>
          <w:left w:val="nil"/>
          <w:bottom w:val="nil"/>
          <w:right w:val="nil"/>
          <w:between w:val="nil"/>
          <w:bar w:val="nil"/>
        </w:pBdr>
        <w:spacing w:before="0" w:after="240"/>
        <w:rPr>
          <w:noProof/>
        </w:rPr>
      </w:pPr>
      <w:r>
        <w:rPr>
          <w:noProof/>
        </w:rPr>
        <w:t>PRIMA поставя ключови регионални предизвикателства, свързани с НИИ, в рамките на по-широки социално-икономически и геполитически цели. Тя е предназначена да допълни нови, значими институционални действия в други политики на Съюза, различни от НИИ. Те са посочени по-долу.</w:t>
      </w:r>
    </w:p>
    <w:p>
      <w:pPr>
        <w:pStyle w:val="ListParagraph"/>
        <w:tabs>
          <w:tab w:val="left" w:pos="851"/>
        </w:tabs>
        <w:ind w:left="426"/>
        <w:rPr>
          <w:noProof/>
        </w:rPr>
      </w:pPr>
      <w:r>
        <w:rPr>
          <w:noProof/>
        </w:rPr>
        <w:t>a)</w:t>
      </w:r>
      <w:r>
        <w:rPr>
          <w:noProof/>
        </w:rPr>
        <w:tab/>
        <w:t>Дипломация по въпросите на водните ресурси (заключения на Съвета по външни работи от 22 юли 2013 г.)</w:t>
      </w:r>
    </w:p>
    <w:p>
      <w:pPr>
        <w:pBdr>
          <w:top w:val="nil"/>
          <w:left w:val="nil"/>
          <w:bottom w:val="nil"/>
          <w:right w:val="nil"/>
          <w:between w:val="nil"/>
          <w:bar w:val="nil"/>
        </w:pBdr>
        <w:spacing w:before="0" w:after="240"/>
        <w:rPr>
          <w:noProof/>
        </w:rPr>
      </w:pPr>
      <w:r>
        <w:rPr>
          <w:noProof/>
        </w:rPr>
        <w:t>Последствията от изменението на климата и демографското и икономическото развитие, съчетани с акцент върху качеството на водните ресурси, тяхното наличие и управление, са основни предизвикателства пред сигурността, които е възможно да породят напрежение и конфликти, свързани с достъпа до водни ресурси. В този контекст Съюзът играе важна роля за поддържането на дипломация по въпросите на водните ресурси по света и по отношение на трансграничните водни ресурси в Европа, включително чрез насърчаване на инициативи, свързани с водните ресурси, със съседни на ЕС държави и други държави, определени при изготвянето на „карта“ на сигурността на водните ресурси на ЕС.</w:t>
      </w:r>
    </w:p>
    <w:p>
      <w:pPr>
        <w:pStyle w:val="ListParagraph"/>
        <w:tabs>
          <w:tab w:val="left" w:pos="851"/>
        </w:tabs>
        <w:ind w:left="851" w:hanging="425"/>
        <w:rPr>
          <w:noProof/>
        </w:rPr>
      </w:pPr>
      <w:r>
        <w:rPr>
          <w:noProof/>
        </w:rPr>
        <w:t>б)</w:t>
      </w:r>
      <w:r>
        <w:rPr>
          <w:noProof/>
        </w:rPr>
        <w:tab/>
        <w:t>Преглед на европейската политика за съседство (ЕПС) (Заключения на Съвета по външни работи от 14 декември 2015 г.)</w:t>
      </w:r>
    </w:p>
    <w:p>
      <w:pPr>
        <w:pBdr>
          <w:top w:val="nil"/>
          <w:left w:val="nil"/>
          <w:bottom w:val="nil"/>
          <w:right w:val="nil"/>
          <w:between w:val="nil"/>
          <w:bar w:val="nil"/>
        </w:pBdr>
        <w:spacing w:before="0" w:after="240"/>
        <w:rPr>
          <w:noProof/>
        </w:rPr>
      </w:pPr>
      <w:r>
        <w:rPr>
          <w:noProof/>
        </w:rPr>
        <w:t xml:space="preserve">Съветът приветства прегледа на ЕПС като ключов политически приоритет за Съюза през следващите години. Европейската политика за съседство включва решаващата роля на НИИ за социално-икономическото развитие в съседните държави и им помага да модернизират и разнообразят своите икономики като улеснява участието им в инициативи на ЕС. </w:t>
      </w:r>
    </w:p>
    <w:p>
      <w:pPr>
        <w:pStyle w:val="ListParagraph"/>
        <w:tabs>
          <w:tab w:val="left" w:pos="851"/>
        </w:tabs>
        <w:ind w:left="851" w:hanging="425"/>
        <w:rPr>
          <w:noProof/>
        </w:rPr>
      </w:pPr>
      <w:r>
        <w:rPr>
          <w:noProof/>
        </w:rPr>
        <w:t>в)</w:t>
      </w:r>
      <w:r>
        <w:rPr>
          <w:noProof/>
        </w:rPr>
        <w:tab/>
        <w:t>Цели за устойчиво развитие (Заключения на Съвета по външни работи от 26 май 2015 г.)</w:t>
      </w:r>
    </w:p>
    <w:p>
      <w:pPr>
        <w:pBdr>
          <w:top w:val="nil"/>
          <w:left w:val="nil"/>
          <w:bottom w:val="nil"/>
          <w:right w:val="nil"/>
          <w:between w:val="nil"/>
          <w:bar w:val="nil"/>
        </w:pBdr>
        <w:spacing w:before="0" w:after="240"/>
        <w:rPr>
          <w:noProof/>
        </w:rPr>
      </w:pPr>
      <w:r>
        <w:rPr>
          <w:noProof/>
        </w:rPr>
        <w:t xml:space="preserve">Прави се препратка към ангажимента, поет в програма „Хоризонт 2020“, за подпомагане на устойчивото развитие в рамките на ЕС и в сътрудничество с международни партньори, както и необходимостта от насърчаване на науката, </w:t>
      </w:r>
      <w:r>
        <w:rPr>
          <w:noProof/>
        </w:rPr>
        <w:lastRenderedPageBreak/>
        <w:t>технологиите и иновациите като част от всеобхватен подход за изкореняване на бедността и насърчаване на устойчивото развитие след 2015 г.</w:t>
      </w:r>
    </w:p>
    <w:p>
      <w:pPr>
        <w:pStyle w:val="ListParagraph"/>
        <w:tabs>
          <w:tab w:val="left" w:pos="851"/>
        </w:tabs>
        <w:ind w:left="851" w:hanging="425"/>
        <w:rPr>
          <w:noProof/>
        </w:rPr>
      </w:pPr>
      <w:r>
        <w:rPr>
          <w:noProof/>
        </w:rPr>
        <w:t>г)</w:t>
      </w:r>
      <w:r>
        <w:rPr>
          <w:noProof/>
        </w:rPr>
        <w:tab/>
        <w:t>Миграция (Заключения на Съвета по външни работи от 12 октомври 2015 г. и 17 – 18 март 2016 г.)</w:t>
      </w:r>
    </w:p>
    <w:p>
      <w:pPr>
        <w:pBdr>
          <w:top w:val="nil"/>
          <w:left w:val="nil"/>
          <w:bottom w:val="nil"/>
          <w:right w:val="nil"/>
          <w:between w:val="nil"/>
          <w:bar w:val="nil"/>
        </w:pBdr>
        <w:spacing w:before="0" w:after="240"/>
        <w:rPr>
          <w:noProof/>
        </w:rPr>
      </w:pPr>
      <w:r>
        <w:rPr>
          <w:noProof/>
        </w:rPr>
        <w:t>В заключенията на Съвета се признава, че миграционната криза на територията на съседни на ЕС държави и извън тях е изострена от бедността, слабото социално-икономическо развитие и нарушенията на правата на човека, и се призовава за силна външна политика на ЕС в областта на миграцията и предоставянето на убежище. Съветът потвърди ангажимента си да мобилизира всички подходящи инструменти и политики за намиране на решение на първопричините за миграционните потоци, основно лошите социално-икономически условия и изменението на климата.</w:t>
      </w:r>
    </w:p>
    <w:p>
      <w:pPr>
        <w:pStyle w:val="ListParagraph"/>
        <w:tabs>
          <w:tab w:val="left" w:pos="851"/>
        </w:tabs>
        <w:ind w:left="851" w:hanging="425"/>
        <w:rPr>
          <w:noProof/>
        </w:rPr>
      </w:pPr>
      <w:r>
        <w:rPr>
          <w:noProof/>
        </w:rPr>
        <w:t>д)</w:t>
      </w:r>
      <w:r>
        <w:rPr>
          <w:noProof/>
        </w:rPr>
        <w:tab/>
        <w:t>Европейската дипломация в областта на климата след COP21 (Заключения на Съвета по външни работи от 15 февруари 2016 г.)</w:t>
      </w:r>
    </w:p>
    <w:p>
      <w:pPr>
        <w:pBdr>
          <w:top w:val="nil"/>
          <w:left w:val="nil"/>
          <w:bottom w:val="nil"/>
          <w:right w:val="nil"/>
          <w:between w:val="nil"/>
          <w:bar w:val="nil"/>
        </w:pBdr>
        <w:spacing w:before="0" w:after="240"/>
        <w:rPr>
          <w:rFonts w:eastAsia="Arial Unicode MS"/>
          <w:noProof/>
        </w:rPr>
      </w:pPr>
      <w:r>
        <w:rPr>
          <w:noProof/>
        </w:rPr>
        <w:t>В общия контекст на дипломацията в областта на климата Съветът насочва вниманието към разработването на план за действие на дипломацията в областта на климата, включващ усилия и мерки, съсредоточени върху връзката между изменението на климата, природните ресурси (в т.ч. водата), просперитета, стабилността и миграцията.</w:t>
      </w:r>
    </w:p>
    <w:p>
      <w:pPr>
        <w:pStyle w:val="ManualHeading2"/>
        <w:rPr>
          <w:rFonts w:eastAsia="Arial Unicode MS"/>
          <w:noProof/>
        </w:rPr>
      </w:pPr>
      <w:r>
        <w:rPr>
          <w:noProof/>
          <w:color w:val="000000"/>
          <w:u w:color="000000"/>
          <w:bdr w:val="nil"/>
        </w:rPr>
        <w:t>•</w:t>
      </w:r>
      <w:r>
        <w:rPr>
          <w:noProof/>
        </w:rPr>
        <w:tab/>
        <w:t>Съгласуваност с другите политики на Съюза</w:t>
      </w:r>
    </w:p>
    <w:p>
      <w:pPr>
        <w:pBdr>
          <w:top w:val="nil"/>
          <w:left w:val="nil"/>
          <w:bottom w:val="nil"/>
          <w:right w:val="nil"/>
          <w:between w:val="nil"/>
          <w:bar w:val="nil"/>
        </w:pBdr>
        <w:spacing w:before="0" w:after="240"/>
        <w:rPr>
          <w:noProof/>
        </w:rPr>
      </w:pPr>
      <w:r>
        <w:rPr>
          <w:noProof/>
        </w:rPr>
        <w:t xml:space="preserve">Целите са в съответствие с определения проблем и обхващат предизвикателствата, свързани с НИИ, като осигуряват взаимодействие с европейските, средиземноморските и глобалните политики. По-специално, програма PRIMA е съгласувана с наскоро приетото </w:t>
      </w:r>
      <w:r>
        <w:rPr>
          <w:i/>
          <w:noProof/>
        </w:rPr>
        <w:t>съобщение на Комисията относно създаването на нова рамка за партньорство с трети държави в рамките на европейската програма за миграцията</w:t>
      </w:r>
      <w:r>
        <w:rPr>
          <w:noProof/>
        </w:rPr>
        <w:t xml:space="preserve">, (COM(2016)385). В него се поставя акцент върху справянето с първопричините на миграцията и принудителното разселване чрез „всички политики на ЕС, включително в областта на образованието, научните изследвания, изменението на климата, енергетиката, околната среда и селското стопанство“. Обявява се и подкрепа за нови модели за сътрудничество за развитие с участието на частния сектор, новаторски инструменти за финансиране и инвестиции в МСП и устойчиви инфраструктури. </w:t>
      </w:r>
    </w:p>
    <w:p>
      <w:pPr>
        <w:pBdr>
          <w:top w:val="nil"/>
          <w:left w:val="nil"/>
          <w:bottom w:val="nil"/>
          <w:right w:val="nil"/>
          <w:between w:val="nil"/>
          <w:bar w:val="nil"/>
        </w:pBdr>
        <w:spacing w:before="0" w:after="240"/>
        <w:rPr>
          <w:noProof/>
        </w:rPr>
      </w:pPr>
      <w:r>
        <w:rPr>
          <w:noProof/>
        </w:rPr>
        <w:t>В програма „Хоризонт 2020“ вече бяха установени „Действия във връзка с климата, околна среда, ресурсна ефективност и суровини“ и „Продоволствена сигурност, устойчиво земеделие и горско стопанство, мореплавателски, морски и вътрешноводни изследвания и биоикономика“ като две от приоритетните обществени предизвикателства, които трябва да се решават чрез подпомагане на инвестициите в НИИ. В програмата също така се признава, че дейностите в областта на НИИ, насочени към справяне с тези предизвикателства, следва да се извършват на равнището на ЕС и на по-високо равнище предвид транснационалния и глобален характер на климата и околната среда, техния мащаб и сложност и международния аспект на веригата за доставки на храни и селскостопански продукти.</w:t>
      </w:r>
    </w:p>
    <w:p>
      <w:pPr>
        <w:pBdr>
          <w:top w:val="nil"/>
          <w:left w:val="nil"/>
          <w:bottom w:val="nil"/>
          <w:right w:val="nil"/>
          <w:between w:val="nil"/>
          <w:bar w:val="nil"/>
        </w:pBdr>
        <w:spacing w:before="0" w:after="240"/>
        <w:rPr>
          <w:noProof/>
        </w:rPr>
      </w:pPr>
      <w:r>
        <w:rPr>
          <w:noProof/>
        </w:rPr>
        <w:t>Целите на НИИ, свързани с водоснабдяването и продоволствените системи в Средиземноморския регион, изглежда са съгласувани със следните инициативи и са от значение за тях.</w:t>
      </w:r>
    </w:p>
    <w:p>
      <w:pPr>
        <w:pBdr>
          <w:top w:val="nil"/>
          <w:left w:val="nil"/>
          <w:bottom w:val="nil"/>
          <w:right w:val="nil"/>
          <w:between w:val="nil"/>
          <w:bar w:val="nil"/>
        </w:pBdr>
        <w:tabs>
          <w:tab w:val="left" w:pos="284"/>
        </w:tabs>
        <w:spacing w:before="0" w:after="240"/>
        <w:rPr>
          <w:noProof/>
        </w:rPr>
      </w:pPr>
      <w:r>
        <w:rPr>
          <w:noProof/>
        </w:rPr>
        <w:lastRenderedPageBreak/>
        <w:t>•</w:t>
      </w:r>
      <w:r>
        <w:rPr>
          <w:noProof/>
        </w:rPr>
        <w:tab/>
        <w:t>Програмата за развитие след 2015 г. и целите за устойчиво развитие.</w:t>
      </w:r>
    </w:p>
    <w:p>
      <w:pPr>
        <w:pBdr>
          <w:top w:val="nil"/>
          <w:left w:val="nil"/>
          <w:bottom w:val="nil"/>
          <w:right w:val="nil"/>
          <w:between w:val="nil"/>
          <w:bar w:val="nil"/>
        </w:pBdr>
        <w:tabs>
          <w:tab w:val="left" w:pos="284"/>
        </w:tabs>
        <w:spacing w:before="0" w:after="240"/>
        <w:ind w:left="284" w:hanging="284"/>
        <w:rPr>
          <w:noProof/>
        </w:rPr>
      </w:pPr>
      <w:r>
        <w:rPr>
          <w:noProof/>
        </w:rPr>
        <w:t>•</w:t>
      </w:r>
      <w:r>
        <w:rPr>
          <w:noProof/>
        </w:rPr>
        <w:tab/>
        <w:t xml:space="preserve">Процесът от Барселона, започнал през ноември 1995 г. по инициатива на евро-средиземноморските външни министри и свързаното съобщение, озаглавено </w:t>
      </w:r>
      <w:r>
        <w:rPr>
          <w:i/>
          <w:noProof/>
        </w:rPr>
        <w:t>„Процес от Барселона: Съюз за Средиземноморието“</w:t>
      </w:r>
      <w:r>
        <w:rPr>
          <w:noProof/>
        </w:rPr>
        <w:t xml:space="preserve"> (COM(2008)319), с което се създава многостранно партньорство, поставящо акцент върху регионални и транснационални проекти.</w:t>
      </w:r>
    </w:p>
    <w:p>
      <w:pPr>
        <w:pBdr>
          <w:top w:val="nil"/>
          <w:left w:val="nil"/>
          <w:bottom w:val="nil"/>
          <w:right w:val="nil"/>
          <w:between w:val="nil"/>
          <w:bar w:val="nil"/>
        </w:pBdr>
        <w:tabs>
          <w:tab w:val="left" w:pos="284"/>
        </w:tabs>
        <w:spacing w:before="0" w:after="240"/>
        <w:ind w:left="284" w:hanging="284"/>
        <w:rPr>
          <w:rFonts w:eastAsia="Arial Unicode MS"/>
          <w:noProof/>
        </w:rPr>
      </w:pPr>
      <w:r>
        <w:rPr>
          <w:noProof/>
        </w:rPr>
        <w:t>•</w:t>
      </w:r>
      <w:r>
        <w:rPr>
          <w:noProof/>
        </w:rPr>
        <w:tab/>
        <w:t xml:space="preserve">Съобщението </w:t>
      </w:r>
      <w:r>
        <w:rPr>
          <w:i/>
          <w:noProof/>
        </w:rPr>
        <w:t>„Подобряване и фокусиране на международното сътрудничество на ЕС в областта на научните изследвания и иновациите −стратегически подход</w:t>
      </w:r>
      <w:r>
        <w:rPr>
          <w:noProof/>
        </w:rPr>
        <w:t xml:space="preserve"> (COM(2012)497), с което се поставя акцент върху насърчаването на интеграцията на съседните на ЕС държави в Европейското научноизследователско пространство (ЕНП) или съгласуването на техните дейности с него.</w:t>
      </w:r>
    </w:p>
    <w:p>
      <w:pPr>
        <w:pStyle w:val="ManualHeading1"/>
        <w:rPr>
          <w:noProof/>
        </w:rPr>
      </w:pPr>
      <w:r>
        <w:rPr>
          <w:noProof/>
        </w:rPr>
        <w:t>2.</w:t>
      </w:r>
      <w:r>
        <w:rPr>
          <w:noProof/>
        </w:rPr>
        <w:tab/>
        <w:t>ПРАВНО ОСНОВАНИЕ, СУБСИДИАРНОСТ И ПРОПОРЦИОНАЛНОСТ</w:t>
      </w:r>
    </w:p>
    <w:p>
      <w:pPr>
        <w:pStyle w:val="ManualHeading2"/>
        <w:rPr>
          <w:rFonts w:eastAsia="Arial Unicode MS"/>
          <w:noProof/>
          <w:u w:color="000000"/>
          <w:bdr w:val="nil"/>
        </w:rPr>
      </w:pPr>
      <w:r>
        <w:rPr>
          <w:noProof/>
          <w:u w:color="000000"/>
          <w:bdr w:val="nil"/>
        </w:rPr>
        <w:t>•</w:t>
      </w:r>
      <w:r>
        <w:rPr>
          <w:noProof/>
        </w:rPr>
        <w:tab/>
      </w:r>
      <w:r>
        <w:rPr>
          <w:noProof/>
          <w:u w:color="000000"/>
          <w:bdr w:val="nil"/>
        </w:rPr>
        <w:t>Правно основание</w:t>
      </w:r>
    </w:p>
    <w:p>
      <w:pPr>
        <w:pBdr>
          <w:top w:val="nil"/>
          <w:left w:val="nil"/>
          <w:bottom w:val="nil"/>
          <w:right w:val="nil"/>
          <w:between w:val="nil"/>
          <w:bar w:val="nil"/>
        </w:pBdr>
        <w:spacing w:before="0" w:after="240"/>
        <w:rPr>
          <w:rFonts w:eastAsia="Arial Unicode MS"/>
          <w:noProof/>
        </w:rPr>
      </w:pPr>
      <w:r>
        <w:rPr>
          <w:noProof/>
        </w:rPr>
        <w:t>Предложението за създаване на програма PRIMA се основава на член 185 от ДФЕС. Този инструмент позволява на ЕС при осъществяването на многогодишната рамкова програма да предвиди по споразумение със заинтересованите държави членки своето участие в научноизследователски и развойни програми, управлявани от няколко държави членки, включително участие в структурите, създадени за изпълнението на тези програми.</w:t>
      </w:r>
    </w:p>
    <w:p>
      <w:pPr>
        <w:pStyle w:val="ManualHeading2"/>
        <w:rPr>
          <w:rFonts w:eastAsia="Arial Unicode MS"/>
          <w:noProof/>
          <w:u w:color="000000"/>
          <w:bdr w:val="nil"/>
        </w:rPr>
      </w:pPr>
      <w:r>
        <w:rPr>
          <w:noProof/>
          <w:u w:color="000000"/>
          <w:bdr w:val="nil"/>
        </w:rPr>
        <w:t>•</w:t>
      </w:r>
      <w:r>
        <w:rPr>
          <w:noProof/>
        </w:rPr>
        <w:tab/>
      </w:r>
      <w:r>
        <w:rPr>
          <w:noProof/>
          <w:u w:color="000000"/>
          <w:bdr w:val="nil"/>
        </w:rPr>
        <w:t xml:space="preserve">Субсидиарност (при неизключителна компетентност) </w:t>
      </w:r>
    </w:p>
    <w:p>
      <w:pPr>
        <w:pBdr>
          <w:top w:val="nil"/>
          <w:left w:val="nil"/>
          <w:bottom w:val="nil"/>
          <w:right w:val="nil"/>
          <w:between w:val="nil"/>
          <w:bar w:val="nil"/>
        </w:pBdr>
        <w:spacing w:before="0" w:after="240"/>
        <w:rPr>
          <w:noProof/>
        </w:rPr>
      </w:pPr>
      <w:r>
        <w:rPr>
          <w:noProof/>
        </w:rPr>
        <w:t>PRIMA е съвместна програма, която е основана и съставена от национални програми, управлявани от участващите държави членки и асоциирани държави, и дейности, осъществявани от тях с подкрепата и участието на ЕС.</w:t>
      </w:r>
    </w:p>
    <w:p>
      <w:pPr>
        <w:pBdr>
          <w:top w:val="nil"/>
          <w:left w:val="nil"/>
          <w:bottom w:val="nil"/>
          <w:right w:val="nil"/>
          <w:between w:val="nil"/>
          <w:bar w:val="nil"/>
        </w:pBdr>
        <w:spacing w:before="0" w:after="240"/>
        <w:rPr>
          <w:noProof/>
        </w:rPr>
      </w:pPr>
      <w:r>
        <w:rPr>
          <w:noProof/>
        </w:rPr>
        <w:t>В предложението на Комисията за създаване на програма „Хоризонт 2020“ се предвижда участието на ЕС в PRIMA съгласно член 185 от ДФЕС. Това е подходящият инструмент за подпомагане от ЕС на инициативата, тъй като дава възможност за координация на националните научноизследователски програми, както и за участието на Съюза в съвместната програма.</w:t>
      </w:r>
    </w:p>
    <w:p>
      <w:pPr>
        <w:pBdr>
          <w:top w:val="nil"/>
          <w:left w:val="nil"/>
          <w:bottom w:val="nil"/>
          <w:right w:val="nil"/>
          <w:between w:val="nil"/>
          <w:bar w:val="nil"/>
        </w:pBdr>
        <w:spacing w:before="0" w:after="240"/>
        <w:rPr>
          <w:noProof/>
        </w:rPr>
      </w:pPr>
      <w:r>
        <w:rPr>
          <w:noProof/>
        </w:rPr>
        <w:t>Националните, двустранните и транснационалните програми, използвани досега за подобряване на НИИ в областта на водоснабдяването и продоволствените системи, се оказаха недостатъчни за справяне с трансграничните проблеми и за привличане на допълнителни публични и частни инвестиции.</w:t>
      </w:r>
    </w:p>
    <w:p>
      <w:pPr>
        <w:pBdr>
          <w:top w:val="nil"/>
          <w:left w:val="nil"/>
          <w:bottom w:val="nil"/>
          <w:right w:val="nil"/>
          <w:between w:val="nil"/>
          <w:bar w:val="nil"/>
        </w:pBdr>
        <w:spacing w:before="0" w:after="240"/>
        <w:rPr>
          <w:noProof/>
        </w:rPr>
      </w:pPr>
      <w:r>
        <w:rPr>
          <w:noProof/>
        </w:rPr>
        <w:t>Освен това предизвикателствата пред водоснабдяването и продоволствените системи в Средиземноморския регион са сложни, взаимно свързани, транснационални и обхващат множество сектори. Те налагат трансдисциплинарни научни изследвания и интегрирани решения, които включват иновации. Други фактори, като социалното поведение на селските общности, икономическите ограничения или стабилността на правната и институционалната рамка, също могат да допринесат за приемането на най-подходящите мерки. Една отделна държава сама едва ли би могла да се справи с такава сложност.</w:t>
      </w:r>
    </w:p>
    <w:p>
      <w:pPr>
        <w:pBdr>
          <w:top w:val="nil"/>
          <w:left w:val="nil"/>
          <w:bottom w:val="nil"/>
          <w:right w:val="nil"/>
          <w:between w:val="nil"/>
          <w:bar w:val="nil"/>
        </w:pBdr>
        <w:spacing w:before="0" w:after="240"/>
        <w:rPr>
          <w:noProof/>
        </w:rPr>
      </w:pPr>
      <w:r>
        <w:rPr>
          <w:noProof/>
        </w:rPr>
        <w:lastRenderedPageBreak/>
        <w:t>Опитът от подобни инициативи по член 185 показва, че действието на равнището на Съюза може да доведе до добре координирана и интегрирана програма чрез:</w:t>
      </w:r>
    </w:p>
    <w:p>
      <w:pPr>
        <w:pStyle w:val="ListParagraph"/>
        <w:tabs>
          <w:tab w:val="left" w:pos="851"/>
        </w:tabs>
        <w:ind w:left="851" w:hanging="425"/>
        <w:rPr>
          <w:noProof/>
        </w:rPr>
      </w:pPr>
      <w:r>
        <w:rPr>
          <w:noProof/>
        </w:rPr>
        <w:t>а)</w:t>
      </w:r>
      <w:r>
        <w:rPr>
          <w:noProof/>
        </w:rPr>
        <w:tab/>
        <w:t>достигане до необходимия мащаб и обхват и получаването на критична маса от ресурси;</w:t>
      </w:r>
    </w:p>
    <w:p>
      <w:pPr>
        <w:pStyle w:val="ListParagraph"/>
        <w:tabs>
          <w:tab w:val="left" w:pos="851"/>
        </w:tabs>
        <w:ind w:left="851" w:hanging="425"/>
        <w:rPr>
          <w:noProof/>
        </w:rPr>
      </w:pPr>
      <w:r>
        <w:rPr>
          <w:noProof/>
        </w:rPr>
        <w:t>б)</w:t>
      </w:r>
      <w:r>
        <w:rPr>
          <w:noProof/>
        </w:rPr>
        <w:tab/>
        <w:t>стимулиране на ефектите на лоста и наличие на въздействия и отражения върху външните политики на ЕС и миграцията;</w:t>
      </w:r>
    </w:p>
    <w:p>
      <w:pPr>
        <w:pStyle w:val="ListParagraph"/>
        <w:tabs>
          <w:tab w:val="left" w:pos="851"/>
        </w:tabs>
        <w:ind w:left="851" w:hanging="425"/>
        <w:rPr>
          <w:noProof/>
        </w:rPr>
      </w:pPr>
      <w:r>
        <w:rPr>
          <w:noProof/>
        </w:rPr>
        <w:t>в)</w:t>
      </w:r>
      <w:r>
        <w:rPr>
          <w:noProof/>
        </w:rPr>
        <w:tab/>
        <w:t>допринасяне към глобалното сътрудничество и южното съседство.</w:t>
      </w:r>
    </w:p>
    <w:p>
      <w:pPr>
        <w:pStyle w:val="ManualHeading2"/>
        <w:rPr>
          <w:rFonts w:eastAsia="Arial Unicode MS"/>
          <w:noProof/>
          <w:u w:color="000000"/>
          <w:bdr w:val="nil"/>
        </w:rPr>
      </w:pPr>
      <w:r>
        <w:rPr>
          <w:noProof/>
          <w:u w:color="000000"/>
          <w:bdr w:val="nil"/>
        </w:rPr>
        <w:t>•</w:t>
      </w:r>
      <w:r>
        <w:rPr>
          <w:noProof/>
        </w:rPr>
        <w:tab/>
      </w:r>
      <w:r>
        <w:rPr>
          <w:noProof/>
          <w:u w:color="000000"/>
          <w:bdr w:val="nil"/>
        </w:rPr>
        <w:t>Пропорционалност</w:t>
      </w:r>
    </w:p>
    <w:p>
      <w:pPr>
        <w:pBdr>
          <w:top w:val="nil"/>
          <w:left w:val="nil"/>
          <w:bottom w:val="nil"/>
          <w:right w:val="nil"/>
          <w:between w:val="nil"/>
          <w:bar w:val="nil"/>
        </w:pBdr>
        <w:spacing w:before="0" w:after="240"/>
        <w:rPr>
          <w:noProof/>
        </w:rPr>
      </w:pPr>
      <w:r>
        <w:rPr>
          <w:noProof/>
        </w:rPr>
        <w:t>Предложението не надхвърля необходимото за постигане на заложените в него цели. Участието на Съюза в програма PRIMA ще се осъществи в границите на компетентността, предвидена в ДФЕС, и ще се изразява единствено в улесняване и подкрепа, включително финансова, на изпълнението на целите на програма PRIMA от страна на участващите държави. Участващите държави ще трябва да работят заедно, за да координират, съгласуват и интегрират по-добре съответните национални програми или дейности и в крайна сметка да разработят обща, дългосрочна програма за стратегически научни изследвания.</w:t>
      </w:r>
    </w:p>
    <w:p>
      <w:pPr>
        <w:pBdr>
          <w:top w:val="nil"/>
          <w:left w:val="nil"/>
          <w:bottom w:val="nil"/>
          <w:right w:val="nil"/>
          <w:between w:val="nil"/>
          <w:bar w:val="nil"/>
        </w:pBdr>
        <w:spacing w:before="0" w:after="240"/>
        <w:rPr>
          <w:rFonts w:eastAsia="Arial Unicode MS"/>
          <w:i/>
          <w:noProof/>
        </w:rPr>
      </w:pPr>
      <w:r>
        <w:rPr>
          <w:noProof/>
        </w:rPr>
        <w:t>За повече информация вж. и доклада за оценка на въздействието, раздел 6.5.</w:t>
      </w:r>
    </w:p>
    <w:p>
      <w:pPr>
        <w:pStyle w:val="ManualHeading2"/>
        <w:rPr>
          <w:rFonts w:eastAsia="Arial Unicode MS"/>
          <w:noProof/>
          <w:u w:color="000000"/>
          <w:bdr w:val="nil"/>
        </w:rPr>
      </w:pPr>
      <w:r>
        <w:rPr>
          <w:noProof/>
          <w:u w:color="000000"/>
          <w:bdr w:val="nil"/>
        </w:rPr>
        <w:t>•</w:t>
      </w:r>
      <w:r>
        <w:rPr>
          <w:noProof/>
        </w:rPr>
        <w:tab/>
      </w:r>
      <w:r>
        <w:rPr>
          <w:noProof/>
          <w:u w:color="000000"/>
          <w:bdr w:val="nil"/>
        </w:rPr>
        <w:t>Избор на инструмент</w:t>
      </w:r>
    </w:p>
    <w:p>
      <w:pPr>
        <w:pBdr>
          <w:top w:val="nil"/>
          <w:left w:val="nil"/>
          <w:bottom w:val="nil"/>
          <w:right w:val="nil"/>
          <w:between w:val="nil"/>
          <w:bar w:val="nil"/>
        </w:pBdr>
        <w:spacing w:before="0" w:after="240"/>
        <w:rPr>
          <w:noProof/>
        </w:rPr>
      </w:pPr>
      <w:r>
        <w:rPr>
          <w:noProof/>
        </w:rPr>
        <w:t>Заключенията от дейностите по консултация със заинтересованите страни, както и анализът и сравнението на възможните варианти в оценката на въздействието показват, че член 185 от ДФЕС е най-подходящият начин за постигане на целите на програма PRIMA. Член 185 от ДФЕС е избран също така и от участващите държави.</w:t>
      </w:r>
    </w:p>
    <w:p>
      <w:pPr>
        <w:pBdr>
          <w:top w:val="nil"/>
          <w:left w:val="nil"/>
          <w:bottom w:val="nil"/>
          <w:right w:val="nil"/>
          <w:between w:val="nil"/>
          <w:bar w:val="nil"/>
        </w:pBdr>
        <w:spacing w:before="0" w:after="240"/>
        <w:rPr>
          <w:noProof/>
        </w:rPr>
      </w:pPr>
      <w:r>
        <w:rPr>
          <w:noProof/>
        </w:rPr>
        <w:t>Инициатива по член 185 от ДФЕС е най-ефикасният и ефективен начин за предприемане на действие с цел постигане на стратегическите и конкретните цели на програма PRIMA. Една инициатива по член 185 от ДФЕС вероятно ще има най-голям общ ефект на лоста, постигнат по стабилен, дългосрочен и интегриран начин, в сравнение с други инструменти.</w:t>
      </w:r>
    </w:p>
    <w:p>
      <w:pPr>
        <w:pBdr>
          <w:top w:val="nil"/>
          <w:left w:val="nil"/>
          <w:bottom w:val="nil"/>
          <w:right w:val="nil"/>
          <w:between w:val="nil"/>
          <w:bar w:val="nil"/>
        </w:pBdr>
        <w:spacing w:before="0" w:after="240"/>
        <w:rPr>
          <w:noProof/>
        </w:rPr>
      </w:pPr>
      <w:r>
        <w:rPr>
          <w:noProof/>
        </w:rPr>
        <w:t>Член 185 от ДФЕС ще създаде допълнителна възможност за развитие на по-равнопоставени отношения със съседните държави. Съюзът и заинтересованите държави ще определят заедно своите общи приоритети, като навлязат в нов етап на сътрудничество в съответствие с приоритетите на европейската политика за съседство.</w:t>
      </w:r>
    </w:p>
    <w:p>
      <w:pPr>
        <w:pStyle w:val="ManualHeading1"/>
        <w:rPr>
          <w:noProof/>
        </w:rPr>
      </w:pPr>
      <w:r>
        <w:rPr>
          <w:noProof/>
        </w:rPr>
        <w:t>3.</w:t>
      </w:r>
      <w:r>
        <w:rPr>
          <w:noProof/>
        </w:rPr>
        <w:tab/>
        <w:t>РЕЗУЛТАТИ ОТ ПОСЛЕДВАЩИТЕ ОЦЕНКИ, КОНСУЛТАЦИИТЕ СЪС ЗАИНТЕРЕСОВАНИТЕ СТРАНИ И ОЦЕНКИТЕ НА ВЪЗДЕЙСТВИЕТО</w:t>
      </w:r>
    </w:p>
    <w:p>
      <w:pPr>
        <w:pStyle w:val="ManualHeading2"/>
        <w:rPr>
          <w:rFonts w:eastAsia="Arial Unicode MS"/>
          <w:noProof/>
          <w:u w:color="000000"/>
          <w:bdr w:val="nil"/>
        </w:rPr>
      </w:pPr>
      <w:r>
        <w:rPr>
          <w:noProof/>
          <w:u w:color="000000"/>
          <w:bdr w:val="nil"/>
        </w:rPr>
        <w:t>•</w:t>
      </w:r>
      <w:r>
        <w:rPr>
          <w:noProof/>
        </w:rPr>
        <w:tab/>
      </w:r>
      <w:r>
        <w:rPr>
          <w:noProof/>
          <w:u w:color="000000"/>
          <w:bdr w:val="nil"/>
        </w:rPr>
        <w:t>Консултации със заинтересованите страни</w:t>
      </w:r>
    </w:p>
    <w:p>
      <w:pPr>
        <w:pBdr>
          <w:top w:val="nil"/>
          <w:left w:val="nil"/>
          <w:bottom w:val="nil"/>
          <w:right w:val="nil"/>
          <w:between w:val="nil"/>
          <w:bar w:val="nil"/>
        </w:pBdr>
        <w:spacing w:before="0" w:after="240"/>
        <w:rPr>
          <w:noProof/>
        </w:rPr>
      </w:pPr>
      <w:r>
        <w:rPr>
          <w:noProof/>
        </w:rPr>
        <w:t>Бяха организирани две основни дейности за консултиране като част от оценката на въздействието на програма PRIMA:</w:t>
      </w:r>
    </w:p>
    <w:p>
      <w:pPr>
        <w:pBdr>
          <w:top w:val="nil"/>
          <w:left w:val="nil"/>
          <w:bottom w:val="nil"/>
          <w:right w:val="nil"/>
          <w:between w:val="nil"/>
          <w:bar w:val="nil"/>
        </w:pBdr>
        <w:tabs>
          <w:tab w:val="left" w:pos="284"/>
        </w:tabs>
        <w:spacing w:before="0"/>
        <w:ind w:left="284"/>
        <w:rPr>
          <w:noProof/>
        </w:rPr>
      </w:pPr>
      <w:r>
        <w:rPr>
          <w:noProof/>
        </w:rPr>
        <w:t>•</w:t>
      </w:r>
      <w:r>
        <w:rPr>
          <w:noProof/>
        </w:rPr>
        <w:tab/>
        <w:t>онлайн обществена консултация, продължила 12 седмици – от 1 февруари до 24 април 2016 г.;</w:t>
      </w:r>
    </w:p>
    <w:p>
      <w:pPr>
        <w:pBdr>
          <w:top w:val="nil"/>
          <w:left w:val="nil"/>
          <w:bottom w:val="nil"/>
          <w:right w:val="nil"/>
          <w:between w:val="nil"/>
          <w:bar w:val="nil"/>
        </w:pBdr>
        <w:tabs>
          <w:tab w:val="left" w:pos="284"/>
        </w:tabs>
        <w:spacing w:before="0" w:after="240"/>
        <w:ind w:left="284"/>
        <w:rPr>
          <w:noProof/>
        </w:rPr>
      </w:pPr>
      <w:r>
        <w:rPr>
          <w:noProof/>
        </w:rPr>
        <w:t>•</w:t>
      </w:r>
      <w:r>
        <w:rPr>
          <w:noProof/>
        </w:rPr>
        <w:tab/>
        <w:t xml:space="preserve">събитие за заинтересованите страни, проведено в Малта на 17 март 2016 г. </w:t>
      </w:r>
    </w:p>
    <w:p>
      <w:pPr>
        <w:pBdr>
          <w:top w:val="nil"/>
          <w:left w:val="nil"/>
          <w:bottom w:val="nil"/>
          <w:right w:val="nil"/>
          <w:between w:val="nil"/>
          <w:bar w:val="nil"/>
        </w:pBdr>
        <w:spacing w:before="0" w:after="240"/>
        <w:rPr>
          <w:noProof/>
        </w:rPr>
      </w:pPr>
      <w:r>
        <w:rPr>
          <w:noProof/>
        </w:rPr>
        <w:lastRenderedPageBreak/>
        <w:t>Различни заинтересовани страни от Европа и Южното Средиземноморие от научноизследователската и академичната общност, индустрията и гражданското общество представиха своите виждания. При изготвянето на предложението са изцяло отчетени получените многобройни отговори и информации.</w:t>
      </w:r>
    </w:p>
    <w:p>
      <w:pPr>
        <w:pBdr>
          <w:top w:val="nil"/>
          <w:left w:val="nil"/>
          <w:bottom w:val="nil"/>
          <w:right w:val="nil"/>
          <w:between w:val="nil"/>
          <w:bar w:val="nil"/>
        </w:pBdr>
        <w:spacing w:before="0" w:after="240"/>
        <w:rPr>
          <w:rFonts w:eastAsia="Arial Unicode MS"/>
          <w:noProof/>
        </w:rPr>
      </w:pPr>
      <w:r>
        <w:rPr>
          <w:noProof/>
        </w:rPr>
        <w:t>По-голямата част от участвалите в консултацията заинтересовани страни изразиха подкрепа за варианта по член 185.</w:t>
      </w:r>
    </w:p>
    <w:p>
      <w:pPr>
        <w:pStyle w:val="ManualHeading2"/>
        <w:rPr>
          <w:rFonts w:eastAsia="Arial Unicode MS"/>
          <w:noProof/>
          <w:u w:color="000000"/>
          <w:bdr w:val="nil"/>
        </w:rPr>
      </w:pPr>
      <w:r>
        <w:rPr>
          <w:noProof/>
          <w:u w:color="000000"/>
          <w:bdr w:val="nil"/>
        </w:rPr>
        <w:t>•</w:t>
      </w:r>
      <w:r>
        <w:rPr>
          <w:noProof/>
        </w:rPr>
        <w:tab/>
      </w:r>
      <w:r>
        <w:rPr>
          <w:noProof/>
          <w:u w:color="000000"/>
          <w:bdr w:val="nil"/>
        </w:rPr>
        <w:t>Събиране и използване на експертни становища</w:t>
      </w:r>
    </w:p>
    <w:p>
      <w:pPr>
        <w:pBdr>
          <w:top w:val="nil"/>
          <w:left w:val="nil"/>
          <w:bottom w:val="nil"/>
          <w:right w:val="nil"/>
          <w:between w:val="nil"/>
          <w:bar w:val="nil"/>
        </w:pBdr>
        <w:spacing w:before="0" w:after="240"/>
        <w:rPr>
          <w:rFonts w:eastAsia="Arial Unicode MS"/>
          <w:noProof/>
        </w:rPr>
      </w:pPr>
      <w:r>
        <w:rPr>
          <w:noProof/>
        </w:rPr>
        <w:t>Беше създадена група от външни експерти (Експертна група относно PRIMA) от средиземноморски и несредиземноморски държави членки и трети държави, за да подпомогне извършването на оценка на въздействието. Констатациите на групата бяха сравнени с констатациите от други източници (например преглед на специализираната литература, направен от службите на Комисията, резултатите от обществената онлайн консултация) и бяха взети под внимание в оценката на въздействието.</w:t>
      </w:r>
    </w:p>
    <w:p>
      <w:pPr>
        <w:pStyle w:val="ManualHeading2"/>
        <w:rPr>
          <w:rFonts w:eastAsia="Arial Unicode MS"/>
          <w:noProof/>
          <w:u w:color="000000"/>
          <w:bdr w:val="nil"/>
        </w:rPr>
      </w:pPr>
      <w:r>
        <w:rPr>
          <w:noProof/>
          <w:u w:color="000000"/>
          <w:bdr w:val="nil"/>
        </w:rPr>
        <w:t>•</w:t>
      </w:r>
      <w:r>
        <w:rPr>
          <w:noProof/>
        </w:rPr>
        <w:tab/>
      </w:r>
      <w:r>
        <w:rPr>
          <w:noProof/>
          <w:u w:color="000000"/>
          <w:bdr w:val="nil"/>
        </w:rPr>
        <w:t>Оценка на въздействието</w:t>
      </w:r>
    </w:p>
    <w:p>
      <w:pPr>
        <w:pBdr>
          <w:top w:val="nil"/>
          <w:left w:val="nil"/>
          <w:bottom w:val="nil"/>
          <w:right w:val="nil"/>
          <w:between w:val="nil"/>
          <w:bar w:val="nil"/>
        </w:pBdr>
        <w:spacing w:before="0" w:after="240"/>
        <w:rPr>
          <w:noProof/>
        </w:rPr>
      </w:pPr>
      <w:r>
        <w:rPr>
          <w:noProof/>
        </w:rPr>
        <w:t>При извършването на оценката на въздействието бяха установени възможни варианти на политиката, които се различават по обхват, географско покритие и вида на използвания инструмент. Всички тези варианти бяха проучени чрез използване на инструмент № 14 от набора от инструменти за по-добро регулиране. На тази основа бяха включени следните варианти на политиката.</w:t>
      </w:r>
    </w:p>
    <w:p>
      <w:pPr>
        <w:pStyle w:val="ListBullet1"/>
        <w:tabs>
          <w:tab w:val="clear" w:pos="1134"/>
          <w:tab w:val="num" w:pos="1276"/>
        </w:tabs>
        <w:ind w:left="709"/>
        <w:rPr>
          <w:noProof/>
        </w:rPr>
      </w:pPr>
      <w:r>
        <w:rPr>
          <w:noProof/>
        </w:rPr>
        <w:t>Вариант 0: Без промяна на политиката – Базов сценарий – Програма „Хоризонт 2020“ ще продължи да предоставя обща и ad hoc подкрепа за проблеми, свързани с водните ресурси и продоволствието. Малко вероятно е да бъдат стартирани специални инициативи, чиято цел е интегрирането на средиземноморските системи за НИИ. Отделните действия обикновено продължават три – четири години и имат ограничено въздействие.</w:t>
      </w:r>
    </w:p>
    <w:p>
      <w:pPr>
        <w:pStyle w:val="ListBullet1"/>
        <w:tabs>
          <w:tab w:val="clear" w:pos="1134"/>
          <w:tab w:val="num" w:pos="1276"/>
        </w:tabs>
        <w:ind w:left="709"/>
        <w:rPr>
          <w:noProof/>
        </w:rPr>
      </w:pPr>
      <w:r>
        <w:rPr>
          <w:noProof/>
        </w:rPr>
        <w:t>Вариант 1: Съфинансиране на действие на ЕНП-NET – Основната дейност по програма „Хоризонт 2020“ е изпълнението на единна, съфинансирана съвместна покана за предложения за всяко действие, което се изразява във финансиране на транснационални научни изследвания и/или проекти за иновации. Отделните действия обикновено продължават пет години. Този вариант ще се състои от редица съфинансирани действия на ЕНП-NET, ограничени до остатъка от срока на програма „Хоризонт 2020“. Това няма да позволи да се обърне съществено внимание на измерението, свързано с иновациите, тъй като националните програми, които ще си сътрудничат и ще координират своите дейности, поставят акцент основно върху научноизследователските дейности на публичните научноизследователски организации. При вариант 1 не се очаква интегриране на националните програми за финансиране в обща програма за стратегически научни изследвания.</w:t>
      </w:r>
    </w:p>
    <w:p>
      <w:pPr>
        <w:pStyle w:val="ListBullet1"/>
        <w:tabs>
          <w:tab w:val="clear" w:pos="1134"/>
          <w:tab w:val="num" w:pos="1276"/>
        </w:tabs>
        <w:ind w:left="709"/>
        <w:rPr>
          <w:noProof/>
        </w:rPr>
      </w:pPr>
      <w:r>
        <w:rPr>
          <w:noProof/>
        </w:rPr>
        <w:t xml:space="preserve">Вариант 2: Съвместна програма PRIMA на основание член 185 от ДФЕС — Това позволява на ЕС да предвиди своето участие в научноизследователски и развойни програми, управлявани от няколко държави членки, включително участието си в структурите, създадени за изпълнението на тези програми. В член 26 от регламента за установяване на рамковата програма „Хоризонт 2020“ </w:t>
      </w:r>
      <w:r>
        <w:rPr>
          <w:noProof/>
        </w:rPr>
        <w:lastRenderedPageBreak/>
        <w:t>се посочват условията и критериите за установяване и предлагане на инициатива по член 185 от ДФЕС.</w:t>
      </w:r>
    </w:p>
    <w:p>
      <w:pPr>
        <w:pBdr>
          <w:top w:val="nil"/>
          <w:left w:val="nil"/>
          <w:bottom w:val="nil"/>
          <w:right w:val="nil"/>
          <w:between w:val="nil"/>
          <w:bar w:val="nil"/>
        </w:pBdr>
        <w:spacing w:before="0" w:after="240"/>
        <w:rPr>
          <w:noProof/>
        </w:rPr>
      </w:pPr>
      <w:r>
        <w:rPr>
          <w:noProof/>
        </w:rPr>
        <w:t>Наред с други критерии Комисията може да предлага инициативи по член 185 само в случай, че съществува необходимост от специална изпълнителна структура и когато е налице силен ангажимент от страна на участващите държави за интеграция на научно, управленско и финансово равнище. Този вариант включва представяне на всеобхватна стратегическа програма за научни изследвания и нейното цялостно изпълнение чрез многократни транснационални покани за представяне на предложения, отправени от няколко участващи държави и изпълнени чрез специална изпълнителна структура (наричана по-нататък СИС финансиращ орган). Това обикновено е дългосрочен ангажимент (десет години). Съюзът ще предвиди финансова подкрепа, която съответства на националните инвестиции. Този вариант е най-добрият за постигането на конкретните и общите цели и за изпълнението на редица пилотни и демонстрационни проекти в стратегически важни области, свързани с водоснабдяването и продоволствените системи. При него се отчитат изцяло всички извлечени поуки по отношение на управлението на финансовия принос на Съюза, постигането на въздействия и т.н. от изпълнението на минали и текущи инициативи по член 185. Той също така има за цел да гарантира добро финансово управление и да защитава финансовите интереси на Съюза чрез подходящи предварителни проверки, финансово отчитане и последващ контрол.</w:t>
      </w:r>
    </w:p>
    <w:p>
      <w:pPr>
        <w:pBdr>
          <w:top w:val="nil"/>
          <w:left w:val="nil"/>
          <w:bottom w:val="nil"/>
          <w:right w:val="nil"/>
          <w:between w:val="nil"/>
          <w:bar w:val="nil"/>
        </w:pBdr>
        <w:spacing w:before="0" w:after="240"/>
        <w:rPr>
          <w:noProof/>
        </w:rPr>
      </w:pPr>
      <w:r>
        <w:rPr>
          <w:noProof/>
        </w:rPr>
        <w:t>Като се имат предвид вероятните въздействия на вариантите, те бяха сравнени един с друг чрез използване на базовия сценарий като отправна точка и чрез прилагане на следните критерии:</w:t>
      </w:r>
    </w:p>
    <w:p>
      <w:pPr>
        <w:pStyle w:val="ListBullet1"/>
        <w:tabs>
          <w:tab w:val="clear" w:pos="1134"/>
          <w:tab w:val="num" w:pos="1276"/>
        </w:tabs>
        <w:ind w:left="709"/>
        <w:rPr>
          <w:noProof/>
        </w:rPr>
      </w:pPr>
      <w:r>
        <w:rPr>
          <w:noProof/>
        </w:rPr>
        <w:t>ефективност: предложените варианти следва да подобрят рамката за НИИ в Средиземноморския регион в областта на водоснабдяването и продоволствените системи;</w:t>
      </w:r>
    </w:p>
    <w:p>
      <w:pPr>
        <w:pStyle w:val="ListBullet1"/>
        <w:tabs>
          <w:tab w:val="clear" w:pos="1134"/>
          <w:tab w:val="num" w:pos="1276"/>
        </w:tabs>
        <w:ind w:left="709"/>
        <w:rPr>
          <w:noProof/>
        </w:rPr>
      </w:pPr>
      <w:r>
        <w:rPr>
          <w:noProof/>
        </w:rPr>
        <w:t>ефикасност: предложените варианти следва да постигнат въздействията с най-голямо съотношение разходи/ползи;</w:t>
      </w:r>
    </w:p>
    <w:p>
      <w:pPr>
        <w:pStyle w:val="ListBullet1"/>
        <w:tabs>
          <w:tab w:val="clear" w:pos="1134"/>
          <w:tab w:val="num" w:pos="1276"/>
        </w:tabs>
        <w:ind w:left="709"/>
        <w:rPr>
          <w:noProof/>
        </w:rPr>
      </w:pPr>
      <w:r>
        <w:rPr>
          <w:noProof/>
        </w:rPr>
        <w:t>съгласуваност с другите политики: предложените варианти следва да бъдат съгласувани с другите политики на ЕС, както и с националните политики и програми за НИИ и международните политики за координация и сътрудничество.</w:t>
      </w:r>
    </w:p>
    <w:p>
      <w:pPr>
        <w:pBdr>
          <w:top w:val="nil"/>
          <w:left w:val="nil"/>
          <w:bottom w:val="nil"/>
          <w:right w:val="nil"/>
          <w:between w:val="nil"/>
          <w:bar w:val="nil"/>
        </w:pBdr>
        <w:spacing w:before="0" w:after="240"/>
        <w:rPr>
          <w:noProof/>
        </w:rPr>
      </w:pPr>
      <w:r>
        <w:rPr>
          <w:noProof/>
        </w:rPr>
        <w:t>Предишните и текущите инициативи по член 185 от ДФЕС показват, че подобна инициатива е вероятно да има висок ефект на лоста по отношение на националните публични фондове по стабилен, дългосрочен и интегриран начин, като спомага за:</w:t>
      </w:r>
    </w:p>
    <w:p>
      <w:pPr>
        <w:pStyle w:val="ListBullet1"/>
        <w:tabs>
          <w:tab w:val="clear" w:pos="1134"/>
          <w:tab w:val="num" w:pos="1276"/>
        </w:tabs>
        <w:ind w:left="709"/>
        <w:rPr>
          <w:noProof/>
        </w:rPr>
      </w:pPr>
      <w:r>
        <w:rPr>
          <w:noProof/>
        </w:rPr>
        <w:t>постигане на желания структуриращ ефект върху националните политики и програми за НИИ и за тяхното интегриране;</w:t>
      </w:r>
    </w:p>
    <w:p>
      <w:pPr>
        <w:pStyle w:val="ListBullet1"/>
        <w:tabs>
          <w:tab w:val="clear" w:pos="1134"/>
          <w:tab w:val="num" w:pos="1276"/>
        </w:tabs>
        <w:ind w:left="709"/>
        <w:rPr>
          <w:noProof/>
        </w:rPr>
      </w:pPr>
      <w:r>
        <w:rPr>
          <w:noProof/>
        </w:rPr>
        <w:t xml:space="preserve">създаване на възможност за формулирането на стабилни, дългосрочни, общи програми за стратегически научни изследвания с подходящ обхват и обем на действията; </w:t>
      </w:r>
    </w:p>
    <w:p>
      <w:pPr>
        <w:pStyle w:val="ListBullet1"/>
        <w:tabs>
          <w:tab w:val="clear" w:pos="1134"/>
          <w:tab w:val="num" w:pos="1276"/>
        </w:tabs>
        <w:ind w:left="709"/>
        <w:rPr>
          <w:noProof/>
        </w:rPr>
      </w:pPr>
      <w:r>
        <w:rPr>
          <w:noProof/>
        </w:rPr>
        <w:t xml:space="preserve">подкрепа за съгласуването на националните програми за НИИ; </w:t>
      </w:r>
    </w:p>
    <w:p>
      <w:pPr>
        <w:pStyle w:val="ListBullet1"/>
        <w:tabs>
          <w:tab w:val="clear" w:pos="1134"/>
          <w:tab w:val="num" w:pos="1276"/>
        </w:tabs>
        <w:ind w:left="709"/>
        <w:rPr>
          <w:noProof/>
        </w:rPr>
      </w:pPr>
      <w:r>
        <w:rPr>
          <w:noProof/>
        </w:rPr>
        <w:t>създаване на възможност за равнопоставено участие на партньорски държави;</w:t>
      </w:r>
    </w:p>
    <w:p>
      <w:pPr>
        <w:pStyle w:val="ListBullet1"/>
        <w:tabs>
          <w:tab w:val="clear" w:pos="1134"/>
          <w:tab w:val="num" w:pos="1276"/>
        </w:tabs>
        <w:ind w:left="709"/>
        <w:rPr>
          <w:noProof/>
        </w:rPr>
      </w:pPr>
      <w:r>
        <w:rPr>
          <w:noProof/>
        </w:rPr>
        <w:lastRenderedPageBreak/>
        <w:t>създаване на възможност за структурно участие на различни видове заинтересовани страни — публични и частни, чрез обединяването им и мобилизирането на техните съответни знания и финансови ресурси;</w:t>
      </w:r>
    </w:p>
    <w:p>
      <w:pPr>
        <w:pStyle w:val="ListBullet1"/>
        <w:tabs>
          <w:tab w:val="clear" w:pos="1134"/>
          <w:tab w:val="num" w:pos="1276"/>
        </w:tabs>
        <w:ind w:left="709"/>
        <w:rPr>
          <w:noProof/>
        </w:rPr>
      </w:pPr>
      <w:r>
        <w:rPr>
          <w:noProof/>
        </w:rPr>
        <w:t>устойчиво укрепване на капацитета за НИИ.</w:t>
      </w:r>
    </w:p>
    <w:p>
      <w:pPr>
        <w:pBdr>
          <w:top w:val="nil"/>
          <w:left w:val="nil"/>
          <w:bottom w:val="nil"/>
          <w:right w:val="nil"/>
          <w:between w:val="nil"/>
          <w:bar w:val="nil"/>
        </w:pBdr>
        <w:tabs>
          <w:tab w:val="left" w:pos="284"/>
        </w:tabs>
        <w:spacing w:before="0"/>
        <w:rPr>
          <w:rFonts w:eastAsia="Arial Unicode MS"/>
          <w:noProof/>
        </w:rPr>
      </w:pPr>
    </w:p>
    <w:p>
      <w:pPr>
        <w:pStyle w:val="ManualHeading2"/>
        <w:rPr>
          <w:rFonts w:eastAsia="Arial Unicode MS"/>
          <w:noProof/>
          <w:u w:color="000000"/>
          <w:bdr w:val="nil"/>
        </w:rPr>
      </w:pPr>
      <w:r>
        <w:rPr>
          <w:noProof/>
          <w:u w:color="000000"/>
          <w:bdr w:val="nil"/>
        </w:rPr>
        <w:t>•</w:t>
      </w:r>
      <w:r>
        <w:rPr>
          <w:noProof/>
        </w:rPr>
        <w:tab/>
      </w:r>
      <w:r>
        <w:rPr>
          <w:noProof/>
          <w:u w:color="000000"/>
          <w:bdr w:val="nil"/>
        </w:rPr>
        <w:t>Основни права</w:t>
      </w:r>
    </w:p>
    <w:p>
      <w:pPr>
        <w:pBdr>
          <w:top w:val="nil"/>
          <w:left w:val="nil"/>
          <w:bottom w:val="nil"/>
          <w:right w:val="nil"/>
          <w:between w:val="nil"/>
          <w:bar w:val="nil"/>
        </w:pBdr>
        <w:spacing w:before="0" w:after="240"/>
        <w:rPr>
          <w:rFonts w:eastAsia="Arial Unicode MS"/>
          <w:noProof/>
        </w:rPr>
      </w:pPr>
      <w:r>
        <w:rPr>
          <w:noProof/>
        </w:rPr>
        <w:t>Инициативата е съгласувана с член 37 „Опазване на околната среда“ от Хартата на основните права на ЕС: „Високото равнище на опазване на околната среда и подобряването на нейното качество трябва да бъдат включени в политиките на Съюза и гарантирани в съответствие с принципа на устойчиво развитие.“</w:t>
      </w:r>
    </w:p>
    <w:p>
      <w:pPr>
        <w:pStyle w:val="ManualHeading1"/>
        <w:rPr>
          <w:noProof/>
        </w:rPr>
      </w:pPr>
      <w:r>
        <w:rPr>
          <w:noProof/>
        </w:rPr>
        <w:t>4.</w:t>
      </w:r>
      <w:r>
        <w:rPr>
          <w:noProof/>
        </w:rPr>
        <w:tab/>
        <w:t>ОТРАЖЕНИЯ ВЪРХУ БЮДЖЕТА</w:t>
      </w:r>
    </w:p>
    <w:p>
      <w:pPr>
        <w:autoSpaceDE w:val="0"/>
        <w:autoSpaceDN w:val="0"/>
        <w:rPr>
          <w:noProof/>
        </w:rPr>
      </w:pPr>
      <w:r>
        <w:rPr>
          <w:noProof/>
        </w:rPr>
        <w:t>В законодателната финансова обосновка, придружаваща настоящото решение, се определя индикативната стойност на отражението върху бюджета. Вноската на ЕС е в размер до 200 милиона евро, като включва и вноската на ЕАСТ. Пакетът е изчислен по текущи цени. Вноската на ЕС се прави като част от изпълнението на „Хоризонт 2020“ – рамковата програма за научни изследвания и иновации.</w:t>
      </w:r>
    </w:p>
    <w:p>
      <w:pPr>
        <w:pStyle w:val="Bullet0"/>
        <w:numPr>
          <w:ilvl w:val="0"/>
          <w:numId w:val="27"/>
        </w:numPr>
        <w:rPr>
          <w:noProof/>
        </w:rPr>
      </w:pPr>
      <w:r>
        <w:rPr>
          <w:noProof/>
        </w:rPr>
        <w:t>От ГД „Земеделие и развитие на селските райони“:</w:t>
      </w:r>
    </w:p>
    <w:p>
      <w:pPr>
        <w:pStyle w:val="Tiret1"/>
        <w:numPr>
          <w:ilvl w:val="0"/>
          <w:numId w:val="26"/>
        </w:numPr>
        <w:rPr>
          <w:noProof/>
        </w:rPr>
      </w:pPr>
      <w:r>
        <w:rPr>
          <w:noProof/>
        </w:rPr>
        <w:t>Обществено предизвикателство 2 „Научни изследвания и иновации, свързани със селското стопанство – осигуряване на достатъчно доставки на безопасни храни с високо качество“.</w:t>
      </w:r>
    </w:p>
    <w:p>
      <w:pPr>
        <w:pStyle w:val="Bullet0"/>
        <w:rPr>
          <w:noProof/>
        </w:rPr>
      </w:pPr>
      <w:r>
        <w:rPr>
          <w:noProof/>
        </w:rPr>
        <w:t>От ГД „Научни изследвания и иновации“:</w:t>
      </w:r>
    </w:p>
    <w:p>
      <w:pPr>
        <w:pStyle w:val="Tiret1"/>
        <w:spacing w:after="0"/>
        <w:ind w:left="1418"/>
        <w:rPr>
          <w:noProof/>
        </w:rPr>
      </w:pPr>
      <w:r>
        <w:rPr>
          <w:noProof/>
        </w:rPr>
        <w:t xml:space="preserve">Обществено предизвикателство 2 „Продоволствена сигурност, устойчиво земеделие и горско стопанство, мореплавателски, морски и вътрешноводни изследвания и биоикономика; </w:t>
      </w:r>
    </w:p>
    <w:p>
      <w:pPr>
        <w:pStyle w:val="Tiret1"/>
        <w:spacing w:before="0" w:after="0"/>
        <w:ind w:left="1418"/>
        <w:rPr>
          <w:noProof/>
        </w:rPr>
      </w:pPr>
      <w:r>
        <w:rPr>
          <w:noProof/>
        </w:rPr>
        <w:t>Обществено предизвикателство 5 „Действия във връзка с климата, околна среда, ресурсна ефективност и суровини“;</w:t>
      </w:r>
    </w:p>
    <w:p>
      <w:pPr>
        <w:pStyle w:val="Tiret1"/>
        <w:spacing w:before="0"/>
        <w:ind w:left="1418"/>
        <w:rPr>
          <w:noProof/>
        </w:rPr>
      </w:pPr>
      <w:r>
        <w:rPr>
          <w:noProof/>
        </w:rPr>
        <w:t xml:space="preserve">Водещи позиции в промишлеността. </w:t>
      </w:r>
    </w:p>
    <w:p>
      <w:pPr>
        <w:pBdr>
          <w:top w:val="nil"/>
          <w:left w:val="nil"/>
          <w:bottom w:val="nil"/>
          <w:right w:val="nil"/>
          <w:between w:val="nil"/>
          <w:bar w:val="nil"/>
        </w:pBdr>
        <w:spacing w:before="0" w:after="240"/>
        <w:rPr>
          <w:noProof/>
        </w:rPr>
      </w:pPr>
      <w:r>
        <w:rPr>
          <w:noProof/>
        </w:rPr>
        <w:t>Максималният размер на финансовото участие на ЕС за административни разходи е до 5 %. Това съответства на 10 милиона евро.</w:t>
      </w:r>
    </w:p>
    <w:p>
      <w:pPr>
        <w:pBdr>
          <w:top w:val="nil"/>
          <w:left w:val="nil"/>
          <w:bottom w:val="nil"/>
          <w:right w:val="nil"/>
          <w:between w:val="nil"/>
          <w:bar w:val="nil"/>
        </w:pBdr>
        <w:spacing w:before="0" w:after="240"/>
        <w:rPr>
          <w:noProof/>
          <w:szCs w:val="24"/>
        </w:rPr>
      </w:pPr>
      <w:r>
        <w:rPr>
          <w:noProof/>
        </w:rPr>
        <w:t xml:space="preserve">Финансовото участие на ЕС ще се управлява чрез структурата за управление на Партньорството за научни изследвания и иновации в Средиземноморския регион PRIMA-IS (непряко управление на средствата на ЕС). Преди делегирането на управлението и трансферите на средства PRIMA-IS ще бъде подложена на предварителна оценка в съответствие с член 61 от Финансовия регламент, с цел да се оцени нейният капацитет за прилагане на програмата, включително за получаването, разпределянето и наблюдението на финансовия принос на ЕС в рамките на непрякото управление на бюджета на ЕС. </w:t>
      </w:r>
    </w:p>
    <w:p>
      <w:pPr>
        <w:autoSpaceDE w:val="0"/>
        <w:autoSpaceDN w:val="0"/>
        <w:adjustRightInd w:val="0"/>
        <w:spacing w:before="0" w:after="0"/>
        <w:rPr>
          <w:noProof/>
          <w:szCs w:val="24"/>
        </w:rPr>
      </w:pPr>
      <w:r>
        <w:rPr>
          <w:noProof/>
        </w:rPr>
        <w:t xml:space="preserve">Разпоредбите на решението, както и на споразумението за възлагане, което следва да бъде сключено между Комисията и специалната изпълнителна структура, гарантират, че финансовите интереси на Съюза са защитени. Рискът от невъзстановяване се покрива от финансовите гаранции, които участващите държави ще трябва да </w:t>
      </w:r>
      <w:r>
        <w:rPr>
          <w:noProof/>
        </w:rPr>
        <w:lastRenderedPageBreak/>
        <w:t>предоставят своевременно и най-късно преди подписването на споразумението за възлагане.</w:t>
      </w:r>
    </w:p>
    <w:p>
      <w:pPr>
        <w:autoSpaceDE w:val="0"/>
        <w:autoSpaceDN w:val="0"/>
        <w:adjustRightInd w:val="0"/>
        <w:spacing w:before="0" w:after="0"/>
        <w:rPr>
          <w:noProof/>
        </w:rPr>
      </w:pPr>
    </w:p>
    <w:p>
      <w:pPr>
        <w:autoSpaceDE w:val="0"/>
        <w:autoSpaceDN w:val="0"/>
        <w:adjustRightInd w:val="0"/>
        <w:spacing w:before="0" w:after="0"/>
        <w:rPr>
          <w:noProof/>
          <w:szCs w:val="24"/>
        </w:rPr>
      </w:pPr>
      <w:r>
        <w:rPr>
          <w:noProof/>
        </w:rPr>
        <w:t xml:space="preserve">Участващите държави и ЕС поемат предварителни задължения за участие в PRIMA. Поетото задължение на ЕС в размер на 200 милиона евро от настоящата многогодишна финансова рамка ще се използва основно за финансиране на непреки действия, произтичащи от поканите за представяне на предложения, публикувани чрез PRIMA-IS. Това ще покрие поредица от седем годишни работни планове (в периода 2018 – 2024 г.), като последното задължение, което ще бъде поето от Комисията през 2020 г., ще бъде използвано за финансиране на проекти, произтичащи от поканите за представяне на предложения през годините 2020 – 2024. Участващите държави ще опишат в годишния работен план своите дейности, финансирани от националните програми, и съответните бюджети, разпределени за тези дейности. Участващите държави са били уведомени за необходимостта да поемат значителни задължения още през първите години от прилагането на програмата и от авансово финансиране на инициативата, така че да се компенсира високото предварително задължение, поето от от бюджета на Съюза. </w:t>
      </w:r>
    </w:p>
    <w:p>
      <w:pPr>
        <w:autoSpaceDE w:val="0"/>
        <w:autoSpaceDN w:val="0"/>
        <w:adjustRightInd w:val="0"/>
        <w:spacing w:before="0" w:after="0"/>
        <w:rPr>
          <w:noProof/>
          <w:szCs w:val="24"/>
        </w:rPr>
      </w:pPr>
    </w:p>
    <w:p>
      <w:pPr>
        <w:autoSpaceDE w:val="0"/>
        <w:autoSpaceDN w:val="0"/>
        <w:adjustRightInd w:val="0"/>
        <w:spacing w:before="0" w:after="0"/>
        <w:rPr>
          <w:noProof/>
          <w:szCs w:val="24"/>
        </w:rPr>
      </w:pPr>
      <w:r>
        <w:rPr>
          <w:noProof/>
        </w:rPr>
        <w:t>Финансовото участие на ЕС във всеки годишен работен план няма да надхвърля задължението, поето в него от участващите държави. Това гарантира, че е налице баланс между поне съответни участия за финансирането от ЕС и финансирането от участващите държави. Това дава възможност за механизъм за намаляване на задълженията на ЕС, ако участващите държави не поемат ангажименти, съответни на очакваните.</w:t>
      </w:r>
    </w:p>
    <w:p>
      <w:pPr>
        <w:autoSpaceDE w:val="0"/>
        <w:autoSpaceDN w:val="0"/>
        <w:adjustRightInd w:val="0"/>
        <w:spacing w:before="0" w:after="0"/>
        <w:rPr>
          <w:noProof/>
          <w:szCs w:val="24"/>
        </w:rPr>
      </w:pPr>
    </w:p>
    <w:p>
      <w:pPr>
        <w:pBdr>
          <w:top w:val="nil"/>
          <w:left w:val="nil"/>
          <w:bottom w:val="nil"/>
          <w:right w:val="nil"/>
          <w:between w:val="nil"/>
          <w:bar w:val="nil"/>
        </w:pBdr>
        <w:spacing w:before="0" w:after="240"/>
        <w:rPr>
          <w:rFonts w:eastAsia="Arial Unicode MS"/>
          <w:noProof/>
        </w:rPr>
      </w:pPr>
      <w:r>
        <w:rPr>
          <w:noProof/>
        </w:rPr>
        <w:t>Освен това в законодателното предложение като условие за финансовото участие на ЕС е предвидено извършването на оценка от страна на Комисията на задълженията на участващите държави, поети в рамките на първите два годишни работни плана. След тази оценка максималното финансово участие на ЕС може да бъде преразгледано в зависимост от приложимите предпазни мерки за прекратяване, намаляване или временно спиране на финансовото участие на ЕС, които определят, че „</w:t>
      </w:r>
      <w:r>
        <w:rPr>
          <w:i/>
          <w:noProof/>
        </w:rPr>
        <w:t>Ако участващите държави не изплащат своите вноски за финансирането на PRIMA или ги изплащат частично или със закъснение, Комисията може да прекрати, да ограничи пропорционално или временно да отмени финансовото участие на Съюза в съответствие с размера на финансирането, което участващите държави са отпуснали за изпълнението на PRIMA</w:t>
      </w:r>
      <w:r>
        <w:rPr>
          <w:noProof/>
        </w:rPr>
        <w:t>“.</w:t>
      </w:r>
    </w:p>
    <w:p>
      <w:pPr>
        <w:pStyle w:val="ManualHeading1"/>
        <w:rPr>
          <w:noProof/>
        </w:rPr>
      </w:pPr>
      <w:r>
        <w:rPr>
          <w:noProof/>
        </w:rPr>
        <w:t>5.</w:t>
      </w:r>
      <w:r>
        <w:rPr>
          <w:noProof/>
        </w:rPr>
        <w:tab/>
        <w:t>ДРУГИ ЕЛЕМЕНТИ</w:t>
      </w:r>
    </w:p>
    <w:p>
      <w:pPr>
        <w:pStyle w:val="ManualHeading2"/>
        <w:rPr>
          <w:rFonts w:eastAsia="Arial Unicode MS"/>
          <w:noProof/>
          <w:u w:color="000000"/>
          <w:bdr w:val="nil"/>
        </w:rPr>
      </w:pPr>
      <w:r>
        <w:rPr>
          <w:noProof/>
          <w:u w:color="000000"/>
          <w:bdr w:val="nil"/>
        </w:rPr>
        <w:t>•</w:t>
      </w:r>
      <w:r>
        <w:rPr>
          <w:noProof/>
        </w:rPr>
        <w:tab/>
      </w:r>
      <w:r>
        <w:rPr>
          <w:noProof/>
          <w:u w:color="000000"/>
          <w:bdr w:val="nil"/>
        </w:rPr>
        <w:t>Годишни работни планове, механизъм за мониторинг, оценка и докладване</w:t>
      </w:r>
    </w:p>
    <w:p>
      <w:pPr>
        <w:pBdr>
          <w:top w:val="nil"/>
          <w:left w:val="nil"/>
          <w:bottom w:val="nil"/>
          <w:right w:val="nil"/>
          <w:between w:val="nil"/>
          <w:bar w:val="nil"/>
        </w:pBdr>
        <w:spacing w:before="0" w:after="240"/>
        <w:rPr>
          <w:noProof/>
        </w:rPr>
      </w:pPr>
      <w:r>
        <w:rPr>
          <w:noProof/>
        </w:rPr>
        <w:t xml:space="preserve">Годишният работен план за PRIMA (ГРП) ще осигури съгласуваност и координация между всички дейности и тяхната насоченост към постигането на оперативните, конкретните и общите цели на PRIMA. ГРП, който подлежи на одобрение от Комисията, ще включва: </w:t>
      </w:r>
    </w:p>
    <w:p>
      <w:pPr>
        <w:pBdr>
          <w:top w:val="nil"/>
          <w:left w:val="nil"/>
          <w:bottom w:val="nil"/>
          <w:right w:val="nil"/>
          <w:between w:val="nil"/>
          <w:bar w:val="nil"/>
        </w:pBdr>
        <w:spacing w:before="0" w:after="240"/>
        <w:rPr>
          <w:noProof/>
        </w:rPr>
      </w:pPr>
      <w:r>
        <w:rPr>
          <w:noProof/>
        </w:rPr>
        <w:lastRenderedPageBreak/>
        <w:t>− транснационални покани за представяне на предложения, които ще се финансират от PRIMA-IS с финансовото участие на ЕС, в съответствие с правилата за участие в „Хоризонт 2020“;</w:t>
      </w:r>
    </w:p>
    <w:p>
      <w:pPr>
        <w:pBdr>
          <w:top w:val="nil"/>
          <w:left w:val="nil"/>
          <w:bottom w:val="nil"/>
          <w:right w:val="nil"/>
          <w:between w:val="nil"/>
          <w:bar w:val="nil"/>
        </w:pBdr>
        <w:spacing w:before="0" w:after="240"/>
        <w:rPr>
          <w:noProof/>
        </w:rPr>
      </w:pPr>
      <w:r>
        <w:rPr>
          <w:noProof/>
        </w:rPr>
        <w:t>− дейности, финансирани само от участващите държави, и които се вземат предвид при съпоставянето с финансовото участие на Съюза при определени условия. И по-конкретно, тези дейности ще бъдат включени в ГРП след положителна външна оценка, изготвена при международна партньорска проверка, по отношение на целите на съвместната програма PRIMA. Те ще се изпълняват в съответствие с общите принципи, подлежащи на съгласуване между участващите държави и Комисията. Тези дейности ще включват покани за представяне на предложения между програмите за международни проекти на участващите държави, организирани чрез PRIMA-IS (включително оценки на представените предложения). Дейностите следва във все по-голяма степен да отразяват и по-високите равнища на технологична готовност, както е предвидено в Общите приложния към работната програма на Хоризонт 2020.</w:t>
      </w:r>
      <w:r>
        <w:rPr>
          <w:rStyle w:val="FootnoteReference"/>
          <w:noProof/>
        </w:rPr>
        <w:footnoteReference w:id="2"/>
      </w:r>
      <w:r>
        <w:rPr>
          <w:noProof/>
        </w:rPr>
        <w:t xml:space="preserve"> </w:t>
      </w:r>
    </w:p>
    <w:p>
      <w:pPr>
        <w:pBdr>
          <w:top w:val="nil"/>
          <w:left w:val="nil"/>
          <w:bottom w:val="nil"/>
          <w:right w:val="nil"/>
          <w:between w:val="nil"/>
          <w:bar w:val="nil"/>
        </w:pBdr>
        <w:spacing w:before="0" w:after="240"/>
        <w:rPr>
          <w:noProof/>
          <w:szCs w:val="24"/>
        </w:rPr>
      </w:pPr>
      <w:r>
        <w:rPr>
          <w:noProof/>
        </w:rPr>
        <w:t>Годишното отчитане на PRIMA-IS ще обхваща и двете съставни части. Това дава възможност за внимателно наблюдение от страна на службите на Комисията и благоприятства предприемането на корективни мерки, ако е необходимо, по-специално за намаляване на поетите задължения на ЕС за отделните годишни работни планове, ако изпълнението на дейностите от страна на участващите държави не съответства на необходимото ниво на задълженията, поети от ЕС.</w:t>
      </w:r>
    </w:p>
    <w:p>
      <w:pPr>
        <w:pBdr>
          <w:top w:val="nil"/>
          <w:left w:val="nil"/>
          <w:bottom w:val="nil"/>
          <w:right w:val="nil"/>
          <w:between w:val="nil"/>
          <w:bar w:val="nil"/>
        </w:pBdr>
        <w:spacing w:before="0" w:after="240"/>
        <w:rPr>
          <w:noProof/>
        </w:rPr>
      </w:pPr>
      <w:r>
        <w:rPr>
          <w:noProof/>
        </w:rPr>
        <w:t>Генералната дирекция „Научни изследвания и иновации“ е приела стандартни механизми за надзор за инициативите по член 185 от ДФЕС. Тези механизми ще се прилагат и за съвместната програма PRIMA. Тяхната ефективност трябва да се оценява както на ниво програма (с акцент върху това дали са постигнати общите цели), така и на национално ниво (с акцент върху целите на отделните държави).</w:t>
      </w:r>
    </w:p>
    <w:p>
      <w:pPr>
        <w:pBdr>
          <w:top w:val="nil"/>
          <w:left w:val="nil"/>
          <w:bottom w:val="nil"/>
          <w:right w:val="nil"/>
          <w:between w:val="nil"/>
          <w:bar w:val="nil"/>
        </w:pBdr>
        <w:spacing w:before="0" w:after="240"/>
        <w:rPr>
          <w:noProof/>
        </w:rPr>
      </w:pPr>
      <w:r>
        <w:rPr>
          <w:noProof/>
        </w:rPr>
        <w:t>Отговорностите на службите на Комисията и тези на PRIMA-IS и участващите държави по отношение на механизмите за мониторинг и одит са ясно разграничени в основния акт. Те ще бъдат доразвити в споразумението за възлагане между Комисията и PRIMA-IS.</w:t>
      </w:r>
    </w:p>
    <w:p>
      <w:pPr>
        <w:pBdr>
          <w:top w:val="nil"/>
          <w:left w:val="nil"/>
          <w:bottom w:val="nil"/>
          <w:right w:val="nil"/>
          <w:between w:val="nil"/>
          <w:bar w:val="nil"/>
        </w:pBdr>
        <w:spacing w:before="0" w:after="240"/>
        <w:rPr>
          <w:noProof/>
        </w:rPr>
      </w:pPr>
      <w:r>
        <w:rPr>
          <w:noProof/>
        </w:rPr>
        <w:t>Предвижда се междинна и заключителна независима оценка.</w:t>
      </w:r>
    </w:p>
    <w:p>
      <w:pPr>
        <w:pBdr>
          <w:top w:val="nil"/>
          <w:left w:val="nil"/>
          <w:bottom w:val="nil"/>
          <w:right w:val="nil"/>
          <w:between w:val="nil"/>
          <w:bar w:val="nil"/>
        </w:pBdr>
        <w:spacing w:before="0" w:after="240"/>
        <w:rPr>
          <w:rFonts w:eastAsia="Arial Unicode MS"/>
          <w:noProof/>
        </w:rPr>
      </w:pPr>
      <w:r>
        <w:rPr>
          <w:noProof/>
        </w:rPr>
        <w:t>Комисията също така ще гарантира, че всички действия, предприемани и подкрепяни като част от инициативата, са съобразени с Хартата на основните права на ЕС.</w:t>
      </w:r>
    </w:p>
    <w:p>
      <w:pPr>
        <w:pStyle w:val="ManualHeading2"/>
        <w:rPr>
          <w:rFonts w:eastAsia="Arial Unicode MS"/>
          <w:noProof/>
          <w:u w:color="000000"/>
          <w:bdr w:val="nil"/>
        </w:rPr>
      </w:pPr>
      <w:r>
        <w:rPr>
          <w:noProof/>
          <w:u w:color="000000"/>
          <w:bdr w:val="nil"/>
        </w:rPr>
        <w:t>•</w:t>
      </w:r>
      <w:r>
        <w:rPr>
          <w:noProof/>
        </w:rPr>
        <w:tab/>
        <w:t>Дерогации от правилата за участие в „Хоризонт 2020“</w:t>
      </w:r>
    </w:p>
    <w:p>
      <w:pPr>
        <w:pBdr>
          <w:top w:val="nil"/>
          <w:left w:val="nil"/>
          <w:bottom w:val="nil"/>
          <w:right w:val="nil"/>
          <w:between w:val="nil"/>
          <w:bar w:val="nil"/>
        </w:pBdr>
        <w:spacing w:before="0" w:after="240"/>
        <w:rPr>
          <w:noProof/>
        </w:rPr>
      </w:pPr>
      <w:r>
        <w:rPr>
          <w:noProof/>
        </w:rPr>
        <w:t xml:space="preserve">Според избрания подход за варианта на PRIMA съгласно член 185 се допускат само ограничени дерогации от правилата за участие в „Хоризонт 2020“. За да се гарантира балансирано основно участие в непреките действия при конфигурация „Север-Юг“, като дерогация от член 9, параграф 1, буква б) от Регламент (ЕС) № 1290/2013, минималният брой на участниците трябва да бъде три правни образувания, установени в три различни участващи държави, едно от които е установено в държава членка или в държава, асоциирана към „Хоризонт 2020“, и едно в трета държава, асоциирана или не </w:t>
      </w:r>
      <w:r>
        <w:rPr>
          <w:noProof/>
        </w:rPr>
        <w:lastRenderedPageBreak/>
        <w:t>към „Хоризонт 2020“. Дерогация от член 9, параграф 3 от Регламент (ЕС) № 1290/2013 е необходима, за да се гарантира, че минималните условия за допустимост за участието в непреки действия с минимално условие за участието на едно правно образувание, не са дискриминационни по отношение на образуванията, установени в трети държави, които участват в PRIMA като участващи държави. Това ще се прилага само в извънредния случай, при който поканите за предложние от годишния работен план включват действия на един бенефициер и при условие, че Комисията даде своето одобрение. Дерогации от член 12 от Регламент (ЕС) № 1290/2013 са необходими за разширяване на сътрудничеството с правни образувания, различни от трети държави и международни организации, чрез съвместни покани за представяне на предложения, отправяни чрез изпълнителната структура на PRIMA.</w:t>
      </w:r>
    </w:p>
    <w:p>
      <w:pPr>
        <w:pStyle w:val="Statut"/>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2016/0325 (COD)</w:t>
      </w:r>
    </w:p>
    <w:p>
      <w:pPr>
        <w:pStyle w:val="Statut"/>
        <w:rPr>
          <w:noProof/>
        </w:rPr>
      </w:pPr>
      <w:r>
        <w:rPr>
          <w:noProof/>
        </w:rPr>
        <w:t>Предложение за</w:t>
      </w:r>
    </w:p>
    <w:p>
      <w:pPr>
        <w:pStyle w:val="Typedudocument"/>
        <w:rPr>
          <w:noProof/>
        </w:rPr>
      </w:pPr>
      <w:r>
        <w:rPr>
          <w:noProof/>
        </w:rPr>
        <w:t>РЕШЕНИЕ НА ЕВРОПЕЙСКИЯ ПАРЛАМЕНТ И НА СЪВЕТА</w:t>
      </w:r>
    </w:p>
    <w:p>
      <w:pPr>
        <w:pStyle w:val="Titreobjet"/>
        <w:rPr>
          <w:noProof/>
        </w:rPr>
      </w:pPr>
      <w:r>
        <w:rPr>
          <w:noProof/>
        </w:rPr>
        <w:t xml:space="preserve">относно участието на Съюза </w:t>
      </w:r>
      <w:r>
        <w:rPr>
          <w:noProof/>
        </w:rPr>
        <w:br/>
        <w:t xml:space="preserve">в Партньорството за научни изследвания и иновации в Средиземноморския регион (PRIMA), </w:t>
      </w:r>
      <w:r>
        <w:rPr>
          <w:noProof/>
        </w:rPr>
        <w:br/>
        <w:t>осъществявано съвместно от няколко държави членки</w:t>
      </w:r>
    </w:p>
    <w:p>
      <w:pPr>
        <w:pStyle w:val="Institutionquiagit"/>
        <w:rPr>
          <w:noProof/>
        </w:rPr>
      </w:pPr>
      <w:r>
        <w:rPr>
          <w:noProof/>
        </w:rPr>
        <w:t>ЕВРОПЕЙСКИЯТ ПАРЛАМЕНТ И СЪВЕТЪТ НА ЕВРОПЕЙСКИЯ СЪЮЗ,</w:t>
      </w:r>
    </w:p>
    <w:p>
      <w:pPr>
        <w:rPr>
          <w:noProof/>
        </w:rPr>
      </w:pPr>
      <w:r>
        <w:rPr>
          <w:noProof/>
        </w:rPr>
        <w:t>като взеха предвид Договора за функционирането на Европейския съюз, и по-специално член 185 и член 188, втора алинея от него,</w:t>
      </w:r>
    </w:p>
    <w:p>
      <w:pPr>
        <w:rPr>
          <w:noProof/>
        </w:rPr>
      </w:pPr>
      <w:r>
        <w:rPr>
          <w:noProof/>
        </w:rPr>
        <w:t>като взеха предвид предложението на Европейската комисия,</w:t>
      </w:r>
    </w:p>
    <w:p>
      <w:pPr>
        <w:rPr>
          <w:noProof/>
        </w:rPr>
      </w:pPr>
      <w:r>
        <w:rPr>
          <w:noProof/>
        </w:rPr>
        <w:t>след предаване на проекта на законодателния акт на националните парламенти,</w:t>
      </w:r>
    </w:p>
    <w:p>
      <w:pPr>
        <w:rPr>
          <w:noProof/>
        </w:rPr>
      </w:pPr>
      <w:r>
        <w:rPr>
          <w:noProof/>
        </w:rPr>
        <w:t>като взеха предвид становището на Европейския икономически и социален комитет,</w:t>
      </w:r>
      <w:r>
        <w:rPr>
          <w:rStyle w:val="FootnoteReference"/>
          <w:noProof/>
        </w:rPr>
        <w:footnoteReference w:id="3"/>
      </w:r>
      <w:r>
        <w:rPr>
          <w:noProof/>
        </w:rPr>
        <w:t xml:space="preserve">, </w:t>
      </w:r>
    </w:p>
    <w:p>
      <w:pPr>
        <w:rPr>
          <w:noProof/>
        </w:rPr>
      </w:pPr>
      <w:r>
        <w:rPr>
          <w:noProof/>
        </w:rPr>
        <w:t>в съответствие с обикновената законодателна процедура,</w:t>
      </w:r>
    </w:p>
    <w:p>
      <w:pPr>
        <w:rPr>
          <w:noProof/>
        </w:rPr>
      </w:pPr>
      <w:r>
        <w:rPr>
          <w:noProof/>
        </w:rPr>
        <w:t>като имат предвид, че:</w:t>
      </w:r>
    </w:p>
    <w:p>
      <w:pPr>
        <w:pStyle w:val="ManualConsidrant"/>
        <w:rPr>
          <w:noProof/>
        </w:rPr>
      </w:pPr>
      <w:r>
        <w:t>(1)</w:t>
      </w:r>
      <w:r>
        <w:tab/>
      </w:r>
      <w:r>
        <w:rPr>
          <w:noProof/>
        </w:rPr>
        <w:t>В своето съобщение от 3 март 2010 г., озаглавено „Европа 2020 – Стратегия за интелигентен, устойчив и приобщаващ растеж“ (стратегията „Европа 2020“), Комисията подчерта необходимостта от създаване на благоприятни условия за инвестиране в знания и иновации с цел постигане на интелигентен, устойчив и приобщаващ растеж в Съюза. Тази стратегия бе подкрепена както от Европейския парламент, така и от Съвета.</w:t>
      </w:r>
    </w:p>
    <w:p>
      <w:pPr>
        <w:pStyle w:val="ManualConsidrant"/>
        <w:rPr>
          <w:noProof/>
        </w:rPr>
      </w:pPr>
      <w:r>
        <w:t>(2)</w:t>
      </w:r>
      <w:r>
        <w:tab/>
      </w:r>
      <w:r>
        <w:rPr>
          <w:noProof/>
        </w:rPr>
        <w:t>С Регламент (ЕС) № 1291/2013 на Европейския парламент и на Съвета</w:t>
      </w:r>
      <w:r>
        <w:rPr>
          <w:rStyle w:val="FootnoteReference"/>
          <w:noProof/>
        </w:rPr>
        <w:footnoteReference w:id="4"/>
      </w:r>
      <w:r>
        <w:rPr>
          <w:noProof/>
        </w:rPr>
        <w:t xml:space="preserve"> беше създадена „Хоризонт 2020“ – рамковата програма за научни изследвания и иновации (за периода 2014 – 2020 г.) (Хоризонт 2020). „Хоризонт 2020“ има за цел постигането на по-голямо въздействие върху научните изследвания и иновациите, като се допринася за укрепването на партньорствата в рамките на публичния сектор, включително чрез участие на Съюза в програми, предприети от няколко държави членки. </w:t>
      </w:r>
    </w:p>
    <w:p>
      <w:pPr>
        <w:pStyle w:val="ManualConsidrant"/>
        <w:rPr>
          <w:noProof/>
        </w:rPr>
      </w:pPr>
      <w:r>
        <w:t>(3)</w:t>
      </w:r>
      <w:r>
        <w:tab/>
      </w:r>
      <w:r>
        <w:rPr>
          <w:noProof/>
        </w:rPr>
        <w:t>Партньорствата в рамките на публичния сектор следва да имат за цел изграждане на по-тесни полезни взаимодействия, подобряване на координацията и избягване на излишно дублиране с програмите за научни изследвания на равнището на Съюза и на международно, национално и регионално равнище и следва да зачитат изцяло общите принципи на „Хоризонт 2020“, по специално тези, свързани с откритостта и прозрачността.</w:t>
      </w:r>
    </w:p>
    <w:p>
      <w:pPr>
        <w:pStyle w:val="ManualConsidrant"/>
        <w:rPr>
          <w:noProof/>
        </w:rPr>
      </w:pPr>
      <w:r>
        <w:lastRenderedPageBreak/>
        <w:t>(4)</w:t>
      </w:r>
      <w:r>
        <w:tab/>
      </w:r>
      <w:r>
        <w:rPr>
          <w:noProof/>
        </w:rPr>
        <w:t>В Регламент (ЕС) № 1291/2013 са установени „Действия във връзка с климата, околната среда, ресурсната ефективност и суровините“ и „Продоволствена сигурност, устойчиво земеделие и горско стопанство, мореплавателски, морски и вътрешноводни изследвания и биоикономика“ като две от приоритетните обществени предизвикателства, които трябва да се решават чрез подпомагане на инвестициите в научни изследвания и иновации. Освен това в Регламент (ЕС) № 1291/2013 се признава, че дейностите в областта на научните изследвания и иновациите, насочени към справяне с тези предизвикателства, следва да се извършват на равнището на Съюза и на по-високо равнище предвид транснационалния и глобален характер на климата и околната среда, техните мащаб и сложност и международния аспект на веригата за доставки на храни и селскостопански продукти.</w:t>
      </w:r>
    </w:p>
    <w:p>
      <w:pPr>
        <w:pStyle w:val="ManualConsidrant"/>
        <w:rPr>
          <w:noProof/>
        </w:rPr>
      </w:pPr>
      <w:r>
        <w:t>(5)</w:t>
      </w:r>
      <w:r>
        <w:tab/>
      </w:r>
      <w:r>
        <w:rPr>
          <w:noProof/>
        </w:rPr>
        <w:t xml:space="preserve">В Регламент (ЕС) № 1291/2013 се потвърждава, че е необходимо международно сътрудничество с трети държави, за да се подходи ефективно към общите предизвикателства. Международното сътрудничество в областта на научните изследвания и иновациите е ключов аспект на глобалните ангажименти на Съюза и играе важна роля в партньорството между Европейския съюз и съседните държави. Това сътрудничество следва подхода, възприет в Европейската политика за съседство, за диференциране на равнището на сътрудничество с всяка съседна държава въз основа на нейния ангажимент към Съюза. </w:t>
      </w:r>
    </w:p>
    <w:p>
      <w:pPr>
        <w:pStyle w:val="ManualConsidrant"/>
        <w:rPr>
          <w:noProof/>
        </w:rPr>
      </w:pPr>
      <w:r>
        <w:t>(6)</w:t>
      </w:r>
      <w:r>
        <w:tab/>
      </w:r>
      <w:r>
        <w:rPr>
          <w:noProof/>
        </w:rPr>
        <w:t xml:space="preserve">В своето съобщение от 7 юни 2016 г. относно създаването на нова рамка за партньорство с трети държави в рамките на европейската програма за миграцията Комисията подчерта необходимостта да се мобилизират всички политики, включително в областта на научните изследвания и иновациите, за да се преодолеят първопричините за миграцията чрез нов модел на сътрудничество, който включва частните инвеститори, използването на ограничените налични бюджетни ресурси с прилагане на ефекта на лоста, и който акцентира върху малките и средните предприятия и устойчивата инфраструктура. </w:t>
      </w:r>
    </w:p>
    <w:p>
      <w:pPr>
        <w:pStyle w:val="ManualConsidrant"/>
        <w:rPr>
          <w:noProof/>
        </w:rPr>
      </w:pPr>
      <w:r>
        <w:t>(7)</w:t>
      </w:r>
      <w:r>
        <w:tab/>
      </w:r>
      <w:r>
        <w:rPr>
          <w:noProof/>
        </w:rPr>
        <w:t>На 23 декември 2014 г. група от 19 държави от Средиземноморския регион представи на Комисията предложение за инициатива за съвместна програма „Партньорство за научни изследвания и иновации в Средиземноморския регион“ (PRIMA). 14 измежду тези държави са се договорили заедно да предприемат инициативата PRIMA като предоставят финансови участия: Кипър, Чешката република, Франция, Гърция, Италия, Люксембург, Малта, Португалия и Испания – държави – членки на Съюза; Израел и Тунис – трети държави, асоциирани към „Хоризонт 2020“; Египет, Ливан и Мароко – трети държави, които не са асоциирани към „Хоризонт 2020“.</w:t>
      </w:r>
    </w:p>
    <w:p>
      <w:pPr>
        <w:pStyle w:val="ManualConsidrant"/>
        <w:rPr>
          <w:noProof/>
        </w:rPr>
      </w:pPr>
      <w:r>
        <w:t>(8)</w:t>
      </w:r>
      <w:r>
        <w:tab/>
      </w:r>
      <w:r>
        <w:rPr>
          <w:noProof/>
        </w:rPr>
        <w:t>PRIMA е насочена към прилагането на съвместна програма за разработването и приемането на новаторски и интегрирани решения за подобряване на ефективността, безопасността, сигурността и устойчивостта на производството на храни и осигуряването на вода в Средиземноморския регион. PRIMA следва да допринесе за постигането на наскоро приетите цели за устойчиво развитие и на предстоящата европейска стратегия за устойчиво развитие.</w:t>
      </w:r>
    </w:p>
    <w:p>
      <w:pPr>
        <w:pStyle w:val="ManualConsidrant"/>
        <w:rPr>
          <w:noProof/>
        </w:rPr>
      </w:pPr>
      <w:r>
        <w:t>(9)</w:t>
      </w:r>
      <w:r>
        <w:tab/>
      </w:r>
      <w:r>
        <w:rPr>
          <w:noProof/>
        </w:rPr>
        <w:t xml:space="preserve">За да се осигури участието в PRIMA на третите държави, които не са асоциирани към „Хоризонт 2020“, а именно Египет, Ливан и Мароко, следва да се изискват </w:t>
      </w:r>
      <w:r>
        <w:rPr>
          <w:noProof/>
        </w:rPr>
        <w:lastRenderedPageBreak/>
        <w:t>международни споразумения между Съюза и тези трети държави, за да може обхватът на правния режим, установен с настоящото решение, да бъде разширен така, че да ги включи.</w:t>
      </w:r>
    </w:p>
    <w:p>
      <w:pPr>
        <w:pStyle w:val="ManualConsidrant"/>
        <w:rPr>
          <w:noProof/>
        </w:rPr>
      </w:pPr>
      <w:r>
        <w:t>(10)</w:t>
      </w:r>
      <w:r>
        <w:tab/>
      </w:r>
      <w:r>
        <w:rPr>
          <w:noProof/>
        </w:rPr>
        <w:t>В съответствие с целите на „Хоризонт 2020“ всяка друга държава членка и трета държава, асоциирана към „Хоризонт 2020“, следва да има право да участва в PRIMA, ако тя се задължава да участва във финансирането на програмата.</w:t>
      </w:r>
    </w:p>
    <w:p>
      <w:pPr>
        <w:pStyle w:val="ManualConsidrant"/>
        <w:rPr>
          <w:noProof/>
        </w:rPr>
      </w:pPr>
      <w:r>
        <w:t>(11)</w:t>
      </w:r>
      <w:r>
        <w:tab/>
      </w:r>
      <w:r>
        <w:rPr>
          <w:noProof/>
        </w:rPr>
        <w:t>С оглед постигане на целите на PRIMA участието на всяка друга трета държава, неасоциирана към „Хоризонт 2020“, и по-специално на държавите от южното Средиземноморие, следва да бъде възможно, ако тя се задължава да участва във финансирането на PRIMA и ако PRIMA-IS одобрява участието ѝ. Участието ѝ трябва да бъде предвидено в съответното международно споразумение между тази трета държава и Съюза.</w:t>
      </w:r>
    </w:p>
    <w:p>
      <w:pPr>
        <w:pStyle w:val="ManualConsidrant"/>
        <w:rPr>
          <w:noProof/>
        </w:rPr>
      </w:pPr>
      <w:r>
        <w:t>(12)</w:t>
      </w:r>
      <w:r>
        <w:tab/>
      </w:r>
      <w:r>
        <w:rPr>
          <w:noProof/>
        </w:rPr>
        <w:t xml:space="preserve">С цел да се гарантира съвместното изпълнение на PRIMA трябва да се създаде изпълнителна структура („PRIMA-IS“). PRIMA-IS следва да е получател на финансовото участие от страна на Съюза и да осигури ефикасното изпълнение на PRIMA. </w:t>
      </w:r>
    </w:p>
    <w:p>
      <w:pPr>
        <w:pStyle w:val="ManualConsidrant"/>
        <w:rPr>
          <w:noProof/>
          <w:color w:val="000000"/>
        </w:rPr>
      </w:pPr>
      <w:r>
        <w:t>(13)</w:t>
      </w:r>
      <w:r>
        <w:tab/>
      </w:r>
      <w:r>
        <w:rPr>
          <w:noProof/>
        </w:rPr>
        <w:t>Финансовото участие на Съюза следва да е обвързано с поемането на официални задължения от страна на участващите държави да участват във финансирането на PRIMA и в изпълнението на тези задължения в съответствие с условията на настоящото решение. Следва да се осигури гъвкавост за участващите държави да допринасят с незадължително финансиране в PRIMA-IS с оглед на финансирането на непреки действия, като по този начин се постига висока степен на финансова интеграция. Освен това участващите държави следва да подпомагат финансово или в натура дейностите, изпълнявани без финансово участие на Съюза.</w:t>
      </w:r>
      <w:r>
        <w:rPr>
          <w:noProof/>
          <w:color w:val="000000"/>
        </w:rPr>
        <w:t xml:space="preserve"> Периодът, през който участващите държави трябва да предоставят своето финансово участие, следва да бъде ясно определен.</w:t>
      </w:r>
    </w:p>
    <w:p>
      <w:pPr>
        <w:pStyle w:val="ManualConsidrant"/>
        <w:rPr>
          <w:noProof/>
        </w:rPr>
      </w:pPr>
      <w:r>
        <w:t>(14)</w:t>
      </w:r>
      <w:r>
        <w:tab/>
      </w:r>
      <w:r>
        <w:rPr>
          <w:noProof/>
        </w:rPr>
        <w:t>Следва да се определи лимит за финансовото участие на Съюза в PRIMA с финансиране от „Хоризонт 2020“. Съгласно този лимит вноската на Съюза следва да е равна на вноската в PRIMA на участващите държави, за да се постигне значителен стимулиращ ефект и да се осигури по-силна интеграция на програмите на участващите държави. Следва да е възможно да се използва ограничена част от вноската на Съюза за покриване на административните разходи на PRIMA-IS.</w:t>
      </w:r>
    </w:p>
    <w:p>
      <w:pPr>
        <w:pStyle w:val="ManualConsidrant"/>
        <w:rPr>
          <w:noProof/>
        </w:rPr>
      </w:pPr>
      <w:r>
        <w:t>(15)</w:t>
      </w:r>
      <w:r>
        <w:tab/>
      </w:r>
      <w:r>
        <w:rPr>
          <w:noProof/>
        </w:rPr>
        <w:t>За да се избегне продължителен период на изпълнение на PRIMA, следва да бъде определен краен срок за стартиране на последните дейности, включително на последните покани за представяне на предложения.</w:t>
      </w:r>
    </w:p>
    <w:p>
      <w:pPr>
        <w:pStyle w:val="ManualConsidrant"/>
        <w:rPr>
          <w:noProof/>
        </w:rPr>
      </w:pPr>
      <w:r>
        <w:t>(16)</w:t>
      </w:r>
      <w:r>
        <w:tab/>
      </w:r>
      <w:r>
        <w:rPr>
          <w:noProof/>
        </w:rPr>
        <w:t xml:space="preserve">Дейностите по PRIMA следва да съответстват на целите и приоритетите в областта на научните изследвания и иновациите на „Хоризонт 2020“ и на общите принципи и условия, посочени в член 26 от Регламент (ЕС) № 1291/2013. При класифицирането на технологичните изследвания, разработването на продукти и демонстрационните дейности PRIMA следва да вземе предвид определенията на ОИСР по отношение на равнището на технологична готовност. </w:t>
      </w:r>
    </w:p>
    <w:p>
      <w:pPr>
        <w:pStyle w:val="ManualConsidrant"/>
        <w:rPr>
          <w:noProof/>
          <w:color w:val="002060"/>
        </w:rPr>
      </w:pPr>
      <w:r>
        <w:t>(17)</w:t>
      </w:r>
      <w:r>
        <w:tab/>
      </w:r>
      <w:r>
        <w:rPr>
          <w:noProof/>
        </w:rPr>
        <w:t xml:space="preserve">За да се постигнат целите на PRIMA, PRIMA-IS следва да предостави финансова подкрепа основно под формата на безвъзмездни средства за участниците в </w:t>
      </w:r>
      <w:r>
        <w:rPr>
          <w:noProof/>
        </w:rPr>
        <w:lastRenderedPageBreak/>
        <w:t xml:space="preserve">действия, финансирани по линия на PRIMA-IS. Изборът на тези действия следва да се извършва въз основа на открити и конкурентни покани за представяне на предложения, отговорност за които следва да носи PRIMA-IS. </w:t>
      </w:r>
    </w:p>
    <w:p>
      <w:pPr>
        <w:pStyle w:val="ManualConsidrant"/>
        <w:rPr>
          <w:noProof/>
        </w:rPr>
      </w:pPr>
      <w:r>
        <w:t>(18)</w:t>
      </w:r>
      <w:r>
        <w:tab/>
      </w:r>
      <w:r>
        <w:rPr>
          <w:noProof/>
        </w:rPr>
        <w:t>Поканите за представяне на предложения, управлявани от PRIMA-IS, следва също така да се публикуват на единния портал, предвиден за участниците, както и чрез други електронни средства за разпространение по „Хоризонт 2020“, управлявани от Комисията.</w:t>
      </w:r>
    </w:p>
    <w:p>
      <w:pPr>
        <w:pStyle w:val="ManualConsidrant"/>
        <w:rPr>
          <w:noProof/>
        </w:rPr>
      </w:pPr>
      <w:r>
        <w:t>(19)</w:t>
      </w:r>
      <w:r>
        <w:tab/>
      </w:r>
      <w:r>
        <w:rPr>
          <w:noProof/>
        </w:rPr>
        <w:t>Финансовото участие на Съюза следва да се управлява в съответствие с принципа на доброто финансово управление и с приложимите правила за непряко управление, определени с Регламент (ЕС, Евратом) № 966/2012 на Европейския парламент и на Съвета</w:t>
      </w:r>
      <w:r>
        <w:rPr>
          <w:rStyle w:val="FootnoteReference"/>
          <w:noProof/>
        </w:rPr>
        <w:footnoteReference w:id="5"/>
      </w:r>
      <w:r>
        <w:rPr>
          <w:noProof/>
        </w:rPr>
        <w:t xml:space="preserve"> и с Делегиран регламент (ЕС) № 1268/2012 на Комисията</w:t>
      </w:r>
      <w:r>
        <w:rPr>
          <w:rStyle w:val="FootnoteReference"/>
          <w:noProof/>
        </w:rPr>
        <w:footnoteReference w:id="6"/>
      </w:r>
      <w:r>
        <w:rPr>
          <w:noProof/>
        </w:rPr>
        <w:t>.</w:t>
      </w:r>
    </w:p>
    <w:p>
      <w:pPr>
        <w:pStyle w:val="ManualConsidrant"/>
        <w:rPr>
          <w:noProof/>
        </w:rPr>
      </w:pPr>
      <w:r>
        <w:t>(20)</w:t>
      </w:r>
      <w:r>
        <w:tab/>
      </w:r>
      <w:r>
        <w:rPr>
          <w:noProof/>
        </w:rPr>
        <w:t>С цел да се защитят финансовите интереси на Съюза Комисията следва да има правото да ограничи, да спре или да прекрати финансовото участие на Съюза в случаите, в които PRIMA се изпълнява неадекватно, частично или със закъснение, или когато участващите държави не изплащат своите вноски за финансирането на PRIMA или ги изплащат частично или със закъснение.</w:t>
      </w:r>
    </w:p>
    <w:p>
      <w:pPr>
        <w:pStyle w:val="ManualConsidrant"/>
        <w:rPr>
          <w:noProof/>
        </w:rPr>
      </w:pPr>
      <w:r>
        <w:t>(21)</w:t>
      </w:r>
      <w:r>
        <w:tab/>
      </w:r>
      <w:r>
        <w:rPr>
          <w:noProof/>
        </w:rPr>
        <w:t>Участието в непреки действия, финансирани по PRIMA-IS, е в съответствие с разпоредбите на Регламент (ЕС) № 1290/2013 на Европейския парламент и на Съвета</w:t>
      </w:r>
      <w:r>
        <w:rPr>
          <w:rStyle w:val="FootnoteReference"/>
          <w:noProof/>
        </w:rPr>
        <w:footnoteReference w:id="7"/>
      </w:r>
      <w:r>
        <w:rPr>
          <w:noProof/>
        </w:rPr>
        <w:t>. Поради специфичните оперативни потребности на програмата PRIMA обаче е необходимо да се предвидят дерогации от посочения регламент в съответствие с член 1, параграф 3 от него.</w:t>
      </w:r>
    </w:p>
    <w:p>
      <w:pPr>
        <w:pStyle w:val="ManualConsidrant"/>
        <w:rPr>
          <w:noProof/>
        </w:rPr>
      </w:pPr>
      <w:r>
        <w:t>(22)</w:t>
      </w:r>
      <w:r>
        <w:tab/>
      </w:r>
      <w:r>
        <w:rPr>
          <w:noProof/>
        </w:rPr>
        <w:t xml:space="preserve">Дерогациите от член 9, параграф 1, буква б) и от член 9, параграф 3 от Регламент (ЕС) № 1290/2013 са необходими, за да бъдат отчетени специфичните особености, дължащи се на географския обхват на PRIMA, чрез допълнително прецизиране на минималните условия за допустимост за участието в непреките </w:t>
      </w:r>
      <w:r>
        <w:rPr>
          <w:noProof/>
          <w:color w:val="000000"/>
        </w:rPr>
        <w:t xml:space="preserve">действия. С оглед гарантиране на балансирано основно участие в непреките действия при конфигурация „Север − Юг“, чрез дерогация от член 9, параграф 1, буква б) от Регламент (ЕС) № 1290/2013, минималният брой на участниците трябва да бъде три правни образувания, установени в три различни участващи държави, едно от които е установено в държава членка или в държава, асоциирана към „Хоризонт 2020“, и едно е установено в трета държава, асоциирана или не към „Хоризонт 2020“. Дерогация от член 9, параграф 3 от Регламент (ЕС) № 1290/2013 е необходима, </w:t>
      </w:r>
      <w:r>
        <w:rPr>
          <w:noProof/>
        </w:rPr>
        <w:t xml:space="preserve">за да </w:t>
      </w:r>
      <w:r>
        <w:rPr>
          <w:noProof/>
          <w:color w:val="000000"/>
        </w:rPr>
        <w:t xml:space="preserve">се гарантира, че минималните условия за допустимост за участието в непреки действия не са дискриминационни по отношение на образуванията, установени в трети </w:t>
      </w:r>
      <w:r>
        <w:rPr>
          <w:noProof/>
          <w:color w:val="000000"/>
        </w:rPr>
        <w:lastRenderedPageBreak/>
        <w:t>държави, които участват в PRIMA като участващи държави. С цел да се гарантира, че условията за финансиране не са дискриминационни за образуванията, установени в трети държави, които участват в PRIMA като участващи държави, трябва да се предвиди разпоредба, че в допълнение към образуванията, посочени в член 10, параграф 1 от Регламент (ЕС) № 1290/2013, на условията за финансиране отговарят и правните образувания, установени в участващите държави. Дерогации от член 12 от Регламент (ЕС) № 1290/2013 са необходими</w:t>
      </w:r>
      <w:r>
        <w:rPr>
          <w:noProof/>
        </w:rPr>
        <w:t xml:space="preserve">, за да се </w:t>
      </w:r>
      <w:r>
        <w:rPr>
          <w:noProof/>
          <w:color w:val="000000"/>
        </w:rPr>
        <w:t>даде възможност за разширяване на сътрудничеството с правни образувания, различни от трети държави и международни организации, чрез съвместни покани за представяне на предложения, отправяни чрез PRIMA-IS</w:t>
      </w:r>
      <w:r>
        <w:rPr>
          <w:noProof/>
        </w:rPr>
        <w:t>.</w:t>
      </w:r>
    </w:p>
    <w:p>
      <w:pPr>
        <w:pStyle w:val="ManualConsidrant"/>
        <w:rPr>
          <w:noProof/>
        </w:rPr>
      </w:pPr>
      <w:r>
        <w:t>(23)</w:t>
      </w:r>
      <w:r>
        <w:tab/>
      </w:r>
      <w:r>
        <w:rPr>
          <w:noProof/>
        </w:rPr>
        <w:t>С цел опростяване административната тежест следва да бъде намалена за всички страни. Следва да се избягват двойните одити, както и непропорционалната документация и тежестта във връзка с докладването. При провеждането на одити следва по подходящ начин да се отчитат особеностите на националните програми.</w:t>
      </w:r>
    </w:p>
    <w:p>
      <w:pPr>
        <w:pStyle w:val="ManualConsidrant"/>
        <w:rPr>
          <w:noProof/>
        </w:rPr>
      </w:pPr>
      <w:r>
        <w:t>(24)</w:t>
      </w:r>
      <w:r>
        <w:tab/>
      </w:r>
      <w:r>
        <w:rPr>
          <w:noProof/>
        </w:rPr>
        <w:t xml:space="preserve">Одитите на получателите на средства от Съюза, предоставени в съответствие с настоящото решение, следва да гарантират намаляване на административната тежест в съответствие с Регламент (ЕС) № 1291/2013. </w:t>
      </w:r>
    </w:p>
    <w:p>
      <w:pPr>
        <w:pStyle w:val="ManualConsidrant"/>
        <w:rPr>
          <w:noProof/>
        </w:rPr>
      </w:pPr>
      <w:r>
        <w:t>(25)</w:t>
      </w:r>
      <w:r>
        <w:tab/>
      </w:r>
      <w:r>
        <w:rPr>
          <w:noProof/>
        </w:rPr>
        <w:t>Финансовите интереси на Съюза следва да бъдат защитени чрез прилагането на пропорционални мерки през целия цикъл на разходите, включително чрез предотвратяване, констатиране и разследване на нередности, възстановяване на изгубени, недължимо платени или неправилно използвани средства и, когато е целесъобразно, административни санкции в съответствие с разпоредбите на Регламент (ЕС, Евратом) № 966/2012.</w:t>
      </w:r>
    </w:p>
    <w:p>
      <w:pPr>
        <w:pStyle w:val="ManualConsidrant"/>
        <w:rPr>
          <w:noProof/>
        </w:rPr>
      </w:pPr>
      <w:r>
        <w:t>(26)</w:t>
      </w:r>
      <w:r>
        <w:tab/>
      </w:r>
      <w:r>
        <w:rPr>
          <w:noProof/>
        </w:rPr>
        <w:t xml:space="preserve">Комисията следва да извърши междинна оценка, в която да се обърне специално внимание на качеството и ефикасността на PRIMA и на постигнатия напредък по отношение на поставените цели, както и заключителна оценка, и следва да изготви доклади за тези оценки. </w:t>
      </w:r>
    </w:p>
    <w:p>
      <w:pPr>
        <w:pStyle w:val="ManualConsidrant"/>
        <w:rPr>
          <w:noProof/>
        </w:rPr>
      </w:pPr>
      <w:r>
        <w:t>(27)</w:t>
      </w:r>
      <w:r>
        <w:tab/>
      </w:r>
      <w:r>
        <w:rPr>
          <w:noProof/>
        </w:rPr>
        <w:t>При искане от страна на Комисията PRIMA-IS и участващите държави следва да предоставят всякаква информация, необходима на Комисията за изготвяне на докладите за оценка на PRIMA.</w:t>
      </w:r>
    </w:p>
    <w:p>
      <w:pPr>
        <w:pStyle w:val="ManualConsidrant"/>
        <w:rPr>
          <w:noProof/>
        </w:rPr>
      </w:pPr>
      <w:r>
        <w:t>(28)</w:t>
      </w:r>
      <w:r>
        <w:tab/>
      </w:r>
      <w:r>
        <w:rPr>
          <w:noProof/>
        </w:rPr>
        <w:t xml:space="preserve">Целта на настоящото решение е да се засилят интеграцията и привеждането в съответствие на системите и дейностите за научни изследвания и иновации в средиземноморските държави в областта на водоснабдяването и продоволствените системи. Мащабът на научните изследвания и иновациите, необходими за справяне с предизвикателствата в Средиземноморския регион, е огромен поради системния характер на основните затруднения. Обхватът на научните изследвания и иновациите е сложен, мултидисциплинарен и изисква трансграничен подход с множество участници. Подход на сътрудничество с широк кръг участващи държави може да помогне за увеличаване на мащаба и обхвата, които са необходими, посредством обединяване на финансовите и интелектуалните ресурси. Следователно, тъй като целта може да бъде постигната по-добре на равнището на Съюза – с обединяването на усилията на отделните държави в съгласуван европейски подход, със съчетаването на сегментираните национални научноизследователски програми, с подкрепата за </w:t>
      </w:r>
      <w:r>
        <w:rPr>
          <w:noProof/>
        </w:rPr>
        <w:lastRenderedPageBreak/>
        <w:t>разработване на общи наднационални стратегии за научни изследвания и финансиране и с натрупването на критична маса от необходимите участници и инвестиции, Съюзът може да приеме мерки в съответствие с принципа на субсидиарност, уреден в член 5 от Договора за Европейския съюз. В съответствие с принципа на пропорционалност, предвиден в същия член, настоящото решение не надхвърля необходимото за постигането на тези цели.</w:t>
      </w:r>
    </w:p>
    <w:p>
      <w:pPr>
        <w:pStyle w:val="ManualConsidrant"/>
        <w:rPr>
          <w:noProof/>
        </w:rPr>
      </w:pPr>
      <w:r>
        <w:t>(29)</w:t>
      </w:r>
      <w:r>
        <w:tab/>
      </w:r>
      <w:r>
        <w:rPr>
          <w:noProof/>
        </w:rPr>
        <w:t>Поради това Съюзът следва да участва в PRIMA,</w:t>
      </w:r>
    </w:p>
    <w:p>
      <w:pPr>
        <w:pStyle w:val="Formuledadoption"/>
        <w:rPr>
          <w:noProof/>
        </w:rPr>
      </w:pPr>
      <w:r>
        <w:rPr>
          <w:noProof/>
        </w:rPr>
        <w:t>ПРИЕХА НАСТОЯЩОТО РЕШЕНИЕ:</w:t>
      </w:r>
    </w:p>
    <w:p>
      <w:pPr>
        <w:pStyle w:val="Titrearticle"/>
        <w:ind w:left="720"/>
        <w:rPr>
          <w:noProof/>
        </w:rPr>
      </w:pPr>
      <w:r>
        <w:rPr>
          <w:noProof/>
        </w:rPr>
        <w:t>Член 1</w:t>
      </w:r>
      <w:r>
        <w:rPr>
          <w:noProof/>
        </w:rPr>
        <w:br/>
        <w:t xml:space="preserve">Участие в PRIMA </w:t>
      </w:r>
    </w:p>
    <w:p>
      <w:pPr>
        <w:pStyle w:val="ManualNumPar1"/>
        <w:rPr>
          <w:noProof/>
        </w:rPr>
      </w:pPr>
      <w:r>
        <w:t>1.</w:t>
      </w:r>
      <w:r>
        <w:tab/>
      </w:r>
      <w:r>
        <w:rPr>
          <w:noProof/>
        </w:rPr>
        <w:t>Съюзът участва в Партньорството за научни изследвания и иновации в Средиземноморския регион (PRIMA), осъществявано съвместно от [Кипър, Чешката република, Франция, Гърция, Израел, Италия, Люксембург, Малта, Португалия, Испания и Тунис] („участващите държави“), в съответствие с условията, определени в настоящото решение.</w:t>
      </w:r>
    </w:p>
    <w:p>
      <w:pPr>
        <w:pStyle w:val="ManualNumPar1"/>
        <w:rPr>
          <w:noProof/>
        </w:rPr>
      </w:pPr>
      <w:r>
        <w:t>2.</w:t>
      </w:r>
      <w:r>
        <w:tab/>
      </w:r>
      <w:r>
        <w:rPr>
          <w:noProof/>
        </w:rPr>
        <w:t>Египет, Ливан и Мароко ще станат участващи държави, при условие че бъдат сключени международни споразумения със Съюза, в които се определят редът и условията на тяхното участие в PRIMA.</w:t>
      </w:r>
    </w:p>
    <w:p>
      <w:pPr>
        <w:pStyle w:val="ManualNumPar1"/>
        <w:rPr>
          <w:noProof/>
        </w:rPr>
      </w:pPr>
      <w:r>
        <w:t>3.</w:t>
      </w:r>
      <w:r>
        <w:tab/>
      </w:r>
      <w:r>
        <w:rPr>
          <w:noProof/>
        </w:rPr>
        <w:t>Всяка държава членка и всяка държава, асоциирана към „Хоризонт 2020“, различна от изброените в параграф 1, може да участва в PRIMA, при условие че отговаря на условието, определено в член 4, параграф 1, буква в) от настоящото решение. Ако изпълнява това условие, тя се разглежда като участваща държава за целите на настоящото решение.</w:t>
      </w:r>
    </w:p>
    <w:p>
      <w:pPr>
        <w:pStyle w:val="ManualNumPar1"/>
        <w:rPr>
          <w:noProof/>
        </w:rPr>
      </w:pPr>
      <w:r>
        <w:t>4.</w:t>
      </w:r>
      <w:r>
        <w:tab/>
      </w:r>
      <w:r>
        <w:rPr>
          <w:noProof/>
        </w:rPr>
        <w:t>Всяка трета държава, неасоциирана към „Хоризонт 2020“, различна от изброените в параграф 2, може да участва в PRIMA, при условие че:</w:t>
      </w:r>
    </w:p>
    <w:p>
      <w:pPr>
        <w:pStyle w:val="Point1"/>
        <w:rPr>
          <w:noProof/>
        </w:rPr>
      </w:pPr>
      <w:r>
        <w:rPr>
          <w:noProof/>
        </w:rPr>
        <w:t>а)</w:t>
      </w:r>
      <w:r>
        <w:rPr>
          <w:noProof/>
        </w:rPr>
        <w:tab/>
        <w:t>тя отговаря на условието, посочено в член 4, параграф 1, буква в) от настоящото решение;</w:t>
      </w:r>
    </w:p>
    <w:p>
      <w:pPr>
        <w:pStyle w:val="Point1"/>
        <w:rPr>
          <w:noProof/>
        </w:rPr>
      </w:pPr>
      <w:r>
        <w:rPr>
          <w:noProof/>
        </w:rPr>
        <w:t>б)</w:t>
      </w:r>
      <w:r>
        <w:rPr>
          <w:noProof/>
        </w:rPr>
        <w:tab/>
        <w:t xml:space="preserve">PRIMA-IS одобри участието ѝ в PRIMA, след като проучи целесъобразността на нейното участие за постигане на целите на PRIMA; и </w:t>
      </w:r>
    </w:p>
    <w:p>
      <w:pPr>
        <w:pStyle w:val="Point1"/>
        <w:rPr>
          <w:noProof/>
        </w:rPr>
      </w:pPr>
      <w:r>
        <w:rPr>
          <w:noProof/>
        </w:rPr>
        <w:t>в)</w:t>
      </w:r>
      <w:r>
        <w:rPr>
          <w:noProof/>
        </w:rPr>
        <w:tab/>
        <w:t>тя сключи международно споразумение със Съюза, в което се определят редът и условията за участието ѝ в PRIMA.</w:t>
      </w:r>
    </w:p>
    <w:p>
      <w:pPr>
        <w:ind w:left="851"/>
        <w:rPr>
          <w:noProof/>
        </w:rPr>
      </w:pPr>
      <w:r>
        <w:rPr>
          <w:noProof/>
        </w:rPr>
        <w:t>Ако държавата отговаря на изискванията, посочени в първа алинея, тя се разглежда като участваща държава за целите на настоящото решение.</w:t>
      </w:r>
    </w:p>
    <w:p>
      <w:pPr>
        <w:pStyle w:val="Titrearticle"/>
        <w:rPr>
          <w:noProof/>
        </w:rPr>
      </w:pPr>
      <w:r>
        <w:rPr>
          <w:noProof/>
        </w:rPr>
        <w:t>Член 2</w:t>
      </w:r>
      <w:r>
        <w:rPr>
          <w:noProof/>
        </w:rPr>
        <w:br/>
        <w:t xml:space="preserve">Цели на PRIMA </w:t>
      </w:r>
    </w:p>
    <w:p>
      <w:pPr>
        <w:pStyle w:val="ManualNumPar1"/>
        <w:rPr>
          <w:noProof/>
        </w:rPr>
      </w:pPr>
      <w:r>
        <w:t>1.</w:t>
      </w:r>
      <w:r>
        <w:tab/>
      </w:r>
      <w:r>
        <w:rPr>
          <w:noProof/>
        </w:rPr>
        <w:t xml:space="preserve">Общата цел на PRIMA е да бъдат разработени общи новаторски решения, преминали всички етапи на пилотен и демонстрационен проект, за водоснабдяване и продоволствени системи в Средиземноморския регион, с цел те да бъдат направени по-устойчиви спрямо изменението на климата, ефикасни, икономически ефективни и устойчиви, както и да се допринесе за разрешаването </w:t>
      </w:r>
      <w:r>
        <w:rPr>
          <w:noProof/>
        </w:rPr>
        <w:lastRenderedPageBreak/>
        <w:t>на проблеми с храненето, здравето, благосъстоянието и миграцията нагоре по веригата.</w:t>
      </w:r>
    </w:p>
    <w:p>
      <w:pPr>
        <w:pStyle w:val="ManualNumPar1"/>
        <w:rPr>
          <w:noProof/>
        </w:rPr>
      </w:pPr>
      <w:r>
        <w:t>2.</w:t>
      </w:r>
      <w:r>
        <w:tab/>
      </w:r>
      <w:r>
        <w:rPr>
          <w:noProof/>
        </w:rPr>
        <w:t>С цел да допринесе за постигане на общата цел PRIMA изпълнява следните конкретни цели:</w:t>
      </w:r>
    </w:p>
    <w:p>
      <w:pPr>
        <w:pStyle w:val="ManualNumPar1"/>
        <w:ind w:left="1418" w:hanging="709"/>
        <w:rPr>
          <w:noProof/>
        </w:rPr>
      </w:pPr>
      <w:r>
        <w:rPr>
          <w:noProof/>
        </w:rPr>
        <w:t>i)</w:t>
      </w:r>
      <w:r>
        <w:rPr>
          <w:noProof/>
        </w:rPr>
        <w:tab/>
        <w:t>формулиране на стабилна, дългосрочна, обща стратегическа програма в областта на водоснабдяването и продоволствените системи;</w:t>
      </w:r>
    </w:p>
    <w:p>
      <w:pPr>
        <w:pStyle w:val="ManualNumPar1"/>
        <w:ind w:left="1418" w:hanging="709"/>
        <w:rPr>
          <w:noProof/>
        </w:rPr>
      </w:pPr>
      <w:r>
        <w:rPr>
          <w:noProof/>
        </w:rPr>
        <w:t>ii)</w:t>
      </w:r>
      <w:r>
        <w:rPr>
          <w:noProof/>
        </w:rPr>
        <w:tab/>
        <w:t>ориентиране на всички национални програми за НИИ към изпълнението на стратегическата програма;</w:t>
      </w:r>
    </w:p>
    <w:p>
      <w:pPr>
        <w:pStyle w:val="ManualNumPar1"/>
        <w:ind w:left="1418" w:hanging="709"/>
        <w:rPr>
          <w:noProof/>
        </w:rPr>
      </w:pPr>
      <w:r>
        <w:rPr>
          <w:noProof/>
        </w:rPr>
        <w:t>iii)</w:t>
      </w:r>
      <w:r>
        <w:rPr>
          <w:noProof/>
        </w:rPr>
        <w:tab/>
        <w:t>структурно участие на всички заинтересовани страни от публичния и частния сектор в изпълнението на стратегическата програма чрез обединяване на знания и финансови ресурси, за да се постигне необходимата критична маса;</w:t>
      </w:r>
    </w:p>
    <w:p>
      <w:pPr>
        <w:pStyle w:val="ManualNumPar1"/>
        <w:ind w:left="1418" w:hanging="709"/>
        <w:rPr>
          <w:noProof/>
        </w:rPr>
      </w:pPr>
      <w:r>
        <w:rPr>
          <w:noProof/>
        </w:rPr>
        <w:t>iv)</w:t>
      </w:r>
      <w:r>
        <w:rPr>
          <w:noProof/>
        </w:rPr>
        <w:tab/>
        <w:t>укрепване на възможностите на всички участници за финансиране и за изпълнение.</w:t>
      </w:r>
    </w:p>
    <w:p>
      <w:pPr>
        <w:pStyle w:val="Titrearticle"/>
        <w:rPr>
          <w:noProof/>
        </w:rPr>
      </w:pPr>
      <w:r>
        <w:rPr>
          <w:noProof/>
        </w:rPr>
        <w:t>Член 3</w:t>
      </w:r>
      <w:r>
        <w:rPr>
          <w:noProof/>
        </w:rPr>
        <w:br/>
        <w:t>Финансово участие на съюза в PRIMA</w:t>
      </w:r>
    </w:p>
    <w:p>
      <w:pPr>
        <w:pStyle w:val="ManualNumPar1"/>
        <w:rPr>
          <w:noProof/>
        </w:rPr>
      </w:pPr>
      <w:r>
        <w:t>1.</w:t>
      </w:r>
      <w:r>
        <w:tab/>
      </w:r>
      <w:r>
        <w:rPr>
          <w:noProof/>
        </w:rPr>
        <w:t xml:space="preserve">Максималното финансово участие на Съюза в програмата PRIMA, в т.ч. бюджетните кредити от ЕАСТ, е в размер на 200 000 000 евро, равностойно на участието на участващите държави. </w:t>
      </w:r>
    </w:p>
    <w:p>
      <w:pPr>
        <w:pStyle w:val="ManualNumPar1"/>
        <w:rPr>
          <w:noProof/>
        </w:rPr>
      </w:pPr>
      <w:r>
        <w:t>2.</w:t>
      </w:r>
      <w:r>
        <w:tab/>
      </w:r>
      <w:r>
        <w:rPr>
          <w:noProof/>
        </w:rPr>
        <w:t>Финансовото участие на Съюза се изплаща от бюджетните кредити в общия бюджет на Съюза, разпределени за съответните части на специфичната програма за изпълнение на „Хоризонт 2020“, създадена с Решение 2013/743/ЕС на Съвета</w:t>
      </w:r>
      <w:r>
        <w:rPr>
          <w:rStyle w:val="FootnoteReference"/>
          <w:noProof/>
        </w:rPr>
        <w:footnoteReference w:id="8"/>
      </w:r>
      <w:r>
        <w:rPr>
          <w:noProof/>
        </w:rPr>
        <w:t>, и по-специално част ІІ „Водещи позиции в промишлеността“ и част III „Обществени предизвикателства“, в съответствие с член 58, параграф 1, буква в), точка vi) и членове 60 и 61 от Регламент (ЕС, Евратом) № 966/2012.</w:t>
      </w:r>
    </w:p>
    <w:p>
      <w:pPr>
        <w:pStyle w:val="ManualNumPar1"/>
        <w:rPr>
          <w:noProof/>
        </w:rPr>
      </w:pPr>
      <w:r>
        <w:t>3.</w:t>
      </w:r>
      <w:r>
        <w:tab/>
      </w:r>
      <w:r>
        <w:rPr>
          <w:noProof/>
        </w:rPr>
        <w:t>Финансовото участие на Съюза се използва от изпълнителната структура на PRIMA („PRIMA-IS“):</w:t>
      </w:r>
    </w:p>
    <w:p>
      <w:pPr>
        <w:pStyle w:val="Point0"/>
        <w:ind w:left="1418" w:hanging="709"/>
        <w:rPr>
          <w:noProof/>
        </w:rPr>
      </w:pPr>
      <w:r>
        <w:rPr>
          <w:noProof/>
        </w:rPr>
        <w:t>а)</w:t>
      </w:r>
      <w:r>
        <w:rPr>
          <w:noProof/>
        </w:rPr>
        <w:tab/>
        <w:t xml:space="preserve">за финансиране на дейностите, посочени в член 6, параграф 1, буква а); </w:t>
      </w:r>
    </w:p>
    <w:p>
      <w:pPr>
        <w:pStyle w:val="Point0"/>
        <w:ind w:left="1418" w:hanging="709"/>
        <w:rPr>
          <w:noProof/>
        </w:rPr>
      </w:pPr>
      <w:r>
        <w:rPr>
          <w:noProof/>
        </w:rPr>
        <w:t>б)</w:t>
      </w:r>
      <w:r>
        <w:rPr>
          <w:noProof/>
        </w:rPr>
        <w:tab/>
        <w:t>за покриване на административните разходи на PRIMA-IS в максимален размер до 5 % от финансовото участие на Съюза.</w:t>
      </w:r>
    </w:p>
    <w:p>
      <w:pPr>
        <w:pStyle w:val="Titrearticle"/>
        <w:rPr>
          <w:noProof/>
        </w:rPr>
      </w:pPr>
      <w:r>
        <w:rPr>
          <w:noProof/>
        </w:rPr>
        <w:t>Член 4</w:t>
      </w:r>
      <w:r>
        <w:rPr>
          <w:noProof/>
        </w:rPr>
        <w:br/>
        <w:t>Условия за финансовото участие на Съюза в PRIMA</w:t>
      </w:r>
    </w:p>
    <w:p>
      <w:pPr>
        <w:pStyle w:val="ManualNumPar1"/>
        <w:rPr>
          <w:noProof/>
        </w:rPr>
      </w:pPr>
      <w:r>
        <w:t>1.</w:t>
      </w:r>
      <w:r>
        <w:tab/>
      </w:r>
      <w:r>
        <w:rPr>
          <w:noProof/>
        </w:rPr>
        <w:t>Финансовото участие на Съюза зависи от следните условия:</w:t>
      </w:r>
    </w:p>
    <w:p>
      <w:pPr>
        <w:pStyle w:val="Point1"/>
        <w:rPr>
          <w:noProof/>
        </w:rPr>
      </w:pPr>
      <w:r>
        <w:rPr>
          <w:noProof/>
        </w:rPr>
        <w:t>а)</w:t>
      </w:r>
      <w:r>
        <w:rPr>
          <w:noProof/>
        </w:rPr>
        <w:tab/>
        <w:t>доказването от страна на участващите държави, че PRIMA е създадена в съответствие с условията, посочени в настоящото решение;</w:t>
      </w:r>
    </w:p>
    <w:p>
      <w:pPr>
        <w:pStyle w:val="Point1"/>
        <w:rPr>
          <w:noProof/>
        </w:rPr>
      </w:pPr>
      <w:r>
        <w:rPr>
          <w:noProof/>
        </w:rPr>
        <w:lastRenderedPageBreak/>
        <w:t>б)</w:t>
      </w:r>
      <w:r>
        <w:rPr>
          <w:noProof/>
        </w:rPr>
        <w:tab/>
        <w:t>определянето от страна на участващите държави или организации, определени от участващите държави, на образувание, което има правосубектност</w:t>
      </w:r>
      <w:r>
        <w:rPr>
          <w:noProof/>
          <w:color w:val="000000"/>
        </w:rPr>
        <w:t>, както е посочено в член 58, параграф 1, буква в), точка vi) от Регламент (ЕС, Евратом) № 966/2012</w:t>
      </w:r>
      <w:r>
        <w:rPr>
          <w:noProof/>
        </w:rPr>
        <w:t>, каквато е PRIMA-IS. PRIMA-IS носи отговорност за ефикасното изпълнение на PRIMA, за получаването, разпределянето и извършването на наблюдение на финансовото участие на Съюза, както и на вноската на участващите държави, когато е необходимо, както и за да се гарантира, че се предприемат всички необходими действия за постигане на целите на PRIMA;</w:t>
      </w:r>
    </w:p>
    <w:p>
      <w:pPr>
        <w:pStyle w:val="Point1"/>
        <w:rPr>
          <w:noProof/>
        </w:rPr>
      </w:pPr>
      <w:r>
        <w:rPr>
          <w:noProof/>
        </w:rPr>
        <w:t>в)</w:t>
      </w:r>
      <w:r>
        <w:rPr>
          <w:noProof/>
        </w:rPr>
        <w:tab/>
        <w:t xml:space="preserve">поемането на задължение от страна на всяка от участващите държави да се включи във финансирането на PRIMA; </w:t>
      </w:r>
    </w:p>
    <w:p>
      <w:pPr>
        <w:pStyle w:val="Point1"/>
        <w:rPr>
          <w:noProof/>
        </w:rPr>
      </w:pPr>
      <w:r>
        <w:rPr>
          <w:noProof/>
        </w:rPr>
        <w:t>г)</w:t>
      </w:r>
      <w:r>
        <w:rPr>
          <w:noProof/>
        </w:rPr>
        <w:tab/>
        <w:t>PRIMA-IS да демонстрира способността си да изпълнява PRIMA, включително да получава, разпределя и наблюдава финансовото участие на Съюза в рамките на непрякото управление на бюджета на Съюза в съответствие с членове 58, 60 и 61 от Регламент (ЕС, Евратом) № 966/2012;</w:t>
      </w:r>
    </w:p>
    <w:p>
      <w:pPr>
        <w:pStyle w:val="Point1"/>
        <w:rPr>
          <w:noProof/>
        </w:rPr>
      </w:pPr>
      <w:r>
        <w:rPr>
          <w:noProof/>
        </w:rPr>
        <w:t>д)</w:t>
      </w:r>
      <w:r>
        <w:rPr>
          <w:noProof/>
        </w:rPr>
        <w:tab/>
        <w:t>да се създаде модел за управление на PRIMA в съответствие с член 12;</w:t>
      </w:r>
    </w:p>
    <w:p>
      <w:pPr>
        <w:pStyle w:val="Point1"/>
        <w:rPr>
          <w:noProof/>
        </w:rPr>
      </w:pPr>
      <w:r>
        <w:rPr>
          <w:noProof/>
        </w:rPr>
        <w:t>е)</w:t>
      </w:r>
      <w:r>
        <w:rPr>
          <w:noProof/>
        </w:rPr>
        <w:tab/>
        <w:t>приемането от PRIMA-IS на общите принципи, посочени в член 6, параграф 6. след получаване на одобрение от Комисията.</w:t>
      </w:r>
    </w:p>
    <w:p>
      <w:pPr>
        <w:pStyle w:val="ManualNumPar1"/>
        <w:rPr>
          <w:noProof/>
        </w:rPr>
      </w:pPr>
      <w:r>
        <w:t>2.</w:t>
      </w:r>
      <w:r>
        <w:tab/>
      </w:r>
      <w:r>
        <w:rPr>
          <w:noProof/>
        </w:rPr>
        <w:t xml:space="preserve">По време на изпълнението на PRIMA финансовото участие на Съюза зависи също така от следните условия: </w:t>
      </w:r>
    </w:p>
    <w:p>
      <w:pPr>
        <w:pStyle w:val="Point1"/>
        <w:rPr>
          <w:noProof/>
        </w:rPr>
      </w:pPr>
      <w:r>
        <w:rPr>
          <w:noProof/>
        </w:rPr>
        <w:t>а)</w:t>
      </w:r>
      <w:r>
        <w:rPr>
          <w:noProof/>
        </w:rPr>
        <w:tab/>
        <w:t>изпълнението от PRIMA-IS на целите, посочени в член 2, и на дейностите, посочени в член 6;</w:t>
      </w:r>
    </w:p>
    <w:p>
      <w:pPr>
        <w:pStyle w:val="Point1"/>
        <w:rPr>
          <w:noProof/>
        </w:rPr>
      </w:pPr>
      <w:r>
        <w:rPr>
          <w:noProof/>
        </w:rPr>
        <w:t>б)</w:t>
      </w:r>
      <w:r>
        <w:rPr>
          <w:noProof/>
        </w:rPr>
        <w:tab/>
        <w:t>поддържането на подходящ и ефикасен модел на управление в съответствие с член 12;</w:t>
      </w:r>
    </w:p>
    <w:p>
      <w:pPr>
        <w:pStyle w:val="Point1"/>
        <w:rPr>
          <w:noProof/>
        </w:rPr>
      </w:pPr>
      <w:r>
        <w:rPr>
          <w:noProof/>
        </w:rPr>
        <w:t>в)</w:t>
      </w:r>
      <w:r>
        <w:rPr>
          <w:noProof/>
        </w:rPr>
        <w:tab/>
        <w:t>спазването от страна на PRIMA-IS на изискванията за докладване, установени в член 60, параграф 5 от Регламент (ЕС, Евратом) № 966/2012;</w:t>
      </w:r>
    </w:p>
    <w:p>
      <w:pPr>
        <w:pStyle w:val="Point1"/>
        <w:rPr>
          <w:noProof/>
        </w:rPr>
      </w:pPr>
      <w:r>
        <w:rPr>
          <w:noProof/>
        </w:rPr>
        <w:t>г)</w:t>
      </w:r>
      <w:r>
        <w:rPr>
          <w:noProof/>
        </w:rPr>
        <w:tab/>
        <w:t xml:space="preserve">изпълнението от страна на участващите държави на поетите задължения, посочени в параграф 1, буква в). </w:t>
      </w:r>
    </w:p>
    <w:p>
      <w:pPr>
        <w:pStyle w:val="ManualNumPar1"/>
        <w:rPr>
          <w:noProof/>
        </w:rPr>
      </w:pPr>
      <w:r>
        <w:t>3.</w:t>
      </w:r>
      <w:r>
        <w:tab/>
      </w:r>
      <w:r>
        <w:rPr>
          <w:noProof/>
        </w:rPr>
        <w:t>Комисията прави оценка на изпълнението на задълженията, поети от участващите държави, по-специално чрез първите два годишни работни плана на PRIMA. След тази оценка максималното участие на Съюза, посочено в член 3, параграф 1, се преразглежда в съответствие с член 9.</w:t>
      </w:r>
    </w:p>
    <w:p>
      <w:pPr>
        <w:pStyle w:val="Titrearticle"/>
        <w:rPr>
          <w:noProof/>
        </w:rPr>
      </w:pPr>
      <w:r>
        <w:rPr>
          <w:noProof/>
        </w:rPr>
        <w:t>Член 5</w:t>
      </w:r>
      <w:r>
        <w:rPr>
          <w:noProof/>
        </w:rPr>
        <w:br/>
        <w:t>Вноски в PRIMA от участващите държави</w:t>
      </w:r>
    </w:p>
    <w:p>
      <w:pPr>
        <w:pStyle w:val="ManualNumPar1"/>
        <w:rPr>
          <w:noProof/>
        </w:rPr>
      </w:pPr>
      <w:r>
        <w:rPr>
          <w:noProof/>
        </w:rPr>
        <w:t>1.</w:t>
      </w:r>
      <w:r>
        <w:rPr>
          <w:noProof/>
        </w:rPr>
        <w:tab/>
        <w:t xml:space="preserve">Участващите държави правят финансови вноски или вноски в натура, или уреждат предоставянето на такива вноски от своите национални органи за финансиране в размер на поне 200 000 000 евро през периода от датата на влизане в сила на настоящото решение до 31 декември 2028 г. </w:t>
      </w:r>
    </w:p>
    <w:p>
      <w:pPr>
        <w:pStyle w:val="ManualNumPar1"/>
        <w:rPr>
          <w:noProof/>
        </w:rPr>
      </w:pPr>
      <w:r>
        <w:rPr>
          <w:noProof/>
        </w:rPr>
        <w:t>2.</w:t>
      </w:r>
      <w:r>
        <w:rPr>
          <w:noProof/>
        </w:rPr>
        <w:tab/>
        <w:t>Вноските от участващите държави или техните национални органи за финансиране се състоят в следното:</w:t>
      </w:r>
    </w:p>
    <w:p>
      <w:pPr>
        <w:pStyle w:val="Point0"/>
        <w:ind w:left="1560" w:hanging="709"/>
        <w:rPr>
          <w:noProof/>
        </w:rPr>
      </w:pPr>
      <w:r>
        <w:rPr>
          <w:noProof/>
        </w:rPr>
        <w:lastRenderedPageBreak/>
        <w:t>а)</w:t>
      </w:r>
      <w:r>
        <w:rPr>
          <w:noProof/>
        </w:rPr>
        <w:tab/>
        <w:t xml:space="preserve">когато е уместно, финансово участие в PRIMA-IS с цел финансиране на непреки действия, посочени в член 6, параграф 1, буква а); </w:t>
      </w:r>
    </w:p>
    <w:p>
      <w:pPr>
        <w:pStyle w:val="Point0"/>
        <w:ind w:left="1560" w:hanging="709"/>
        <w:rPr>
          <w:noProof/>
        </w:rPr>
      </w:pPr>
      <w:r>
        <w:rPr>
          <w:noProof/>
        </w:rPr>
        <w:t>б)</w:t>
      </w:r>
      <w:r>
        <w:rPr>
          <w:noProof/>
        </w:rPr>
        <w:tab/>
        <w:t xml:space="preserve">финансово участие или участие в натура в изпълнението на </w:t>
      </w:r>
      <w:r>
        <w:rPr>
          <w:noProof/>
          <w:color w:val="000000"/>
        </w:rPr>
        <w:t>дейностите, посочени в член 6, параграф 1, буква б)</w:t>
      </w:r>
      <w:r>
        <w:rPr>
          <w:noProof/>
        </w:rPr>
        <w:t>; и</w:t>
      </w:r>
    </w:p>
    <w:p>
      <w:pPr>
        <w:pStyle w:val="Point0"/>
        <w:ind w:left="1560" w:hanging="709"/>
        <w:rPr>
          <w:noProof/>
        </w:rPr>
      </w:pPr>
      <w:r>
        <w:rPr>
          <w:noProof/>
        </w:rPr>
        <w:t>в)</w:t>
      </w:r>
      <w:r>
        <w:rPr>
          <w:noProof/>
        </w:rPr>
        <w:tab/>
        <w:t>финансово участие в административния бюджет на PRIMA-IS, който не се покрива от участието на Съюза съгласно член 3, параграф 3, буква б).</w:t>
      </w:r>
    </w:p>
    <w:p>
      <w:pPr>
        <w:pStyle w:val="ManualNumPar1"/>
        <w:rPr>
          <w:noProof/>
        </w:rPr>
      </w:pPr>
      <w:r>
        <w:rPr>
          <w:noProof/>
        </w:rPr>
        <w:t>3.</w:t>
      </w:r>
      <w:r>
        <w:rPr>
          <w:noProof/>
        </w:rPr>
        <w:tab/>
        <w:t>Участието в натура, посочено в параграф 2, буква б) от настоящия член, покрива разходите, направени от участващите държави чрез техните национални органи за финансиране при изпълнението на дейностите, посочени в член 6, параграф 1, буква б), като се приспаднат всички преки или непреки финансови вноски на Съюза за тези разходи.</w:t>
      </w:r>
    </w:p>
    <w:p>
      <w:pPr>
        <w:pStyle w:val="ManualNumPar1"/>
        <w:rPr>
          <w:noProof/>
        </w:rPr>
      </w:pPr>
      <w:r>
        <w:rPr>
          <w:noProof/>
        </w:rPr>
        <w:t>4.</w:t>
      </w:r>
      <w:r>
        <w:rPr>
          <w:noProof/>
        </w:rPr>
        <w:tab/>
        <w:t>За целите на оценяването на участието в натура, посочено в параграф 2, буква б), разходите се определят съобразно с обичайните практики за осчетоводяване на участващите държави или съответните национални органи за финансиране, с приложимите счетоводни стандарти на съответната участваща държава, в която са установени съответните национални органи за финансиране, и с приложимите международни счетоводни стандарти или международните стандарти за финансово отчитане. Разходите трябва да бъдат заверени от независим одитор, назначен от участващите държави или съответните национални органи за финансиране. В случай че заверката дава повод за каквато и да е несигурност, методът на оценяване може да бъде проверен от PRIMA-IS. В случай че въпреки това остава несигурност, PRIMA-IS може да направи одит.</w:t>
      </w:r>
    </w:p>
    <w:p>
      <w:pPr>
        <w:pStyle w:val="ManualNumPar1"/>
        <w:rPr>
          <w:noProof/>
        </w:rPr>
      </w:pPr>
      <w:r>
        <w:rPr>
          <w:noProof/>
        </w:rPr>
        <w:t>5.</w:t>
      </w:r>
      <w:r>
        <w:rPr>
          <w:noProof/>
        </w:rPr>
        <w:tab/>
        <w:t>Участията, посочени в параграф 2, букви а) и б), които се отчитат като вноски от участващите държави, се извършват след влизането в сила на настоящото решение по отношение на дейностите, включени в първия годишен работен план на PRIMA, и след приемането на следващите годишни работни планове от страна на PRIMA-IS.</w:t>
      </w:r>
    </w:p>
    <w:p>
      <w:pPr>
        <w:pStyle w:val="Titrearticle"/>
        <w:rPr>
          <w:noProof/>
        </w:rPr>
      </w:pPr>
      <w:r>
        <w:rPr>
          <w:noProof/>
        </w:rPr>
        <w:t>Член 6</w:t>
      </w:r>
      <w:r>
        <w:rPr>
          <w:noProof/>
        </w:rPr>
        <w:br/>
        <w:t xml:space="preserve">Дейности и изпълнение на PRIMA </w:t>
      </w:r>
    </w:p>
    <w:p>
      <w:pPr>
        <w:pStyle w:val="ManualNumPar1"/>
        <w:rPr>
          <w:noProof/>
        </w:rPr>
      </w:pPr>
      <w:r>
        <w:t>1.</w:t>
      </w:r>
      <w:r>
        <w:tab/>
      </w:r>
      <w:r>
        <w:rPr>
          <w:noProof/>
        </w:rPr>
        <w:t>В рамките на PRIMA се подкрепят следните дейности:</w:t>
      </w:r>
    </w:p>
    <w:p>
      <w:pPr>
        <w:pStyle w:val="Text1"/>
        <w:rPr>
          <w:noProof/>
        </w:rPr>
      </w:pPr>
      <w:r>
        <w:rPr>
          <w:noProof/>
        </w:rPr>
        <w:t>а) непреки действия по смисъла на Регламент (ЕС) № 1290/2013 и Регламент (ЕС) № 1291/2013, финансирани от PRIMA-IS в съответствие с член 7, главно под формата на безвъзмездни средства вследствие на транснационални открити и конкурентни покани за представяне на предложения, организирани от PRIMA-IS, включително:</w:t>
      </w:r>
    </w:p>
    <w:p>
      <w:pPr>
        <w:pStyle w:val="Text1"/>
        <w:ind w:left="1440"/>
        <w:rPr>
          <w:noProof/>
        </w:rPr>
      </w:pPr>
      <w:r>
        <w:rPr>
          <w:noProof/>
        </w:rPr>
        <w:t>i) действия за научни изследвания и иновации, както и действия за иновации, включително демонстрационни действия, пилотни инсталации, експериментални съоръжения, дейности за разпространение в предпазарен стадий, насочени по-специално към по-високите равнища на технологична готовност;</w:t>
      </w:r>
    </w:p>
    <w:p>
      <w:pPr>
        <w:pStyle w:val="Text1"/>
        <w:ind w:left="1440"/>
        <w:rPr>
          <w:noProof/>
        </w:rPr>
      </w:pPr>
      <w:r>
        <w:rPr>
          <w:noProof/>
        </w:rPr>
        <w:lastRenderedPageBreak/>
        <w:t>ii) координационни и спомагателни действия, съсредоточени върху дейностите по разпространение и информиране с цел популяризиране на PRIMA и постигане на максимално въздействие от нейното изпълнение;</w:t>
      </w:r>
    </w:p>
    <w:p>
      <w:pPr>
        <w:pStyle w:val="Text1"/>
        <w:rPr>
          <w:noProof/>
        </w:rPr>
      </w:pPr>
      <w:r>
        <w:rPr>
          <w:noProof/>
        </w:rPr>
        <w:t>б) дейности, финансирани от участващите държави чрез техните национални органи за финансиране, без участие на Съюза, които отразяват във все по-голяма степен и по-високото равнище на технологична готовност и включват:</w:t>
      </w:r>
    </w:p>
    <w:p>
      <w:pPr>
        <w:pStyle w:val="Text1"/>
        <w:ind w:left="1440"/>
        <w:rPr>
          <w:noProof/>
        </w:rPr>
      </w:pPr>
      <w:r>
        <w:rPr>
          <w:noProof/>
        </w:rPr>
        <w:t>i) дейности, избрани вследствие на транснационални открити и конкурентни покани за представяне на предложения, организирани от PRIMA-IS, управлявани от националните органи за финансиране по линия на националните програми на участващите държави, по които се предоставя финансова подкрепа основно под формата на безвъзмездни средства;</w:t>
      </w:r>
    </w:p>
    <w:p>
      <w:pPr>
        <w:pStyle w:val="Text1"/>
        <w:ind w:left="1440"/>
        <w:rPr>
          <w:noProof/>
        </w:rPr>
      </w:pPr>
      <w:r>
        <w:rPr>
          <w:noProof/>
        </w:rPr>
        <w:t>ii) дейности в рамките на националните програми на участващите държави.</w:t>
      </w:r>
    </w:p>
    <w:p>
      <w:pPr>
        <w:pStyle w:val="ManualNumPar1"/>
        <w:rPr>
          <w:noProof/>
        </w:rPr>
      </w:pPr>
      <w:r>
        <w:t>2.</w:t>
      </w:r>
      <w:r>
        <w:tab/>
      </w:r>
      <w:r>
        <w:rPr>
          <w:noProof/>
        </w:rPr>
        <w:t>PRIMA се изпълнява въз основа на годишни работни планове, които следва да се приемат от PRIMA-</w:t>
      </w:r>
      <w:r>
        <w:rPr>
          <w:noProof/>
          <w:color w:val="000000"/>
        </w:rPr>
        <w:t xml:space="preserve">IS след получаване на одобрение от Комисията до </w:t>
      </w:r>
      <w:r>
        <w:rPr>
          <w:noProof/>
        </w:rPr>
        <w:t>края на предходната година. По изключение годишният работен план на PRIMA за 2018 г. може да бъде приет до 31 март 2018 г. PRIMA-IS предоставя годишния работен план на разположение на обществеността.</w:t>
      </w:r>
    </w:p>
    <w:p>
      <w:pPr>
        <w:pStyle w:val="ManualNumPar1"/>
        <w:rPr>
          <w:noProof/>
        </w:rPr>
      </w:pPr>
      <w:r>
        <w:t>3.</w:t>
      </w:r>
      <w:r>
        <w:tab/>
      </w:r>
      <w:r>
        <w:rPr>
          <w:noProof/>
        </w:rPr>
        <w:t>Дейности могат да бъдат финансирани по линия на PRIMA само ако те са предвидени в годишния работен план на PRIMA. В годишния работен план на PRIMA се прави разграничение между дейностите, посочени в параграф 1, буква а), дейностите, посочени в буква б) от този параграф, и административните разходи на PRIMA-IS. Той трябва да предвижда прогнозни разчети за съответните им разходи, както и за бюджетното разпределение за дейностите, финансирани от участието на Съюза, и за дейностите, финансирани от участващите държави чрез техните национални органи за финансиране, без участие на Съюза. Годишният работен план на PRIMA включва също прогнозната стойност на участието в натура на участващите държави, посочено в член 5, параграф 2, буква б).</w:t>
      </w:r>
    </w:p>
    <w:p>
      <w:pPr>
        <w:pStyle w:val="ManualNumPar1"/>
        <w:rPr>
          <w:noProof/>
        </w:rPr>
      </w:pPr>
      <w:r>
        <w:t>4.</w:t>
      </w:r>
      <w:r>
        <w:tab/>
      </w:r>
      <w:r>
        <w:rPr>
          <w:noProof/>
        </w:rPr>
        <w:t xml:space="preserve">Последните дейности, които се финансират, включително последните покани за отправяне на предложения в рамките на съответните годишни работни планове на PRIMA, стартират до 31 декември 2024 г. В надлежно обосновани случаи те могат да стартират до 31 декември 2025 г. </w:t>
      </w:r>
    </w:p>
    <w:p>
      <w:pPr>
        <w:pStyle w:val="ManualNumPar1"/>
        <w:rPr>
          <w:noProof/>
        </w:rPr>
      </w:pPr>
      <w:r>
        <w:t>5.</w:t>
      </w:r>
      <w:r>
        <w:tab/>
      </w:r>
      <w:r>
        <w:rPr>
          <w:noProof/>
        </w:rPr>
        <w:t>Дейностите, които се финансират от участващите държави чрез техните национални органи за финансиране, без участието на Съюза, могат да бъдат включени в годишните работни планове на PRIMA само след положителен резултат от външната им независима оценка, изготвена при международна партньорска проверка по отношение на целите на PRIMA, организирана от PRIMA-IS.</w:t>
      </w:r>
    </w:p>
    <w:p>
      <w:pPr>
        <w:pStyle w:val="ManualNumPar1"/>
        <w:rPr>
          <w:noProof/>
        </w:rPr>
      </w:pPr>
      <w:r>
        <w:t>6.</w:t>
      </w:r>
      <w:r>
        <w:tab/>
      </w:r>
      <w:r>
        <w:rPr>
          <w:noProof/>
        </w:rPr>
        <w:t>Дейностите, включени в годишния работен план на PRIMA, които са финансирани от участващите държави чрез техните национални органи за финансиране, без участието на Съюза, се изпълняват в съответствие с общите принципи, които PRIMA-IS приема след получаване на одобрение от Комисията. Общите принципи са съобразени с принципите, установени в настоящото решение, в дял VI от Регламент (ЕС, Евратом) № 966/2012 и в Регламент (ЕС) № 1290/2013, и по-конкретно принципите на равно третиране, прозрачност, независима партньорска оценка и подбор. След получаване на одобрение от Комисията PRIMA-IS също така приема изискванията за докладване от страна на участващите държави пред PRIMA-IS, включително по отношение на показателите, предвидени за всяка от тези дейности.</w:t>
      </w:r>
    </w:p>
    <w:p>
      <w:pPr>
        <w:pStyle w:val="ManualNumPar1"/>
        <w:rPr>
          <w:noProof/>
        </w:rPr>
      </w:pPr>
      <w:r>
        <w:t>7.</w:t>
      </w:r>
      <w:r>
        <w:tab/>
      </w:r>
      <w:r>
        <w:rPr>
          <w:noProof/>
        </w:rPr>
        <w:t xml:space="preserve">Дейностите, посочени в параграф 1, буква б), точка i) съответстват освен на общите принципи, посочени в параграф 6, също и на следните условия: </w:t>
      </w:r>
    </w:p>
    <w:p>
      <w:pPr>
        <w:pStyle w:val="Text1"/>
        <w:ind w:left="1276" w:hanging="426"/>
        <w:rPr>
          <w:noProof/>
        </w:rPr>
      </w:pPr>
      <w:r>
        <w:rPr>
          <w:noProof/>
        </w:rPr>
        <w:t>а)</w:t>
      </w:r>
      <w:r>
        <w:rPr>
          <w:noProof/>
        </w:rPr>
        <w:tab/>
        <w:t>предложенията трябва да бъдат за транснационални проекти, като минималният брой на участниците трябва да бъде три правни образувания, установени в три различни участващи държави, от които:</w:t>
      </w:r>
    </w:p>
    <w:p>
      <w:pPr>
        <w:pStyle w:val="Text1"/>
        <w:ind w:left="1843" w:hanging="425"/>
        <w:rPr>
          <w:noProof/>
        </w:rPr>
      </w:pPr>
      <w:r>
        <w:rPr>
          <w:noProof/>
        </w:rPr>
        <w:t>i)</w:t>
      </w:r>
      <w:r>
        <w:rPr>
          <w:noProof/>
        </w:rPr>
        <w:tab/>
        <w:t>едно е установено в държава членка или в държава, асоциирана към „Хоризонт 2020“, и</w:t>
      </w:r>
    </w:p>
    <w:p>
      <w:pPr>
        <w:pStyle w:val="Text1"/>
        <w:ind w:left="1843" w:hanging="425"/>
        <w:rPr>
          <w:noProof/>
        </w:rPr>
      </w:pPr>
      <w:r>
        <w:rPr>
          <w:noProof/>
        </w:rPr>
        <w:t>ii)</w:t>
      </w:r>
      <w:r>
        <w:rPr>
          <w:noProof/>
        </w:rPr>
        <w:tab/>
        <w:t>едно е установено в трета държава, която се счита за участваща държава в съответствие с настоящото решение до крайния срок за кандидатстване по съответната покана за представяне на предложения.</w:t>
      </w:r>
    </w:p>
    <w:p>
      <w:pPr>
        <w:pStyle w:val="Text1"/>
        <w:ind w:left="1276" w:hanging="426"/>
        <w:rPr>
          <w:noProof/>
        </w:rPr>
      </w:pPr>
      <w:r>
        <w:rPr>
          <w:noProof/>
        </w:rPr>
        <w:t>б)</w:t>
      </w:r>
      <w:r>
        <w:rPr>
          <w:noProof/>
        </w:rPr>
        <w:tab/>
        <w:t>Предложенията се подбират след отправяне на транснационални покани за представяне на предложения и чрез двуетапна процедура. Етап 1 се състои от преглед на национално или транснационално равнище на предложенията, подадени от правни образувания, отговарящи на условията за финансиране съгласно съответните национални програми. Етап 2 се състои от единна независима международна партньорска проверка, организирана от PRIMA-IS. На етап 2 предложенията се оценяват с помощта на най-малко трима независими експерти въз основа на следните критерии за отпускане на средства: върхови постижения, въздействие, качество и ефикасност на изпълнението.</w:t>
      </w:r>
    </w:p>
    <w:p>
      <w:pPr>
        <w:pStyle w:val="Text1"/>
        <w:ind w:left="1276" w:hanging="426"/>
        <w:rPr>
          <w:noProof/>
        </w:rPr>
      </w:pPr>
      <w:r>
        <w:rPr>
          <w:noProof/>
        </w:rPr>
        <w:t>в)</w:t>
      </w:r>
      <w:r>
        <w:rPr>
          <w:noProof/>
        </w:rPr>
        <w:tab/>
        <w:t>Предложенията се класират съгласно резултатите от оценяването. Подборът се извършва от PRIMA-IS въз основа на това класиране. Участващите държави се договарят за подходящ режим на финансиране, който позволява получаване на възможно най-голям брой предложения, които да бъдат финансирани въз основа на това класиране, по-специално чрез осигуряване на резерв към националните вноски за покани за представяне на предложения.</w:t>
      </w:r>
    </w:p>
    <w:p>
      <w:pPr>
        <w:pStyle w:val="ManualNumPar1"/>
        <w:rPr>
          <w:noProof/>
        </w:rPr>
      </w:pPr>
      <w:r>
        <w:t>8.</w:t>
      </w:r>
      <w:r>
        <w:tab/>
      </w:r>
      <w:r>
        <w:rPr>
          <w:noProof/>
        </w:rPr>
        <w:t>PRIMA-IS извършва наблюдение и докладва на Комисията относно изпълнението на всички дейности, включени в годишния работен план на PRIMA.</w:t>
      </w:r>
    </w:p>
    <w:p>
      <w:pPr>
        <w:pStyle w:val="ManualNumPar1"/>
        <w:rPr>
          <w:noProof/>
        </w:rPr>
      </w:pPr>
      <w:r>
        <w:t>9.</w:t>
      </w:r>
      <w:r>
        <w:tab/>
      </w:r>
      <w:r>
        <w:rPr>
          <w:noProof/>
        </w:rPr>
        <w:t>Всяко съобщение или публикация, свързани с дейностите по PRIMA и извършени в сътрудничество с PRIMA, независимо дали са предприети от PRIMA-IS, участваща държава или нейните национални органи за финансиране, или от участниците в дадена дейност, се означават на първо или второ място като „[наименование на дейността] е част от програмата PRIMA, която се подпомага от Европейския съюз“.</w:t>
      </w:r>
    </w:p>
    <w:p>
      <w:pPr>
        <w:pStyle w:val="Titrearticle"/>
        <w:rPr>
          <w:noProof/>
        </w:rPr>
      </w:pPr>
      <w:r>
        <w:rPr>
          <w:noProof/>
        </w:rPr>
        <w:t>Член 7</w:t>
      </w:r>
      <w:r>
        <w:rPr>
          <w:noProof/>
        </w:rPr>
        <w:br/>
        <w:t>Правила за участие и разпространение на резултатите</w:t>
      </w:r>
    </w:p>
    <w:p>
      <w:pPr>
        <w:pStyle w:val="ManualNumPar1"/>
        <w:rPr>
          <w:noProof/>
        </w:rPr>
      </w:pPr>
      <w:r>
        <w:t>1.</w:t>
      </w:r>
      <w:r>
        <w:tab/>
      </w:r>
      <w:r>
        <w:rPr>
          <w:noProof/>
        </w:rPr>
        <w:t xml:space="preserve">PRIMA-IS се счита за орган за финансиране по смисъла на Регламент (ЕС) № 1290/2013 и предоставя финансова подкрепа за непреки действия, посочени в </w:t>
      </w:r>
      <w:r>
        <w:rPr>
          <w:noProof/>
          <w:color w:val="000000"/>
        </w:rPr>
        <w:t>член 6, параграф 1, буква а) от настоящото решение</w:t>
      </w:r>
      <w:r>
        <w:rPr>
          <w:noProof/>
        </w:rPr>
        <w:t>, в съответствие с правилата, определени в посочения регламент, и при условията на дерогациите, предвидени в настоящия член</w:t>
      </w:r>
      <w:r>
        <w:rPr>
          <w:noProof/>
          <w:color w:val="000000"/>
        </w:rPr>
        <w:t xml:space="preserve">. </w:t>
      </w:r>
    </w:p>
    <w:p>
      <w:pPr>
        <w:pStyle w:val="ManualNumPar1"/>
        <w:rPr>
          <w:noProof/>
        </w:rPr>
      </w:pPr>
      <w:r>
        <w:t>2.</w:t>
      </w:r>
      <w:r>
        <w:tab/>
      </w:r>
      <w:r>
        <w:rPr>
          <w:noProof/>
        </w:rPr>
        <w:t xml:space="preserve">Чрез дерогация от член 9, параграф 1, буква б) от Регламент (ЕС) № 1290/2013, минималният брой на участниците е три правни образувания, установени в три различни участващи държави, от които: </w:t>
      </w:r>
    </w:p>
    <w:p>
      <w:pPr>
        <w:pStyle w:val="Text1"/>
        <w:ind w:left="1276" w:hanging="426"/>
        <w:rPr>
          <w:noProof/>
        </w:rPr>
      </w:pPr>
      <w:r>
        <w:rPr>
          <w:noProof/>
        </w:rPr>
        <w:t>а)</w:t>
      </w:r>
      <w:r>
        <w:rPr>
          <w:noProof/>
        </w:rPr>
        <w:tab/>
        <w:t xml:space="preserve">едно е установено в държава членка или в държава, асоциирана към „Хоризонт 2020“, и </w:t>
      </w:r>
    </w:p>
    <w:p>
      <w:pPr>
        <w:pStyle w:val="Text1"/>
        <w:ind w:left="1276" w:hanging="426"/>
        <w:rPr>
          <w:noProof/>
        </w:rPr>
      </w:pPr>
      <w:r>
        <w:rPr>
          <w:noProof/>
        </w:rPr>
        <w:t>б)</w:t>
      </w:r>
      <w:r>
        <w:rPr>
          <w:noProof/>
        </w:rPr>
        <w:tab/>
        <w:t>едно е установено в трета държава, която се счита за участваща държава в съответствие с настоящото решение до крайния срок за кандидатстване по съответната покана за представяне на предложения.</w:t>
      </w:r>
    </w:p>
    <w:p>
      <w:pPr>
        <w:pStyle w:val="ManualNumPar1"/>
        <w:rPr>
          <w:noProof/>
        </w:rPr>
      </w:pPr>
      <w:r>
        <w:t>3.</w:t>
      </w:r>
      <w:r>
        <w:tab/>
      </w:r>
      <w:r>
        <w:rPr>
          <w:noProof/>
        </w:rPr>
        <w:t>Чрез дерогация от член 9, параграф 3 от Регламент (ЕС) № 1290/2013, в надлежно обосновани случаи, предвидени в годишния работен план на PRIMA, минималното условие е участието на едно правно образувание, установено в участваща държава, която е държава членка, държава, асоциирана към „Хоризонт 2020“, или трета държава, която се счита за участваща държава в съответствие с настоящото решение до крайния срок за кандидатстване по съответната покана за представяне на предложения.</w:t>
      </w:r>
    </w:p>
    <w:p>
      <w:pPr>
        <w:pStyle w:val="ManualNumPar1"/>
        <w:rPr>
          <w:noProof/>
        </w:rPr>
      </w:pPr>
      <w:r>
        <w:t>4.</w:t>
      </w:r>
      <w:r>
        <w:tab/>
      </w:r>
      <w:r>
        <w:rPr>
          <w:noProof/>
        </w:rPr>
        <w:t>В допълнение към участниците, които отговарят на условията за финансиране по смисъла на член 10, параграф 1 от Регламент (ЕС) № 1290/2013, всяко правно образувание, установено в участваща държава, отговаря на условията за финансиране.</w:t>
      </w:r>
    </w:p>
    <w:p>
      <w:pPr>
        <w:pStyle w:val="ManualNumPar1"/>
        <w:rPr>
          <w:noProof/>
        </w:rPr>
      </w:pPr>
      <w:r>
        <w:t>5.</w:t>
      </w:r>
      <w:r>
        <w:tab/>
      </w:r>
      <w:r>
        <w:rPr>
          <w:noProof/>
          <w:color w:val="000000"/>
        </w:rPr>
        <w:t xml:space="preserve">Чрез дерогация от член 12 </w:t>
      </w:r>
      <w:r>
        <w:rPr>
          <w:noProof/>
        </w:rPr>
        <w:t xml:space="preserve">от Регламент (ЕС) № 1290/2013, когато такава дейност е включена в годишния работен план на PRIMA, в съответствие с правилата, определени в член 12 от Регламент (ЕС) № 1290/2013 PRIMA-IS може да обяви покани за представяне на предложения, отправяни съвместно с трети държави, </w:t>
      </w:r>
      <w:r>
        <w:rPr>
          <w:noProof/>
          <w:color w:val="000000"/>
        </w:rPr>
        <w:t xml:space="preserve">различни от участващите държави </w:t>
      </w:r>
      <w:r>
        <w:rPr>
          <w:noProof/>
        </w:rPr>
        <w:t>или техни научни и технически организации и агенции, с международни организации или с други трети страни, по-специално неправителствени организации.</w:t>
      </w:r>
    </w:p>
    <w:p>
      <w:pPr>
        <w:pStyle w:val="Titrearticle"/>
        <w:rPr>
          <w:noProof/>
        </w:rPr>
      </w:pPr>
      <w:r>
        <w:rPr>
          <w:noProof/>
        </w:rPr>
        <w:t>Член 8</w:t>
      </w:r>
      <w:r>
        <w:rPr>
          <w:noProof/>
        </w:rPr>
        <w:br/>
        <w:t xml:space="preserve">Споразумения между Съюза и PRIMA-IS </w:t>
      </w:r>
    </w:p>
    <w:p>
      <w:pPr>
        <w:pStyle w:val="ManualNumPar1"/>
        <w:rPr>
          <w:noProof/>
        </w:rPr>
      </w:pPr>
      <w:r>
        <w:t>1.</w:t>
      </w:r>
      <w:r>
        <w:tab/>
      </w:r>
      <w:r>
        <w:rPr>
          <w:noProof/>
        </w:rPr>
        <w:t xml:space="preserve">При наличие на положителна предварителна оценка на PRIMA-IS в съответствие с член 61, параграф 1 от Регламент (ЕС, Евратом) № 966/2012 </w:t>
      </w:r>
      <w:r>
        <w:rPr>
          <w:noProof/>
          <w:color w:val="000000"/>
        </w:rPr>
        <w:t>и осигуряване на достатъчни финансови гаранции в съответствие с член 58, параграф 1, буква в), точка vi) от него</w:t>
      </w:r>
      <w:r>
        <w:rPr>
          <w:noProof/>
        </w:rPr>
        <w:t>, Комисията, от името на Съюза, сключва споразумение за възлагане и споразумения за годишното прехвърляне на средства с PRIMA-IS.</w:t>
      </w:r>
    </w:p>
    <w:p>
      <w:pPr>
        <w:pStyle w:val="ManualNumPar1"/>
        <w:rPr>
          <w:noProof/>
        </w:rPr>
      </w:pPr>
      <w:r>
        <w:t>2.</w:t>
      </w:r>
      <w:r>
        <w:tab/>
      </w:r>
      <w:r>
        <w:rPr>
          <w:noProof/>
        </w:rPr>
        <w:t>Споразумението за възлагане, посочено в параграф 1, се сключва в съответствие с член 58, параграф 3 и членове 60 и 61 от Регламент (ЕС, Евратом) № 966/2012, както и съгласно член 40 от Делегиран регламент (ЕС) № 1268/2012. В него, наред с друго, се определя също така следното:</w:t>
      </w:r>
    </w:p>
    <w:p>
      <w:pPr>
        <w:pStyle w:val="Text1"/>
        <w:ind w:left="1418" w:hanging="567"/>
        <w:rPr>
          <w:noProof/>
        </w:rPr>
      </w:pPr>
      <w:r>
        <w:rPr>
          <w:noProof/>
        </w:rPr>
        <w:t>а)</w:t>
      </w:r>
      <w:r>
        <w:rPr>
          <w:noProof/>
        </w:rPr>
        <w:tab/>
        <w:t>изискванията за приноса на PRIMA-IS, отнасящи се до съответните показатели за изпълнението, посочени в приложение II към Решение 2013/743/ЕС;</w:t>
      </w:r>
    </w:p>
    <w:p>
      <w:pPr>
        <w:pStyle w:val="Text1"/>
        <w:ind w:left="1418" w:hanging="567"/>
        <w:rPr>
          <w:noProof/>
        </w:rPr>
      </w:pPr>
      <w:r>
        <w:rPr>
          <w:noProof/>
        </w:rPr>
        <w:t>б)</w:t>
      </w:r>
      <w:r>
        <w:rPr>
          <w:noProof/>
        </w:rPr>
        <w:tab/>
        <w:t xml:space="preserve">изискванията за приноса на PRIMA-IS по отношение на мониторинга, предвиден в приложение III към Решение 2013/743/ЕС; </w:t>
      </w:r>
    </w:p>
    <w:p>
      <w:pPr>
        <w:pStyle w:val="Text1"/>
        <w:ind w:left="1418" w:hanging="567"/>
        <w:rPr>
          <w:noProof/>
        </w:rPr>
      </w:pPr>
      <w:r>
        <w:rPr>
          <w:noProof/>
        </w:rPr>
        <w:t>в)</w:t>
      </w:r>
      <w:r>
        <w:rPr>
          <w:noProof/>
        </w:rPr>
        <w:tab/>
        <w:t>специфичните показатели за изпълнението, отнасящи се до функционирането на PRIMA-IS;</w:t>
      </w:r>
    </w:p>
    <w:p>
      <w:pPr>
        <w:pStyle w:val="Text1"/>
        <w:ind w:left="1418" w:hanging="567"/>
        <w:rPr>
          <w:noProof/>
        </w:rPr>
      </w:pPr>
      <w:r>
        <w:rPr>
          <w:noProof/>
        </w:rPr>
        <w:t>г)</w:t>
      </w:r>
      <w:r>
        <w:rPr>
          <w:noProof/>
        </w:rPr>
        <w:tab/>
        <w:t>изискванията за PRIMA-IS по отношение на предоставянето на информация за административните разходи и на подробни данни за изпълнението на PRIMA;</w:t>
      </w:r>
    </w:p>
    <w:p>
      <w:pPr>
        <w:pStyle w:val="Text1"/>
        <w:ind w:left="1418" w:hanging="567"/>
        <w:rPr>
          <w:noProof/>
        </w:rPr>
      </w:pPr>
      <w:r>
        <w:rPr>
          <w:noProof/>
        </w:rPr>
        <w:t>д)</w:t>
      </w:r>
      <w:r>
        <w:rPr>
          <w:noProof/>
        </w:rPr>
        <w:tab/>
        <w:t>договореностите относно предоставянето на данните, необходими да се гарантира, че Комисията е в състояние да изпълни задълженията си за разпространение на резултатите и за докладване;</w:t>
      </w:r>
    </w:p>
    <w:p>
      <w:pPr>
        <w:pStyle w:val="Text1"/>
        <w:ind w:left="1418" w:hanging="567"/>
        <w:rPr>
          <w:noProof/>
        </w:rPr>
      </w:pPr>
      <w:r>
        <w:rPr>
          <w:noProof/>
        </w:rPr>
        <w:t>е)</w:t>
      </w:r>
      <w:r>
        <w:rPr>
          <w:noProof/>
        </w:rPr>
        <w:tab/>
        <w:t>договореностите за приемането или отхвърлянето от страна на Комисията на проекта за годишния работен план на PRIMA, общите принципи, посочени в член 6, параграф 6, и изискванията за докладване от страна на участващите държави, преди те да бъдат приети от PRIMA-IS; и</w:t>
      </w:r>
    </w:p>
    <w:p>
      <w:pPr>
        <w:pStyle w:val="Text1"/>
        <w:ind w:left="1418" w:hanging="567"/>
        <w:rPr>
          <w:noProof/>
        </w:rPr>
      </w:pPr>
      <w:r>
        <w:rPr>
          <w:noProof/>
        </w:rPr>
        <w:t>ж)</w:t>
      </w:r>
      <w:r>
        <w:rPr>
          <w:noProof/>
        </w:rPr>
        <w:tab/>
        <w:t>разпоредбите за публикуване от PRIMA-IS на поканите за представяне на предложения на единния портал за участници, както и чрез други електронни средства за разпространяване на информация в рамките на „Хоризонт 2020“, управлявани от Комисията.</w:t>
      </w:r>
    </w:p>
    <w:p>
      <w:pPr>
        <w:pStyle w:val="Titrearticle"/>
        <w:rPr>
          <w:noProof/>
        </w:rPr>
      </w:pPr>
      <w:r>
        <w:rPr>
          <w:noProof/>
        </w:rPr>
        <w:t>Член 9</w:t>
      </w:r>
      <w:r>
        <w:rPr>
          <w:noProof/>
        </w:rPr>
        <w:br/>
        <w:t>Прекратяване, ограничаване или временна отмяна на финансовото участие на Съюза</w:t>
      </w:r>
    </w:p>
    <w:p>
      <w:pPr>
        <w:pStyle w:val="ManualNumPar1"/>
        <w:rPr>
          <w:noProof/>
        </w:rPr>
      </w:pPr>
      <w:r>
        <w:t>1.</w:t>
      </w:r>
      <w:r>
        <w:tab/>
      </w:r>
      <w:r>
        <w:rPr>
          <w:noProof/>
        </w:rPr>
        <w:t>Ако PRIMA не се изпълнява или се изпълнява неправилно, частично или със закъснение, Комисията може да прекрати, да ограничи пропорционално или временно да преустанови финансовото участие на Съюза в съответствие с реалното изпълнение на PRIMA.</w:t>
      </w:r>
    </w:p>
    <w:p>
      <w:pPr>
        <w:pStyle w:val="ManualNumPar1"/>
        <w:rPr>
          <w:noProof/>
        </w:rPr>
      </w:pPr>
      <w:r>
        <w:t>2.</w:t>
      </w:r>
      <w:r>
        <w:tab/>
      </w:r>
      <w:r>
        <w:rPr>
          <w:noProof/>
        </w:rPr>
        <w:t xml:space="preserve">Ако участващите държави не изплащат своите вноски за финансирането на PRIMA или ги изплащат частично или със закъснение, Комисията може да прекрати, да ограничи пропорционално или временно да преустанови финансовото участие на Съюза в съответствие с размера на финансирането, което участващите държави са отпуснали за изпълнението на PRIMA. </w:t>
      </w:r>
    </w:p>
    <w:p>
      <w:pPr>
        <w:pStyle w:val="Titrearticle"/>
        <w:rPr>
          <w:noProof/>
        </w:rPr>
      </w:pPr>
      <w:r>
        <w:rPr>
          <w:noProof/>
        </w:rPr>
        <w:t>Член 10</w:t>
      </w:r>
      <w:r>
        <w:rPr>
          <w:noProof/>
        </w:rPr>
        <w:br/>
        <w:t xml:space="preserve">Последващи одити </w:t>
      </w:r>
    </w:p>
    <w:p>
      <w:pPr>
        <w:pStyle w:val="ManualNumPar1"/>
        <w:rPr>
          <w:noProof/>
        </w:rPr>
      </w:pPr>
      <w:r>
        <w:t>1.</w:t>
      </w:r>
      <w:r>
        <w:tab/>
      </w:r>
      <w:r>
        <w:rPr>
          <w:noProof/>
        </w:rPr>
        <w:t>Последващите одити на разходите за непреки действия, посочени в член 6, параграф 1, буква а) от настоящото решение, се извършват от PRIMA-IS</w:t>
      </w:r>
      <w:r>
        <w:rPr>
          <w:i/>
          <w:noProof/>
        </w:rPr>
        <w:t xml:space="preserve"> </w:t>
      </w:r>
      <w:r>
        <w:rPr>
          <w:noProof/>
        </w:rPr>
        <w:t xml:space="preserve">в съответствие с член 29 от Регламент (ЕС) № 1291/2013. </w:t>
      </w:r>
    </w:p>
    <w:p>
      <w:pPr>
        <w:pStyle w:val="ManualNumPar1"/>
        <w:rPr>
          <w:noProof/>
          <w:color w:val="002060"/>
        </w:rPr>
      </w:pPr>
      <w:r>
        <w:t>2.</w:t>
      </w:r>
      <w:r>
        <w:tab/>
      </w:r>
      <w:r>
        <w:rPr>
          <w:noProof/>
        </w:rPr>
        <w:t>Комисията може да реши да извършва сама одитите, посочени в параграф 1. В този случай тя прави това в съответствие с приложимите правила, по-специално разпоредбите на регламенти (ЕС, Евратом) № 966/2012, (ЕС) № 1290/2013 и (ЕС) № 1291/2013.</w:t>
      </w:r>
    </w:p>
    <w:p>
      <w:pPr>
        <w:pStyle w:val="Titrearticle"/>
        <w:rPr>
          <w:noProof/>
        </w:rPr>
      </w:pPr>
      <w:r>
        <w:rPr>
          <w:noProof/>
        </w:rPr>
        <w:t>Член 11</w:t>
      </w:r>
      <w:r>
        <w:rPr>
          <w:noProof/>
        </w:rPr>
        <w:br/>
        <w:t>Защита на финансовите интереси на Съюза</w:t>
      </w:r>
    </w:p>
    <w:p>
      <w:pPr>
        <w:pStyle w:val="ManualNumPar1"/>
        <w:rPr>
          <w:noProof/>
        </w:rPr>
      </w:pPr>
      <w:r>
        <w:t>1.</w:t>
      </w:r>
      <w:r>
        <w:tab/>
      </w:r>
      <w:r>
        <w:rPr>
          <w:noProof/>
        </w:rPr>
        <w:t xml:space="preserve">Комисията предприема подходящи мерки, за да гарантира, че при изпълнението на действията, финансирани по силата на настоящото решение, финансовите интереси на Съюза са защитени чрез прилагане на превантивни мерки срещу измама, корупция и всякакви други незаконни дейности, чрез ефективни проверки и в случай на установяване на нередности – чрез възстановяване на недължимо платените суми и, когато е уместно, чрез ефективни, пропорционални и възпиращи административни санкции. </w:t>
      </w:r>
    </w:p>
    <w:p>
      <w:pPr>
        <w:pStyle w:val="ManualNumPar1"/>
        <w:rPr>
          <w:noProof/>
        </w:rPr>
      </w:pPr>
      <w:r>
        <w:t>2.</w:t>
      </w:r>
      <w:r>
        <w:tab/>
      </w:r>
      <w:r>
        <w:rPr>
          <w:noProof/>
          <w:color w:val="000000"/>
        </w:rPr>
        <w:t xml:space="preserve">PRIMA-IS </w:t>
      </w:r>
      <w:r>
        <w:rPr>
          <w:noProof/>
        </w:rPr>
        <w:t>предоставя на служителите на Комисията и на други упълномощени от нея лица, както и на Сметната палата, достъп до своите обекти и помещения, а също и до цялата информация, включително информацията в електронен формат, необходима за извършването на одити от тях.</w:t>
      </w:r>
    </w:p>
    <w:p>
      <w:pPr>
        <w:pStyle w:val="ManualNumPar1"/>
        <w:rPr>
          <w:noProof/>
        </w:rPr>
      </w:pPr>
      <w:r>
        <w:t>3.</w:t>
      </w:r>
      <w:r>
        <w:tab/>
      </w:r>
      <w:r>
        <w:rPr>
          <w:noProof/>
        </w:rPr>
        <w:t>Европейската служба за борба с измамите (OLAF) може да извършва разследвания, включително проверки и инспекции на място, в съответствие с разпоредбите и процедурите, предвидени в Регламент (Евратом, ЕО) № 2185/96 на Съвета</w:t>
      </w:r>
      <w:r>
        <w:rPr>
          <w:rStyle w:val="FootnoteReference"/>
          <w:noProof/>
        </w:rPr>
        <w:footnoteReference w:id="9"/>
      </w:r>
      <w:r>
        <w:rPr>
          <w:noProof/>
        </w:rPr>
        <w:t xml:space="preserve"> и Регламент (ЕС, Евратом) № 883/2013 на Европейския парламент и на Съвета</w:t>
      </w:r>
      <w:r>
        <w:rPr>
          <w:rStyle w:val="FootnoteReference"/>
          <w:noProof/>
        </w:rPr>
        <w:footnoteReference w:id="10"/>
      </w:r>
      <w:r>
        <w:rPr>
          <w:noProof/>
        </w:rPr>
        <w:t>, с цел да се установи дали е налице измама, корупция или друга незаконна дейност, накърняваща финансовите интереси на Съюза, във връзка със споразумение или решение за отпускане на безвъзмездни средства, или договор, финансиран пряко или косвено съгласно настоящото решение.</w:t>
      </w:r>
    </w:p>
    <w:p>
      <w:pPr>
        <w:pStyle w:val="ManualNumPar1"/>
        <w:rPr>
          <w:noProof/>
        </w:rPr>
      </w:pPr>
      <w:r>
        <w:t>4.</w:t>
      </w:r>
      <w:r>
        <w:tab/>
      </w:r>
      <w:r>
        <w:rPr>
          <w:noProof/>
        </w:rPr>
        <w:t xml:space="preserve">Без да се засягат разпоредбите на параграфи 1, 2 и 3, договорите, споразуменията и решенията за отпускане на безвъзмездни средства, произтичащи от прилагането на настоящото решение, съдържат разпоредби за изрично упълномощаване на Комисията, </w:t>
      </w:r>
      <w:r>
        <w:rPr>
          <w:noProof/>
          <w:color w:val="000000"/>
        </w:rPr>
        <w:t>PRIMA-IS</w:t>
      </w:r>
      <w:r>
        <w:rPr>
          <w:noProof/>
        </w:rPr>
        <w:t>, Сметната палата и OLAF да извършват такива одити и разследвания съгласно съответните им правомощия. Когато изпълнението на дейност е възложено на външен подизпълнител или направено чрез вторично оправомощаване, изцяло или частично, или когато се изисква възлагане на поръчка или отпускане на финансова подкрепа на трета страна, договорът, споразумението или решението за отпускане на безвъзмездни средства включва задължението на изпълнителя или бенефициера да наложи на участващата трета страна изрично приемане на тези правомощия на Комисията, PRIMA-IS, Сметната палата и OLAF.</w:t>
      </w:r>
    </w:p>
    <w:p>
      <w:pPr>
        <w:pStyle w:val="ManualNumPar1"/>
        <w:rPr>
          <w:noProof/>
        </w:rPr>
      </w:pPr>
      <w:r>
        <w:t>5.</w:t>
      </w:r>
      <w:r>
        <w:tab/>
      </w:r>
      <w:r>
        <w:rPr>
          <w:noProof/>
        </w:rPr>
        <w:t>При изпълнението на PRIMA участващите държави предприемат необходимите законодателни, регулаторни, административни и други мерки за защита на финансовите интереси на Съюза и в частност за осигуряване на пълното възстановяване на всички суми, дължими на Съюза съгласно Регламент (ЕС, Евратом) № 966/2012 и Делегиран регламент (ЕС) № 1268/2012.</w:t>
      </w:r>
    </w:p>
    <w:p>
      <w:pPr>
        <w:pStyle w:val="Titrearticle"/>
        <w:rPr>
          <w:noProof/>
        </w:rPr>
      </w:pPr>
      <w:r>
        <w:rPr>
          <w:noProof/>
        </w:rPr>
        <w:t>Член 12</w:t>
      </w:r>
      <w:r>
        <w:rPr>
          <w:noProof/>
        </w:rPr>
        <w:br/>
        <w:t>Управление на PRIMA</w:t>
      </w:r>
    </w:p>
    <w:p>
      <w:pPr>
        <w:pStyle w:val="ManualNumPar1"/>
        <w:rPr>
          <w:noProof/>
        </w:rPr>
      </w:pPr>
      <w:r>
        <w:t>1.</w:t>
      </w:r>
      <w:r>
        <w:tab/>
      </w:r>
      <w:r>
        <w:rPr>
          <w:noProof/>
        </w:rPr>
        <w:t>Органите на PRIMA-IS включват:</w:t>
      </w:r>
    </w:p>
    <w:p>
      <w:pPr>
        <w:pStyle w:val="Text1"/>
        <w:rPr>
          <w:noProof/>
        </w:rPr>
      </w:pPr>
      <w:r>
        <w:rPr>
          <w:noProof/>
        </w:rPr>
        <w:t>а) Общо събрание;</w:t>
      </w:r>
    </w:p>
    <w:p>
      <w:pPr>
        <w:pStyle w:val="Text1"/>
        <w:rPr>
          <w:noProof/>
        </w:rPr>
      </w:pPr>
      <w:r>
        <w:rPr>
          <w:noProof/>
        </w:rPr>
        <w:t>б) Управителен съвет;</w:t>
      </w:r>
    </w:p>
    <w:p>
      <w:pPr>
        <w:pStyle w:val="Text1"/>
        <w:rPr>
          <w:noProof/>
        </w:rPr>
      </w:pPr>
      <w:r>
        <w:rPr>
          <w:noProof/>
        </w:rPr>
        <w:t>в) Секретариат;</w:t>
      </w:r>
    </w:p>
    <w:p>
      <w:pPr>
        <w:pStyle w:val="Text1"/>
        <w:rPr>
          <w:noProof/>
        </w:rPr>
      </w:pPr>
      <w:r>
        <w:rPr>
          <w:noProof/>
        </w:rPr>
        <w:t>г) Научно-консултативен съвет.</w:t>
      </w:r>
    </w:p>
    <w:p>
      <w:pPr>
        <w:pStyle w:val="ManualNumPar1"/>
        <w:rPr>
          <w:noProof/>
        </w:rPr>
      </w:pPr>
      <w:r>
        <w:t>2.</w:t>
      </w:r>
      <w:r>
        <w:tab/>
      </w:r>
      <w:r>
        <w:rPr>
          <w:noProof/>
        </w:rPr>
        <w:t>PRIMA-IS се управлява от общо събрание, в което са представени всички участващи държави. Органът на PRIMA-IS, отговорен за вземането на решенията, е Общото събрание.</w:t>
      </w:r>
    </w:p>
    <w:p>
      <w:pPr>
        <w:pStyle w:val="Text1"/>
        <w:rPr>
          <w:noProof/>
        </w:rPr>
      </w:pPr>
      <w:r>
        <w:rPr>
          <w:noProof/>
        </w:rPr>
        <w:t>След като получи одобрение от Комисията, Общото събрание приема:</w:t>
      </w:r>
    </w:p>
    <w:p>
      <w:pPr>
        <w:pStyle w:val="Text1"/>
        <w:ind w:left="840"/>
        <w:rPr>
          <w:noProof/>
        </w:rPr>
      </w:pPr>
      <w:r>
        <w:rPr>
          <w:noProof/>
        </w:rPr>
        <w:t>а)</w:t>
      </w:r>
      <w:r>
        <w:rPr>
          <w:noProof/>
        </w:rPr>
        <w:tab/>
        <w:t>годишния работен план на PRIMA;</w:t>
      </w:r>
    </w:p>
    <w:p>
      <w:pPr>
        <w:pStyle w:val="Text1"/>
        <w:ind w:left="1440" w:hanging="600"/>
        <w:rPr>
          <w:noProof/>
        </w:rPr>
      </w:pPr>
      <w:r>
        <w:rPr>
          <w:noProof/>
        </w:rPr>
        <w:t>б)</w:t>
      </w:r>
      <w:r>
        <w:rPr>
          <w:noProof/>
        </w:rPr>
        <w:tab/>
        <w:t>общите принципи, посочени в член 6, параграф 6; и</w:t>
      </w:r>
    </w:p>
    <w:p>
      <w:pPr>
        <w:pStyle w:val="Text1"/>
        <w:ind w:left="840"/>
        <w:rPr>
          <w:noProof/>
        </w:rPr>
      </w:pPr>
      <w:r>
        <w:rPr>
          <w:noProof/>
        </w:rPr>
        <w:t>в)</w:t>
      </w:r>
      <w:r>
        <w:rPr>
          <w:noProof/>
        </w:rPr>
        <w:tab/>
        <w:t>изискванията за докладване от страна на участващите държави пред PRIMA-IS.</w:t>
      </w:r>
    </w:p>
    <w:p>
      <w:pPr>
        <w:pStyle w:val="Text1"/>
        <w:rPr>
          <w:noProof/>
        </w:rPr>
      </w:pPr>
      <w:r>
        <w:rPr>
          <w:noProof/>
        </w:rPr>
        <w:t>Общото събрание одобрява участието в PRIMA на всяка трета държава, неасоциирана към „Хоризонт 2020“, различна от изброените в член 1, параграф 2, след като разгледа целесъобразността на нейното участие за постигането на целите на PRIMA.</w:t>
      </w:r>
    </w:p>
    <w:p>
      <w:pPr>
        <w:ind w:left="851"/>
        <w:rPr>
          <w:noProof/>
        </w:rPr>
      </w:pPr>
      <w:r>
        <w:rPr>
          <w:noProof/>
        </w:rPr>
        <w:t>Всяка участваща държава има право на един глас в Общото събрание. Решенията се вземат с консенсус. При липса на консенсус Общото събрание взема решенията си с мнозинство от най-малко 75 % от гласовете. Одобряването на участието в PRIMA на всяка трета държава, която не е асоциирана към „Хоризонт 2020“, различна от изброените в член 1, параграф 2, става с единодушие.</w:t>
      </w:r>
    </w:p>
    <w:p>
      <w:pPr>
        <w:ind w:left="851"/>
        <w:rPr>
          <w:noProof/>
        </w:rPr>
      </w:pPr>
      <w:r>
        <w:rPr>
          <w:noProof/>
        </w:rPr>
        <w:t>Съюзът, представляван от Комисията, е поканен на всички заседания на Общото събрание като наблюдател и може да взема участие в дискусиите. Предоставят му се всички необходими документи.</w:t>
      </w:r>
    </w:p>
    <w:p>
      <w:pPr>
        <w:pStyle w:val="ManualNumPar1"/>
        <w:rPr>
          <w:noProof/>
        </w:rPr>
      </w:pPr>
      <w:r>
        <w:t>3.</w:t>
      </w:r>
      <w:r>
        <w:tab/>
      </w:r>
      <w:r>
        <w:rPr>
          <w:noProof/>
        </w:rPr>
        <w:t>Общото събрание определя броя на членовете на Управителния съвет, които не могат да бъдат по-малко от пет, и ги назначава. Управителният съвет осъществява контрол върху Секретариата на PRIMA-IS.</w:t>
      </w:r>
    </w:p>
    <w:p>
      <w:pPr>
        <w:pStyle w:val="ManualNumPar1"/>
        <w:rPr>
          <w:noProof/>
        </w:rPr>
      </w:pPr>
      <w:r>
        <w:t>4.</w:t>
      </w:r>
      <w:r>
        <w:tab/>
      </w:r>
      <w:r>
        <w:rPr>
          <w:noProof/>
        </w:rPr>
        <w:t xml:space="preserve">Общото събрание създава Секретариата на PRIMA-IS като изпълнителен орган на PRIMA. </w:t>
      </w:r>
    </w:p>
    <w:p>
      <w:pPr>
        <w:pStyle w:val="Text1"/>
        <w:ind w:left="851"/>
        <w:rPr>
          <w:noProof/>
        </w:rPr>
      </w:pPr>
      <w:r>
        <w:rPr>
          <w:noProof/>
        </w:rPr>
        <w:t>Секретариатът осъществява следните дейности:</w:t>
      </w:r>
    </w:p>
    <w:p>
      <w:pPr>
        <w:pStyle w:val="Point1"/>
        <w:rPr>
          <w:noProof/>
        </w:rPr>
      </w:pPr>
      <w:r>
        <w:rPr>
          <w:noProof/>
        </w:rPr>
        <w:t>а)</w:t>
      </w:r>
      <w:r>
        <w:rPr>
          <w:noProof/>
        </w:rPr>
        <w:tab/>
        <w:t>изпълнява годишния работен план на PRIMA;</w:t>
      </w:r>
    </w:p>
    <w:p>
      <w:pPr>
        <w:pStyle w:val="Point1"/>
        <w:rPr>
          <w:noProof/>
        </w:rPr>
      </w:pPr>
      <w:r>
        <w:rPr>
          <w:noProof/>
        </w:rPr>
        <w:t>б)</w:t>
      </w:r>
      <w:r>
        <w:rPr>
          <w:noProof/>
        </w:rPr>
        <w:tab/>
        <w:t>осигурява подкрепа за другите органи на PRIMA-IS;</w:t>
      </w:r>
    </w:p>
    <w:p>
      <w:pPr>
        <w:pStyle w:val="Point1"/>
        <w:rPr>
          <w:noProof/>
        </w:rPr>
      </w:pPr>
      <w:r>
        <w:rPr>
          <w:noProof/>
        </w:rPr>
        <w:t>в)</w:t>
      </w:r>
      <w:r>
        <w:rPr>
          <w:noProof/>
        </w:rPr>
        <w:tab/>
        <w:t>наблюдава изпълнението на PRIMA и докладва за него;</w:t>
      </w:r>
    </w:p>
    <w:p>
      <w:pPr>
        <w:pStyle w:val="Point1"/>
        <w:rPr>
          <w:noProof/>
        </w:rPr>
      </w:pPr>
      <w:r>
        <w:rPr>
          <w:noProof/>
        </w:rPr>
        <w:t>г)</w:t>
      </w:r>
      <w:r>
        <w:rPr>
          <w:noProof/>
        </w:rPr>
        <w:tab/>
        <w:t>управлява финансовите участия от Съюза и участващите държави и докладва за усвояването им;</w:t>
      </w:r>
    </w:p>
    <w:p>
      <w:pPr>
        <w:pStyle w:val="Point1"/>
        <w:rPr>
          <w:noProof/>
        </w:rPr>
      </w:pPr>
      <w:r>
        <w:rPr>
          <w:noProof/>
        </w:rPr>
        <w:t>д)</w:t>
      </w:r>
      <w:r>
        <w:rPr>
          <w:noProof/>
        </w:rPr>
        <w:tab/>
        <w:t>увеличава обществената осведоменост за PRIMA чрез мерки за подкрепа и популяризиране;</w:t>
      </w:r>
    </w:p>
    <w:p>
      <w:pPr>
        <w:pStyle w:val="Point1"/>
        <w:rPr>
          <w:noProof/>
        </w:rPr>
      </w:pPr>
      <w:r>
        <w:rPr>
          <w:noProof/>
        </w:rPr>
        <w:t>е)</w:t>
      </w:r>
      <w:r>
        <w:rPr>
          <w:noProof/>
        </w:rPr>
        <w:tab/>
        <w:t>сътрудничи си с Комисията в съответствие със споразумението за възлагане, посочено в член 8.</w:t>
      </w:r>
    </w:p>
    <w:p>
      <w:pPr>
        <w:pStyle w:val="ManualNumPar1"/>
        <w:rPr>
          <w:noProof/>
        </w:rPr>
      </w:pPr>
      <w:r>
        <w:t>5.</w:t>
      </w:r>
      <w:r>
        <w:tab/>
      </w:r>
      <w:r>
        <w:rPr>
          <w:noProof/>
        </w:rPr>
        <w:t xml:space="preserve">Общото събрание назначава Научно-консултативен съвет, състоящ се от независими експерти от участващите държави, компетентни в областите от значение за PRIMA. Общото събрание определя броя на членовете на Научно-консултативния съвет, правото им на глас и договореностите за тяхното назначаване в съответствие с член 40 от Регламент (ЕС) № 1290/2013. </w:t>
      </w:r>
    </w:p>
    <w:p>
      <w:pPr>
        <w:ind w:left="851"/>
        <w:rPr>
          <w:noProof/>
        </w:rPr>
      </w:pPr>
      <w:r>
        <w:rPr>
          <w:noProof/>
        </w:rPr>
        <w:t>Общото събрание може да създава специализирани работни групи в рамките на Научно-консултативния съвет с допълнителни независими експерти за специфични задачи.</w:t>
      </w:r>
    </w:p>
    <w:p>
      <w:pPr>
        <w:ind w:left="851"/>
        <w:rPr>
          <w:noProof/>
        </w:rPr>
      </w:pPr>
      <w:r>
        <w:rPr>
          <w:noProof/>
        </w:rPr>
        <w:t>Научно-консултативният съвет:</w:t>
      </w:r>
    </w:p>
    <w:p>
      <w:pPr>
        <w:pStyle w:val="Point1"/>
        <w:rPr>
          <w:noProof/>
        </w:rPr>
      </w:pPr>
      <w:r>
        <w:rPr>
          <w:noProof/>
        </w:rPr>
        <w:t>а)</w:t>
      </w:r>
      <w:r>
        <w:rPr>
          <w:noProof/>
        </w:rPr>
        <w:tab/>
        <w:t>консултира Общото събрание по стратегическите приоритети и потребности;</w:t>
      </w:r>
    </w:p>
    <w:p>
      <w:pPr>
        <w:pStyle w:val="Point1"/>
        <w:rPr>
          <w:noProof/>
        </w:rPr>
      </w:pPr>
      <w:r>
        <w:rPr>
          <w:noProof/>
        </w:rPr>
        <w:t>б)</w:t>
      </w:r>
      <w:r>
        <w:rPr>
          <w:noProof/>
        </w:rPr>
        <w:tab/>
        <w:t>консултира Общото събрание по съдържанието и обхвата на проекта на годишния работен план на PRIMA от научна и техническа гледна точка;</w:t>
      </w:r>
    </w:p>
    <w:p>
      <w:pPr>
        <w:pStyle w:val="Point1"/>
        <w:rPr>
          <w:noProof/>
        </w:rPr>
      </w:pPr>
      <w:r>
        <w:rPr>
          <w:noProof/>
        </w:rPr>
        <w:t>в)</w:t>
      </w:r>
      <w:r>
        <w:rPr>
          <w:noProof/>
        </w:rPr>
        <w:tab/>
        <w:t>прави преглед на научните и техническите аспекти на изпълнението на PRIMA и представя становище по нейния годишен доклад;</w:t>
      </w:r>
    </w:p>
    <w:p>
      <w:pPr>
        <w:pStyle w:val="Point1"/>
        <w:rPr>
          <w:noProof/>
        </w:rPr>
      </w:pPr>
      <w:r>
        <w:rPr>
          <w:noProof/>
        </w:rPr>
        <w:t>г)</w:t>
      </w:r>
      <w:r>
        <w:rPr>
          <w:noProof/>
        </w:rPr>
        <w:tab/>
        <w:t>когато е целесъобразно, препоръчва на Общото събрание да сформира научни подкомитети, работни групи и специализирани работни групи.</w:t>
      </w:r>
    </w:p>
    <w:p>
      <w:pPr>
        <w:pStyle w:val="Titrearticle"/>
        <w:rPr>
          <w:noProof/>
        </w:rPr>
      </w:pPr>
      <w:r>
        <w:rPr>
          <w:noProof/>
        </w:rPr>
        <w:t>Член 13</w:t>
      </w:r>
      <w:r>
        <w:rPr>
          <w:noProof/>
        </w:rPr>
        <w:br/>
        <w:t>Съобщаване на информация</w:t>
      </w:r>
    </w:p>
    <w:p>
      <w:pPr>
        <w:pStyle w:val="ManualNumPar1"/>
        <w:rPr>
          <w:noProof/>
        </w:rPr>
      </w:pPr>
      <w:r>
        <w:t>1.</w:t>
      </w:r>
      <w:r>
        <w:tab/>
      </w:r>
      <w:r>
        <w:rPr>
          <w:noProof/>
        </w:rPr>
        <w:t>По искане на Комисията PRIMA-IS ѝ изпраща цялата необходима информация за изготвяне на докладите, посочени в член 14.</w:t>
      </w:r>
    </w:p>
    <w:p>
      <w:pPr>
        <w:pStyle w:val="ManualNumPar1"/>
        <w:rPr>
          <w:noProof/>
        </w:rPr>
      </w:pPr>
      <w:r>
        <w:t>2.</w:t>
      </w:r>
      <w:r>
        <w:tab/>
      </w:r>
      <w:r>
        <w:rPr>
          <w:noProof/>
        </w:rPr>
        <w:t>Посредством PRIMA-IS участващите държави предоставят на Комисията цялата информация, изисквана от Европейския парламент, Съвета или Сметната палата във връзка с финансовото управление на PRIMA.</w:t>
      </w:r>
    </w:p>
    <w:p>
      <w:pPr>
        <w:pStyle w:val="ManualNumPar1"/>
        <w:rPr>
          <w:noProof/>
        </w:rPr>
      </w:pPr>
      <w:r>
        <w:t>3.</w:t>
      </w:r>
      <w:r>
        <w:tab/>
      </w:r>
      <w:r>
        <w:rPr>
          <w:noProof/>
        </w:rPr>
        <w:t>Комисията включва посочената в параграф 2 от настоящия член информация в докладите, посочени в член 14.</w:t>
      </w:r>
    </w:p>
    <w:p>
      <w:pPr>
        <w:pStyle w:val="Titrearticle"/>
        <w:rPr>
          <w:noProof/>
        </w:rPr>
      </w:pPr>
      <w:r>
        <w:rPr>
          <w:noProof/>
        </w:rPr>
        <w:t>Член 14</w:t>
      </w:r>
      <w:r>
        <w:rPr>
          <w:noProof/>
        </w:rPr>
        <w:br/>
        <w:t>Оценка</w:t>
      </w:r>
    </w:p>
    <w:p>
      <w:pPr>
        <w:pStyle w:val="ManualNumPar1"/>
        <w:rPr>
          <w:noProof/>
        </w:rPr>
      </w:pPr>
      <w:r>
        <w:t>1.</w:t>
      </w:r>
      <w:r>
        <w:tab/>
      </w:r>
      <w:r>
        <w:rPr>
          <w:noProof/>
        </w:rPr>
        <w:t>Срокът за извършване на междинната оценка на PRIMA от страна на Комисията е 30 юни 2022 г. Комисията изготвя доклад относно тази оценка, който съдържа заключенията от оценката и бележките на Комисията. Най-късно до 31 декември 2022 г. Комисията изпраща посочения доклад на Европейския парламент и на Съвета.</w:t>
      </w:r>
    </w:p>
    <w:p>
      <w:pPr>
        <w:pStyle w:val="ManualNumPar1"/>
        <w:rPr>
          <w:noProof/>
        </w:rPr>
      </w:pPr>
      <w:r>
        <w:t>2.</w:t>
      </w:r>
      <w:r>
        <w:tab/>
      </w:r>
      <w:r>
        <w:rPr>
          <w:noProof/>
        </w:rPr>
        <w:t>Срокът за извършване на заключителната оценка на PRIMA от страна на Комисията е 31 декември 2028 г. Тя изготвя доклад за оценката, в който са включени резултатите от тази оценка. Най-късно до 30 юни 2029 г. Комисията изпраща посочения доклад на Европейския парламент и на Съвета.</w:t>
      </w:r>
    </w:p>
    <w:p>
      <w:pPr>
        <w:pStyle w:val="Titrearticle"/>
        <w:rPr>
          <w:noProof/>
        </w:rPr>
      </w:pPr>
      <w:r>
        <w:rPr>
          <w:noProof/>
        </w:rPr>
        <w:t>Член 15</w:t>
      </w:r>
      <w:r>
        <w:rPr>
          <w:noProof/>
        </w:rPr>
        <w:br/>
        <w:t>Влизане в сила</w:t>
      </w:r>
    </w:p>
    <w:p>
      <w:pPr>
        <w:rPr>
          <w:noProof/>
        </w:rPr>
      </w:pPr>
      <w:r>
        <w:rPr>
          <w:noProof/>
        </w:rPr>
        <w:t xml:space="preserve">Настоящото решение влиза в сила на двадесетия ден след деня на публикуването му в </w:t>
      </w:r>
      <w:r>
        <w:rPr>
          <w:i/>
          <w:noProof/>
        </w:rPr>
        <w:t>Официален вестник на Европейския съюз.</w:t>
      </w:r>
    </w:p>
    <w:p>
      <w:pPr>
        <w:pStyle w:val="Titrearticle"/>
        <w:rPr>
          <w:noProof/>
        </w:rPr>
      </w:pPr>
      <w:r>
        <w:rPr>
          <w:noProof/>
        </w:rPr>
        <w:t>Член 16</w:t>
      </w:r>
      <w:r>
        <w:rPr>
          <w:noProof/>
        </w:rPr>
        <w:br/>
        <w:t xml:space="preserve">Адресати </w:t>
      </w:r>
    </w:p>
    <w:p>
      <w:pPr>
        <w:rPr>
          <w:noProof/>
        </w:rPr>
      </w:pPr>
      <w:r>
        <w:rPr>
          <w:noProof/>
        </w:rPr>
        <w:t>Адресати на настоящото решение са държавите членки.</w:t>
      </w:r>
    </w:p>
    <w:p>
      <w:pPr>
        <w:pStyle w:val="Fait"/>
        <w:rPr>
          <w:noProof/>
        </w:rPr>
      </w:pPr>
      <w:r>
        <w:rPr>
          <w:noProof/>
        </w:rPr>
        <w:t>Съставено в Брюксел на  година.</w:t>
      </w:r>
    </w:p>
    <w:p>
      <w:pPr>
        <w:pStyle w:val="Institutionquisigne"/>
        <w:rPr>
          <w:noProof/>
        </w:rPr>
      </w:pPr>
      <w:r>
        <w:rPr>
          <w:noProof/>
        </w:rPr>
        <w:t>За Европейския парламент</w:t>
      </w:r>
      <w:r>
        <w:rPr>
          <w:noProof/>
        </w:rPr>
        <w:tab/>
        <w:t>За Съвета</w:t>
      </w:r>
    </w:p>
    <w:p>
      <w:pPr>
        <w:pStyle w:val="Personnequisigne"/>
        <w:rPr>
          <w:i w:val="0"/>
          <w:noProof/>
        </w:rPr>
      </w:pPr>
      <w:r>
        <w:rPr>
          <w:noProof/>
        </w:rPr>
        <w:t>Председател</w:t>
      </w:r>
      <w:r>
        <w:rPr>
          <w:noProof/>
        </w:rPr>
        <w:tab/>
        <w:t>Председател</w:t>
      </w:r>
    </w:p>
    <w:p>
      <w:pPr>
        <w:rPr>
          <w:noProof/>
        </w:rPr>
        <w:sectPr>
          <w:pgSz w:w="11907" w:h="16839"/>
          <w:pgMar w:top="1134" w:right="1417" w:bottom="1134" w:left="1417" w:header="709" w:footer="709" w:gutter="0"/>
          <w:cols w:space="708"/>
          <w:docGrid w:linePitch="360"/>
        </w:sectPr>
      </w:pPr>
    </w:p>
    <w:p>
      <w:pPr>
        <w:pStyle w:val="Fichefinanciretitre"/>
        <w:rPr>
          <w:noProof/>
        </w:rPr>
      </w:pPr>
      <w:r>
        <w:rPr>
          <w:noProof/>
        </w:rPr>
        <w:t>ЗАКОНОДАТЕЛНА ФИНАНСОВА ОБОСНОВКА</w:t>
      </w:r>
    </w:p>
    <w:p>
      <w:pPr>
        <w:pStyle w:val="ManualHeading1"/>
        <w:rPr>
          <w:noProof/>
        </w:rPr>
      </w:pPr>
      <w:r>
        <w:rPr>
          <w:noProof/>
        </w:rPr>
        <w:t>1.</w:t>
      </w:r>
      <w:r>
        <w:rPr>
          <w:noProof/>
        </w:rPr>
        <w:tab/>
        <w:t xml:space="preserve">РАМКА НА ПРЕДЛОЖЕНИЕТО/ИНИЦИАТИВАТА </w:t>
      </w:r>
    </w:p>
    <w:p>
      <w:pPr>
        <w:pStyle w:val="ManualHeading2"/>
        <w:rPr>
          <w:b w:val="0"/>
          <w:noProof/>
        </w:rPr>
      </w:pPr>
      <w:r>
        <w:rPr>
          <w:noProof/>
        </w:rPr>
        <w:tab/>
      </w:r>
      <w:r>
        <w:rPr>
          <w:b w:val="0"/>
          <w:noProof/>
        </w:rPr>
        <w:t>1.1.</w:t>
      </w:r>
      <w:r>
        <w:rPr>
          <w:noProof/>
        </w:rPr>
        <w:tab/>
      </w:r>
      <w:r>
        <w:rPr>
          <w:b w:val="0"/>
          <w:noProof/>
        </w:rPr>
        <w:t xml:space="preserve">Наименование на предложението/инициативата </w:t>
      </w:r>
    </w:p>
    <w:p>
      <w:pPr>
        <w:pStyle w:val="ManualHeading2"/>
        <w:rPr>
          <w:b w:val="0"/>
          <w:noProof/>
        </w:rPr>
      </w:pPr>
      <w:r>
        <w:rPr>
          <w:noProof/>
        </w:rPr>
        <w:tab/>
      </w:r>
      <w:r>
        <w:rPr>
          <w:b w:val="0"/>
          <w:noProof/>
        </w:rPr>
        <w:t>1.2.</w:t>
      </w:r>
      <w:r>
        <w:rPr>
          <w:noProof/>
        </w:rPr>
        <w:tab/>
      </w:r>
      <w:r>
        <w:rPr>
          <w:b w:val="0"/>
          <w:noProof/>
        </w:rPr>
        <w:t>Съответни области на политиката в структурата на УД/БД</w:t>
      </w:r>
    </w:p>
    <w:p>
      <w:pPr>
        <w:pStyle w:val="ManualHeading2"/>
        <w:rPr>
          <w:b w:val="0"/>
          <w:noProof/>
        </w:rPr>
      </w:pPr>
      <w:r>
        <w:rPr>
          <w:noProof/>
        </w:rPr>
        <w:tab/>
      </w:r>
      <w:r>
        <w:rPr>
          <w:b w:val="0"/>
          <w:noProof/>
        </w:rPr>
        <w:t>1.3.</w:t>
      </w:r>
      <w:r>
        <w:rPr>
          <w:noProof/>
        </w:rPr>
        <w:tab/>
      </w:r>
      <w:r>
        <w:rPr>
          <w:b w:val="0"/>
          <w:noProof/>
        </w:rPr>
        <w:t xml:space="preserve">Естество на предложението/инициативата </w:t>
      </w:r>
    </w:p>
    <w:p>
      <w:pPr>
        <w:pStyle w:val="ManualHeading2"/>
        <w:rPr>
          <w:b w:val="0"/>
          <w:noProof/>
        </w:rPr>
      </w:pPr>
      <w:r>
        <w:rPr>
          <w:noProof/>
        </w:rPr>
        <w:tab/>
      </w:r>
      <w:r>
        <w:rPr>
          <w:b w:val="0"/>
          <w:noProof/>
        </w:rPr>
        <w:t>1.4.</w:t>
      </w:r>
      <w:r>
        <w:rPr>
          <w:noProof/>
        </w:rPr>
        <w:tab/>
      </w:r>
      <w:r>
        <w:rPr>
          <w:b w:val="0"/>
          <w:noProof/>
        </w:rPr>
        <w:t xml:space="preserve">Цели </w:t>
      </w:r>
    </w:p>
    <w:p>
      <w:pPr>
        <w:pStyle w:val="ManualHeading2"/>
        <w:rPr>
          <w:b w:val="0"/>
          <w:noProof/>
        </w:rPr>
      </w:pPr>
      <w:r>
        <w:rPr>
          <w:noProof/>
        </w:rPr>
        <w:tab/>
      </w:r>
      <w:r>
        <w:rPr>
          <w:b w:val="0"/>
          <w:noProof/>
        </w:rPr>
        <w:t>1.5.</w:t>
      </w:r>
      <w:r>
        <w:rPr>
          <w:noProof/>
        </w:rPr>
        <w:tab/>
      </w:r>
      <w:r>
        <w:rPr>
          <w:b w:val="0"/>
          <w:noProof/>
        </w:rPr>
        <w:t xml:space="preserve">Обосновка на предложението/инициативата </w:t>
      </w:r>
    </w:p>
    <w:p>
      <w:pPr>
        <w:pStyle w:val="ManualHeading2"/>
        <w:rPr>
          <w:b w:val="0"/>
          <w:noProof/>
        </w:rPr>
      </w:pPr>
      <w:r>
        <w:rPr>
          <w:noProof/>
        </w:rPr>
        <w:tab/>
      </w:r>
      <w:r>
        <w:rPr>
          <w:b w:val="0"/>
          <w:noProof/>
        </w:rPr>
        <w:t>1.6.</w:t>
      </w:r>
      <w:r>
        <w:rPr>
          <w:noProof/>
        </w:rPr>
        <w:tab/>
      </w:r>
      <w:r>
        <w:rPr>
          <w:b w:val="0"/>
          <w:noProof/>
        </w:rPr>
        <w:t xml:space="preserve">Срок на действие и финансово отражение </w:t>
      </w:r>
    </w:p>
    <w:p>
      <w:pPr>
        <w:pStyle w:val="ManualHeading2"/>
        <w:rPr>
          <w:b w:val="0"/>
          <w:noProof/>
        </w:rPr>
      </w:pPr>
      <w:r>
        <w:rPr>
          <w:noProof/>
        </w:rPr>
        <w:tab/>
      </w:r>
      <w:r>
        <w:rPr>
          <w:b w:val="0"/>
          <w:noProof/>
        </w:rPr>
        <w:t>1.7.</w:t>
      </w:r>
      <w:r>
        <w:rPr>
          <w:noProof/>
        </w:rPr>
        <w:tab/>
      </w:r>
      <w:r>
        <w:rPr>
          <w:b w:val="0"/>
          <w:noProof/>
        </w:rPr>
        <w:t xml:space="preserve">Планирани методи на управление </w:t>
      </w:r>
    </w:p>
    <w:p>
      <w:pPr>
        <w:pStyle w:val="ManualHeading1"/>
        <w:rPr>
          <w:noProof/>
        </w:rPr>
      </w:pPr>
      <w:r>
        <w:rPr>
          <w:noProof/>
        </w:rPr>
        <w:t>2.</w:t>
      </w:r>
      <w:r>
        <w:rPr>
          <w:noProof/>
        </w:rPr>
        <w:tab/>
        <w:t xml:space="preserve">МЕРКИ ЗА УПРАВЛЕНИЕ </w:t>
      </w:r>
    </w:p>
    <w:p>
      <w:pPr>
        <w:pStyle w:val="ManualHeading2"/>
        <w:rPr>
          <w:b w:val="0"/>
          <w:noProof/>
        </w:rPr>
      </w:pPr>
      <w:r>
        <w:rPr>
          <w:noProof/>
        </w:rPr>
        <w:tab/>
      </w:r>
      <w:r>
        <w:rPr>
          <w:b w:val="0"/>
          <w:noProof/>
        </w:rPr>
        <w:t>2.1.</w:t>
      </w:r>
      <w:r>
        <w:rPr>
          <w:noProof/>
        </w:rPr>
        <w:tab/>
      </w:r>
      <w:r>
        <w:rPr>
          <w:b w:val="0"/>
          <w:noProof/>
        </w:rPr>
        <w:t xml:space="preserve">Правила за мониторинг и докладване </w:t>
      </w:r>
    </w:p>
    <w:p>
      <w:pPr>
        <w:pStyle w:val="ManualHeading2"/>
        <w:rPr>
          <w:b w:val="0"/>
          <w:noProof/>
        </w:rPr>
      </w:pPr>
      <w:r>
        <w:rPr>
          <w:noProof/>
        </w:rPr>
        <w:tab/>
      </w:r>
      <w:r>
        <w:rPr>
          <w:b w:val="0"/>
          <w:noProof/>
        </w:rPr>
        <w:t>2.2.</w:t>
      </w:r>
      <w:r>
        <w:rPr>
          <w:noProof/>
        </w:rPr>
        <w:tab/>
      </w:r>
      <w:r>
        <w:rPr>
          <w:b w:val="0"/>
          <w:noProof/>
        </w:rPr>
        <w:t xml:space="preserve">Система за управление и контрол </w:t>
      </w:r>
    </w:p>
    <w:p>
      <w:pPr>
        <w:pStyle w:val="ManualHeading2"/>
        <w:rPr>
          <w:b w:val="0"/>
          <w:noProof/>
        </w:rPr>
      </w:pPr>
      <w:r>
        <w:rPr>
          <w:noProof/>
        </w:rPr>
        <w:tab/>
      </w:r>
      <w:r>
        <w:rPr>
          <w:b w:val="0"/>
          <w:noProof/>
        </w:rPr>
        <w:t>2.3.</w:t>
      </w:r>
      <w:r>
        <w:rPr>
          <w:noProof/>
        </w:rPr>
        <w:tab/>
      </w:r>
      <w:r>
        <w:rPr>
          <w:b w:val="0"/>
          <w:noProof/>
        </w:rPr>
        <w:t xml:space="preserve">Мерки за предотвратяване на измами и нередности </w:t>
      </w:r>
    </w:p>
    <w:p>
      <w:pPr>
        <w:pStyle w:val="ManualHeading1"/>
        <w:rPr>
          <w:noProof/>
        </w:rPr>
      </w:pPr>
      <w:r>
        <w:rPr>
          <w:noProof/>
        </w:rPr>
        <w:t>3.</w:t>
      </w:r>
      <w:r>
        <w:rPr>
          <w:noProof/>
        </w:rPr>
        <w:tab/>
        <w:t xml:space="preserve">ОЧАКВАНО ФИНАНСОВО ОТРАЖЕНИЕ НА ПРЕДЛОЖЕНИЕТО/ИНИЦИАТИВАТА </w:t>
      </w:r>
    </w:p>
    <w:p>
      <w:pPr>
        <w:pStyle w:val="ManualHeading2"/>
        <w:rPr>
          <w:b w:val="0"/>
          <w:noProof/>
        </w:rPr>
      </w:pPr>
      <w:r>
        <w:rPr>
          <w:noProof/>
        </w:rPr>
        <w:tab/>
      </w:r>
      <w:r>
        <w:rPr>
          <w:b w:val="0"/>
          <w:noProof/>
        </w:rPr>
        <w:t>3.1.</w:t>
      </w:r>
      <w:r>
        <w:rPr>
          <w:noProof/>
        </w:rPr>
        <w:tab/>
      </w:r>
      <w:r>
        <w:rPr>
          <w:b w:val="0"/>
          <w:noProof/>
        </w:rPr>
        <w:t xml:space="preserve">Съответни функции от многогодишната финансова рамка и разходни бюджетни редове </w:t>
      </w:r>
    </w:p>
    <w:p>
      <w:pPr>
        <w:pStyle w:val="ManualHeading2"/>
        <w:rPr>
          <w:noProof/>
        </w:rPr>
      </w:pPr>
      <w:r>
        <w:rPr>
          <w:noProof/>
        </w:rPr>
        <w:tab/>
      </w:r>
      <w:r>
        <w:rPr>
          <w:b w:val="0"/>
          <w:noProof/>
        </w:rPr>
        <w:t>3.2.</w:t>
      </w:r>
      <w:r>
        <w:rPr>
          <w:noProof/>
        </w:rPr>
        <w:tab/>
      </w:r>
      <w:r>
        <w:rPr>
          <w:b w:val="0"/>
          <w:noProof/>
        </w:rPr>
        <w:t>Очаквано отражение върху разходите</w:t>
      </w:r>
      <w:r>
        <w:rPr>
          <w:noProof/>
        </w:rPr>
        <w:t xml:space="preserve"> </w:t>
      </w:r>
    </w:p>
    <w:p>
      <w:pPr>
        <w:pStyle w:val="ManualHeading3"/>
        <w:rPr>
          <w:noProof/>
        </w:rPr>
      </w:pPr>
      <w:r>
        <w:rPr>
          <w:noProof/>
        </w:rPr>
        <w:tab/>
        <w:t>3.2.1.</w:t>
      </w:r>
      <w:r>
        <w:rPr>
          <w:noProof/>
        </w:rPr>
        <w:tab/>
        <w:t xml:space="preserve">Обобщение на очакваното отражение върху разходите </w:t>
      </w:r>
    </w:p>
    <w:p>
      <w:pPr>
        <w:pStyle w:val="ManualHeading3"/>
        <w:rPr>
          <w:noProof/>
        </w:rPr>
      </w:pPr>
      <w:r>
        <w:rPr>
          <w:noProof/>
        </w:rPr>
        <w:tab/>
        <w:t>3.2.2.</w:t>
      </w:r>
      <w:r>
        <w:rPr>
          <w:noProof/>
        </w:rPr>
        <w:tab/>
        <w:t xml:space="preserve">Очаквано отражение върху бюджетните кредити за оперативни разходи </w:t>
      </w:r>
    </w:p>
    <w:p>
      <w:pPr>
        <w:pStyle w:val="ManualHeading3"/>
        <w:rPr>
          <w:noProof/>
        </w:rPr>
      </w:pPr>
      <w:r>
        <w:rPr>
          <w:noProof/>
        </w:rPr>
        <w:tab/>
        <w:t>3.2.3.</w:t>
      </w:r>
      <w:r>
        <w:rPr>
          <w:noProof/>
        </w:rPr>
        <w:tab/>
        <w:t>Очаквано отражение върху бюджетните кредити за административни разходи</w:t>
      </w:r>
    </w:p>
    <w:p>
      <w:pPr>
        <w:pStyle w:val="ManualHeading3"/>
        <w:rPr>
          <w:noProof/>
        </w:rPr>
      </w:pPr>
      <w:r>
        <w:rPr>
          <w:noProof/>
        </w:rPr>
        <w:tab/>
        <w:t>3.2.4.</w:t>
      </w:r>
      <w:r>
        <w:rPr>
          <w:noProof/>
        </w:rPr>
        <w:tab/>
        <w:t>Съвместимост с текущата многогодишна финансова рамка</w:t>
      </w:r>
    </w:p>
    <w:p>
      <w:pPr>
        <w:pStyle w:val="ManualHeading3"/>
        <w:rPr>
          <w:noProof/>
        </w:rPr>
      </w:pPr>
      <w:r>
        <w:rPr>
          <w:noProof/>
        </w:rPr>
        <w:tab/>
        <w:t>3.2.5.</w:t>
      </w:r>
      <w:r>
        <w:rPr>
          <w:noProof/>
        </w:rPr>
        <w:tab/>
        <w:t xml:space="preserve">Участие на трети страни във финансирането </w:t>
      </w:r>
    </w:p>
    <w:p>
      <w:pPr>
        <w:pStyle w:val="ManualHeading2"/>
        <w:jc w:val="left"/>
        <w:rPr>
          <w:b w:val="0"/>
          <w:noProof/>
        </w:rPr>
        <w:sectPr>
          <w:pgSz w:w="11907" w:h="16840" w:code="9"/>
          <w:pgMar w:top="1134" w:right="1418" w:bottom="1134" w:left="1418" w:header="709" w:footer="709" w:gutter="0"/>
          <w:cols w:space="708"/>
          <w:docGrid w:linePitch="360"/>
        </w:sectPr>
      </w:pPr>
      <w:r>
        <w:rPr>
          <w:noProof/>
        </w:rPr>
        <w:tab/>
      </w:r>
      <w:r>
        <w:rPr>
          <w:b w:val="0"/>
          <w:noProof/>
        </w:rPr>
        <w:t>3.3.</w:t>
      </w:r>
      <w:r>
        <w:rPr>
          <w:noProof/>
        </w:rPr>
        <w:tab/>
      </w:r>
      <w:r>
        <w:rPr>
          <w:b w:val="0"/>
          <w:noProof/>
        </w:rPr>
        <w:t>Очаквано отражение върху приходите</w:t>
      </w:r>
    </w:p>
    <w:p>
      <w:pPr>
        <w:jc w:val="center"/>
        <w:rPr>
          <w:noProof/>
        </w:rPr>
      </w:pPr>
      <w:r>
        <w:rPr>
          <w:b/>
          <w:noProof/>
          <w:u w:val="single"/>
        </w:rPr>
        <w:t>ЗАКОНОДАТЕЛНА ФИНАНСОВА ОБОСНОВКА</w:t>
      </w:r>
    </w:p>
    <w:p>
      <w:pPr>
        <w:pStyle w:val="ManualHeading1"/>
        <w:rPr>
          <w:noProof/>
        </w:rPr>
      </w:pPr>
      <w:r>
        <w:t>1.</w:t>
      </w:r>
      <w:r>
        <w:tab/>
      </w:r>
      <w:r>
        <w:rPr>
          <w:noProof/>
        </w:rPr>
        <w:t xml:space="preserve">РАМКА НА ПРЕДЛОЖЕНИЕТО/ИНИЦИАТИВАТА </w:t>
      </w:r>
    </w:p>
    <w:p>
      <w:pPr>
        <w:pStyle w:val="ManualHeading2"/>
        <w:rPr>
          <w:noProof/>
        </w:rPr>
      </w:pPr>
      <w:r>
        <w:t>1.1.</w:t>
      </w:r>
      <w:r>
        <w:tab/>
      </w:r>
      <w:r>
        <w:rPr>
          <w:noProof/>
        </w:rPr>
        <w:t xml:space="preserve">Наименование на предложението/инициативата </w:t>
      </w:r>
    </w:p>
    <w:p>
      <w:pPr>
        <w:pStyle w:val="Text1"/>
        <w:pBdr>
          <w:top w:val="single" w:sz="4" w:space="1" w:color="auto"/>
          <w:left w:val="single" w:sz="4" w:space="4" w:color="auto"/>
          <w:bottom w:val="single" w:sz="4" w:space="1" w:color="auto"/>
          <w:right w:val="single" w:sz="4" w:space="4" w:color="auto"/>
        </w:pBdr>
        <w:rPr>
          <w:noProof/>
        </w:rPr>
      </w:pPr>
      <w:r>
        <w:rPr>
          <w:noProof/>
        </w:rPr>
        <w:t>Решение на Европейския парламент и на Съвета относно участието на Европейския съюз в Партньорство за научни изследвания и иновации в Средиземноморския регион (PRIMA), осъществявано съвместно от няколко държави членки.</w:t>
      </w:r>
    </w:p>
    <w:p>
      <w:pPr>
        <w:pStyle w:val="ManualHeading2"/>
        <w:rPr>
          <w:noProof/>
          <w:szCs w:val="24"/>
        </w:rPr>
      </w:pPr>
      <w:r>
        <w:t>1.2.</w:t>
      </w:r>
      <w:r>
        <w:tab/>
      </w:r>
      <w:r>
        <w:rPr>
          <w:noProof/>
        </w:rPr>
        <w:t>Съответни области на политиката в структурата на УД/БД</w:t>
      </w:r>
      <w:r>
        <w:rPr>
          <w:rStyle w:val="FootnoteReference"/>
          <w:noProof/>
        </w:rPr>
        <w:footnoteReference w:id="11"/>
      </w:r>
      <w:r>
        <w:rPr>
          <w:i/>
          <w:noProof/>
        </w:rPr>
        <w:t xml:space="preserve"> </w:t>
      </w:r>
    </w:p>
    <w:p>
      <w:pPr>
        <w:pStyle w:val="Text1"/>
        <w:pBdr>
          <w:top w:val="single" w:sz="4" w:space="1" w:color="auto"/>
          <w:left w:val="single" w:sz="4" w:space="4" w:color="auto"/>
          <w:bottom w:val="single" w:sz="4" w:space="1" w:color="auto"/>
          <w:right w:val="single" w:sz="4" w:space="4" w:color="auto"/>
        </w:pBdr>
        <w:rPr>
          <w:noProof/>
        </w:rPr>
      </w:pPr>
      <w:r>
        <w:rPr>
          <w:noProof/>
        </w:rPr>
        <w:t>Дял 08 — Научни изследвания и иновации, рамкова програма „Хоризонт 2020“</w:t>
      </w:r>
    </w:p>
    <w:p>
      <w:pPr>
        <w:pStyle w:val="ManualHeading2"/>
        <w:rPr>
          <w:bCs/>
          <w:noProof/>
          <w:szCs w:val="24"/>
        </w:rPr>
      </w:pPr>
      <w:r>
        <w:t>1.3.</w:t>
      </w:r>
      <w:r>
        <w:tab/>
      </w:r>
      <w:r>
        <w:rPr>
          <w:noProof/>
        </w:rPr>
        <w:t xml:space="preserve">Естество на предложението/инициативата </w:t>
      </w:r>
    </w:p>
    <w:p>
      <w:pPr>
        <w:pStyle w:val="Text1"/>
        <w:rPr>
          <w:b/>
          <w:noProof/>
          <w:sz w:val="22"/>
        </w:rPr>
      </w:pPr>
      <w:r>
        <w:rPr>
          <w:noProof/>
        </w:rPr>
        <w:sym w:font="Wingdings" w:char="F078"/>
      </w:r>
      <w:r>
        <w:rPr>
          <w:b/>
          <w:i/>
          <w:noProof/>
          <w:sz w:val="22"/>
        </w:rPr>
        <w:t xml:space="preserve"> </w:t>
      </w:r>
      <w:r>
        <w:rPr>
          <w:noProof/>
        </w:rPr>
        <w:t xml:space="preserve">Предложението/инициативата е във връзка с </w:t>
      </w:r>
      <w:r>
        <w:rPr>
          <w:b/>
          <w:noProof/>
        </w:rPr>
        <w:t>нова дейност</w:t>
      </w:r>
      <w:r>
        <w:rPr>
          <w:b/>
          <w:noProof/>
          <w:sz w:val="22"/>
        </w:rPr>
        <w:t xml:space="preserve"> </w:t>
      </w:r>
    </w:p>
    <w:p>
      <w:pPr>
        <w:pStyle w:val="Text1"/>
        <w:rPr>
          <w:noProof/>
          <w:sz w:val="22"/>
        </w:rPr>
      </w:pPr>
      <w:r>
        <w:rPr>
          <w:noProof/>
          <w:sz w:val="22"/>
        </w:rPr>
        <w:sym w:font="Wingdings" w:char="F0A8"/>
      </w:r>
      <w:r>
        <w:rPr>
          <w:i/>
          <w:noProof/>
          <w:sz w:val="22"/>
        </w:rPr>
        <w:t xml:space="preserve"> </w:t>
      </w:r>
      <w:r>
        <w:rPr>
          <w:noProof/>
        </w:rPr>
        <w:t xml:space="preserve">Предложението/инициативата е във връзка с </w:t>
      </w:r>
      <w:r>
        <w:rPr>
          <w:b/>
          <w:noProof/>
        </w:rPr>
        <w:t>нова дейност след пилотен проект/подготвителна дейност</w:t>
      </w:r>
      <w:r>
        <w:rPr>
          <w:rStyle w:val="FootnoteReference"/>
          <w:b/>
          <w:noProof/>
        </w:rPr>
        <w:footnoteReference w:id="12"/>
      </w:r>
      <w:r>
        <w:rPr>
          <w:noProof/>
          <w:sz w:val="22"/>
        </w:rPr>
        <w:t xml:space="preserve"> </w:t>
      </w:r>
    </w:p>
    <w:p>
      <w:pPr>
        <w:pStyle w:val="Text1"/>
        <w:rPr>
          <w:noProof/>
          <w:sz w:val="22"/>
        </w:rPr>
      </w:pPr>
      <w:r>
        <w:rPr>
          <w:noProof/>
          <w:sz w:val="22"/>
        </w:rPr>
        <w:sym w:font="Wingdings" w:char="F0A8"/>
      </w:r>
      <w:r>
        <w:rPr>
          <w:i/>
          <w:noProof/>
          <w:sz w:val="22"/>
        </w:rPr>
        <w:t xml:space="preserve"> </w:t>
      </w:r>
      <w:r>
        <w:rPr>
          <w:noProof/>
        </w:rPr>
        <w:t xml:space="preserve">Предложението/инициативата е във връзка с </w:t>
      </w:r>
      <w:r>
        <w:rPr>
          <w:b/>
          <w:noProof/>
        </w:rPr>
        <w:t>продължаване на съществуваща дейност</w:t>
      </w:r>
      <w:r>
        <w:rPr>
          <w:noProof/>
          <w:sz w:val="22"/>
        </w:rPr>
        <w:t xml:space="preserve"> </w:t>
      </w:r>
    </w:p>
    <w:p>
      <w:pPr>
        <w:pStyle w:val="Text1"/>
        <w:rPr>
          <w:noProof/>
        </w:rPr>
      </w:pPr>
      <w:r>
        <w:rPr>
          <w:noProof/>
          <w:sz w:val="22"/>
        </w:rPr>
        <w:sym w:font="Wingdings" w:char="F0A8"/>
      </w:r>
      <w:r>
        <w:rPr>
          <w:i/>
          <w:noProof/>
          <w:sz w:val="22"/>
        </w:rPr>
        <w:t xml:space="preserve"> </w:t>
      </w:r>
      <w:r>
        <w:rPr>
          <w:noProof/>
        </w:rPr>
        <w:t xml:space="preserve">Предложението/инициативата е във връзка с </w:t>
      </w:r>
      <w:r>
        <w:rPr>
          <w:b/>
          <w:noProof/>
        </w:rPr>
        <w:t>дейност, пренасочена към нова дейност</w:t>
      </w:r>
      <w:r>
        <w:rPr>
          <w:noProof/>
        </w:rPr>
        <w:t xml:space="preserve"> </w:t>
      </w:r>
    </w:p>
    <w:p>
      <w:pPr>
        <w:pStyle w:val="ManualHeading2"/>
        <w:rPr>
          <w:bCs/>
          <w:noProof/>
          <w:szCs w:val="24"/>
        </w:rPr>
      </w:pPr>
      <w:r>
        <w:t>1.4.</w:t>
      </w:r>
      <w:r>
        <w:tab/>
      </w:r>
      <w:r>
        <w:rPr>
          <w:noProof/>
        </w:rPr>
        <w:t>Цели</w:t>
      </w:r>
    </w:p>
    <w:p>
      <w:pPr>
        <w:pStyle w:val="ManualHeading3"/>
        <w:rPr>
          <w:noProof/>
        </w:rPr>
      </w:pPr>
      <w:r>
        <w:t>1.4.1.</w:t>
      </w:r>
      <w:r>
        <w:tab/>
      </w:r>
      <w:r>
        <w:rPr>
          <w:noProof/>
        </w:rPr>
        <w:t xml:space="preserve">Многогодишни стратегически цели на Комисията, за чието изпълнение е предназначено предложението/инициативата </w:t>
      </w:r>
    </w:p>
    <w:p>
      <w:pPr>
        <w:pStyle w:val="Text1"/>
        <w:pBdr>
          <w:top w:val="single" w:sz="4" w:space="1" w:color="auto"/>
          <w:left w:val="single" w:sz="4" w:space="4" w:color="auto"/>
          <w:bottom w:val="single" w:sz="4" w:space="1" w:color="auto"/>
          <w:right w:val="single" w:sz="4" w:space="4" w:color="auto"/>
        </w:pBdr>
        <w:rPr>
          <w:noProof/>
        </w:rPr>
      </w:pPr>
      <w:r>
        <w:rPr>
          <w:noProof/>
        </w:rPr>
        <w:t>Стратегическата цел на съвместната програма PRIMA е да бъдат развити общи новаторски решения, които са преминали всички етапи на пилотен и демонстрационен проект, в областта на водоснабдяването и продоволствените системи в Средиземноморския регион, с цел те да бъдат направени по-устойчиви спрямо изменението на климата, ефикасни, икономически ефективни и устойчиви, като по този начин допринесат за разрешаването на проблеми на по-високо равнище в областта на храненето, здравето, благосъстоянието и миграцията.</w:t>
      </w:r>
    </w:p>
    <w:p>
      <w:pPr>
        <w:pStyle w:val="ManualHeading3"/>
        <w:rPr>
          <w:bCs/>
          <w:noProof/>
          <w:szCs w:val="24"/>
        </w:rPr>
      </w:pPr>
      <w:r>
        <w:t>1.4.2.</w:t>
      </w:r>
      <w:r>
        <w:tab/>
      </w:r>
      <w:r>
        <w:rPr>
          <w:noProof/>
        </w:rPr>
        <w:t xml:space="preserve">Конкретни цели и съответни дейности във връзка с УД/БД </w:t>
      </w:r>
    </w:p>
    <w:p>
      <w:pPr>
        <w:pStyle w:val="Text1"/>
        <w:pBdr>
          <w:top w:val="single" w:sz="4" w:space="1" w:color="auto"/>
          <w:left w:val="single" w:sz="4" w:space="4" w:color="auto"/>
          <w:bottom w:val="single" w:sz="4" w:space="1" w:color="auto"/>
          <w:right w:val="single" w:sz="4" w:space="4" w:color="auto"/>
        </w:pBdr>
        <w:rPr>
          <w:noProof/>
        </w:rPr>
      </w:pPr>
      <w:r>
        <w:rPr>
          <w:noProof/>
        </w:rPr>
        <w:t>За горепосочената стратегическа цел е необходима трайна рамка за научни изследвания и иновации, която намира конкретен израз в следните специфични цели:</w:t>
      </w:r>
    </w:p>
    <w:p>
      <w:pPr>
        <w:pStyle w:val="Text1"/>
        <w:pBdr>
          <w:top w:val="single" w:sz="4" w:space="1" w:color="auto"/>
          <w:left w:val="single" w:sz="4" w:space="4" w:color="auto"/>
          <w:bottom w:val="single" w:sz="4" w:space="1" w:color="auto"/>
          <w:right w:val="single" w:sz="4" w:space="4" w:color="auto"/>
        </w:pBdr>
        <w:rPr>
          <w:noProof/>
        </w:rPr>
      </w:pPr>
      <w:r>
        <w:rPr>
          <w:noProof/>
        </w:rPr>
        <w:t>• формулирането на стабилна, дългосрочна, обща стратегическа програма за научни изследвания и иновации в областта на водоснабдяването и продоволствените системи;</w:t>
      </w:r>
    </w:p>
    <w:p>
      <w:pPr>
        <w:pStyle w:val="Text1"/>
        <w:pBdr>
          <w:top w:val="single" w:sz="4" w:space="1" w:color="auto"/>
          <w:left w:val="single" w:sz="4" w:space="4" w:color="auto"/>
          <w:bottom w:val="single" w:sz="4" w:space="1" w:color="auto"/>
          <w:right w:val="single" w:sz="4" w:space="4" w:color="auto"/>
        </w:pBdr>
        <w:rPr>
          <w:noProof/>
        </w:rPr>
      </w:pPr>
      <w:r>
        <w:rPr>
          <w:noProof/>
        </w:rPr>
        <w:t>• ориентирането на всички национални програми за научни изследвания и иновации към изпълнението на стратегическата програма за НИИ;</w:t>
      </w:r>
    </w:p>
    <w:p>
      <w:pPr>
        <w:pStyle w:val="Text1"/>
        <w:pBdr>
          <w:top w:val="single" w:sz="4" w:space="1" w:color="auto"/>
          <w:left w:val="single" w:sz="4" w:space="4" w:color="auto"/>
          <w:bottom w:val="single" w:sz="4" w:space="1" w:color="auto"/>
          <w:right w:val="single" w:sz="4" w:space="4" w:color="auto"/>
        </w:pBdr>
        <w:rPr>
          <w:noProof/>
        </w:rPr>
      </w:pPr>
      <w:r>
        <w:rPr>
          <w:noProof/>
        </w:rPr>
        <w:t>• структурното участие на всички съответни заинтересовани страни (от публичния и частния сектор) в изпълнението на стратегическата програма за научни изследвания чрез обединяване на знания и финансови ресурси, за да се постигне необходимата критична маса;</w:t>
      </w:r>
    </w:p>
    <w:p>
      <w:pPr>
        <w:pStyle w:val="Text1"/>
        <w:pBdr>
          <w:top w:val="single" w:sz="4" w:space="1" w:color="auto"/>
          <w:left w:val="single" w:sz="4" w:space="4" w:color="auto"/>
          <w:bottom w:val="single" w:sz="4" w:space="1" w:color="auto"/>
          <w:right w:val="single" w:sz="4" w:space="4" w:color="auto"/>
        </w:pBdr>
        <w:rPr>
          <w:noProof/>
        </w:rPr>
      </w:pPr>
      <w:r>
        <w:rPr>
          <w:noProof/>
        </w:rPr>
        <w:t>• укрепването на възможностите на всички привлечени участници за финансиране и реализиране на научни изследвания и иновации.</w:t>
      </w:r>
    </w:p>
    <w:p>
      <w:pPr>
        <w:pStyle w:val="ManualHeading3"/>
        <w:rPr>
          <w:bCs/>
          <w:noProof/>
          <w:szCs w:val="24"/>
        </w:rPr>
      </w:pPr>
      <w:r>
        <w:rPr>
          <w:noProof/>
        </w:rPr>
        <w:br w:type="page"/>
      </w:r>
      <w:r>
        <w:t>1.4.3.</w:t>
      </w:r>
      <w:r>
        <w:tab/>
      </w:r>
      <w:r>
        <w:rPr>
          <w:noProof/>
        </w:rPr>
        <w:t>Очаквани резултати и въздействие</w:t>
      </w:r>
    </w:p>
    <w:p>
      <w:pPr>
        <w:pStyle w:val="Text1"/>
        <w:rPr>
          <w:i/>
          <w:noProof/>
          <w:sz w:val="20"/>
        </w:rPr>
      </w:pPr>
      <w:r>
        <w:rPr>
          <w:i/>
          <w:noProof/>
          <w:sz w:val="20"/>
        </w:rPr>
        <w:t>Да се посочат въздействията, които предложението/инициативата би трябвало да окаже върху бенефициерите/целевите групи.</w:t>
      </w:r>
    </w:p>
    <w:p>
      <w:pPr>
        <w:pStyle w:val="Text1"/>
        <w:pBdr>
          <w:top w:val="single" w:sz="4" w:space="1" w:color="auto"/>
          <w:left w:val="single" w:sz="4" w:space="4" w:color="auto"/>
          <w:bottom w:val="single" w:sz="4" w:space="1" w:color="auto"/>
          <w:right w:val="single" w:sz="4" w:space="4" w:color="auto"/>
        </w:pBdr>
        <w:rPr>
          <w:noProof/>
        </w:rPr>
      </w:pPr>
      <w:r>
        <w:rPr>
          <w:noProof/>
        </w:rPr>
        <w:t>Формулирането на стабилна, дългосрочна, обща стратегическа програма за научни изследвания и иновации в областта на водоснабдяването и продоволствените системи, което води до значителен напредък по отношение на посочените по-горе специфични цели. Очакват се също допълнителни въздействия като привличане на частни инвестиции благодарение на предвидима дългосрочна институционална ангажираност; насърчаване на научните и дипломатическите връзки между участниците (научна дипломация); укрепване на двустранните споразумения за научно и технологично сътрудничество между ЕС и отделните държави.</w:t>
      </w:r>
    </w:p>
    <w:p>
      <w:pPr>
        <w:pStyle w:val="ManualHeading3"/>
        <w:rPr>
          <w:bCs/>
          <w:noProof/>
          <w:szCs w:val="24"/>
        </w:rPr>
      </w:pPr>
      <w:r>
        <w:t>1.4.4.</w:t>
      </w:r>
      <w:r>
        <w:tab/>
      </w:r>
      <w:r>
        <w:rPr>
          <w:noProof/>
        </w:rPr>
        <w:t xml:space="preserve">Показатели за резултатите и въздействието </w:t>
      </w:r>
    </w:p>
    <w:p>
      <w:pPr>
        <w:pStyle w:val="Text1"/>
        <w:rPr>
          <w:i/>
          <w:noProof/>
          <w:sz w:val="20"/>
        </w:rPr>
      </w:pPr>
      <w:r>
        <w:rPr>
          <w:i/>
          <w:noProof/>
          <w:sz w:val="20"/>
        </w:rPr>
        <w:t>Да се посочат показателите, които позволяват да се проследи изпълнението на предложението/инициативата.</w:t>
      </w:r>
    </w:p>
    <w:p>
      <w:pPr>
        <w:pStyle w:val="Text1"/>
        <w:pBdr>
          <w:top w:val="single" w:sz="4" w:space="1" w:color="auto"/>
          <w:left w:val="single" w:sz="4" w:space="4" w:color="auto"/>
          <w:bottom w:val="single" w:sz="4" w:space="1" w:color="auto"/>
          <w:right w:val="single" w:sz="4" w:space="4" w:color="auto"/>
        </w:pBdr>
        <w:ind w:left="851"/>
        <w:rPr>
          <w:noProof/>
        </w:rPr>
      </w:pPr>
      <w:r>
        <w:rPr>
          <w:noProof/>
        </w:rPr>
        <w:t>Напредъкът по PRIMA ще се измерва както следва:</w:t>
      </w:r>
    </w:p>
    <w:p>
      <w:pPr>
        <w:pStyle w:val="Text1"/>
        <w:pBdr>
          <w:top w:val="single" w:sz="4" w:space="1" w:color="auto"/>
          <w:left w:val="single" w:sz="4" w:space="4" w:color="auto"/>
          <w:bottom w:val="single" w:sz="4" w:space="1" w:color="auto"/>
          <w:right w:val="single" w:sz="4" w:space="4" w:color="auto"/>
        </w:pBdr>
        <w:ind w:left="851"/>
        <w:rPr>
          <w:noProof/>
        </w:rPr>
      </w:pPr>
      <w:r>
        <w:rPr>
          <w:noProof/>
        </w:rPr>
        <w:t>1. Чрез показатели за изпълнение, и по-конкретно показатели за постигнатите резултати и показатели за вложените ресурси, за да се оцени средносрочният напредък по дейностите на PRIMA:</w:t>
      </w:r>
    </w:p>
    <w:p>
      <w:pPr>
        <w:pStyle w:val="Text1"/>
        <w:pBdr>
          <w:top w:val="single" w:sz="4" w:space="1" w:color="auto"/>
          <w:left w:val="single" w:sz="4" w:space="4" w:color="auto"/>
          <w:bottom w:val="single" w:sz="4" w:space="1" w:color="auto"/>
          <w:right w:val="single" w:sz="4" w:space="4" w:color="auto"/>
        </w:pBdr>
        <w:ind w:left="851"/>
        <w:rPr>
          <w:noProof/>
        </w:rPr>
      </w:pPr>
      <w:r>
        <w:rPr>
          <w:noProof/>
        </w:rPr>
        <w:t>а) Показатели за постигнатите резултати:</w:t>
      </w:r>
    </w:p>
    <w:p>
      <w:pPr>
        <w:pStyle w:val="Text1"/>
        <w:pBdr>
          <w:top w:val="single" w:sz="4" w:space="1" w:color="auto"/>
          <w:left w:val="single" w:sz="4" w:space="4" w:color="auto"/>
          <w:bottom w:val="single" w:sz="4" w:space="1" w:color="auto"/>
          <w:right w:val="single" w:sz="4" w:space="4" w:color="auto"/>
        </w:pBdr>
        <w:ind w:left="851"/>
        <w:rPr>
          <w:noProof/>
        </w:rPr>
      </w:pPr>
      <w:r>
        <w:rPr>
          <w:noProof/>
        </w:rPr>
        <w:t>• пилотни и демонстрационни проекти с голям мащаб</w:t>
      </w:r>
    </w:p>
    <w:p>
      <w:pPr>
        <w:pStyle w:val="Text1"/>
        <w:pBdr>
          <w:top w:val="single" w:sz="4" w:space="1" w:color="auto"/>
          <w:left w:val="single" w:sz="4" w:space="4" w:color="auto"/>
          <w:bottom w:val="single" w:sz="4" w:space="1" w:color="auto"/>
          <w:right w:val="single" w:sz="4" w:space="4" w:color="auto"/>
        </w:pBdr>
        <w:ind w:left="851"/>
        <w:rPr>
          <w:noProof/>
        </w:rPr>
      </w:pPr>
      <w:r>
        <w:rPr>
          <w:noProof/>
        </w:rPr>
        <w:t>• национални приоритети за (финансиране на) научни изследвания, пригодени като резултати, и приоритети (за НИИ) на стратегическата програма за научни изследвания и иновации (СПНИИ)</w:t>
      </w:r>
    </w:p>
    <w:p>
      <w:pPr>
        <w:pStyle w:val="Text1"/>
        <w:pBdr>
          <w:top w:val="single" w:sz="4" w:space="1" w:color="auto"/>
          <w:left w:val="single" w:sz="4" w:space="4" w:color="auto"/>
          <w:bottom w:val="single" w:sz="4" w:space="1" w:color="auto"/>
          <w:right w:val="single" w:sz="4" w:space="4" w:color="auto"/>
        </w:pBdr>
        <w:ind w:left="851"/>
        <w:rPr>
          <w:noProof/>
        </w:rPr>
      </w:pPr>
      <w:r>
        <w:rPr>
          <w:noProof/>
        </w:rPr>
        <w:t>• привеждане в съответствие на националните програми за финансиране на НИИ</w:t>
      </w:r>
    </w:p>
    <w:p>
      <w:pPr>
        <w:pStyle w:val="Text1"/>
        <w:pBdr>
          <w:top w:val="single" w:sz="4" w:space="1" w:color="auto"/>
          <w:left w:val="single" w:sz="4" w:space="4" w:color="auto"/>
          <w:bottom w:val="single" w:sz="4" w:space="1" w:color="auto"/>
          <w:right w:val="single" w:sz="4" w:space="4" w:color="auto"/>
        </w:pBdr>
        <w:ind w:left="851"/>
        <w:rPr>
          <w:noProof/>
        </w:rPr>
      </w:pPr>
      <w:r>
        <w:rPr>
          <w:noProof/>
        </w:rPr>
        <w:t>• нови или актуализирани национални стратегии, които отразяват въздействието на инициативата</w:t>
      </w:r>
    </w:p>
    <w:p>
      <w:pPr>
        <w:pStyle w:val="Text1"/>
        <w:pBdr>
          <w:top w:val="single" w:sz="4" w:space="1" w:color="auto"/>
          <w:left w:val="single" w:sz="4" w:space="4" w:color="auto"/>
          <w:bottom w:val="single" w:sz="4" w:space="1" w:color="auto"/>
          <w:right w:val="single" w:sz="4" w:space="4" w:color="auto"/>
        </w:pBdr>
        <w:ind w:left="851"/>
        <w:rPr>
          <w:noProof/>
        </w:rPr>
      </w:pPr>
      <w:r>
        <w:rPr>
          <w:noProof/>
        </w:rPr>
        <w:t>• ползи по отношение на ефикасността чрез обединяване на ресурси. Дял на публичните инвестиции на участващите държави. Обем и дял на съфинансирането от ЕС и третите държави от Средиземноморието. Оперативни разходи. Срок за отпускане на безвъзмездни средства. Срок за плащанията на безвъзмездни средства</w:t>
      </w:r>
    </w:p>
    <w:p>
      <w:pPr>
        <w:pStyle w:val="Text1"/>
        <w:pBdr>
          <w:top w:val="single" w:sz="4" w:space="1" w:color="auto"/>
          <w:left w:val="single" w:sz="4" w:space="4" w:color="auto"/>
          <w:bottom w:val="single" w:sz="4" w:space="1" w:color="auto"/>
          <w:right w:val="single" w:sz="4" w:space="4" w:color="auto"/>
        </w:pBdr>
        <w:ind w:left="851"/>
        <w:rPr>
          <w:noProof/>
        </w:rPr>
      </w:pPr>
      <w:r>
        <w:rPr>
          <w:noProof/>
        </w:rPr>
        <w:t>• разпределено финансиране чрез съвместни транснационални покани за представяне на предложения или финансиране на дейности извън проекти</w:t>
      </w:r>
    </w:p>
    <w:p>
      <w:pPr>
        <w:pStyle w:val="Text1"/>
        <w:pBdr>
          <w:top w:val="single" w:sz="4" w:space="1" w:color="auto"/>
          <w:left w:val="single" w:sz="4" w:space="4" w:color="auto"/>
          <w:bottom w:val="single" w:sz="4" w:space="1" w:color="auto"/>
          <w:right w:val="single" w:sz="4" w:space="4" w:color="auto"/>
        </w:pBdr>
        <w:ind w:left="851"/>
        <w:rPr>
          <w:noProof/>
        </w:rPr>
      </w:pPr>
      <w:r>
        <w:rPr>
          <w:noProof/>
        </w:rPr>
        <w:t>• ръст в дела на реализираните модели на устойчиво управление на водоснабдяването и продоволствените системи в Средиземноморския регион</w:t>
      </w:r>
    </w:p>
    <w:p>
      <w:pPr>
        <w:pStyle w:val="Text1"/>
        <w:pBdr>
          <w:top w:val="single" w:sz="4" w:space="1" w:color="auto"/>
          <w:left w:val="single" w:sz="4" w:space="4" w:color="auto"/>
          <w:bottom w:val="single" w:sz="4" w:space="1" w:color="auto"/>
          <w:right w:val="single" w:sz="4" w:space="4" w:color="auto"/>
        </w:pBdr>
        <w:ind w:left="851"/>
        <w:rPr>
          <w:noProof/>
        </w:rPr>
      </w:pPr>
      <w:r>
        <w:rPr>
          <w:noProof/>
        </w:rPr>
        <w:t>• ръст в дела на реализираните нови стратегии за подобряване на ефективността при снабдяването с вода и храни и намаляването на отпадъците, разработени за Средиземноморския регион</w:t>
      </w:r>
    </w:p>
    <w:p>
      <w:pPr>
        <w:pStyle w:val="Text1"/>
        <w:pBdr>
          <w:top w:val="single" w:sz="4" w:space="1" w:color="auto"/>
          <w:left w:val="single" w:sz="4" w:space="4" w:color="auto"/>
          <w:bottom w:val="single" w:sz="4" w:space="1" w:color="auto"/>
          <w:right w:val="single" w:sz="4" w:space="4" w:color="auto"/>
        </w:pBdr>
        <w:ind w:left="851"/>
        <w:rPr>
          <w:noProof/>
        </w:rPr>
      </w:pPr>
      <w:r>
        <w:rPr>
          <w:noProof/>
        </w:rPr>
        <w:t>• нови бизнес модели и стратегии, ориентирани към качество на водата и храните, приети на национално и регионално равнище</w:t>
      </w:r>
    </w:p>
    <w:p>
      <w:pPr>
        <w:pStyle w:val="Text1"/>
        <w:pBdr>
          <w:top w:val="single" w:sz="4" w:space="1" w:color="auto"/>
          <w:left w:val="single" w:sz="4" w:space="4" w:color="auto"/>
          <w:bottom w:val="single" w:sz="4" w:space="1" w:color="auto"/>
          <w:right w:val="single" w:sz="4" w:space="4" w:color="auto"/>
        </w:pBdr>
        <w:ind w:left="851"/>
        <w:rPr>
          <w:noProof/>
        </w:rPr>
      </w:pPr>
      <w:r>
        <w:rPr>
          <w:noProof/>
        </w:rPr>
        <w:t>• разширяване на националните екипи, участващи в проекти за НИИ за подобряване на ефективността в управлението на водоснабдяването и продоволствените системи</w:t>
      </w:r>
    </w:p>
    <w:p>
      <w:pPr>
        <w:pStyle w:val="Text1"/>
        <w:pBdr>
          <w:top w:val="single" w:sz="4" w:space="1" w:color="auto"/>
          <w:left w:val="single" w:sz="4" w:space="4" w:color="auto"/>
          <w:bottom w:val="single" w:sz="4" w:space="1" w:color="auto"/>
          <w:right w:val="single" w:sz="4" w:space="4" w:color="auto"/>
        </w:pBdr>
        <w:ind w:left="851"/>
        <w:rPr>
          <w:noProof/>
        </w:rPr>
      </w:pPr>
      <w:r>
        <w:rPr>
          <w:noProof/>
        </w:rPr>
        <w:t>• брой на държавите, в които се прилагат решения за икономия на вода</w:t>
      </w:r>
    </w:p>
    <w:p>
      <w:pPr>
        <w:pStyle w:val="Text1"/>
        <w:pBdr>
          <w:top w:val="single" w:sz="4" w:space="1" w:color="auto"/>
          <w:left w:val="single" w:sz="4" w:space="4" w:color="auto"/>
          <w:bottom w:val="single" w:sz="4" w:space="1" w:color="auto"/>
          <w:right w:val="single" w:sz="4" w:space="4" w:color="auto"/>
        </w:pBdr>
        <w:ind w:left="851"/>
        <w:rPr>
          <w:noProof/>
        </w:rPr>
      </w:pPr>
      <w:r>
        <w:rPr>
          <w:noProof/>
        </w:rPr>
        <w:t>• годишен брой на транснационалните покани за представяне на предложения, насочени към водоснабдяването и продоволствените системи</w:t>
      </w:r>
    </w:p>
    <w:p>
      <w:pPr>
        <w:pStyle w:val="Text1"/>
        <w:pBdr>
          <w:top w:val="single" w:sz="4" w:space="1" w:color="auto"/>
          <w:left w:val="single" w:sz="4" w:space="4" w:color="auto"/>
          <w:bottom w:val="single" w:sz="4" w:space="1" w:color="auto"/>
          <w:right w:val="single" w:sz="4" w:space="4" w:color="auto"/>
        </w:pBdr>
        <w:ind w:left="851"/>
        <w:rPr>
          <w:noProof/>
        </w:rPr>
      </w:pPr>
      <w:r>
        <w:rPr>
          <w:noProof/>
        </w:rPr>
        <w:t>б) Показатели за вложените ресурси:</w:t>
      </w:r>
    </w:p>
    <w:p>
      <w:pPr>
        <w:pStyle w:val="Text1"/>
        <w:pBdr>
          <w:top w:val="single" w:sz="4" w:space="1" w:color="auto"/>
          <w:left w:val="single" w:sz="4" w:space="4" w:color="auto"/>
          <w:bottom w:val="single" w:sz="4" w:space="1" w:color="auto"/>
          <w:right w:val="single" w:sz="4" w:space="4" w:color="auto"/>
        </w:pBdr>
        <w:ind w:left="851"/>
        <w:rPr>
          <w:noProof/>
        </w:rPr>
      </w:pPr>
      <w:r>
        <w:rPr>
          <w:noProof/>
        </w:rPr>
        <w:t>• степен на участие в заседанията на Управителния съвет на участващите държави</w:t>
      </w:r>
    </w:p>
    <w:p>
      <w:pPr>
        <w:pStyle w:val="Text1"/>
        <w:pBdr>
          <w:top w:val="single" w:sz="4" w:space="1" w:color="auto"/>
          <w:left w:val="single" w:sz="4" w:space="4" w:color="auto"/>
          <w:bottom w:val="single" w:sz="4" w:space="1" w:color="auto"/>
          <w:right w:val="single" w:sz="4" w:space="4" w:color="auto"/>
        </w:pBdr>
        <w:ind w:left="851"/>
        <w:rPr>
          <w:noProof/>
        </w:rPr>
      </w:pPr>
      <w:r>
        <w:rPr>
          <w:noProof/>
        </w:rPr>
        <w:t>• допълнителни държави, участващи в инициативата</w:t>
      </w:r>
    </w:p>
    <w:p>
      <w:pPr>
        <w:pStyle w:val="Text1"/>
        <w:pBdr>
          <w:top w:val="single" w:sz="4" w:space="1" w:color="auto"/>
          <w:left w:val="single" w:sz="4" w:space="4" w:color="auto"/>
          <w:bottom w:val="single" w:sz="4" w:space="1" w:color="auto"/>
          <w:right w:val="single" w:sz="4" w:space="4" w:color="auto"/>
        </w:pBdr>
        <w:ind w:left="851"/>
        <w:rPr>
          <w:noProof/>
        </w:rPr>
      </w:pPr>
      <w:r>
        <w:rPr>
          <w:noProof/>
        </w:rPr>
        <w:t>• държави, които отпадат като участващи държави</w:t>
      </w:r>
    </w:p>
    <w:p>
      <w:pPr>
        <w:pStyle w:val="Text1"/>
        <w:pBdr>
          <w:top w:val="single" w:sz="4" w:space="1" w:color="auto"/>
          <w:left w:val="single" w:sz="4" w:space="4" w:color="auto"/>
          <w:bottom w:val="single" w:sz="4" w:space="1" w:color="auto"/>
          <w:right w:val="single" w:sz="4" w:space="4" w:color="auto"/>
        </w:pBdr>
        <w:ind w:left="851"/>
        <w:rPr>
          <w:noProof/>
        </w:rPr>
      </w:pPr>
      <w:r>
        <w:rPr>
          <w:noProof/>
        </w:rPr>
        <w:t>• действителните поети финансови задължения в натура от участващите държави</w:t>
      </w:r>
    </w:p>
    <w:p>
      <w:pPr>
        <w:pStyle w:val="Text1"/>
        <w:pBdr>
          <w:top w:val="single" w:sz="4" w:space="1" w:color="auto"/>
          <w:left w:val="single" w:sz="4" w:space="4" w:color="auto"/>
          <w:bottom w:val="single" w:sz="4" w:space="1" w:color="auto"/>
          <w:right w:val="single" w:sz="4" w:space="4" w:color="auto"/>
        </w:pBdr>
        <w:rPr>
          <w:noProof/>
        </w:rPr>
      </w:pPr>
      <w:r>
        <w:rPr>
          <w:noProof/>
        </w:rPr>
        <w:t>• напредък по актуализираните цели на стратегическата програма за научни изследвания и иновации (СПНИИ)</w:t>
      </w:r>
    </w:p>
    <w:p>
      <w:pPr>
        <w:pStyle w:val="Text1"/>
        <w:pBdr>
          <w:top w:val="single" w:sz="4" w:space="1" w:color="auto"/>
          <w:left w:val="single" w:sz="4" w:space="4" w:color="auto"/>
          <w:bottom w:val="single" w:sz="4" w:space="1" w:color="auto"/>
          <w:right w:val="single" w:sz="4" w:space="4" w:color="auto"/>
        </w:pBdr>
        <w:rPr>
          <w:noProof/>
        </w:rPr>
      </w:pPr>
      <w:r>
        <w:rPr>
          <w:noProof/>
        </w:rPr>
        <w:t>• участие на равни начала от страна на всички трети държави</w:t>
      </w:r>
    </w:p>
    <w:p>
      <w:pPr>
        <w:pStyle w:val="Text1"/>
        <w:pBdr>
          <w:top w:val="single" w:sz="4" w:space="1" w:color="auto"/>
          <w:left w:val="single" w:sz="4" w:space="4" w:color="auto"/>
          <w:bottom w:val="single" w:sz="4" w:space="1" w:color="auto"/>
          <w:right w:val="single" w:sz="4" w:space="4" w:color="auto"/>
        </w:pBdr>
        <w:rPr>
          <w:noProof/>
        </w:rPr>
      </w:pPr>
      <w:r>
        <w:rPr>
          <w:noProof/>
        </w:rPr>
        <w:t>2. Чрез конкретни показатели, основани на рамката на целите за устойчиво развитие (ЦУР), и с акцент основно, но не единствено върху продоволствената сигурност (ЦУР 2) и устойчивото управление на водите (ЦУР 6). Най-важните показатели и тяхната връзка с оперативните цели са:</w:t>
      </w:r>
    </w:p>
    <w:p>
      <w:pPr>
        <w:pStyle w:val="Text1"/>
        <w:pBdr>
          <w:top w:val="single" w:sz="4" w:space="1" w:color="auto"/>
          <w:left w:val="single" w:sz="4" w:space="4" w:color="auto"/>
          <w:bottom w:val="single" w:sz="4" w:space="1" w:color="auto"/>
          <w:right w:val="single" w:sz="4" w:space="4" w:color="auto"/>
        </w:pBdr>
        <w:spacing w:before="0" w:after="0"/>
        <w:rPr>
          <w:noProof/>
        </w:rPr>
      </w:pPr>
      <w:r>
        <w:rPr>
          <w:noProof/>
        </w:rPr>
        <w:t xml:space="preserve">• Индекс на многомерната бедност </w:t>
      </w:r>
    </w:p>
    <w:p>
      <w:pPr>
        <w:pStyle w:val="Text1"/>
        <w:pBdr>
          <w:top w:val="single" w:sz="4" w:space="1" w:color="auto"/>
          <w:left w:val="single" w:sz="4" w:space="4" w:color="auto"/>
          <w:bottom w:val="single" w:sz="4" w:space="1" w:color="auto"/>
          <w:right w:val="single" w:sz="4" w:space="4" w:color="auto"/>
        </w:pBdr>
        <w:spacing w:before="0" w:after="0"/>
        <w:rPr>
          <w:noProof/>
        </w:rPr>
      </w:pPr>
      <w:r>
        <w:rPr>
          <w:noProof/>
        </w:rPr>
        <w:sym w:font="Wingdings" w:char="F0E0"/>
      </w:r>
      <w:r>
        <w:rPr>
          <w:noProof/>
        </w:rPr>
        <w:t xml:space="preserve">Цел 1 (интелигентно и устойчиво селско стопанство, природни ресурси, увеличаване на производството), </w:t>
      </w:r>
    </w:p>
    <w:p>
      <w:pPr>
        <w:pStyle w:val="Text1"/>
        <w:pBdr>
          <w:top w:val="single" w:sz="4" w:space="1" w:color="auto"/>
          <w:left w:val="single" w:sz="4" w:space="4" w:color="auto"/>
          <w:bottom w:val="single" w:sz="4" w:space="1" w:color="auto"/>
          <w:right w:val="single" w:sz="4" w:space="4" w:color="auto"/>
        </w:pBdr>
        <w:spacing w:before="0" w:after="0"/>
        <w:rPr>
          <w:noProof/>
        </w:rPr>
      </w:pPr>
      <w:r>
        <w:rPr>
          <w:noProof/>
        </w:rPr>
        <w:sym w:font="Wingdings" w:char="F0E0"/>
      </w:r>
      <w:r>
        <w:rPr>
          <w:noProof/>
        </w:rPr>
        <w:t>Цел 4 (решения за подобряване на ефективността по веригата за снабдяване с вода и храна, намаляване на загубите и отпадъците),</w:t>
      </w:r>
    </w:p>
    <w:p>
      <w:pPr>
        <w:pStyle w:val="Text1"/>
        <w:pBdr>
          <w:top w:val="single" w:sz="4" w:space="1" w:color="auto"/>
          <w:left w:val="single" w:sz="4" w:space="4" w:color="auto"/>
          <w:bottom w:val="single" w:sz="4" w:space="1" w:color="auto"/>
          <w:right w:val="single" w:sz="4" w:space="4" w:color="auto"/>
        </w:pBdr>
        <w:spacing w:before="0" w:after="0"/>
        <w:rPr>
          <w:noProof/>
        </w:rPr>
      </w:pPr>
      <w:r>
        <w:rPr>
          <w:noProof/>
        </w:rPr>
        <w:sym w:font="Wingdings" w:char="F0E0"/>
      </w:r>
      <w:r>
        <w:rPr>
          <w:noProof/>
        </w:rPr>
        <w:t>Цел 5 (намаляване на вредителите и патогените в селското стопанство, здравето на човека).</w:t>
      </w:r>
    </w:p>
    <w:p>
      <w:pPr>
        <w:pStyle w:val="Text1"/>
        <w:pBdr>
          <w:top w:val="single" w:sz="4" w:space="1" w:color="auto"/>
          <w:left w:val="single" w:sz="4" w:space="4" w:color="auto"/>
          <w:bottom w:val="single" w:sz="4" w:space="1" w:color="auto"/>
          <w:right w:val="single" w:sz="4" w:space="4" w:color="auto"/>
        </w:pBdr>
        <w:spacing w:before="0" w:after="0"/>
        <w:rPr>
          <w:noProof/>
        </w:rPr>
      </w:pPr>
    </w:p>
    <w:p>
      <w:pPr>
        <w:pStyle w:val="Text1"/>
        <w:pBdr>
          <w:top w:val="single" w:sz="4" w:space="1" w:color="auto"/>
          <w:left w:val="single" w:sz="4" w:space="4" w:color="auto"/>
          <w:bottom w:val="single" w:sz="4" w:space="1" w:color="auto"/>
          <w:right w:val="single" w:sz="4" w:space="4" w:color="auto"/>
        </w:pBdr>
        <w:spacing w:before="0" w:after="0"/>
        <w:rPr>
          <w:noProof/>
        </w:rPr>
      </w:pPr>
      <w:r>
        <w:rPr>
          <w:noProof/>
        </w:rPr>
        <w:t>• Наднорменото тегло сред населението (%)</w:t>
      </w:r>
    </w:p>
    <w:p>
      <w:pPr>
        <w:pStyle w:val="Text1"/>
        <w:pBdr>
          <w:top w:val="single" w:sz="4" w:space="1" w:color="auto"/>
          <w:left w:val="single" w:sz="4" w:space="4" w:color="auto"/>
          <w:bottom w:val="single" w:sz="4" w:space="1" w:color="auto"/>
          <w:right w:val="single" w:sz="4" w:space="4" w:color="auto"/>
        </w:pBdr>
        <w:spacing w:before="0" w:after="0"/>
        <w:rPr>
          <w:noProof/>
        </w:rPr>
      </w:pPr>
      <w:r>
        <w:rPr>
          <w:noProof/>
        </w:rPr>
        <w:sym w:font="Wingdings" w:char="F0E0"/>
      </w:r>
      <w:r>
        <w:rPr>
          <w:noProof/>
        </w:rPr>
        <w:t xml:space="preserve">Цел 3 (решения за селското стопанство и хранително-вкусовата промишленост, наследството на Средиземноморието в областта на храненето). </w:t>
      </w:r>
    </w:p>
    <w:p>
      <w:pPr>
        <w:pStyle w:val="Text1"/>
        <w:pBdr>
          <w:top w:val="single" w:sz="4" w:space="1" w:color="auto"/>
          <w:left w:val="single" w:sz="4" w:space="4" w:color="auto"/>
          <w:bottom w:val="single" w:sz="4" w:space="1" w:color="auto"/>
          <w:right w:val="single" w:sz="4" w:space="4" w:color="auto"/>
        </w:pBdr>
        <w:spacing w:before="0" w:after="0"/>
        <w:rPr>
          <w:noProof/>
        </w:rPr>
      </w:pPr>
    </w:p>
    <w:p>
      <w:pPr>
        <w:pStyle w:val="Text1"/>
        <w:pBdr>
          <w:top w:val="single" w:sz="4" w:space="1" w:color="auto"/>
          <w:left w:val="single" w:sz="4" w:space="4" w:color="auto"/>
          <w:bottom w:val="single" w:sz="4" w:space="1" w:color="auto"/>
          <w:right w:val="single" w:sz="4" w:space="4" w:color="auto"/>
        </w:pBdr>
        <w:spacing w:before="0" w:after="0"/>
        <w:rPr>
          <w:noProof/>
        </w:rPr>
      </w:pPr>
      <w:r>
        <w:rPr>
          <w:noProof/>
        </w:rPr>
        <w:t>• Земеползване (%).</w:t>
      </w:r>
    </w:p>
    <w:p>
      <w:pPr>
        <w:pStyle w:val="Text1"/>
        <w:pBdr>
          <w:top w:val="single" w:sz="4" w:space="1" w:color="auto"/>
          <w:left w:val="single" w:sz="4" w:space="4" w:color="auto"/>
          <w:bottom w:val="single" w:sz="4" w:space="1" w:color="auto"/>
          <w:right w:val="single" w:sz="4" w:space="4" w:color="auto"/>
        </w:pBdr>
        <w:spacing w:before="0" w:after="0"/>
        <w:rPr>
          <w:noProof/>
        </w:rPr>
      </w:pPr>
      <w:r>
        <w:rPr>
          <w:noProof/>
        </w:rPr>
        <w:sym w:font="Wingdings" w:char="F0E0"/>
      </w:r>
      <w:r>
        <w:rPr>
          <w:noProof/>
        </w:rPr>
        <w:t>Цел 7 (подобряване на устойчивостта на земята и водите в полупустинни водосборни басейни).</w:t>
      </w:r>
    </w:p>
    <w:p>
      <w:pPr>
        <w:pStyle w:val="Text1"/>
        <w:pBdr>
          <w:top w:val="single" w:sz="4" w:space="1" w:color="auto"/>
          <w:left w:val="single" w:sz="4" w:space="4" w:color="auto"/>
          <w:bottom w:val="single" w:sz="4" w:space="1" w:color="auto"/>
          <w:right w:val="single" w:sz="4" w:space="4" w:color="auto"/>
        </w:pBdr>
        <w:spacing w:before="0" w:after="0"/>
        <w:rPr>
          <w:noProof/>
        </w:rPr>
      </w:pPr>
    </w:p>
    <w:p>
      <w:pPr>
        <w:pStyle w:val="Text1"/>
        <w:pBdr>
          <w:top w:val="single" w:sz="4" w:space="1" w:color="auto"/>
          <w:left w:val="single" w:sz="4" w:space="4" w:color="auto"/>
          <w:bottom w:val="single" w:sz="4" w:space="1" w:color="auto"/>
          <w:right w:val="single" w:sz="4" w:space="4" w:color="auto"/>
        </w:pBdr>
        <w:spacing w:before="0" w:after="0"/>
        <w:rPr>
          <w:noProof/>
        </w:rPr>
      </w:pPr>
      <w:r>
        <w:rPr>
          <w:noProof/>
        </w:rPr>
        <w:t>• Емисии на парникови газове (общо и от селското и горското стопанство и друго земеползване (AFOLU) – t CO</w:t>
      </w:r>
      <w:r>
        <w:rPr>
          <w:noProof/>
          <w:vertAlign w:val="superscript"/>
        </w:rPr>
        <w:t>2</w:t>
      </w:r>
      <w:r>
        <w:rPr>
          <w:noProof/>
        </w:rPr>
        <w:t>e)</w:t>
      </w:r>
    </w:p>
    <w:p>
      <w:pPr>
        <w:pStyle w:val="Text1"/>
        <w:pBdr>
          <w:top w:val="single" w:sz="4" w:space="1" w:color="auto"/>
          <w:left w:val="single" w:sz="4" w:space="4" w:color="auto"/>
          <w:bottom w:val="single" w:sz="4" w:space="1" w:color="auto"/>
          <w:right w:val="single" w:sz="4" w:space="4" w:color="auto"/>
        </w:pBdr>
        <w:spacing w:before="0" w:after="0"/>
        <w:rPr>
          <w:noProof/>
        </w:rPr>
      </w:pPr>
      <w:r>
        <w:rPr>
          <w:noProof/>
        </w:rPr>
        <w:sym w:font="Wingdings" w:char="F0E0"/>
      </w:r>
      <w:r>
        <w:rPr>
          <w:noProof/>
        </w:rPr>
        <w:t xml:space="preserve">Цел 1 </w:t>
      </w:r>
    </w:p>
    <w:p>
      <w:pPr>
        <w:pStyle w:val="Text1"/>
        <w:pBdr>
          <w:top w:val="single" w:sz="4" w:space="1" w:color="auto"/>
          <w:left w:val="single" w:sz="4" w:space="4" w:color="auto"/>
          <w:bottom w:val="single" w:sz="4" w:space="1" w:color="auto"/>
          <w:right w:val="single" w:sz="4" w:space="4" w:color="auto"/>
        </w:pBdr>
        <w:spacing w:before="0" w:after="0"/>
        <w:rPr>
          <w:noProof/>
        </w:rPr>
      </w:pPr>
    </w:p>
    <w:p>
      <w:pPr>
        <w:pStyle w:val="Text1"/>
        <w:pBdr>
          <w:top w:val="single" w:sz="4" w:space="1" w:color="auto"/>
          <w:left w:val="single" w:sz="4" w:space="4" w:color="auto"/>
          <w:bottom w:val="single" w:sz="4" w:space="1" w:color="auto"/>
          <w:right w:val="single" w:sz="4" w:space="4" w:color="auto"/>
        </w:pBdr>
        <w:spacing w:before="0" w:after="0"/>
        <w:rPr>
          <w:noProof/>
        </w:rPr>
      </w:pPr>
      <w:r>
        <w:rPr>
          <w:noProof/>
        </w:rPr>
        <w:t xml:space="preserve">• Добив от зърнени култури (kg/ha) </w:t>
      </w:r>
    </w:p>
    <w:p>
      <w:pPr>
        <w:pStyle w:val="Text1"/>
        <w:pBdr>
          <w:top w:val="single" w:sz="4" w:space="1" w:color="auto"/>
          <w:left w:val="single" w:sz="4" w:space="4" w:color="auto"/>
          <w:bottom w:val="single" w:sz="4" w:space="1" w:color="auto"/>
          <w:right w:val="single" w:sz="4" w:space="4" w:color="auto"/>
        </w:pBdr>
        <w:spacing w:before="0" w:after="0"/>
        <w:rPr>
          <w:noProof/>
        </w:rPr>
      </w:pPr>
      <w:r>
        <w:rPr>
          <w:noProof/>
        </w:rPr>
        <w:sym w:font="Wingdings" w:char="F0E0"/>
      </w:r>
      <w:r>
        <w:rPr>
          <w:noProof/>
        </w:rPr>
        <w:t>Цел 1</w:t>
      </w:r>
    </w:p>
    <w:p>
      <w:pPr>
        <w:pStyle w:val="Text1"/>
        <w:pBdr>
          <w:top w:val="single" w:sz="4" w:space="1" w:color="auto"/>
          <w:left w:val="single" w:sz="4" w:space="4" w:color="auto"/>
          <w:bottom w:val="single" w:sz="4" w:space="1" w:color="auto"/>
          <w:right w:val="single" w:sz="4" w:space="4" w:color="auto"/>
        </w:pBdr>
        <w:spacing w:before="0" w:after="0"/>
        <w:rPr>
          <w:noProof/>
        </w:rPr>
      </w:pPr>
    </w:p>
    <w:p>
      <w:pPr>
        <w:pStyle w:val="Text1"/>
        <w:pBdr>
          <w:top w:val="single" w:sz="4" w:space="1" w:color="auto"/>
          <w:left w:val="single" w:sz="4" w:space="4" w:color="auto"/>
          <w:bottom w:val="single" w:sz="4" w:space="1" w:color="auto"/>
          <w:right w:val="single" w:sz="4" w:space="4" w:color="auto"/>
        </w:pBdr>
        <w:spacing w:before="0" w:after="0"/>
        <w:rPr>
          <w:noProof/>
        </w:rPr>
      </w:pPr>
      <w:r>
        <w:rPr>
          <w:noProof/>
        </w:rPr>
        <w:t>• Добавена стойност в селското стопанство (EUR/работник).</w:t>
      </w:r>
    </w:p>
    <w:p>
      <w:pPr>
        <w:pStyle w:val="Text1"/>
        <w:pBdr>
          <w:top w:val="single" w:sz="4" w:space="1" w:color="auto"/>
          <w:left w:val="single" w:sz="4" w:space="4" w:color="auto"/>
          <w:bottom w:val="single" w:sz="4" w:space="1" w:color="auto"/>
          <w:right w:val="single" w:sz="4" w:space="4" w:color="auto"/>
        </w:pBdr>
        <w:spacing w:before="0" w:after="0"/>
        <w:rPr>
          <w:noProof/>
        </w:rPr>
      </w:pPr>
      <w:r>
        <w:rPr>
          <w:noProof/>
        </w:rPr>
        <w:sym w:font="Wingdings" w:char="F0E0"/>
      </w:r>
      <w:r>
        <w:rPr>
          <w:noProof/>
        </w:rPr>
        <w:t>Цел 6 (новаторски модели в селското стопанство, нови работни места, икономически растеж).</w:t>
      </w:r>
    </w:p>
    <w:p>
      <w:pPr>
        <w:pStyle w:val="Text1"/>
        <w:pBdr>
          <w:top w:val="single" w:sz="4" w:space="1" w:color="auto"/>
          <w:left w:val="single" w:sz="4" w:space="4" w:color="auto"/>
          <w:bottom w:val="single" w:sz="4" w:space="1" w:color="auto"/>
          <w:right w:val="single" w:sz="4" w:space="4" w:color="auto"/>
        </w:pBdr>
        <w:spacing w:before="0" w:after="0"/>
        <w:rPr>
          <w:noProof/>
        </w:rPr>
      </w:pPr>
    </w:p>
    <w:p>
      <w:pPr>
        <w:pStyle w:val="Text1"/>
        <w:pBdr>
          <w:top w:val="single" w:sz="4" w:space="1" w:color="auto"/>
          <w:left w:val="single" w:sz="4" w:space="4" w:color="auto"/>
          <w:bottom w:val="single" w:sz="4" w:space="1" w:color="auto"/>
          <w:right w:val="single" w:sz="4" w:space="4" w:color="auto"/>
        </w:pBdr>
        <w:spacing w:before="0" w:after="0"/>
        <w:rPr>
          <w:noProof/>
        </w:rPr>
      </w:pPr>
      <w:r>
        <w:rPr>
          <w:noProof/>
        </w:rPr>
        <w:t>• Потребление на торове (kg/ha обработваема земя)</w:t>
      </w:r>
    </w:p>
    <w:p>
      <w:pPr>
        <w:pStyle w:val="Text1"/>
        <w:pBdr>
          <w:top w:val="single" w:sz="4" w:space="1" w:color="auto"/>
          <w:left w:val="single" w:sz="4" w:space="4" w:color="auto"/>
          <w:bottom w:val="single" w:sz="4" w:space="1" w:color="auto"/>
          <w:right w:val="single" w:sz="4" w:space="4" w:color="auto"/>
        </w:pBdr>
        <w:spacing w:before="0" w:after="0"/>
        <w:rPr>
          <w:noProof/>
        </w:rPr>
      </w:pPr>
      <w:r>
        <w:rPr>
          <w:noProof/>
        </w:rPr>
        <w:sym w:font="Wingdings" w:char="F0E0"/>
      </w:r>
      <w:r>
        <w:rPr>
          <w:noProof/>
        </w:rPr>
        <w:t>Цел 1</w:t>
      </w:r>
    </w:p>
    <w:p>
      <w:pPr>
        <w:pStyle w:val="Text1"/>
        <w:pBdr>
          <w:top w:val="single" w:sz="4" w:space="1" w:color="auto"/>
          <w:left w:val="single" w:sz="4" w:space="4" w:color="auto"/>
          <w:bottom w:val="single" w:sz="4" w:space="1" w:color="auto"/>
          <w:right w:val="single" w:sz="4" w:space="4" w:color="auto"/>
        </w:pBdr>
        <w:spacing w:before="0" w:after="0"/>
        <w:rPr>
          <w:noProof/>
        </w:rPr>
      </w:pPr>
    </w:p>
    <w:p>
      <w:pPr>
        <w:pStyle w:val="Text1"/>
        <w:pBdr>
          <w:top w:val="single" w:sz="4" w:space="1" w:color="auto"/>
          <w:left w:val="single" w:sz="4" w:space="4" w:color="auto"/>
          <w:bottom w:val="single" w:sz="4" w:space="1" w:color="auto"/>
          <w:right w:val="single" w:sz="4" w:space="4" w:color="auto"/>
        </w:pBdr>
        <w:spacing w:before="0" w:after="0"/>
        <w:rPr>
          <w:noProof/>
        </w:rPr>
      </w:pPr>
      <w:r>
        <w:rPr>
          <w:noProof/>
        </w:rPr>
        <w:t>• Производителност на поливните култури (kg/m</w:t>
      </w:r>
      <w:r>
        <w:rPr>
          <w:noProof/>
          <w:vertAlign w:val="superscript"/>
        </w:rPr>
        <w:t>3</w:t>
      </w:r>
      <w:r>
        <w:rPr>
          <w:noProof/>
        </w:rPr>
        <w:t>).</w:t>
      </w:r>
      <w:r>
        <w:rPr>
          <w:noProof/>
        </w:rPr>
        <w:tab/>
      </w:r>
    </w:p>
    <w:p>
      <w:pPr>
        <w:pStyle w:val="Text1"/>
        <w:pBdr>
          <w:top w:val="single" w:sz="4" w:space="1" w:color="auto"/>
          <w:left w:val="single" w:sz="4" w:space="4" w:color="auto"/>
          <w:bottom w:val="single" w:sz="4" w:space="1" w:color="auto"/>
          <w:right w:val="single" w:sz="4" w:space="4" w:color="auto"/>
        </w:pBdr>
        <w:spacing w:before="0" w:after="0"/>
        <w:rPr>
          <w:noProof/>
        </w:rPr>
      </w:pPr>
      <w:r>
        <w:rPr>
          <w:noProof/>
        </w:rPr>
        <w:sym w:font="Wingdings" w:char="F0E0"/>
      </w:r>
      <w:r>
        <w:rPr>
          <w:noProof/>
        </w:rPr>
        <w:t>Цел 2 (решения за икономии на вода в селското стопанство).</w:t>
      </w:r>
    </w:p>
    <w:p>
      <w:pPr>
        <w:pStyle w:val="Text1"/>
        <w:pBdr>
          <w:top w:val="single" w:sz="4" w:space="1" w:color="auto"/>
          <w:left w:val="single" w:sz="4" w:space="4" w:color="auto"/>
          <w:bottom w:val="single" w:sz="4" w:space="1" w:color="auto"/>
          <w:right w:val="single" w:sz="4" w:space="4" w:color="auto"/>
        </w:pBdr>
        <w:spacing w:before="0" w:after="0"/>
        <w:rPr>
          <w:noProof/>
        </w:rPr>
      </w:pPr>
    </w:p>
    <w:p>
      <w:pPr>
        <w:pStyle w:val="Text1"/>
        <w:pBdr>
          <w:top w:val="single" w:sz="4" w:space="1" w:color="auto"/>
          <w:left w:val="single" w:sz="4" w:space="4" w:color="auto"/>
          <w:bottom w:val="single" w:sz="4" w:space="1" w:color="auto"/>
          <w:right w:val="single" w:sz="4" w:space="4" w:color="auto"/>
        </w:pBdr>
        <w:spacing w:before="0" w:after="0"/>
        <w:rPr>
          <w:noProof/>
        </w:rPr>
      </w:pPr>
      <w:r>
        <w:rPr>
          <w:noProof/>
        </w:rPr>
        <w:t>• Дял от общото количество използвана вода.</w:t>
      </w:r>
    </w:p>
    <w:p>
      <w:pPr>
        <w:pStyle w:val="Text1"/>
        <w:pBdr>
          <w:top w:val="single" w:sz="4" w:space="1" w:color="auto"/>
          <w:left w:val="single" w:sz="4" w:space="4" w:color="auto"/>
          <w:bottom w:val="single" w:sz="4" w:space="1" w:color="auto"/>
          <w:right w:val="single" w:sz="4" w:space="4" w:color="auto"/>
        </w:pBdr>
        <w:spacing w:before="0" w:after="0"/>
        <w:rPr>
          <w:noProof/>
        </w:rPr>
      </w:pPr>
      <w:r>
        <w:rPr>
          <w:noProof/>
        </w:rPr>
        <w:sym w:font="Wingdings" w:char="F0E0"/>
      </w:r>
      <w:r>
        <w:rPr>
          <w:noProof/>
        </w:rPr>
        <w:t>Цел 7</w:t>
      </w:r>
    </w:p>
    <w:p>
      <w:pPr>
        <w:pStyle w:val="Text1"/>
        <w:pBdr>
          <w:top w:val="single" w:sz="4" w:space="1" w:color="auto"/>
          <w:left w:val="single" w:sz="4" w:space="4" w:color="auto"/>
          <w:bottom w:val="single" w:sz="4" w:space="1" w:color="auto"/>
          <w:right w:val="single" w:sz="4" w:space="4" w:color="auto"/>
        </w:pBdr>
        <w:spacing w:before="0" w:after="0"/>
        <w:rPr>
          <w:noProof/>
        </w:rPr>
      </w:pPr>
    </w:p>
    <w:p>
      <w:pPr>
        <w:pStyle w:val="Text1"/>
        <w:pBdr>
          <w:top w:val="single" w:sz="4" w:space="1" w:color="auto"/>
          <w:left w:val="single" w:sz="4" w:space="4" w:color="auto"/>
          <w:bottom w:val="single" w:sz="4" w:space="1" w:color="auto"/>
          <w:right w:val="single" w:sz="4" w:space="4" w:color="auto"/>
        </w:pBdr>
        <w:spacing w:before="0" w:after="0"/>
        <w:rPr>
          <w:noProof/>
        </w:rPr>
      </w:pPr>
      <w:r>
        <w:rPr>
          <w:noProof/>
        </w:rPr>
        <w:t>• Ползване от населението на безопасно управлявани услуги по водоснабдяване (в селските райони, %).</w:t>
      </w:r>
    </w:p>
    <w:p>
      <w:pPr>
        <w:pStyle w:val="Text1"/>
        <w:pBdr>
          <w:top w:val="single" w:sz="4" w:space="1" w:color="auto"/>
          <w:left w:val="single" w:sz="4" w:space="4" w:color="auto"/>
          <w:bottom w:val="single" w:sz="4" w:space="1" w:color="auto"/>
          <w:right w:val="single" w:sz="4" w:space="4" w:color="auto"/>
        </w:pBdr>
        <w:spacing w:before="0" w:after="0"/>
        <w:rPr>
          <w:noProof/>
        </w:rPr>
      </w:pPr>
      <w:r>
        <w:rPr>
          <w:noProof/>
        </w:rPr>
        <w:sym w:font="Wingdings" w:char="F0E0"/>
      </w:r>
      <w:r>
        <w:rPr>
          <w:noProof/>
        </w:rPr>
        <w:t>Цел 8 (нови модели на управление при управлението на водите).</w:t>
      </w:r>
    </w:p>
    <w:p>
      <w:pPr>
        <w:pStyle w:val="Text1"/>
        <w:pBdr>
          <w:top w:val="single" w:sz="4" w:space="1" w:color="auto"/>
          <w:left w:val="single" w:sz="4" w:space="4" w:color="auto"/>
          <w:bottom w:val="single" w:sz="4" w:space="1" w:color="auto"/>
          <w:right w:val="single" w:sz="4" w:space="4" w:color="auto"/>
        </w:pBdr>
        <w:spacing w:before="0" w:after="0"/>
        <w:rPr>
          <w:noProof/>
        </w:rPr>
      </w:pPr>
    </w:p>
    <w:p>
      <w:pPr>
        <w:pStyle w:val="Text1"/>
        <w:pBdr>
          <w:top w:val="single" w:sz="4" w:space="1" w:color="auto"/>
          <w:left w:val="single" w:sz="4" w:space="4" w:color="auto"/>
          <w:bottom w:val="single" w:sz="4" w:space="1" w:color="auto"/>
          <w:right w:val="single" w:sz="4" w:space="4" w:color="auto"/>
        </w:pBdr>
        <w:spacing w:before="0" w:after="0"/>
        <w:rPr>
          <w:noProof/>
        </w:rPr>
      </w:pPr>
      <w:r>
        <w:rPr>
          <w:noProof/>
        </w:rPr>
        <w:t>• Ползване от населението на безопасно управлявани услуги за канализация (в селските райони, %).</w:t>
      </w:r>
    </w:p>
    <w:p>
      <w:pPr>
        <w:pStyle w:val="Text1"/>
        <w:pBdr>
          <w:top w:val="single" w:sz="4" w:space="1" w:color="auto"/>
          <w:left w:val="single" w:sz="4" w:space="4" w:color="auto"/>
          <w:bottom w:val="single" w:sz="4" w:space="1" w:color="auto"/>
          <w:right w:val="single" w:sz="4" w:space="4" w:color="auto"/>
        </w:pBdr>
        <w:spacing w:before="0" w:after="0"/>
        <w:rPr>
          <w:noProof/>
        </w:rPr>
      </w:pPr>
      <w:r>
        <w:rPr>
          <w:noProof/>
        </w:rPr>
        <w:sym w:font="Wingdings" w:char="F0E0"/>
      </w:r>
      <w:r>
        <w:rPr>
          <w:noProof/>
        </w:rPr>
        <w:t xml:space="preserve">Цел 8 </w:t>
      </w:r>
    </w:p>
    <w:p>
      <w:pPr>
        <w:pStyle w:val="Text1"/>
        <w:pBdr>
          <w:top w:val="single" w:sz="4" w:space="1" w:color="auto"/>
          <w:left w:val="single" w:sz="4" w:space="4" w:color="auto"/>
          <w:bottom w:val="single" w:sz="4" w:space="1" w:color="auto"/>
          <w:right w:val="single" w:sz="4" w:space="4" w:color="auto"/>
        </w:pBdr>
        <w:spacing w:before="0" w:after="0"/>
        <w:rPr>
          <w:noProof/>
        </w:rPr>
      </w:pPr>
    </w:p>
    <w:p>
      <w:pPr>
        <w:pStyle w:val="Text1"/>
        <w:pBdr>
          <w:top w:val="single" w:sz="4" w:space="1" w:color="auto"/>
          <w:left w:val="single" w:sz="4" w:space="4" w:color="auto"/>
          <w:bottom w:val="single" w:sz="4" w:space="1" w:color="auto"/>
          <w:right w:val="single" w:sz="4" w:space="4" w:color="auto"/>
        </w:pBdr>
        <w:spacing w:before="0" w:after="0"/>
        <w:rPr>
          <w:noProof/>
        </w:rPr>
      </w:pPr>
      <w:r>
        <w:rPr>
          <w:noProof/>
        </w:rPr>
        <w:t xml:space="preserve">• Количество на остатъците от селското стопанство, използвани за енергодобив (t). </w:t>
      </w:r>
    </w:p>
    <w:p>
      <w:pPr>
        <w:pStyle w:val="Text1"/>
        <w:pBdr>
          <w:top w:val="single" w:sz="4" w:space="1" w:color="auto"/>
          <w:left w:val="single" w:sz="4" w:space="4" w:color="auto"/>
          <w:bottom w:val="single" w:sz="4" w:space="1" w:color="auto"/>
          <w:right w:val="single" w:sz="4" w:space="4" w:color="auto"/>
        </w:pBdr>
        <w:spacing w:before="0" w:after="0"/>
        <w:rPr>
          <w:noProof/>
        </w:rPr>
      </w:pPr>
      <w:r>
        <w:rPr>
          <w:noProof/>
        </w:rPr>
        <w:sym w:font="Wingdings" w:char="F0E0"/>
      </w:r>
      <w:r>
        <w:rPr>
          <w:noProof/>
        </w:rPr>
        <w:t>Цел 4</w:t>
      </w:r>
    </w:p>
    <w:p>
      <w:pPr>
        <w:pStyle w:val="ManualHeading2"/>
        <w:rPr>
          <w:bCs/>
          <w:noProof/>
          <w:szCs w:val="24"/>
        </w:rPr>
      </w:pPr>
      <w:r>
        <w:t>1.5.</w:t>
      </w:r>
      <w:r>
        <w:tab/>
      </w:r>
      <w:r>
        <w:rPr>
          <w:noProof/>
        </w:rPr>
        <w:t>Мотиви за предложението/инициативата</w:t>
      </w:r>
    </w:p>
    <w:p>
      <w:pPr>
        <w:pStyle w:val="ManualHeading3"/>
        <w:rPr>
          <w:noProof/>
        </w:rPr>
      </w:pPr>
      <w:r>
        <w:t>1.5.1.</w:t>
      </w:r>
      <w:r>
        <w:tab/>
      </w:r>
      <w:r>
        <w:rPr>
          <w:noProof/>
        </w:rPr>
        <w:t xml:space="preserve">Изисквания, които трябва да бъдат изпълнени в краткосрочен или дългосрочен план </w:t>
      </w:r>
    </w:p>
    <w:p>
      <w:pPr>
        <w:pStyle w:val="Text1"/>
        <w:pBdr>
          <w:top w:val="single" w:sz="4" w:space="1" w:color="auto"/>
          <w:left w:val="single" w:sz="4" w:space="4" w:color="auto"/>
          <w:bottom w:val="single" w:sz="4" w:space="1" w:color="auto"/>
          <w:right w:val="single" w:sz="4" w:space="4" w:color="auto"/>
        </w:pBdr>
        <w:rPr>
          <w:noProof/>
        </w:rPr>
      </w:pPr>
      <w:r>
        <w:rPr>
          <w:noProof/>
        </w:rPr>
        <w:t>PRIMA ще съчетава европейски и национални ресурси, за да бъде разработена по структуриран начин трайна рамка за научни изследвания и иновации в областта на водоснабдяването и продоволствените системи в Средиземноморския регион.</w:t>
      </w:r>
    </w:p>
    <w:p>
      <w:pPr>
        <w:pStyle w:val="Text1"/>
        <w:pBdr>
          <w:top w:val="single" w:sz="4" w:space="1" w:color="auto"/>
          <w:left w:val="single" w:sz="4" w:space="4" w:color="auto"/>
          <w:bottom w:val="single" w:sz="4" w:space="1" w:color="auto"/>
          <w:right w:val="single" w:sz="4" w:space="4" w:color="auto"/>
        </w:pBdr>
        <w:rPr>
          <w:noProof/>
        </w:rPr>
      </w:pPr>
      <w:r>
        <w:rPr>
          <w:noProof/>
        </w:rPr>
        <w:t>Повече информация се съдържа в доклада за оценка на въздействието на PRIMA, придружаващ настоящото законодателно предложение.</w:t>
      </w:r>
    </w:p>
    <w:p>
      <w:pPr>
        <w:pStyle w:val="ManualHeading3"/>
        <w:rPr>
          <w:bCs/>
          <w:noProof/>
          <w:szCs w:val="24"/>
        </w:rPr>
      </w:pPr>
      <w:r>
        <w:t>1.5.2.</w:t>
      </w:r>
      <w:r>
        <w:tab/>
      </w:r>
      <w:r>
        <w:rPr>
          <w:noProof/>
        </w:rPr>
        <w:t>Добавена стойност от участието на ЕС</w:t>
      </w:r>
    </w:p>
    <w:p>
      <w:pPr>
        <w:pStyle w:val="Text1"/>
        <w:pBdr>
          <w:top w:val="single" w:sz="4" w:space="1" w:color="auto"/>
          <w:left w:val="single" w:sz="4" w:space="4" w:color="auto"/>
          <w:bottom w:val="single" w:sz="4" w:space="1" w:color="auto"/>
          <w:right w:val="single" w:sz="4" w:space="4" w:color="auto"/>
        </w:pBdr>
        <w:rPr>
          <w:noProof/>
        </w:rPr>
      </w:pPr>
      <w:r>
        <w:rPr>
          <w:noProof/>
        </w:rPr>
        <w:t>Инициативата е в съответствие с новата рамка за партньорство с трети държави в рамките на европейската програма за миграцията, тъй като тя е насочена към някои от първопричините за миграцията; тя е разположена в пресечната точка между политиките в областта на научните изследвания, изменението на климата, околната среда и селското стопанство и е пример за нов модел на сътрудничество за развитие, подкрепен от новата рамка за партньорство, доколкото тя включва частните инвеститори, използването на ограничените налични бюджетни ресурси с прилагане на ефекта на лоста и акцентира върху малките и средните предприятия и устойчивата инфраструктура.</w:t>
      </w:r>
    </w:p>
    <w:p>
      <w:pPr>
        <w:pStyle w:val="Text1"/>
        <w:pBdr>
          <w:top w:val="single" w:sz="4" w:space="1" w:color="auto"/>
          <w:left w:val="single" w:sz="4" w:space="4" w:color="auto"/>
          <w:bottom w:val="single" w:sz="4" w:space="1" w:color="auto"/>
          <w:right w:val="single" w:sz="4" w:space="4" w:color="auto"/>
        </w:pBdr>
        <w:rPr>
          <w:noProof/>
        </w:rPr>
      </w:pPr>
      <w:r>
        <w:rPr>
          <w:noProof/>
        </w:rPr>
        <w:t>Само чрез действия на равнището на ЕС може да бъде постигната добре координирана и интегрирана програма, която да достигне мащаба, обхвата и критичната маса, необходими за изпълнението на специфичните и общите цели. Действията на равнището на ЕС се характеризират с голям капацитет за ефект на лоста, тъй като мобилизират значителни допълнителни публични и частни инвестиции. Те също така пораждат въздействия, които надхвърлят политиката и решенията в областта на НИИ, като по този начин подпомагат външните политики и усилията на ЕС за справяне с първопричините за миграцията. Участието на ЕС в PRIMA също така вероятно ще засили видимостта и глобалната отговорност на Европа, в духа на политиката на съседство на ЕС, която насърчава диференцирането и по-голямата взаимна ангажираност със съседните държави партньори.</w:t>
      </w:r>
    </w:p>
    <w:p>
      <w:pPr>
        <w:pStyle w:val="ManualHeading3"/>
        <w:rPr>
          <w:bCs/>
          <w:noProof/>
          <w:szCs w:val="24"/>
        </w:rPr>
      </w:pPr>
      <w:r>
        <w:t>1.5.3.</w:t>
      </w:r>
      <w:r>
        <w:tab/>
      </w:r>
      <w:r>
        <w:rPr>
          <w:noProof/>
        </w:rPr>
        <w:t>Изводи от подобен опит в миналото</w:t>
      </w:r>
    </w:p>
    <w:p>
      <w:pPr>
        <w:pStyle w:val="Text1"/>
        <w:pBdr>
          <w:top w:val="single" w:sz="4" w:space="1" w:color="auto"/>
          <w:left w:val="single" w:sz="4" w:space="4" w:color="auto"/>
          <w:bottom w:val="single" w:sz="4" w:space="1" w:color="auto"/>
          <w:right w:val="single" w:sz="4" w:space="4" w:color="auto"/>
        </w:pBdr>
        <w:rPr>
          <w:noProof/>
        </w:rPr>
      </w:pPr>
      <w:r>
        <w:rPr>
          <w:noProof/>
        </w:rPr>
        <w:t>PRIMA е проектирана да функционира като инициатива по член 185, т.е. многогодишно съвместно програмиране, предприето от участващите държави, с участието на ЕС. Опитът от миналите и текущите инициативи от 6РП до „Хоризонт 2020“ показва положителни въздействия, по-специално върху:</w:t>
      </w:r>
    </w:p>
    <w:p>
      <w:pPr>
        <w:pStyle w:val="Text1"/>
        <w:pBdr>
          <w:top w:val="single" w:sz="4" w:space="1" w:color="auto"/>
          <w:left w:val="single" w:sz="4" w:space="4" w:color="auto"/>
          <w:bottom w:val="single" w:sz="4" w:space="1" w:color="auto"/>
          <w:right w:val="single" w:sz="4" w:space="4" w:color="auto"/>
        </w:pBdr>
        <w:rPr>
          <w:noProof/>
        </w:rPr>
      </w:pPr>
      <w:r>
        <w:rPr>
          <w:noProof/>
        </w:rPr>
        <w:t>− дългосрочната научна, управленска и финансова интеграция на националните и европейските усилия за справяне с общите предизвикателства с поемането на ясни предварителни финансови и политически задължения; без да е необходимо да се институционализират съвместните усилия или да се създават големи нови структури;</w:t>
      </w:r>
    </w:p>
    <w:p>
      <w:pPr>
        <w:pStyle w:val="Text1"/>
        <w:pBdr>
          <w:top w:val="single" w:sz="4" w:space="1" w:color="auto"/>
          <w:left w:val="single" w:sz="4" w:space="4" w:color="auto"/>
          <w:bottom w:val="single" w:sz="4" w:space="1" w:color="auto"/>
          <w:right w:val="single" w:sz="4" w:space="4" w:color="auto"/>
        </w:pBdr>
        <w:rPr>
          <w:noProof/>
        </w:rPr>
      </w:pPr>
      <w:r>
        <w:rPr>
          <w:noProof/>
        </w:rPr>
        <w:t>− ефектите на лоста и постигането на въздействие;</w:t>
      </w:r>
    </w:p>
    <w:p>
      <w:pPr>
        <w:pStyle w:val="Text1"/>
        <w:pBdr>
          <w:top w:val="single" w:sz="4" w:space="1" w:color="auto"/>
          <w:left w:val="single" w:sz="4" w:space="4" w:color="auto"/>
          <w:bottom w:val="single" w:sz="4" w:space="1" w:color="auto"/>
          <w:right w:val="single" w:sz="4" w:space="4" w:color="auto"/>
        </w:pBdr>
        <w:jc w:val="left"/>
        <w:rPr>
          <w:noProof/>
        </w:rPr>
      </w:pPr>
      <w:r>
        <w:rPr>
          <w:noProof/>
        </w:rPr>
        <w:t>− водещите позиции в международен план и глобалното сътрудничество – по отношение на видимостта, на водещите позиции в областта на науката и на новия модел за сътрудничество за развитие;</w:t>
      </w:r>
    </w:p>
    <w:p>
      <w:pPr>
        <w:pStyle w:val="Text1"/>
        <w:pBdr>
          <w:top w:val="single" w:sz="4" w:space="1" w:color="auto"/>
          <w:left w:val="single" w:sz="4" w:space="4" w:color="auto"/>
          <w:bottom w:val="single" w:sz="4" w:space="1" w:color="auto"/>
          <w:right w:val="single" w:sz="4" w:space="4" w:color="auto"/>
        </w:pBdr>
        <w:rPr>
          <w:noProof/>
        </w:rPr>
      </w:pPr>
      <w:r>
        <w:rPr>
          <w:noProof/>
        </w:rPr>
        <w:t>− ефикасното изпълнение и доброто финансово управление.</w:t>
      </w:r>
    </w:p>
    <w:p>
      <w:pPr>
        <w:pStyle w:val="ManualHeading3"/>
        <w:rPr>
          <w:bCs/>
          <w:noProof/>
          <w:szCs w:val="24"/>
        </w:rPr>
      </w:pPr>
      <w:r>
        <w:t>1.5.4.</w:t>
      </w:r>
      <w:r>
        <w:tab/>
      </w:r>
      <w:r>
        <w:rPr>
          <w:noProof/>
        </w:rPr>
        <w:t>Съвместимост и евентуални полезни взаимодействия с други подходящи инструменти</w:t>
      </w:r>
    </w:p>
    <w:p>
      <w:pPr>
        <w:pStyle w:val="Text1"/>
        <w:pBdr>
          <w:top w:val="single" w:sz="4" w:space="1" w:color="auto"/>
          <w:left w:val="single" w:sz="4" w:space="4" w:color="auto"/>
          <w:bottom w:val="single" w:sz="4" w:space="1" w:color="auto"/>
          <w:right w:val="single" w:sz="4" w:space="4" w:color="auto"/>
        </w:pBdr>
        <w:rPr>
          <w:noProof/>
        </w:rPr>
      </w:pPr>
      <w:r>
        <w:rPr>
          <w:noProof/>
        </w:rPr>
        <w:t>PRIMA ще допринесе за редица водещи инициативи, по-специално за политиката за устойчиво развитие: водеща инициатива за ефективно използване на ресурсите в Европа, програма на европейската политика за съседство за развитие на земеделието и селските райони. PRIMA има отношение също така и към редица външни политики, по-специално рамката за партньорство с трети държави в рамките на европейската програма за миграцията и програмата за развитие след 2015 г. и целите за устойчиво развитие.</w:t>
      </w:r>
    </w:p>
    <w:p>
      <w:pPr>
        <w:pStyle w:val="Text1"/>
        <w:pBdr>
          <w:top w:val="single" w:sz="4" w:space="1" w:color="auto"/>
          <w:left w:val="single" w:sz="4" w:space="4" w:color="auto"/>
          <w:bottom w:val="single" w:sz="4" w:space="1" w:color="auto"/>
          <w:right w:val="single" w:sz="4" w:space="4" w:color="auto"/>
        </w:pBdr>
        <w:rPr>
          <w:noProof/>
        </w:rPr>
      </w:pPr>
      <w:r>
        <w:rPr>
          <w:noProof/>
        </w:rPr>
        <w:t>PRIMA ще даде важен принос за постигане на целите на „Хоризонт 2020“ и политиката за научни изследвания и иновации (трите „О“ – отворена наука, отворени иновации, отвореност към света).</w:t>
      </w:r>
    </w:p>
    <w:p>
      <w:pPr>
        <w:pStyle w:val="ManualHeading2"/>
        <w:rPr>
          <w:bCs/>
          <w:noProof/>
          <w:szCs w:val="24"/>
        </w:rPr>
      </w:pPr>
      <w:r>
        <w:rPr>
          <w:noProof/>
        </w:rPr>
        <w:br w:type="page"/>
      </w:r>
      <w:r>
        <w:t>1.6.</w:t>
      </w:r>
      <w:r>
        <w:tab/>
      </w:r>
      <w:r>
        <w:rPr>
          <w:noProof/>
        </w:rPr>
        <w:t xml:space="preserve">Срок на действие и финансово отражение </w:t>
      </w:r>
    </w:p>
    <w:p>
      <w:pPr>
        <w:pStyle w:val="Text1"/>
        <w:rPr>
          <w:noProof/>
        </w:rPr>
      </w:pPr>
      <w:r>
        <w:rPr>
          <w:noProof/>
        </w:rPr>
        <w:sym w:font="Wingdings" w:char="F078"/>
      </w:r>
      <w:r>
        <w:rPr>
          <w:b/>
          <w:i/>
          <w:noProof/>
        </w:rPr>
        <w:t xml:space="preserve"> </w:t>
      </w:r>
      <w:r>
        <w:rPr>
          <w:noProof/>
        </w:rPr>
        <w:t xml:space="preserve">Предложение/инициатива с </w:t>
      </w:r>
      <w:r>
        <w:rPr>
          <w:b/>
          <w:noProof/>
        </w:rPr>
        <w:t xml:space="preserve">ограничен срок на действие </w:t>
      </w:r>
    </w:p>
    <w:p>
      <w:pPr>
        <w:pStyle w:val="ListDash2"/>
        <w:rPr>
          <w:noProof/>
        </w:rPr>
      </w:pPr>
      <w:r>
        <w:rPr>
          <w:noProof/>
        </w:rPr>
        <w:sym w:font="Wingdings" w:char="F078"/>
      </w:r>
      <w:r>
        <w:rPr>
          <w:noProof/>
        </w:rPr>
        <w:tab/>
        <w:t>Предложението/инициативата е в сила от датата на влизане в сила на настоящото решение до 31 декември 2028 г.</w:t>
      </w:r>
    </w:p>
    <w:p>
      <w:pPr>
        <w:pStyle w:val="ListDash2"/>
        <w:rPr>
          <w:noProof/>
        </w:rPr>
      </w:pPr>
      <w:r>
        <w:rPr>
          <w:noProof/>
        </w:rPr>
        <w:sym w:font="Wingdings" w:char="F078"/>
      </w:r>
      <w:r>
        <w:rPr>
          <w:noProof/>
        </w:rPr>
        <w:tab/>
        <w:t>Финансово отражение от 2018 г. до 2020 г. за бюджетните кредити за поети задължения и от 2018 г. до 2029 г. за бюджетните кредити за плащания.</w:t>
      </w:r>
    </w:p>
    <w:p>
      <w:pPr>
        <w:pStyle w:val="Text1"/>
        <w:rPr>
          <w:noProof/>
        </w:rPr>
      </w:pPr>
      <w:r>
        <w:rPr>
          <w:noProof/>
        </w:rPr>
        <w:sym w:font="Wingdings" w:char="F0A8"/>
      </w:r>
      <w:r>
        <w:rPr>
          <w:b/>
          <w:i/>
          <w:noProof/>
        </w:rPr>
        <w:t xml:space="preserve"> </w:t>
      </w:r>
      <w:r>
        <w:rPr>
          <w:noProof/>
        </w:rPr>
        <w:t xml:space="preserve">Предложение/инициатива с </w:t>
      </w:r>
      <w:r>
        <w:rPr>
          <w:b/>
          <w:noProof/>
        </w:rPr>
        <w:t>неограничен срок на действие</w:t>
      </w:r>
    </w:p>
    <w:p>
      <w:pPr>
        <w:pStyle w:val="ListDash1"/>
        <w:rPr>
          <w:noProof/>
        </w:rPr>
      </w:pPr>
      <w:r>
        <w:rPr>
          <w:noProof/>
        </w:rPr>
        <w:t>Изпълнение с период на започване на дейност от ГГГГ до ГГГГ,</w:t>
      </w:r>
    </w:p>
    <w:p>
      <w:pPr>
        <w:pStyle w:val="ListDash1"/>
        <w:rPr>
          <w:noProof/>
        </w:rPr>
      </w:pPr>
      <w:r>
        <w:rPr>
          <w:noProof/>
        </w:rPr>
        <w:t xml:space="preserve">последван от функциониране с пълен капацитет. </w:t>
      </w:r>
    </w:p>
    <w:p>
      <w:pPr>
        <w:pStyle w:val="ManualHeading2"/>
        <w:rPr>
          <w:bCs/>
          <w:noProof/>
          <w:szCs w:val="24"/>
        </w:rPr>
      </w:pPr>
      <w:r>
        <w:t>1.7.</w:t>
      </w:r>
      <w:r>
        <w:tab/>
      </w:r>
      <w:r>
        <w:rPr>
          <w:noProof/>
        </w:rPr>
        <w:t>Планирани методи на управление</w:t>
      </w:r>
      <w:r>
        <w:rPr>
          <w:rStyle w:val="FootnoteReference"/>
          <w:noProof/>
        </w:rPr>
        <w:footnoteReference w:id="13"/>
      </w:r>
      <w:r>
        <w:rPr>
          <w:rStyle w:val="FootnoteReference"/>
          <w:noProof/>
        </w:rPr>
        <w:t xml:space="preserve"> </w:t>
      </w:r>
    </w:p>
    <w:p>
      <w:pPr>
        <w:pStyle w:val="Text1"/>
        <w:rPr>
          <w:noProof/>
        </w:rPr>
      </w:pPr>
      <w:r>
        <w:rPr>
          <w:noProof/>
        </w:rPr>
        <w:sym w:font="Wingdings" w:char="F0A8"/>
      </w:r>
      <w:r>
        <w:rPr>
          <w:i/>
          <w:noProof/>
        </w:rPr>
        <w:t xml:space="preserve"> </w:t>
      </w:r>
      <w:r>
        <w:rPr>
          <w:b/>
          <w:noProof/>
        </w:rPr>
        <w:t>Пряко управление</w:t>
      </w:r>
      <w:r>
        <w:rPr>
          <w:noProof/>
        </w:rPr>
        <w:t xml:space="preserve"> от Комисията</w:t>
      </w:r>
    </w:p>
    <w:p>
      <w:pPr>
        <w:pStyle w:val="ListDash2"/>
        <w:rPr>
          <w:rFonts w:cs="EUAlbertina"/>
          <w:noProof/>
        </w:rPr>
      </w:pPr>
      <w:r>
        <w:rPr>
          <w:noProof/>
        </w:rPr>
        <w:sym w:font="Wingdings" w:char="F0A8"/>
      </w:r>
      <w:r>
        <w:rPr>
          <w:noProof/>
        </w:rPr>
        <w:t xml:space="preserve"> от нейните служби, включително от нейния персонал в делегациите на Съюза; </w:t>
      </w:r>
    </w:p>
    <w:p>
      <w:pPr>
        <w:pStyle w:val="ListDash2"/>
        <w:rPr>
          <w:noProof/>
        </w:rPr>
      </w:pPr>
      <w:r>
        <w:rPr>
          <w:noProof/>
        </w:rPr>
        <w:sym w:font="Wingdings" w:char="F0A8"/>
      </w:r>
      <w:r>
        <w:rPr>
          <w:noProof/>
        </w:rPr>
        <w:tab/>
        <w:t xml:space="preserve">от изпълнителните агенции </w:t>
      </w:r>
    </w:p>
    <w:p>
      <w:pPr>
        <w:pStyle w:val="Text1"/>
        <w:rPr>
          <w:noProof/>
        </w:rPr>
      </w:pPr>
      <w:r>
        <w:rPr>
          <w:noProof/>
        </w:rPr>
        <w:sym w:font="Wingdings" w:char="F0A8"/>
      </w:r>
      <w:r>
        <w:rPr>
          <w:b/>
          <w:i/>
          <w:noProof/>
        </w:rPr>
        <w:t xml:space="preserve"> </w:t>
      </w:r>
      <w:r>
        <w:rPr>
          <w:b/>
          <w:noProof/>
        </w:rPr>
        <w:t>Споделено управление</w:t>
      </w:r>
      <w:r>
        <w:rPr>
          <w:noProof/>
        </w:rPr>
        <w:t xml:space="preserve"> с държавите членки </w:t>
      </w:r>
    </w:p>
    <w:p>
      <w:pPr>
        <w:pStyle w:val="Text1"/>
        <w:rPr>
          <w:noProof/>
        </w:rPr>
      </w:pPr>
      <w:r>
        <w:rPr>
          <w:noProof/>
        </w:rPr>
        <w:sym w:font="Wingdings" w:char="F078"/>
      </w:r>
      <w:r>
        <w:rPr>
          <w:i/>
          <w:noProof/>
        </w:rPr>
        <w:t xml:space="preserve"> </w:t>
      </w:r>
      <w:r>
        <w:rPr>
          <w:b/>
          <w:noProof/>
        </w:rPr>
        <w:t>Непряко управление</w:t>
      </w:r>
      <w:r>
        <w:rPr>
          <w:noProof/>
        </w:rPr>
        <w:t xml:space="preserve"> чрез възлагане на задачи по изпълнението на бюджета на:</w:t>
      </w:r>
    </w:p>
    <w:p>
      <w:pPr>
        <w:pStyle w:val="ListDash2"/>
        <w:rPr>
          <w:noProof/>
        </w:rPr>
      </w:pPr>
      <w:r>
        <w:rPr>
          <w:noProof/>
        </w:rPr>
        <w:sym w:font="Wingdings" w:char="F0A8"/>
      </w:r>
      <w:r>
        <w:rPr>
          <w:noProof/>
        </w:rPr>
        <w:t xml:space="preserve"> трети държави или органите, определени от тях;</w:t>
      </w:r>
    </w:p>
    <w:p>
      <w:pPr>
        <w:pStyle w:val="ListDash2"/>
        <w:rPr>
          <w:noProof/>
        </w:rPr>
      </w:pPr>
      <w:r>
        <w:rPr>
          <w:noProof/>
        </w:rPr>
        <w:sym w:font="Wingdings" w:char="F0A8"/>
      </w:r>
      <w:r>
        <w:rPr>
          <w:noProof/>
        </w:rPr>
        <w:t xml:space="preserve"> международни организации и техните агенции (да се уточни);</w:t>
      </w:r>
    </w:p>
    <w:p>
      <w:pPr>
        <w:pStyle w:val="ListDash2"/>
        <w:rPr>
          <w:noProof/>
        </w:rPr>
      </w:pPr>
      <w:r>
        <w:rPr>
          <w:noProof/>
        </w:rPr>
        <w:sym w:font="Wingdings" w:char="F0A8"/>
      </w:r>
      <w:r>
        <w:rPr>
          <w:noProof/>
        </w:rPr>
        <w:t xml:space="preserve"> ЕИБ и Европейския инвестиционен фонд;</w:t>
      </w:r>
    </w:p>
    <w:p>
      <w:pPr>
        <w:pStyle w:val="ListDash2"/>
        <w:rPr>
          <w:noProof/>
        </w:rPr>
      </w:pPr>
      <w:r>
        <w:rPr>
          <w:noProof/>
        </w:rPr>
        <w:sym w:font="Wingdings" w:char="F0A8"/>
      </w:r>
      <w:r>
        <w:rPr>
          <w:noProof/>
        </w:rPr>
        <w:t xml:space="preserve"> органите, посочени в членове 208 и 209 от Финансовия регламент;</w:t>
      </w:r>
    </w:p>
    <w:p>
      <w:pPr>
        <w:pStyle w:val="ListDash2"/>
        <w:rPr>
          <w:noProof/>
        </w:rPr>
      </w:pPr>
      <w:r>
        <w:rPr>
          <w:noProof/>
        </w:rPr>
        <w:sym w:font="Wingdings" w:char="F0A8"/>
      </w:r>
      <w:r>
        <w:rPr>
          <w:noProof/>
        </w:rPr>
        <w:t xml:space="preserve"> публичноправни органи;</w:t>
      </w:r>
    </w:p>
    <w:p>
      <w:pPr>
        <w:pStyle w:val="ListDash2"/>
        <w:rPr>
          <w:noProof/>
        </w:rPr>
      </w:pPr>
      <w:r>
        <w:rPr>
          <w:noProof/>
        </w:rPr>
        <w:sym w:font="Wingdings" w:char="F078"/>
      </w:r>
      <w:r>
        <w:rPr>
          <w:noProof/>
        </w:rPr>
        <w:t xml:space="preserve"> частноправни органи със задължение за обществена услуга, доколкото предоставят подходящи финансови гаранции;</w:t>
      </w:r>
    </w:p>
    <w:p>
      <w:pPr>
        <w:pStyle w:val="ListDash2"/>
        <w:rPr>
          <w:noProof/>
        </w:rPr>
      </w:pPr>
      <w:r>
        <w:rPr>
          <w:noProof/>
        </w:rPr>
        <w:sym w:font="Wingdings" w:char="F0A8"/>
      </w:r>
      <w:r>
        <w:rPr>
          <w:noProof/>
        </w:rPr>
        <w:t xml:space="preserve"> органи, уредени в частното право на държава членка, на които е възложено осъществяването на публично-частно партньорство и които предоставят подходящи финансови гаранции;</w:t>
      </w:r>
    </w:p>
    <w:p>
      <w:pPr>
        <w:pStyle w:val="ListDash2"/>
        <w:rPr>
          <w:noProof/>
        </w:rPr>
      </w:pPr>
      <w:r>
        <w:rPr>
          <w:noProof/>
        </w:rPr>
        <w:sym w:font="Wingdings" w:char="F0A8"/>
      </w:r>
      <w:r>
        <w:rPr>
          <w:noProof/>
        </w:rPr>
        <w:t xml:space="preserve"> лица, на които е възложено изпълнението на специфични дейности в областта на ОВППС съгласно дял V от ДЕС и които са посочени в съответния основен акт.</w:t>
      </w:r>
    </w:p>
    <w:p>
      <w:pPr>
        <w:pStyle w:val="ListDash2"/>
        <w:rPr>
          <w:i/>
          <w:noProof/>
          <w:sz w:val="18"/>
          <w:u w:val="single"/>
        </w:rPr>
      </w:pPr>
      <w:r>
        <w:rPr>
          <w:i/>
          <w:noProof/>
          <w:sz w:val="18"/>
        </w:rPr>
        <w:t>Ако е посочен повече от един метод на управление, пояснете в частта „Забележки“.</w:t>
      </w:r>
    </w:p>
    <w:p>
      <w:pPr>
        <w:rPr>
          <w:noProof/>
        </w:rPr>
      </w:pPr>
      <w:r>
        <w:rPr>
          <w:noProof/>
        </w:rPr>
        <w:t xml:space="preserve">Забележки </w:t>
      </w:r>
    </w:p>
    <w:p>
      <w:pPr>
        <w:pBdr>
          <w:top w:val="single" w:sz="4" w:space="1" w:color="auto"/>
          <w:left w:val="single" w:sz="4" w:space="4" w:color="auto"/>
          <w:bottom w:val="single" w:sz="4" w:space="1" w:color="auto"/>
          <w:right w:val="single" w:sz="4" w:space="4" w:color="auto"/>
        </w:pBdr>
        <w:rPr>
          <w:noProof/>
        </w:rPr>
      </w:pPr>
      <w:r>
        <w:rPr>
          <w:noProof/>
        </w:rPr>
        <w:t>Ще бъде създадено ново правно образувание – предназначено изключително за изпълнението на PRIMA. Финансовият принос на ЕС за инициативата ще се предоставя чрез тази структура.</w:t>
      </w:r>
    </w:p>
    <w:p>
      <w:pPr>
        <w:rPr>
          <w:noProof/>
        </w:rPr>
        <w:sectPr>
          <w:pgSz w:w="11907" w:h="16840" w:code="9"/>
          <w:pgMar w:top="1134" w:right="1418" w:bottom="1134" w:left="1418" w:header="709" w:footer="709" w:gutter="0"/>
          <w:cols w:space="708"/>
          <w:docGrid w:linePitch="360"/>
        </w:sectPr>
      </w:pPr>
    </w:p>
    <w:p>
      <w:pPr>
        <w:pStyle w:val="ManualHeading1"/>
        <w:rPr>
          <w:bCs/>
          <w:noProof/>
          <w:szCs w:val="24"/>
        </w:rPr>
      </w:pPr>
      <w:r>
        <w:t>2.</w:t>
      </w:r>
      <w:r>
        <w:tab/>
      </w:r>
      <w:r>
        <w:rPr>
          <w:noProof/>
        </w:rPr>
        <w:t xml:space="preserve">МЕРКИ ЗА УПРАВЛЕНИЕ </w:t>
      </w:r>
    </w:p>
    <w:p>
      <w:pPr>
        <w:pStyle w:val="ManualHeading2"/>
        <w:rPr>
          <w:noProof/>
        </w:rPr>
      </w:pPr>
      <w:r>
        <w:t>2.1.</w:t>
      </w:r>
      <w:r>
        <w:tab/>
      </w:r>
      <w:r>
        <w:rPr>
          <w:noProof/>
        </w:rPr>
        <w:t xml:space="preserve">Правила за мониторинг и докладване </w:t>
      </w:r>
    </w:p>
    <w:p>
      <w:pPr>
        <w:pStyle w:val="Text1"/>
        <w:rPr>
          <w:i/>
          <w:noProof/>
          <w:sz w:val="20"/>
          <w:u w:val="single"/>
        </w:rPr>
      </w:pPr>
      <w:r>
        <w:rPr>
          <w:i/>
          <w:noProof/>
          <w:sz w:val="20"/>
        </w:rPr>
        <w:t>Да се посочат честотата и условията.</w:t>
      </w:r>
    </w:p>
    <w:p>
      <w:pPr>
        <w:pStyle w:val="Text1"/>
        <w:pBdr>
          <w:top w:val="single" w:sz="4" w:space="1" w:color="auto"/>
          <w:left w:val="single" w:sz="4" w:space="4" w:color="auto"/>
          <w:bottom w:val="single" w:sz="4" w:space="1" w:color="auto"/>
          <w:right w:val="single" w:sz="4" w:space="4" w:color="auto"/>
        </w:pBdr>
        <w:rPr>
          <w:noProof/>
        </w:rPr>
      </w:pPr>
      <w:r>
        <w:rPr>
          <w:noProof/>
        </w:rPr>
        <w:t>Стандартните механизми за надзор, приети от Генерална дирекция „Научни изследвания и иновации“ за инициативите по член 185 от ДФЕС, които ще се прилагат по същия начин за съвместната програма PRIMA.</w:t>
      </w:r>
    </w:p>
    <w:p>
      <w:pPr>
        <w:pStyle w:val="Text1"/>
        <w:pBdr>
          <w:top w:val="single" w:sz="4" w:space="1" w:color="auto"/>
          <w:left w:val="single" w:sz="4" w:space="4" w:color="auto"/>
          <w:bottom w:val="single" w:sz="4" w:space="1" w:color="auto"/>
          <w:right w:val="single" w:sz="4" w:space="4" w:color="auto"/>
        </w:pBdr>
        <w:rPr>
          <w:noProof/>
        </w:rPr>
      </w:pPr>
      <w:r>
        <w:rPr>
          <w:noProof/>
        </w:rPr>
        <w:t xml:space="preserve">Отговорностите на службите на Комисията и тези на специалната изпълнителна структура за PRIMA (PRIMA-IS) и участващите държави ще бъдат ясно определени в основния акт и споразумението за възлагане. </w:t>
      </w:r>
    </w:p>
    <w:p>
      <w:pPr>
        <w:pStyle w:val="Text1"/>
        <w:pBdr>
          <w:top w:val="single" w:sz="4" w:space="1" w:color="auto"/>
          <w:left w:val="single" w:sz="4" w:space="4" w:color="auto"/>
          <w:bottom w:val="single" w:sz="4" w:space="1" w:color="auto"/>
          <w:right w:val="single" w:sz="4" w:space="4" w:color="auto"/>
        </w:pBdr>
        <w:rPr>
          <w:noProof/>
        </w:rPr>
      </w:pPr>
      <w:r>
        <w:rPr>
          <w:noProof/>
        </w:rPr>
        <w:t xml:space="preserve">Преди подписването на споразумението за възлагане PRIMA-IS ще бъде подложена на предварителна оценка в съответствие с изискванията, посочени в член 61 от Финансовия регламент. PRIMA-IS осигурява цялостно отчитане на годишна база, което включва одиторски становища и декларация за управлението, и носи отговорност за предварителния контрол на разходите по всички непреки действия, финансирани от PRIMA-IS. </w:t>
      </w:r>
    </w:p>
    <w:p>
      <w:pPr>
        <w:pStyle w:val="Text1"/>
        <w:pBdr>
          <w:top w:val="single" w:sz="4" w:space="1" w:color="auto"/>
          <w:left w:val="single" w:sz="4" w:space="4" w:color="auto"/>
          <w:bottom w:val="single" w:sz="4" w:space="1" w:color="auto"/>
          <w:right w:val="single" w:sz="4" w:space="4" w:color="auto"/>
        </w:pBdr>
        <w:rPr>
          <w:noProof/>
        </w:rPr>
      </w:pPr>
      <w:r>
        <w:rPr>
          <w:noProof/>
        </w:rPr>
        <w:t xml:space="preserve">Освен това, в съответствие с изискванията на Финансовия регламент, участващите държави ще трябва да предоставят подходящи финансови гаранции своевременно и най-късно преди подписването на споразумението за възлагане от страна на Комисията.  </w:t>
      </w:r>
    </w:p>
    <w:p>
      <w:pPr>
        <w:pStyle w:val="Text1"/>
        <w:pBdr>
          <w:top w:val="single" w:sz="4" w:space="1" w:color="auto"/>
          <w:left w:val="single" w:sz="4" w:space="4" w:color="auto"/>
          <w:bottom w:val="single" w:sz="4" w:space="1" w:color="auto"/>
          <w:right w:val="single" w:sz="4" w:space="4" w:color="auto"/>
        </w:pBdr>
        <w:rPr>
          <w:noProof/>
        </w:rPr>
      </w:pPr>
      <w:r>
        <w:rPr>
          <w:noProof/>
        </w:rPr>
        <w:t>Участващите държави ще определят разходите за своите дейности съобразно с обичайните счетоводни практики и счетоводните стандарти на съответните участващи държави и с приложимите международни счетоводни стандарти или международни стандарти за финансово отчитане. Те включват одиторски заверки и декларация за управлението.</w:t>
      </w:r>
    </w:p>
    <w:p>
      <w:pPr>
        <w:pStyle w:val="Text1"/>
        <w:pBdr>
          <w:top w:val="single" w:sz="4" w:space="1" w:color="auto"/>
          <w:left w:val="single" w:sz="4" w:space="4" w:color="auto"/>
          <w:bottom w:val="single" w:sz="4" w:space="1" w:color="auto"/>
          <w:right w:val="single" w:sz="4" w:space="4" w:color="auto"/>
        </w:pBdr>
        <w:rPr>
          <w:noProof/>
        </w:rPr>
      </w:pPr>
      <w:r>
        <w:rPr>
          <w:noProof/>
        </w:rPr>
        <w:t>Комисията има статут на наблюдател в органа на PRIMA-IS, отговорен за вземането на решения, и проверява и одобрява годишния работен план (ГРП) и свързаните с него бюджетни планове с решение на Комисията и в рамките на годишното отчитане. Ако отчетите не могат да бъдат приети, се предприемат последващи действия, за да бъдат ограничени всички финансови рискове и рискове за репутацията на Комисията. Когато е необходимо плащанията към PRIMA-IS ще бъдат спрени и/или възстановени, при необходимост чрез изтегляне на финансовите гаранции, предоставени от участващите държави. Ако всички стъпки, описани по-горе, не са достатъчни за защитата на финансовите интереси на Съюза или за да се гарантира, че целите на политиките се постигат по правилен начин, то тогава след внимателна преценка може да бъде извършен одит на PRIMA-IS. В допълнение Комисията може да реши при необходимост да спре изпълнението на споразумението за възлагане или да го прекрати.</w:t>
      </w:r>
    </w:p>
    <w:p>
      <w:pPr>
        <w:pStyle w:val="Text1"/>
        <w:pBdr>
          <w:top w:val="single" w:sz="4" w:space="1" w:color="auto"/>
          <w:left w:val="single" w:sz="4" w:space="4" w:color="auto"/>
          <w:bottom w:val="single" w:sz="4" w:space="1" w:color="auto"/>
          <w:right w:val="single" w:sz="4" w:space="4" w:color="auto"/>
        </w:pBdr>
        <w:rPr>
          <w:noProof/>
        </w:rPr>
      </w:pPr>
      <w:r>
        <w:rPr>
          <w:noProof/>
        </w:rPr>
        <w:t>Изпълнението на PRIMA ще се проследява чрез годишни доклади. Те ще включват подробен преглед на дейностите по PRIMA при съпоставка с многогодишния стратегически работен план и годишния работен план, както и на напредъка по постигането на целите и актуализираните показатели, изброени в точка 1.4.4.</w:t>
      </w:r>
    </w:p>
    <w:p>
      <w:pPr>
        <w:pStyle w:val="ManualHeading2"/>
        <w:rPr>
          <w:bCs/>
          <w:noProof/>
          <w:szCs w:val="24"/>
        </w:rPr>
      </w:pPr>
      <w:r>
        <w:t>2.2.</w:t>
      </w:r>
      <w:r>
        <w:tab/>
      </w:r>
      <w:r>
        <w:rPr>
          <w:noProof/>
        </w:rPr>
        <w:t xml:space="preserve">Система за управление и контрол </w:t>
      </w:r>
    </w:p>
    <w:p>
      <w:pPr>
        <w:pStyle w:val="ManualHeading3"/>
        <w:rPr>
          <w:noProof/>
        </w:rPr>
      </w:pPr>
      <w:r>
        <w:t>2.2.1.</w:t>
      </w:r>
      <w:r>
        <w:tab/>
      </w:r>
      <w:r>
        <w:rPr>
          <w:noProof/>
        </w:rPr>
        <w:t xml:space="preserve">Установени рискове </w:t>
      </w:r>
    </w:p>
    <w:p>
      <w:pPr>
        <w:pStyle w:val="Text1"/>
        <w:pBdr>
          <w:top w:val="single" w:sz="4" w:space="1" w:color="auto"/>
          <w:left w:val="single" w:sz="4" w:space="4" w:color="auto"/>
          <w:bottom w:val="single" w:sz="4" w:space="1" w:color="auto"/>
          <w:right w:val="single" w:sz="4" w:space="4" w:color="auto"/>
        </w:pBdr>
        <w:rPr>
          <w:noProof/>
        </w:rPr>
      </w:pPr>
      <w:r>
        <w:rPr>
          <w:noProof/>
        </w:rPr>
        <w:t>1) Способност на PRIMA-IS за управление на участието на ЕС и за защита на финансовите интереси на Съюза</w:t>
      </w:r>
    </w:p>
    <w:p>
      <w:pPr>
        <w:pStyle w:val="Text1"/>
        <w:pBdr>
          <w:top w:val="single" w:sz="4" w:space="1" w:color="auto"/>
          <w:left w:val="single" w:sz="4" w:space="4" w:color="auto"/>
          <w:bottom w:val="single" w:sz="4" w:space="1" w:color="auto"/>
          <w:right w:val="single" w:sz="4" w:space="4" w:color="auto"/>
        </w:pBdr>
        <w:rPr>
          <w:noProof/>
        </w:rPr>
      </w:pPr>
      <w:r>
        <w:rPr>
          <w:noProof/>
        </w:rPr>
        <w:t>2) Способност на участващите държави да финансират своите участия в програмата</w:t>
      </w:r>
    </w:p>
    <w:p>
      <w:pPr>
        <w:pStyle w:val="Text1"/>
        <w:pBdr>
          <w:top w:val="single" w:sz="4" w:space="1" w:color="auto"/>
          <w:left w:val="single" w:sz="4" w:space="4" w:color="auto"/>
          <w:bottom w:val="single" w:sz="4" w:space="1" w:color="auto"/>
          <w:right w:val="single" w:sz="4" w:space="4" w:color="auto"/>
        </w:pBdr>
        <w:rPr>
          <w:noProof/>
        </w:rPr>
      </w:pPr>
      <w:r>
        <w:rPr>
          <w:noProof/>
        </w:rPr>
        <w:t>3) Важни предварително поети задължения на ЕС през 2020 г.</w:t>
      </w:r>
    </w:p>
    <w:p>
      <w:pPr>
        <w:pStyle w:val="ManualHeading3"/>
        <w:rPr>
          <w:bCs/>
          <w:noProof/>
          <w:szCs w:val="24"/>
        </w:rPr>
      </w:pPr>
      <w:r>
        <w:t>2.2.2.</w:t>
      </w:r>
      <w:r>
        <w:tab/>
      </w:r>
      <w:r>
        <w:rPr>
          <w:noProof/>
        </w:rPr>
        <w:t>Информация за изградената система за вътрешен контрол</w:t>
      </w:r>
    </w:p>
    <w:p>
      <w:pPr>
        <w:pStyle w:val="Text1"/>
        <w:pBdr>
          <w:top w:val="single" w:sz="4" w:space="1" w:color="auto"/>
          <w:left w:val="single" w:sz="4" w:space="4" w:color="auto"/>
          <w:bottom w:val="single" w:sz="4" w:space="1" w:color="auto"/>
          <w:right w:val="single" w:sz="4" w:space="4" w:color="auto"/>
        </w:pBdr>
        <w:rPr>
          <w:noProof/>
        </w:rPr>
      </w:pPr>
      <w:r>
        <w:rPr>
          <w:noProof/>
        </w:rPr>
        <w:t>Риск 1 – вж. точка 2.1</w:t>
      </w:r>
    </w:p>
    <w:p>
      <w:pPr>
        <w:pStyle w:val="Text1"/>
        <w:pBdr>
          <w:top w:val="single" w:sz="4" w:space="1" w:color="auto"/>
          <w:left w:val="single" w:sz="4" w:space="4" w:color="auto"/>
          <w:bottom w:val="single" w:sz="4" w:space="1" w:color="auto"/>
          <w:right w:val="single" w:sz="4" w:space="4" w:color="auto"/>
        </w:pBdr>
        <w:rPr>
          <w:noProof/>
        </w:rPr>
      </w:pPr>
      <w:r>
        <w:rPr>
          <w:noProof/>
        </w:rPr>
        <w:t>Риск 2 – Участието на ЕС ще се освобождава по-конкретно при спазване на условията, установени в основния акт и в споразумението за възлагане. В основния акт също е предвиден механизъм за прекратяване, ограничаване или временна отмяна на участието на Съюза (член 9).</w:t>
      </w:r>
    </w:p>
    <w:p>
      <w:pPr>
        <w:pStyle w:val="Text1"/>
        <w:pBdr>
          <w:top w:val="single" w:sz="4" w:space="1" w:color="auto"/>
          <w:left w:val="single" w:sz="4" w:space="4" w:color="auto"/>
          <w:bottom w:val="single" w:sz="4" w:space="1" w:color="auto"/>
          <w:right w:val="single" w:sz="4" w:space="4" w:color="auto"/>
        </w:pBdr>
        <w:rPr>
          <w:noProof/>
        </w:rPr>
      </w:pPr>
      <w:r>
        <w:rPr>
          <w:noProof/>
        </w:rPr>
        <w:t>Риск 3 – В основния акт е предвидена възможността за прекратяване, ограничаване или временна отмяна на финансовото участие на ЕС, ако задълженията на участващите държави не се изпълняват в срок, както и преразпределение на бюджета към други инициативи през 2020 г.</w:t>
      </w:r>
    </w:p>
    <w:p>
      <w:pPr>
        <w:pStyle w:val="ManualHeading3"/>
        <w:rPr>
          <w:noProof/>
        </w:rPr>
      </w:pPr>
      <w:r>
        <w:t>2.2.3.</w:t>
      </w:r>
      <w:r>
        <w:tab/>
      </w:r>
      <w:r>
        <w:rPr>
          <w:noProof/>
        </w:rPr>
        <w:t xml:space="preserve">Оценка на разходите и ползите от проверките и на очаквания риск от грешка </w:t>
      </w:r>
    </w:p>
    <w:p>
      <w:pPr>
        <w:pStyle w:val="Text1"/>
        <w:pBdr>
          <w:top w:val="single" w:sz="4" w:space="1" w:color="auto"/>
          <w:left w:val="single" w:sz="4" w:space="4" w:color="auto"/>
          <w:bottom w:val="single" w:sz="4" w:space="1" w:color="auto"/>
          <w:right w:val="single" w:sz="4" w:space="4" w:color="auto"/>
        </w:pBdr>
        <w:rPr>
          <w:noProof/>
        </w:rPr>
      </w:pPr>
      <w:r>
        <w:rPr>
          <w:noProof/>
        </w:rPr>
        <w:t>Член 10 от основния акт предвижда последващи одити на разходите за непреки действия, които се извършват в съответствие с правилата на „Хоризонт 2020“. Разходите на системата за контрол са част от административните разходи за изпълнението на PRIMA. Системата ще осигури разумни гаранции и ще постигне подходящо управление на установените рискове.</w:t>
      </w:r>
    </w:p>
    <w:p>
      <w:pPr>
        <w:pStyle w:val="ManualHeading2"/>
        <w:rPr>
          <w:bCs/>
          <w:noProof/>
          <w:szCs w:val="24"/>
        </w:rPr>
      </w:pPr>
      <w:r>
        <w:t>2.3.</w:t>
      </w:r>
      <w:r>
        <w:tab/>
      </w:r>
      <w:r>
        <w:rPr>
          <w:noProof/>
        </w:rPr>
        <w:t xml:space="preserve">Мерки за предотвратяване на измами и нередности </w:t>
      </w:r>
    </w:p>
    <w:p>
      <w:pPr>
        <w:pStyle w:val="Text1"/>
        <w:rPr>
          <w:i/>
          <w:noProof/>
          <w:sz w:val="20"/>
        </w:rPr>
      </w:pPr>
      <w:r>
        <w:rPr>
          <w:i/>
          <w:noProof/>
          <w:sz w:val="20"/>
        </w:rPr>
        <w:t>Да се посочат съществуващите или планираните мерки за превенция и защита.</w:t>
      </w:r>
    </w:p>
    <w:p>
      <w:pPr>
        <w:pStyle w:val="Text1"/>
        <w:pBdr>
          <w:top w:val="single" w:sz="4" w:space="1" w:color="auto"/>
          <w:left w:val="single" w:sz="4" w:space="4" w:color="auto"/>
          <w:bottom w:val="single" w:sz="4" w:space="1" w:color="auto"/>
          <w:right w:val="single" w:sz="4" w:space="4" w:color="auto"/>
        </w:pBdr>
        <w:rPr>
          <w:noProof/>
        </w:rPr>
      </w:pPr>
      <w:r>
        <w:rPr>
          <w:noProof/>
        </w:rPr>
        <w:t xml:space="preserve">В основния акт е предвиден набор от мерки за предотвратяване на измами и нередности, в частност: </w:t>
      </w:r>
    </w:p>
    <w:p>
      <w:pPr>
        <w:pStyle w:val="Text1"/>
        <w:pBdr>
          <w:top w:val="single" w:sz="4" w:space="1" w:color="auto"/>
          <w:left w:val="single" w:sz="4" w:space="4" w:color="auto"/>
          <w:bottom w:val="single" w:sz="4" w:space="1" w:color="auto"/>
          <w:right w:val="single" w:sz="4" w:space="4" w:color="auto"/>
        </w:pBdr>
        <w:rPr>
          <w:noProof/>
        </w:rPr>
      </w:pPr>
      <w:r>
        <w:rPr>
          <w:noProof/>
        </w:rPr>
        <w:t>в член 11 от основния акт се предвижда наред с другото, че PRIMA-IS е длъжна да предоставя на Комисията достъп до своята информация и помещения с цел упражняване на контрол, оценка и извършване на одити на изпълнението на PRIMA, както и на OLAF, с оглед на евентуални разследвания.</w:t>
      </w:r>
    </w:p>
    <w:p>
      <w:pPr>
        <w:pStyle w:val="Text1"/>
        <w:pBdr>
          <w:top w:val="single" w:sz="4" w:space="1" w:color="auto"/>
          <w:left w:val="single" w:sz="4" w:space="4" w:color="auto"/>
          <w:bottom w:val="single" w:sz="4" w:space="1" w:color="auto"/>
          <w:right w:val="single" w:sz="4" w:space="4" w:color="auto"/>
        </w:pBdr>
        <w:rPr>
          <w:noProof/>
        </w:rPr>
      </w:pPr>
      <w:r>
        <w:rPr>
          <w:noProof/>
        </w:rPr>
        <w:t>В член 4 от основния акт се предвижда, наред с друго, че участието на ЕС зависи от това дали PRIMA спазва изискванията за докладване по член 60, параграф 5 от Регламент (ЕС, Евратом) № 966/2012. Съгласно член 9 Комисията може да прекрати, да ограничи или временно да отмени своето участие.</w:t>
      </w:r>
    </w:p>
    <w:p>
      <w:pPr>
        <w:rPr>
          <w:noProof/>
        </w:rPr>
        <w:sectPr>
          <w:pgSz w:w="11907" w:h="16840" w:code="9"/>
          <w:pgMar w:top="1134" w:right="1418" w:bottom="1134" w:left="1418" w:header="709" w:footer="709" w:gutter="0"/>
          <w:cols w:space="708"/>
          <w:docGrid w:linePitch="360"/>
        </w:sectPr>
      </w:pPr>
    </w:p>
    <w:p>
      <w:pPr>
        <w:pStyle w:val="ManualHeading1"/>
        <w:rPr>
          <w:bCs/>
          <w:noProof/>
          <w:szCs w:val="24"/>
        </w:rPr>
      </w:pPr>
      <w:r>
        <w:t>3.</w:t>
      </w:r>
      <w:r>
        <w:tab/>
      </w:r>
      <w:r>
        <w:rPr>
          <w:noProof/>
        </w:rPr>
        <w:t xml:space="preserve">ОЧАКВАНО ФИНАНСОВО ОТРАЖЕНИЕ НА ПРЕДЛОЖЕНИЕТО/ИНИЦИАТИВАТА </w:t>
      </w:r>
    </w:p>
    <w:p>
      <w:pPr>
        <w:pStyle w:val="ManualHeading2"/>
        <w:rPr>
          <w:noProof/>
        </w:rPr>
      </w:pPr>
      <w:r>
        <w:t>3.1.</w:t>
      </w:r>
      <w:r>
        <w:tab/>
      </w:r>
      <w:r>
        <w:rPr>
          <w:noProof/>
        </w:rPr>
        <w:t xml:space="preserve">Съответни функции от многогодишната финансова рамка и разходни бюджетни редове </w:t>
      </w:r>
    </w:p>
    <w:p>
      <w:pPr>
        <w:pStyle w:val="ListBullet1"/>
        <w:rPr>
          <w:noProof/>
        </w:rPr>
      </w:pPr>
      <w:r>
        <w:rPr>
          <w:noProof/>
        </w:rPr>
        <w:t xml:space="preserve">Съществуващи бюджетни редове </w:t>
      </w:r>
    </w:p>
    <w:p>
      <w:pPr>
        <w:pStyle w:val="Text1"/>
        <w:rPr>
          <w:noProof/>
        </w:rPr>
      </w:pPr>
      <w:r>
        <w:rPr>
          <w:noProof/>
          <w:u w:val="single"/>
        </w:rPr>
        <w:t>По реда</w:t>
      </w:r>
      <w:r>
        <w:rPr>
          <w:noProof/>
        </w:rPr>
        <w:t xml:space="preserve"> на функциите от многогодишната финансова рамка и на бюджетните редове.</w:t>
      </w:r>
    </w:p>
    <w:tbl>
      <w:tblPr>
        <w:tblW w:w="105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816"/>
        <w:gridCol w:w="1224"/>
        <w:gridCol w:w="956"/>
        <w:gridCol w:w="1080"/>
        <w:gridCol w:w="956"/>
        <w:gridCol w:w="1448"/>
      </w:tblGrid>
      <w:tr>
        <w:tc>
          <w:tcPr>
            <w:tcW w:w="1080" w:type="dxa"/>
            <w:vMerge w:val="restart"/>
            <w:vAlign w:val="center"/>
          </w:tcPr>
          <w:p>
            <w:pPr>
              <w:spacing w:before="60" w:after="60"/>
              <w:jc w:val="center"/>
              <w:rPr>
                <w:noProof/>
              </w:rPr>
            </w:pPr>
            <w:r>
              <w:rPr>
                <w:noProof/>
                <w:sz w:val="18"/>
              </w:rPr>
              <w:t>Функция от многогодишната финансова рамка</w:t>
            </w:r>
          </w:p>
        </w:tc>
        <w:tc>
          <w:tcPr>
            <w:tcW w:w="3816" w:type="dxa"/>
            <w:vAlign w:val="center"/>
          </w:tcPr>
          <w:p>
            <w:pPr>
              <w:spacing w:before="60" w:after="60"/>
              <w:jc w:val="center"/>
              <w:rPr>
                <w:noProof/>
              </w:rPr>
            </w:pPr>
            <w:r>
              <w:rPr>
                <w:noProof/>
                <w:sz w:val="20"/>
              </w:rPr>
              <w:t>Бюджетен ред</w:t>
            </w:r>
          </w:p>
        </w:tc>
        <w:tc>
          <w:tcPr>
            <w:tcW w:w="1224" w:type="dxa"/>
            <w:vAlign w:val="center"/>
          </w:tcPr>
          <w:p>
            <w:pPr>
              <w:spacing w:before="60" w:after="60"/>
              <w:jc w:val="center"/>
              <w:rPr>
                <w:noProof/>
              </w:rPr>
            </w:pPr>
            <w:r>
              <w:rPr>
                <w:noProof/>
                <w:sz w:val="18"/>
              </w:rPr>
              <w:t xml:space="preserve">Вид </w:t>
            </w:r>
            <w:r>
              <w:rPr>
                <w:noProof/>
                <w:sz w:val="22"/>
              </w:rPr>
              <w:br/>
            </w:r>
            <w:r>
              <w:rPr>
                <w:noProof/>
                <w:sz w:val="18"/>
              </w:rPr>
              <w:t>разход</w:t>
            </w:r>
          </w:p>
        </w:tc>
        <w:tc>
          <w:tcPr>
            <w:tcW w:w="4440" w:type="dxa"/>
            <w:gridSpan w:val="4"/>
            <w:vAlign w:val="center"/>
          </w:tcPr>
          <w:p>
            <w:pPr>
              <w:spacing w:before="60" w:after="60"/>
              <w:jc w:val="center"/>
              <w:rPr>
                <w:noProof/>
              </w:rPr>
            </w:pPr>
            <w:r>
              <w:rPr>
                <w:noProof/>
                <w:sz w:val="20"/>
              </w:rPr>
              <w:t xml:space="preserve">Участие </w:t>
            </w:r>
          </w:p>
        </w:tc>
      </w:tr>
      <w:tr>
        <w:tc>
          <w:tcPr>
            <w:tcW w:w="1080" w:type="dxa"/>
            <w:vMerge/>
            <w:vAlign w:val="center"/>
          </w:tcPr>
          <w:p>
            <w:pPr>
              <w:jc w:val="center"/>
              <w:rPr>
                <w:noProof/>
              </w:rPr>
            </w:pPr>
          </w:p>
        </w:tc>
        <w:tc>
          <w:tcPr>
            <w:tcW w:w="3816" w:type="dxa"/>
            <w:vAlign w:val="center"/>
          </w:tcPr>
          <w:p>
            <w:pPr>
              <w:rPr>
                <w:noProof/>
              </w:rPr>
            </w:pPr>
            <w:r>
              <w:rPr>
                <w:rFonts w:eastAsiaTheme="minorEastAsia"/>
                <w:noProof/>
                <w:sz w:val="20"/>
              </w:rPr>
              <w:t>Функция 1А – „Конкурентоспособност за растеж и заетост“</w:t>
            </w:r>
          </w:p>
        </w:tc>
        <w:tc>
          <w:tcPr>
            <w:tcW w:w="1224" w:type="dxa"/>
            <w:vAlign w:val="center"/>
          </w:tcPr>
          <w:p>
            <w:pPr>
              <w:jc w:val="center"/>
              <w:rPr>
                <w:noProof/>
              </w:rPr>
            </w:pPr>
            <w:r>
              <w:rPr>
                <w:noProof/>
                <w:sz w:val="18"/>
              </w:rPr>
              <w:t>Многогод./едногод.</w:t>
            </w:r>
            <w:r>
              <w:rPr>
                <w:rStyle w:val="FootnoteReference"/>
                <w:noProof/>
                <w:sz w:val="18"/>
              </w:rPr>
              <w:footnoteReference w:id="14"/>
            </w:r>
            <w:r>
              <w:rPr>
                <w:noProof/>
                <w:sz w:val="18"/>
              </w:rPr>
              <w:t>.</w:t>
            </w:r>
          </w:p>
        </w:tc>
        <w:tc>
          <w:tcPr>
            <w:tcW w:w="956" w:type="dxa"/>
            <w:vAlign w:val="center"/>
          </w:tcPr>
          <w:p>
            <w:pPr>
              <w:jc w:val="center"/>
              <w:rPr>
                <w:noProof/>
              </w:rPr>
            </w:pPr>
            <w:r>
              <w:rPr>
                <w:noProof/>
                <w:sz w:val="18"/>
              </w:rPr>
              <w:t>от държавите от ЕАСТ</w:t>
            </w:r>
            <w:r>
              <w:rPr>
                <w:rStyle w:val="FootnoteReference"/>
                <w:noProof/>
                <w:sz w:val="18"/>
              </w:rPr>
              <w:footnoteReference w:id="15"/>
            </w:r>
          </w:p>
          <w:p>
            <w:pPr>
              <w:spacing w:before="0" w:after="0"/>
              <w:jc w:val="center"/>
              <w:rPr>
                <w:b/>
                <w:noProof/>
                <w:sz w:val="18"/>
              </w:rPr>
            </w:pPr>
          </w:p>
        </w:tc>
        <w:tc>
          <w:tcPr>
            <w:tcW w:w="1080" w:type="dxa"/>
            <w:vAlign w:val="center"/>
          </w:tcPr>
          <w:p>
            <w:pPr>
              <w:jc w:val="center"/>
              <w:rPr>
                <w:noProof/>
              </w:rPr>
            </w:pPr>
            <w:r>
              <w:rPr>
                <w:noProof/>
                <w:sz w:val="18"/>
              </w:rPr>
              <w:t>от държави кандидатки</w:t>
            </w:r>
            <w:r>
              <w:rPr>
                <w:rStyle w:val="FootnoteReference"/>
                <w:noProof/>
                <w:sz w:val="18"/>
              </w:rPr>
              <w:footnoteReference w:id="16"/>
            </w:r>
          </w:p>
          <w:p>
            <w:pPr>
              <w:spacing w:before="0" w:after="0"/>
              <w:jc w:val="center"/>
              <w:rPr>
                <w:noProof/>
                <w:sz w:val="18"/>
              </w:rPr>
            </w:pPr>
          </w:p>
        </w:tc>
        <w:tc>
          <w:tcPr>
            <w:tcW w:w="956" w:type="dxa"/>
            <w:vAlign w:val="center"/>
          </w:tcPr>
          <w:p>
            <w:pPr>
              <w:jc w:val="center"/>
              <w:rPr>
                <w:noProof/>
                <w:sz w:val="18"/>
              </w:rPr>
            </w:pPr>
            <w:r>
              <w:rPr>
                <w:noProof/>
                <w:sz w:val="18"/>
              </w:rPr>
              <w:t>от трети държави</w:t>
            </w:r>
          </w:p>
        </w:tc>
        <w:tc>
          <w:tcPr>
            <w:tcW w:w="1448" w:type="dxa"/>
            <w:vAlign w:val="center"/>
          </w:tcPr>
          <w:p>
            <w:pPr>
              <w:jc w:val="center"/>
              <w:rPr>
                <w:noProof/>
              </w:rPr>
            </w:pPr>
            <w:r>
              <w:rPr>
                <w:noProof/>
                <w:sz w:val="16"/>
              </w:rPr>
              <w:t xml:space="preserve">по смисъла на член 21, параграф 2, буква б) от Финансовия регламент </w:t>
            </w:r>
          </w:p>
        </w:tc>
      </w:tr>
      <w:tr>
        <w:tc>
          <w:tcPr>
            <w:tcW w:w="1080" w:type="dxa"/>
            <w:vAlign w:val="center"/>
          </w:tcPr>
          <w:p>
            <w:pPr>
              <w:jc w:val="center"/>
              <w:rPr>
                <w:noProof/>
                <w:color w:val="0000FF"/>
              </w:rPr>
            </w:pPr>
            <w:r>
              <w:rPr>
                <w:noProof/>
                <w:color w:val="0000FF"/>
              </w:rPr>
              <w:t>1A</w:t>
            </w:r>
          </w:p>
        </w:tc>
        <w:tc>
          <w:tcPr>
            <w:tcW w:w="3816" w:type="dxa"/>
            <w:vAlign w:val="center"/>
          </w:tcPr>
          <w:p>
            <w:pPr>
              <w:pStyle w:val="TextValue"/>
              <w:rPr>
                <w:noProof/>
                <w:sz w:val="20"/>
                <w:szCs w:val="20"/>
              </w:rPr>
            </w:pPr>
            <w:r>
              <w:rPr>
                <w:noProof/>
                <w:sz w:val="20"/>
              </w:rPr>
              <w:t>05.090301 – Осигуряване на достатъчно доставки на безопасни храни с високо качество и други продукти на биологична основа</w:t>
            </w:r>
          </w:p>
        </w:tc>
        <w:tc>
          <w:tcPr>
            <w:tcW w:w="1224" w:type="dxa"/>
            <w:vAlign w:val="center"/>
          </w:tcPr>
          <w:p>
            <w:pPr>
              <w:jc w:val="center"/>
              <w:rPr>
                <w:noProof/>
                <w:color w:val="0000FF"/>
                <w:sz w:val="20"/>
                <w:szCs w:val="20"/>
              </w:rPr>
            </w:pPr>
            <w:r>
              <w:rPr>
                <w:noProof/>
                <w:sz w:val="20"/>
              </w:rPr>
              <w:t>Многогод.</w:t>
            </w:r>
          </w:p>
        </w:tc>
        <w:tc>
          <w:tcPr>
            <w:tcW w:w="956" w:type="dxa"/>
            <w:vAlign w:val="center"/>
          </w:tcPr>
          <w:p>
            <w:pPr>
              <w:jc w:val="center"/>
              <w:rPr>
                <w:noProof/>
                <w:sz w:val="20"/>
                <w:szCs w:val="20"/>
              </w:rPr>
            </w:pPr>
            <w:r>
              <w:rPr>
                <w:noProof/>
                <w:sz w:val="20"/>
              </w:rPr>
              <w:t>ДА</w:t>
            </w:r>
          </w:p>
        </w:tc>
        <w:tc>
          <w:tcPr>
            <w:tcW w:w="1080" w:type="dxa"/>
            <w:vAlign w:val="center"/>
          </w:tcPr>
          <w:p>
            <w:pPr>
              <w:jc w:val="center"/>
              <w:rPr>
                <w:noProof/>
              </w:rPr>
            </w:pPr>
            <w:r>
              <w:rPr>
                <w:noProof/>
                <w:sz w:val="20"/>
              </w:rPr>
              <w:t>ДА</w:t>
            </w:r>
          </w:p>
        </w:tc>
        <w:tc>
          <w:tcPr>
            <w:tcW w:w="956" w:type="dxa"/>
            <w:vAlign w:val="center"/>
          </w:tcPr>
          <w:p>
            <w:pPr>
              <w:jc w:val="center"/>
              <w:rPr>
                <w:noProof/>
              </w:rPr>
            </w:pPr>
            <w:r>
              <w:rPr>
                <w:noProof/>
                <w:sz w:val="20"/>
              </w:rPr>
              <w:t>ДА</w:t>
            </w:r>
          </w:p>
        </w:tc>
        <w:tc>
          <w:tcPr>
            <w:tcW w:w="1448" w:type="dxa"/>
            <w:vAlign w:val="center"/>
          </w:tcPr>
          <w:p>
            <w:pPr>
              <w:jc w:val="center"/>
              <w:rPr>
                <w:noProof/>
              </w:rPr>
            </w:pPr>
            <w:r>
              <w:rPr>
                <w:noProof/>
                <w:sz w:val="20"/>
              </w:rPr>
              <w:t>ДА</w:t>
            </w:r>
          </w:p>
        </w:tc>
      </w:tr>
      <w:tr>
        <w:tc>
          <w:tcPr>
            <w:tcW w:w="1080" w:type="dxa"/>
            <w:vAlign w:val="center"/>
          </w:tcPr>
          <w:p>
            <w:pPr>
              <w:jc w:val="center"/>
              <w:rPr>
                <w:noProof/>
                <w:color w:val="0000FF"/>
              </w:rPr>
            </w:pPr>
            <w:r>
              <w:rPr>
                <w:noProof/>
                <w:color w:val="0000FF"/>
              </w:rPr>
              <w:t>1A</w:t>
            </w:r>
          </w:p>
        </w:tc>
        <w:tc>
          <w:tcPr>
            <w:tcW w:w="3816" w:type="dxa"/>
            <w:vAlign w:val="center"/>
          </w:tcPr>
          <w:p>
            <w:pPr>
              <w:pStyle w:val="TextValue"/>
              <w:rPr>
                <w:noProof/>
                <w:sz w:val="20"/>
                <w:szCs w:val="20"/>
              </w:rPr>
            </w:pPr>
            <w:r>
              <w:rPr>
                <w:noProof/>
                <w:sz w:val="20"/>
              </w:rPr>
              <w:t>08.020302 – Подобряване на продоволствената сигурност, развитие на устойчиво земеделие, мореплавателски и морски изследвания и биоикономика</w:t>
            </w:r>
          </w:p>
        </w:tc>
        <w:tc>
          <w:tcPr>
            <w:tcW w:w="1224" w:type="dxa"/>
            <w:vAlign w:val="center"/>
          </w:tcPr>
          <w:p>
            <w:pPr>
              <w:jc w:val="center"/>
              <w:rPr>
                <w:noProof/>
                <w:sz w:val="22"/>
              </w:rPr>
            </w:pPr>
            <w:r>
              <w:rPr>
                <w:noProof/>
                <w:sz w:val="20"/>
              </w:rPr>
              <w:t>Многогод.</w:t>
            </w:r>
          </w:p>
        </w:tc>
        <w:tc>
          <w:tcPr>
            <w:tcW w:w="956" w:type="dxa"/>
            <w:vAlign w:val="center"/>
          </w:tcPr>
          <w:p>
            <w:pPr>
              <w:jc w:val="center"/>
              <w:rPr>
                <w:noProof/>
                <w:sz w:val="22"/>
              </w:rPr>
            </w:pPr>
            <w:r>
              <w:rPr>
                <w:noProof/>
                <w:sz w:val="20"/>
              </w:rPr>
              <w:t>ДА</w:t>
            </w:r>
          </w:p>
        </w:tc>
        <w:tc>
          <w:tcPr>
            <w:tcW w:w="1080" w:type="dxa"/>
            <w:vAlign w:val="center"/>
          </w:tcPr>
          <w:p>
            <w:pPr>
              <w:jc w:val="center"/>
              <w:rPr>
                <w:noProof/>
                <w:sz w:val="22"/>
              </w:rPr>
            </w:pPr>
            <w:r>
              <w:rPr>
                <w:noProof/>
                <w:sz w:val="20"/>
              </w:rPr>
              <w:t>ДА</w:t>
            </w:r>
          </w:p>
        </w:tc>
        <w:tc>
          <w:tcPr>
            <w:tcW w:w="956" w:type="dxa"/>
            <w:vAlign w:val="center"/>
          </w:tcPr>
          <w:p>
            <w:pPr>
              <w:jc w:val="center"/>
              <w:rPr>
                <w:noProof/>
                <w:sz w:val="22"/>
              </w:rPr>
            </w:pPr>
            <w:r>
              <w:rPr>
                <w:noProof/>
                <w:sz w:val="20"/>
              </w:rPr>
              <w:t>ДА</w:t>
            </w:r>
          </w:p>
        </w:tc>
        <w:tc>
          <w:tcPr>
            <w:tcW w:w="1448" w:type="dxa"/>
            <w:vAlign w:val="center"/>
          </w:tcPr>
          <w:p>
            <w:pPr>
              <w:jc w:val="center"/>
              <w:rPr>
                <w:noProof/>
                <w:sz w:val="22"/>
              </w:rPr>
            </w:pPr>
            <w:r>
              <w:rPr>
                <w:noProof/>
                <w:sz w:val="20"/>
              </w:rPr>
              <w:t>ДА</w:t>
            </w:r>
          </w:p>
        </w:tc>
      </w:tr>
      <w:tr>
        <w:tc>
          <w:tcPr>
            <w:tcW w:w="1080" w:type="dxa"/>
            <w:vAlign w:val="center"/>
          </w:tcPr>
          <w:p>
            <w:pPr>
              <w:jc w:val="center"/>
              <w:rPr>
                <w:noProof/>
                <w:color w:val="0000FF"/>
              </w:rPr>
            </w:pPr>
            <w:r>
              <w:rPr>
                <w:noProof/>
                <w:color w:val="0000FF"/>
              </w:rPr>
              <w:t>1A</w:t>
            </w:r>
          </w:p>
        </w:tc>
        <w:tc>
          <w:tcPr>
            <w:tcW w:w="3816" w:type="dxa"/>
            <w:vAlign w:val="center"/>
          </w:tcPr>
          <w:p>
            <w:pPr>
              <w:pStyle w:val="TextValue"/>
              <w:rPr>
                <w:noProof/>
                <w:sz w:val="20"/>
                <w:szCs w:val="20"/>
              </w:rPr>
            </w:pPr>
            <w:r>
              <w:rPr>
                <w:noProof/>
                <w:sz w:val="20"/>
              </w:rPr>
              <w:t>08.020305 – Постигане на ефективна откъм използване на ресурсите и устойчива спрямо измененията на климата икономика и на устойчиво снабдяване със суровини</w:t>
            </w:r>
          </w:p>
        </w:tc>
        <w:tc>
          <w:tcPr>
            <w:tcW w:w="1224" w:type="dxa"/>
            <w:vAlign w:val="center"/>
          </w:tcPr>
          <w:p>
            <w:pPr>
              <w:jc w:val="center"/>
              <w:rPr>
                <w:noProof/>
                <w:sz w:val="22"/>
              </w:rPr>
            </w:pPr>
            <w:r>
              <w:rPr>
                <w:noProof/>
                <w:sz w:val="20"/>
              </w:rPr>
              <w:t>Многогод.</w:t>
            </w:r>
          </w:p>
        </w:tc>
        <w:tc>
          <w:tcPr>
            <w:tcW w:w="956" w:type="dxa"/>
            <w:vAlign w:val="center"/>
          </w:tcPr>
          <w:p>
            <w:pPr>
              <w:jc w:val="center"/>
              <w:rPr>
                <w:noProof/>
                <w:sz w:val="22"/>
              </w:rPr>
            </w:pPr>
            <w:r>
              <w:rPr>
                <w:noProof/>
                <w:sz w:val="20"/>
              </w:rPr>
              <w:t>ДА</w:t>
            </w:r>
          </w:p>
        </w:tc>
        <w:tc>
          <w:tcPr>
            <w:tcW w:w="1080" w:type="dxa"/>
            <w:vAlign w:val="center"/>
          </w:tcPr>
          <w:p>
            <w:pPr>
              <w:jc w:val="center"/>
              <w:rPr>
                <w:noProof/>
                <w:sz w:val="22"/>
              </w:rPr>
            </w:pPr>
            <w:r>
              <w:rPr>
                <w:noProof/>
                <w:sz w:val="20"/>
              </w:rPr>
              <w:t>ДА</w:t>
            </w:r>
          </w:p>
        </w:tc>
        <w:tc>
          <w:tcPr>
            <w:tcW w:w="956" w:type="dxa"/>
            <w:vAlign w:val="center"/>
          </w:tcPr>
          <w:p>
            <w:pPr>
              <w:jc w:val="center"/>
              <w:rPr>
                <w:noProof/>
                <w:sz w:val="22"/>
              </w:rPr>
            </w:pPr>
            <w:r>
              <w:rPr>
                <w:noProof/>
                <w:sz w:val="20"/>
              </w:rPr>
              <w:t>ДА</w:t>
            </w:r>
          </w:p>
        </w:tc>
        <w:tc>
          <w:tcPr>
            <w:tcW w:w="1448" w:type="dxa"/>
            <w:vAlign w:val="center"/>
          </w:tcPr>
          <w:p>
            <w:pPr>
              <w:jc w:val="center"/>
              <w:rPr>
                <w:noProof/>
                <w:sz w:val="22"/>
              </w:rPr>
            </w:pPr>
            <w:r>
              <w:rPr>
                <w:noProof/>
                <w:sz w:val="20"/>
              </w:rPr>
              <w:t>ДА</w:t>
            </w:r>
          </w:p>
        </w:tc>
      </w:tr>
      <w:tr>
        <w:tc>
          <w:tcPr>
            <w:tcW w:w="1080" w:type="dxa"/>
            <w:vAlign w:val="center"/>
          </w:tcPr>
          <w:p>
            <w:pPr>
              <w:jc w:val="center"/>
              <w:rPr>
                <w:noProof/>
                <w:color w:val="0000FF"/>
              </w:rPr>
            </w:pPr>
            <w:r>
              <w:rPr>
                <w:noProof/>
                <w:color w:val="0000FF"/>
              </w:rPr>
              <w:t>1A</w:t>
            </w:r>
          </w:p>
        </w:tc>
        <w:tc>
          <w:tcPr>
            <w:tcW w:w="3816" w:type="dxa"/>
            <w:vAlign w:val="center"/>
          </w:tcPr>
          <w:p>
            <w:pPr>
              <w:pStyle w:val="TextValue"/>
              <w:rPr>
                <w:noProof/>
                <w:sz w:val="20"/>
                <w:szCs w:val="20"/>
              </w:rPr>
            </w:pPr>
            <w:r>
              <w:rPr>
                <w:noProof/>
                <w:sz w:val="20"/>
              </w:rPr>
              <w:t>08.020201 – Водещи позиции в областта на нанотехнологията, авангардните материали, биотехнологията и усъвършенстваните технологии за производство и преработка</w:t>
            </w:r>
          </w:p>
        </w:tc>
        <w:tc>
          <w:tcPr>
            <w:tcW w:w="1224" w:type="dxa"/>
            <w:vAlign w:val="center"/>
          </w:tcPr>
          <w:p>
            <w:pPr>
              <w:jc w:val="center"/>
              <w:rPr>
                <w:noProof/>
                <w:sz w:val="20"/>
                <w:szCs w:val="20"/>
              </w:rPr>
            </w:pPr>
            <w:r>
              <w:rPr>
                <w:noProof/>
                <w:sz w:val="20"/>
              </w:rPr>
              <w:t>Многогод.</w:t>
            </w:r>
          </w:p>
        </w:tc>
        <w:tc>
          <w:tcPr>
            <w:tcW w:w="956" w:type="dxa"/>
            <w:vAlign w:val="center"/>
          </w:tcPr>
          <w:p>
            <w:pPr>
              <w:jc w:val="center"/>
              <w:rPr>
                <w:noProof/>
                <w:sz w:val="20"/>
                <w:szCs w:val="20"/>
              </w:rPr>
            </w:pPr>
            <w:r>
              <w:rPr>
                <w:noProof/>
                <w:sz w:val="20"/>
              </w:rPr>
              <w:t>ДА</w:t>
            </w:r>
          </w:p>
        </w:tc>
        <w:tc>
          <w:tcPr>
            <w:tcW w:w="1080" w:type="dxa"/>
            <w:vAlign w:val="center"/>
          </w:tcPr>
          <w:p>
            <w:pPr>
              <w:jc w:val="center"/>
              <w:rPr>
                <w:noProof/>
                <w:sz w:val="20"/>
                <w:szCs w:val="20"/>
              </w:rPr>
            </w:pPr>
            <w:r>
              <w:rPr>
                <w:noProof/>
                <w:sz w:val="20"/>
              </w:rPr>
              <w:t>ДА</w:t>
            </w:r>
          </w:p>
        </w:tc>
        <w:tc>
          <w:tcPr>
            <w:tcW w:w="956" w:type="dxa"/>
            <w:vAlign w:val="center"/>
          </w:tcPr>
          <w:p>
            <w:pPr>
              <w:jc w:val="center"/>
              <w:rPr>
                <w:noProof/>
                <w:sz w:val="20"/>
                <w:szCs w:val="20"/>
              </w:rPr>
            </w:pPr>
            <w:r>
              <w:rPr>
                <w:noProof/>
                <w:sz w:val="20"/>
              </w:rPr>
              <w:t>ДА</w:t>
            </w:r>
          </w:p>
        </w:tc>
        <w:tc>
          <w:tcPr>
            <w:tcW w:w="1448" w:type="dxa"/>
            <w:vAlign w:val="center"/>
          </w:tcPr>
          <w:p>
            <w:pPr>
              <w:jc w:val="center"/>
              <w:rPr>
                <w:noProof/>
                <w:sz w:val="20"/>
                <w:szCs w:val="20"/>
              </w:rPr>
            </w:pPr>
            <w:r>
              <w:rPr>
                <w:noProof/>
                <w:sz w:val="20"/>
              </w:rPr>
              <w:t>ДА</w:t>
            </w:r>
          </w:p>
        </w:tc>
      </w:tr>
    </w:tbl>
    <w:p>
      <w:pPr>
        <w:rPr>
          <w:noProof/>
        </w:rPr>
        <w:sectPr>
          <w:pgSz w:w="11907" w:h="16840" w:code="1"/>
          <w:pgMar w:top="1134" w:right="1418" w:bottom="1134" w:left="1418" w:header="709" w:footer="709" w:gutter="0"/>
          <w:cols w:space="708"/>
          <w:docGrid w:linePitch="360"/>
        </w:sectPr>
      </w:pPr>
    </w:p>
    <w:p>
      <w:pPr>
        <w:pStyle w:val="ManualHeading2"/>
        <w:rPr>
          <w:bCs/>
          <w:noProof/>
          <w:szCs w:val="24"/>
        </w:rPr>
      </w:pPr>
      <w:r>
        <w:t>3.2.</w:t>
      </w:r>
      <w:r>
        <w:tab/>
      </w:r>
      <w:r>
        <w:rPr>
          <w:noProof/>
        </w:rPr>
        <w:t xml:space="preserve">Очаквано отражение върху разходите </w:t>
      </w:r>
    </w:p>
    <w:p>
      <w:pPr>
        <w:pStyle w:val="Text1"/>
        <w:rPr>
          <w:noProof/>
        </w:rPr>
      </w:pPr>
      <w:r>
        <w:rPr>
          <w:noProof/>
          <w:highlight w:val="lightGray"/>
        </w:rPr>
        <w:t xml:space="preserve">[Тази част следва да бъде попълнена, използвайки за целта </w:t>
      </w:r>
      <w:hyperlink r:id="rId13">
        <w:r>
          <w:rPr>
            <w:rStyle w:val="Hyperlink"/>
            <w:b/>
            <w:noProof/>
            <w:highlight w:val="lightGray"/>
          </w:rPr>
          <w:t>таблицата за бюджетни данни от административно естество</w:t>
        </w:r>
      </w:hyperlink>
      <w:r>
        <w:rPr>
          <w:noProof/>
          <w:highlight w:val="lightGray"/>
        </w:rPr>
        <w:t xml:space="preserve"> (втория документ в приложението към настоящата финансова обосновка) и качена в CISNET за провеждането на вътрешни консултации между службите.]</w:t>
      </w:r>
    </w:p>
    <w:p>
      <w:pPr>
        <w:pStyle w:val="ManualHeading3"/>
        <w:rPr>
          <w:noProof/>
          <w:u w:val="single"/>
        </w:rPr>
      </w:pPr>
      <w:r>
        <w:t>3.2.1.</w:t>
      </w:r>
      <w:r>
        <w:tab/>
      </w:r>
      <w:r>
        <w:rPr>
          <w:noProof/>
        </w:rPr>
        <w:t xml:space="preserve">Обобщение на очакваното отражение върху разходите </w:t>
      </w:r>
    </w:p>
    <w:p>
      <w:pPr>
        <w:jc w:val="right"/>
        <w:rPr>
          <w:noProof/>
          <w:sz w:val="20"/>
        </w:rPr>
      </w:pPr>
      <w:r>
        <w:rPr>
          <w:noProof/>
          <w:sz w:val="20"/>
        </w:rPr>
        <w:t>млн. EUR (до третия знак след десетичната запетая)</w:t>
      </w:r>
    </w:p>
    <w:tbl>
      <w:tblPr>
        <w:tblW w:w="0" w:type="auto"/>
        <w:jc w:val="center"/>
        <w:tblInd w:w="-2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trPr>
          <w:jc w:val="center"/>
        </w:trPr>
        <w:tc>
          <w:tcPr>
            <w:tcW w:w="4744" w:type="dxa"/>
            <w:shd w:val="thinDiagStripe" w:color="C0C0C0" w:fill="auto"/>
            <w:vAlign w:val="center"/>
          </w:tcPr>
          <w:p>
            <w:pPr>
              <w:spacing w:before="60" w:after="60"/>
              <w:jc w:val="center"/>
              <w:rPr>
                <w:b/>
                <w:noProof/>
                <w:sz w:val="22"/>
              </w:rPr>
            </w:pPr>
            <w:r>
              <w:rPr>
                <w:b/>
                <w:noProof/>
                <w:sz w:val="22"/>
              </w:rPr>
              <w:t xml:space="preserve">Функция от многогодишната финансова </w:t>
            </w:r>
            <w:r>
              <w:rPr>
                <w:noProof/>
                <w:sz w:val="22"/>
              </w:rPr>
              <w:br/>
            </w:r>
            <w:r>
              <w:rPr>
                <w:b/>
                <w:noProof/>
                <w:sz w:val="22"/>
              </w:rPr>
              <w:t xml:space="preserve">рамка </w:t>
            </w:r>
          </w:p>
        </w:tc>
        <w:tc>
          <w:tcPr>
            <w:tcW w:w="1080" w:type="dxa"/>
            <w:vAlign w:val="center"/>
          </w:tcPr>
          <w:p>
            <w:pPr>
              <w:spacing w:before="60" w:after="60"/>
              <w:jc w:val="center"/>
              <w:rPr>
                <w:noProof/>
                <w:sz w:val="22"/>
              </w:rPr>
            </w:pPr>
            <w:r>
              <w:rPr>
                <w:noProof/>
                <w:sz w:val="22"/>
              </w:rPr>
              <w:t>Брой резултати</w:t>
            </w:r>
          </w:p>
        </w:tc>
        <w:tc>
          <w:tcPr>
            <w:tcW w:w="7817" w:type="dxa"/>
            <w:vAlign w:val="center"/>
          </w:tcPr>
          <w:p>
            <w:pPr>
              <w:spacing w:before="60" w:after="60"/>
              <w:jc w:val="left"/>
              <w:rPr>
                <w:noProof/>
                <w:sz w:val="22"/>
              </w:rPr>
            </w:pPr>
            <w:r>
              <w:rPr>
                <w:noProof/>
                <w:sz w:val="22"/>
              </w:rPr>
              <w:t>Функция 1а – „Конкурентоспособност за растеж и заетост“</w:t>
            </w:r>
          </w:p>
        </w:tc>
      </w:tr>
    </w:tbl>
    <w:p>
      <w:pPr>
        <w:rPr>
          <w:noProof/>
          <w:sz w:val="22"/>
        </w:rPr>
      </w:pPr>
    </w:p>
    <w:tbl>
      <w:tblPr>
        <w:tblW w:w="0" w:type="auto"/>
        <w:jc w:val="center"/>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440"/>
        <w:gridCol w:w="120"/>
        <w:gridCol w:w="534"/>
        <w:gridCol w:w="868"/>
        <w:gridCol w:w="868"/>
        <w:gridCol w:w="1075"/>
        <w:gridCol w:w="1134"/>
        <w:gridCol w:w="1777"/>
      </w:tblGrid>
      <w:tr>
        <w:trPr>
          <w:jc w:val="center"/>
        </w:trPr>
        <w:tc>
          <w:tcPr>
            <w:tcW w:w="3960" w:type="dxa"/>
            <w:vAlign w:val="center"/>
          </w:tcPr>
          <w:p>
            <w:pPr>
              <w:jc w:val="center"/>
              <w:rPr>
                <w:noProof/>
              </w:rPr>
            </w:pPr>
            <w:r>
              <w:rPr>
                <w:noProof/>
                <w:sz w:val="22"/>
              </w:rPr>
              <w:t>ГД: AGRI/H, RTD/F, RTD/I, RTD/D</w:t>
            </w:r>
          </w:p>
        </w:tc>
        <w:tc>
          <w:tcPr>
            <w:tcW w:w="1560" w:type="dxa"/>
            <w:gridSpan w:val="2"/>
          </w:tcPr>
          <w:p>
            <w:pPr>
              <w:rPr>
                <w:noProof/>
                <w:sz w:val="20"/>
              </w:rPr>
            </w:pPr>
          </w:p>
        </w:tc>
        <w:tc>
          <w:tcPr>
            <w:tcW w:w="534" w:type="dxa"/>
          </w:tcPr>
          <w:p>
            <w:pPr>
              <w:jc w:val="center"/>
              <w:rPr>
                <w:noProof/>
                <w:sz w:val="20"/>
              </w:rPr>
            </w:pPr>
          </w:p>
        </w:tc>
        <w:tc>
          <w:tcPr>
            <w:tcW w:w="868" w:type="dxa"/>
            <w:vAlign w:val="center"/>
          </w:tcPr>
          <w:p>
            <w:pPr>
              <w:jc w:val="center"/>
              <w:rPr>
                <w:b/>
                <w:noProof/>
                <w:sz w:val="20"/>
              </w:rPr>
            </w:pPr>
            <w:r>
              <w:rPr>
                <w:noProof/>
                <w:sz w:val="20"/>
              </w:rPr>
              <w:t>Година</w:t>
            </w:r>
            <w:r>
              <w:rPr>
                <w:noProof/>
                <w:sz w:val="22"/>
              </w:rPr>
              <w:br/>
            </w:r>
            <w:r>
              <w:rPr>
                <w:b/>
                <w:noProof/>
                <w:sz w:val="20"/>
              </w:rPr>
              <w:t>2018</w:t>
            </w:r>
            <w:r>
              <w:rPr>
                <w:rStyle w:val="FootnoteReference"/>
                <w:b/>
                <w:noProof/>
                <w:sz w:val="20"/>
              </w:rPr>
              <w:footnoteReference w:id="17"/>
            </w:r>
          </w:p>
        </w:tc>
        <w:tc>
          <w:tcPr>
            <w:tcW w:w="868" w:type="dxa"/>
            <w:vAlign w:val="center"/>
          </w:tcPr>
          <w:p>
            <w:pPr>
              <w:jc w:val="center"/>
              <w:rPr>
                <w:b/>
                <w:noProof/>
                <w:sz w:val="20"/>
              </w:rPr>
            </w:pPr>
            <w:r>
              <w:rPr>
                <w:noProof/>
                <w:sz w:val="20"/>
              </w:rPr>
              <w:t>Година</w:t>
            </w:r>
            <w:r>
              <w:rPr>
                <w:noProof/>
                <w:sz w:val="22"/>
              </w:rPr>
              <w:br/>
            </w:r>
            <w:r>
              <w:rPr>
                <w:b/>
                <w:noProof/>
                <w:sz w:val="20"/>
              </w:rPr>
              <w:t>2019</w:t>
            </w:r>
          </w:p>
        </w:tc>
        <w:tc>
          <w:tcPr>
            <w:tcW w:w="1075" w:type="dxa"/>
            <w:vAlign w:val="center"/>
          </w:tcPr>
          <w:p>
            <w:pPr>
              <w:jc w:val="center"/>
              <w:rPr>
                <w:b/>
                <w:noProof/>
                <w:sz w:val="20"/>
              </w:rPr>
            </w:pPr>
            <w:r>
              <w:rPr>
                <w:noProof/>
                <w:sz w:val="20"/>
              </w:rPr>
              <w:t>Година</w:t>
            </w:r>
            <w:r>
              <w:rPr>
                <w:noProof/>
                <w:sz w:val="22"/>
              </w:rPr>
              <w:br/>
            </w:r>
            <w:r>
              <w:rPr>
                <w:b/>
                <w:noProof/>
                <w:sz w:val="20"/>
              </w:rPr>
              <w:t>2020</w:t>
            </w:r>
          </w:p>
        </w:tc>
        <w:tc>
          <w:tcPr>
            <w:tcW w:w="1134" w:type="dxa"/>
            <w:vAlign w:val="center"/>
          </w:tcPr>
          <w:p>
            <w:pPr>
              <w:jc w:val="center"/>
              <w:rPr>
                <w:b/>
                <w:noProof/>
                <w:sz w:val="20"/>
              </w:rPr>
            </w:pPr>
            <w:r>
              <w:rPr>
                <w:noProof/>
                <w:sz w:val="20"/>
              </w:rPr>
              <w:t>Година</w:t>
            </w:r>
            <w:r>
              <w:rPr>
                <w:noProof/>
                <w:sz w:val="22"/>
              </w:rPr>
              <w:br/>
            </w:r>
            <w:r>
              <w:rPr>
                <w:b/>
                <w:noProof/>
                <w:sz w:val="20"/>
              </w:rPr>
              <w:t>2021 – 2029</w:t>
            </w:r>
          </w:p>
        </w:tc>
        <w:tc>
          <w:tcPr>
            <w:tcW w:w="1777" w:type="dxa"/>
            <w:vAlign w:val="center"/>
          </w:tcPr>
          <w:p>
            <w:pPr>
              <w:jc w:val="center"/>
              <w:rPr>
                <w:b/>
                <w:noProof/>
                <w:sz w:val="20"/>
              </w:rPr>
            </w:pPr>
            <w:r>
              <w:rPr>
                <w:b/>
                <w:noProof/>
                <w:sz w:val="20"/>
              </w:rPr>
              <w:t>ОБЩО</w:t>
            </w:r>
          </w:p>
        </w:tc>
      </w:tr>
      <w:tr>
        <w:trPr>
          <w:trHeight w:val="213"/>
          <w:jc w:val="center"/>
        </w:trPr>
        <w:tc>
          <w:tcPr>
            <w:tcW w:w="6054" w:type="dxa"/>
            <w:gridSpan w:val="4"/>
            <w:vAlign w:val="center"/>
          </w:tcPr>
          <w:p>
            <w:pPr>
              <w:spacing w:before="20" w:after="20"/>
              <w:rPr>
                <w:noProof/>
                <w:sz w:val="21"/>
              </w:rPr>
            </w:pPr>
            <w:r>
              <w:rPr>
                <w:noProof/>
                <w:sz w:val="21"/>
              </w:rPr>
              <w:sym w:font="Wingdings" w:char="F09F"/>
            </w:r>
            <w:r>
              <w:rPr>
                <w:noProof/>
                <w:sz w:val="21"/>
              </w:rPr>
              <w:t xml:space="preserve"> Бюджетни кредити за оперативни разходи </w:t>
            </w:r>
          </w:p>
        </w:tc>
        <w:tc>
          <w:tcPr>
            <w:tcW w:w="868" w:type="dxa"/>
            <w:vAlign w:val="center"/>
          </w:tcPr>
          <w:p>
            <w:pPr>
              <w:rPr>
                <w:noProof/>
                <w:sz w:val="20"/>
              </w:rPr>
            </w:pPr>
          </w:p>
        </w:tc>
        <w:tc>
          <w:tcPr>
            <w:tcW w:w="868" w:type="dxa"/>
            <w:vAlign w:val="center"/>
          </w:tcPr>
          <w:p>
            <w:pPr>
              <w:rPr>
                <w:noProof/>
                <w:sz w:val="20"/>
              </w:rPr>
            </w:pPr>
          </w:p>
        </w:tc>
        <w:tc>
          <w:tcPr>
            <w:tcW w:w="1075" w:type="dxa"/>
            <w:vAlign w:val="center"/>
          </w:tcPr>
          <w:p>
            <w:pPr>
              <w:rPr>
                <w:noProof/>
                <w:sz w:val="20"/>
              </w:rPr>
            </w:pPr>
          </w:p>
        </w:tc>
        <w:tc>
          <w:tcPr>
            <w:tcW w:w="1134" w:type="dxa"/>
            <w:vAlign w:val="center"/>
          </w:tcPr>
          <w:p>
            <w:pPr>
              <w:rPr>
                <w:noProof/>
                <w:sz w:val="20"/>
              </w:rPr>
            </w:pPr>
          </w:p>
        </w:tc>
        <w:tc>
          <w:tcPr>
            <w:tcW w:w="1777" w:type="dxa"/>
            <w:vAlign w:val="center"/>
          </w:tcPr>
          <w:p>
            <w:pPr>
              <w:rPr>
                <w:b/>
                <w:noProof/>
                <w:sz w:val="20"/>
              </w:rPr>
            </w:pPr>
          </w:p>
        </w:tc>
      </w:tr>
      <w:tr>
        <w:trPr>
          <w:trHeight w:val="277"/>
          <w:jc w:val="center"/>
        </w:trPr>
        <w:tc>
          <w:tcPr>
            <w:tcW w:w="3960" w:type="dxa"/>
            <w:vMerge w:val="restart"/>
            <w:vAlign w:val="center"/>
          </w:tcPr>
          <w:p>
            <w:pPr>
              <w:rPr>
                <w:noProof/>
              </w:rPr>
            </w:pPr>
            <w:r>
              <w:rPr>
                <w:noProof/>
                <w:sz w:val="20"/>
              </w:rPr>
              <w:t>08.020302</w:t>
            </w:r>
          </w:p>
        </w:tc>
        <w:tc>
          <w:tcPr>
            <w:tcW w:w="1440" w:type="dxa"/>
            <w:vAlign w:val="center"/>
          </w:tcPr>
          <w:p>
            <w:pPr>
              <w:spacing w:before="20" w:after="20"/>
              <w:jc w:val="left"/>
              <w:rPr>
                <w:noProof/>
                <w:sz w:val="18"/>
              </w:rPr>
            </w:pPr>
            <w:r>
              <w:rPr>
                <w:noProof/>
                <w:sz w:val="18"/>
              </w:rPr>
              <w:t>Поети задължения</w:t>
            </w:r>
          </w:p>
        </w:tc>
        <w:tc>
          <w:tcPr>
            <w:tcW w:w="654" w:type="dxa"/>
            <w:gridSpan w:val="2"/>
            <w:vAlign w:val="center"/>
          </w:tcPr>
          <w:p>
            <w:pPr>
              <w:spacing w:before="20" w:after="20"/>
              <w:jc w:val="center"/>
              <w:rPr>
                <w:noProof/>
                <w:sz w:val="14"/>
              </w:rPr>
            </w:pPr>
            <w:r>
              <w:rPr>
                <w:noProof/>
                <w:sz w:val="14"/>
              </w:rPr>
              <w:t>(1)</w:t>
            </w:r>
          </w:p>
        </w:tc>
        <w:tc>
          <w:tcPr>
            <w:tcW w:w="868" w:type="dxa"/>
            <w:vAlign w:val="center"/>
          </w:tcPr>
          <w:p>
            <w:pPr>
              <w:spacing w:before="20" w:after="20"/>
              <w:jc w:val="right"/>
              <w:rPr>
                <w:noProof/>
                <w:sz w:val="20"/>
              </w:rPr>
            </w:pPr>
            <w:r>
              <w:rPr>
                <w:noProof/>
                <w:sz w:val="20"/>
              </w:rPr>
              <w:t>5,000</w:t>
            </w:r>
          </w:p>
        </w:tc>
        <w:tc>
          <w:tcPr>
            <w:tcW w:w="868" w:type="dxa"/>
            <w:vAlign w:val="center"/>
          </w:tcPr>
          <w:p>
            <w:pPr>
              <w:spacing w:before="20" w:after="20"/>
              <w:jc w:val="right"/>
              <w:rPr>
                <w:noProof/>
                <w:sz w:val="20"/>
              </w:rPr>
            </w:pPr>
            <w:r>
              <w:rPr>
                <w:noProof/>
                <w:sz w:val="20"/>
              </w:rPr>
              <w:t>5,000</w:t>
            </w:r>
          </w:p>
        </w:tc>
        <w:tc>
          <w:tcPr>
            <w:tcW w:w="1075" w:type="dxa"/>
            <w:vAlign w:val="center"/>
          </w:tcPr>
          <w:p>
            <w:pPr>
              <w:spacing w:before="20" w:after="20"/>
              <w:jc w:val="right"/>
              <w:rPr>
                <w:noProof/>
                <w:sz w:val="20"/>
              </w:rPr>
            </w:pPr>
            <w:r>
              <w:rPr>
                <w:noProof/>
                <w:sz w:val="20"/>
              </w:rPr>
              <w:t>40,000</w:t>
            </w:r>
          </w:p>
        </w:tc>
        <w:tc>
          <w:tcPr>
            <w:tcW w:w="1134" w:type="dxa"/>
            <w:vAlign w:val="center"/>
          </w:tcPr>
          <w:p>
            <w:pPr>
              <w:spacing w:before="20" w:after="20"/>
              <w:jc w:val="right"/>
              <w:rPr>
                <w:noProof/>
                <w:sz w:val="20"/>
              </w:rPr>
            </w:pPr>
          </w:p>
        </w:tc>
        <w:tc>
          <w:tcPr>
            <w:tcW w:w="1777" w:type="dxa"/>
            <w:vAlign w:val="center"/>
          </w:tcPr>
          <w:p>
            <w:pPr>
              <w:spacing w:before="20" w:after="20"/>
              <w:jc w:val="right"/>
              <w:rPr>
                <w:b/>
                <w:noProof/>
                <w:sz w:val="20"/>
              </w:rPr>
            </w:pPr>
            <w:r>
              <w:rPr>
                <w:b/>
                <w:noProof/>
                <w:sz w:val="20"/>
              </w:rPr>
              <w:t>50,000</w:t>
            </w:r>
          </w:p>
        </w:tc>
      </w:tr>
      <w:tr>
        <w:trPr>
          <w:jc w:val="center"/>
        </w:trPr>
        <w:tc>
          <w:tcPr>
            <w:tcW w:w="3960" w:type="dxa"/>
            <w:vMerge/>
          </w:tcPr>
          <w:p>
            <w:pPr>
              <w:rPr>
                <w:noProof/>
                <w:sz w:val="22"/>
              </w:rPr>
            </w:pPr>
          </w:p>
        </w:tc>
        <w:tc>
          <w:tcPr>
            <w:tcW w:w="1440" w:type="dxa"/>
            <w:vAlign w:val="center"/>
          </w:tcPr>
          <w:p>
            <w:pPr>
              <w:jc w:val="left"/>
              <w:rPr>
                <w:noProof/>
                <w:sz w:val="22"/>
              </w:rPr>
            </w:pPr>
            <w:r>
              <w:rPr>
                <w:noProof/>
                <w:sz w:val="18"/>
              </w:rPr>
              <w:t>Плащания</w:t>
            </w:r>
          </w:p>
        </w:tc>
        <w:tc>
          <w:tcPr>
            <w:tcW w:w="654" w:type="dxa"/>
            <w:gridSpan w:val="2"/>
            <w:vAlign w:val="center"/>
          </w:tcPr>
          <w:p>
            <w:pPr>
              <w:rPr>
                <w:noProof/>
                <w:sz w:val="22"/>
              </w:rPr>
            </w:pPr>
            <w:r>
              <w:rPr>
                <w:noProof/>
                <w:sz w:val="14"/>
              </w:rPr>
              <w:t>(2)</w:t>
            </w:r>
          </w:p>
        </w:tc>
        <w:tc>
          <w:tcPr>
            <w:tcW w:w="868" w:type="dxa"/>
            <w:vAlign w:val="center"/>
          </w:tcPr>
          <w:p>
            <w:pPr>
              <w:jc w:val="right"/>
              <w:rPr>
                <w:noProof/>
                <w:sz w:val="22"/>
              </w:rPr>
            </w:pPr>
            <w:r>
              <w:rPr>
                <w:noProof/>
                <w:sz w:val="20"/>
              </w:rPr>
              <w:t>1,000</w:t>
            </w:r>
          </w:p>
        </w:tc>
        <w:tc>
          <w:tcPr>
            <w:tcW w:w="868" w:type="dxa"/>
            <w:vAlign w:val="center"/>
          </w:tcPr>
          <w:p>
            <w:pPr>
              <w:jc w:val="right"/>
              <w:rPr>
                <w:noProof/>
                <w:sz w:val="22"/>
              </w:rPr>
            </w:pPr>
            <w:r>
              <w:rPr>
                <w:noProof/>
                <w:sz w:val="20"/>
              </w:rPr>
              <w:t>2,500</w:t>
            </w:r>
          </w:p>
        </w:tc>
        <w:tc>
          <w:tcPr>
            <w:tcW w:w="1075" w:type="dxa"/>
            <w:vAlign w:val="center"/>
          </w:tcPr>
          <w:p>
            <w:pPr>
              <w:jc w:val="right"/>
              <w:rPr>
                <w:noProof/>
                <w:sz w:val="22"/>
              </w:rPr>
            </w:pPr>
            <w:r>
              <w:rPr>
                <w:noProof/>
                <w:sz w:val="20"/>
              </w:rPr>
              <w:t>2,500</w:t>
            </w:r>
          </w:p>
        </w:tc>
        <w:tc>
          <w:tcPr>
            <w:tcW w:w="1134" w:type="dxa"/>
            <w:vAlign w:val="center"/>
          </w:tcPr>
          <w:p>
            <w:pPr>
              <w:jc w:val="right"/>
              <w:rPr>
                <w:noProof/>
                <w:sz w:val="22"/>
              </w:rPr>
            </w:pPr>
            <w:r>
              <w:rPr>
                <w:noProof/>
                <w:sz w:val="20"/>
              </w:rPr>
              <w:t>44,000</w:t>
            </w:r>
          </w:p>
        </w:tc>
        <w:tc>
          <w:tcPr>
            <w:tcW w:w="1777" w:type="dxa"/>
            <w:vAlign w:val="center"/>
          </w:tcPr>
          <w:p>
            <w:pPr>
              <w:jc w:val="right"/>
              <w:rPr>
                <w:b/>
                <w:noProof/>
                <w:sz w:val="22"/>
              </w:rPr>
            </w:pPr>
            <w:r>
              <w:rPr>
                <w:b/>
                <w:noProof/>
                <w:sz w:val="20"/>
              </w:rPr>
              <w:t>50,000</w:t>
            </w:r>
          </w:p>
        </w:tc>
      </w:tr>
      <w:tr>
        <w:trPr>
          <w:jc w:val="center"/>
        </w:trPr>
        <w:tc>
          <w:tcPr>
            <w:tcW w:w="3960" w:type="dxa"/>
            <w:vMerge w:val="restart"/>
            <w:vAlign w:val="center"/>
          </w:tcPr>
          <w:p>
            <w:pPr>
              <w:rPr>
                <w:noProof/>
              </w:rPr>
            </w:pPr>
            <w:r>
              <w:rPr>
                <w:noProof/>
                <w:sz w:val="20"/>
              </w:rPr>
              <w:t>08.020305</w:t>
            </w:r>
          </w:p>
        </w:tc>
        <w:tc>
          <w:tcPr>
            <w:tcW w:w="1440" w:type="dxa"/>
            <w:vAlign w:val="center"/>
          </w:tcPr>
          <w:p>
            <w:pPr>
              <w:spacing w:before="20" w:after="20"/>
              <w:jc w:val="left"/>
              <w:rPr>
                <w:noProof/>
                <w:sz w:val="18"/>
              </w:rPr>
            </w:pPr>
            <w:r>
              <w:rPr>
                <w:noProof/>
                <w:sz w:val="18"/>
              </w:rPr>
              <w:t>Поети задължения</w:t>
            </w:r>
          </w:p>
        </w:tc>
        <w:tc>
          <w:tcPr>
            <w:tcW w:w="654" w:type="dxa"/>
            <w:gridSpan w:val="2"/>
            <w:vAlign w:val="center"/>
          </w:tcPr>
          <w:p>
            <w:pPr>
              <w:spacing w:before="20" w:after="20"/>
              <w:jc w:val="center"/>
              <w:rPr>
                <w:noProof/>
                <w:sz w:val="14"/>
              </w:rPr>
            </w:pPr>
            <w:r>
              <w:rPr>
                <w:noProof/>
                <w:sz w:val="14"/>
              </w:rPr>
              <w:t>(1a)</w:t>
            </w:r>
          </w:p>
        </w:tc>
        <w:tc>
          <w:tcPr>
            <w:tcW w:w="868" w:type="dxa"/>
            <w:vAlign w:val="center"/>
          </w:tcPr>
          <w:p>
            <w:pPr>
              <w:spacing w:before="20" w:after="20"/>
              <w:jc w:val="right"/>
              <w:rPr>
                <w:noProof/>
                <w:sz w:val="20"/>
              </w:rPr>
            </w:pPr>
            <w:r>
              <w:rPr>
                <w:noProof/>
                <w:sz w:val="20"/>
              </w:rPr>
              <w:t>7,500</w:t>
            </w:r>
          </w:p>
        </w:tc>
        <w:tc>
          <w:tcPr>
            <w:tcW w:w="868" w:type="dxa"/>
            <w:vAlign w:val="center"/>
          </w:tcPr>
          <w:p>
            <w:pPr>
              <w:spacing w:before="20" w:after="20"/>
              <w:jc w:val="right"/>
              <w:rPr>
                <w:noProof/>
                <w:sz w:val="20"/>
              </w:rPr>
            </w:pPr>
            <w:r>
              <w:rPr>
                <w:noProof/>
                <w:sz w:val="20"/>
              </w:rPr>
              <w:t>7,500</w:t>
            </w:r>
          </w:p>
        </w:tc>
        <w:tc>
          <w:tcPr>
            <w:tcW w:w="1075" w:type="dxa"/>
            <w:vAlign w:val="center"/>
          </w:tcPr>
          <w:p>
            <w:pPr>
              <w:spacing w:before="20" w:after="20"/>
              <w:jc w:val="right"/>
              <w:rPr>
                <w:noProof/>
                <w:sz w:val="20"/>
              </w:rPr>
            </w:pPr>
            <w:r>
              <w:rPr>
                <w:noProof/>
                <w:sz w:val="20"/>
              </w:rPr>
              <w:t>60,000</w:t>
            </w:r>
          </w:p>
        </w:tc>
        <w:tc>
          <w:tcPr>
            <w:tcW w:w="1134" w:type="dxa"/>
            <w:vAlign w:val="center"/>
          </w:tcPr>
          <w:p>
            <w:pPr>
              <w:spacing w:before="20" w:after="20"/>
              <w:jc w:val="right"/>
              <w:rPr>
                <w:noProof/>
                <w:sz w:val="20"/>
              </w:rPr>
            </w:pPr>
          </w:p>
        </w:tc>
        <w:tc>
          <w:tcPr>
            <w:tcW w:w="1777" w:type="dxa"/>
            <w:vAlign w:val="center"/>
          </w:tcPr>
          <w:p>
            <w:pPr>
              <w:spacing w:before="20" w:after="20"/>
              <w:jc w:val="right"/>
              <w:rPr>
                <w:b/>
                <w:noProof/>
                <w:sz w:val="20"/>
              </w:rPr>
            </w:pPr>
            <w:r>
              <w:rPr>
                <w:b/>
                <w:noProof/>
                <w:sz w:val="20"/>
              </w:rPr>
              <w:t>75,000</w:t>
            </w:r>
          </w:p>
        </w:tc>
      </w:tr>
      <w:tr>
        <w:trPr>
          <w:jc w:val="center"/>
        </w:trPr>
        <w:tc>
          <w:tcPr>
            <w:tcW w:w="3960" w:type="dxa"/>
            <w:vMerge/>
          </w:tcPr>
          <w:p>
            <w:pPr>
              <w:rPr>
                <w:noProof/>
                <w:sz w:val="22"/>
              </w:rPr>
            </w:pPr>
          </w:p>
        </w:tc>
        <w:tc>
          <w:tcPr>
            <w:tcW w:w="1440" w:type="dxa"/>
            <w:vAlign w:val="center"/>
          </w:tcPr>
          <w:p>
            <w:pPr>
              <w:jc w:val="left"/>
              <w:rPr>
                <w:noProof/>
                <w:sz w:val="22"/>
              </w:rPr>
            </w:pPr>
            <w:r>
              <w:rPr>
                <w:noProof/>
                <w:sz w:val="18"/>
              </w:rPr>
              <w:t>Плащания</w:t>
            </w:r>
          </w:p>
        </w:tc>
        <w:tc>
          <w:tcPr>
            <w:tcW w:w="654" w:type="dxa"/>
            <w:gridSpan w:val="2"/>
            <w:vAlign w:val="center"/>
          </w:tcPr>
          <w:p>
            <w:pPr>
              <w:rPr>
                <w:noProof/>
                <w:sz w:val="22"/>
              </w:rPr>
            </w:pPr>
            <w:r>
              <w:rPr>
                <w:noProof/>
                <w:sz w:val="14"/>
              </w:rPr>
              <w:t>(2a)</w:t>
            </w:r>
          </w:p>
        </w:tc>
        <w:tc>
          <w:tcPr>
            <w:tcW w:w="868" w:type="dxa"/>
            <w:vAlign w:val="center"/>
          </w:tcPr>
          <w:p>
            <w:pPr>
              <w:jc w:val="right"/>
              <w:rPr>
                <w:noProof/>
                <w:sz w:val="22"/>
              </w:rPr>
            </w:pPr>
            <w:r>
              <w:rPr>
                <w:noProof/>
                <w:sz w:val="20"/>
              </w:rPr>
              <w:t>1,500</w:t>
            </w:r>
          </w:p>
        </w:tc>
        <w:tc>
          <w:tcPr>
            <w:tcW w:w="868" w:type="dxa"/>
            <w:vAlign w:val="center"/>
          </w:tcPr>
          <w:p>
            <w:pPr>
              <w:jc w:val="right"/>
              <w:rPr>
                <w:noProof/>
                <w:sz w:val="22"/>
              </w:rPr>
            </w:pPr>
            <w:r>
              <w:rPr>
                <w:noProof/>
                <w:sz w:val="20"/>
              </w:rPr>
              <w:t>3,750</w:t>
            </w:r>
          </w:p>
        </w:tc>
        <w:tc>
          <w:tcPr>
            <w:tcW w:w="1075" w:type="dxa"/>
            <w:vAlign w:val="center"/>
          </w:tcPr>
          <w:p>
            <w:pPr>
              <w:jc w:val="right"/>
              <w:rPr>
                <w:noProof/>
                <w:sz w:val="22"/>
              </w:rPr>
            </w:pPr>
            <w:r>
              <w:rPr>
                <w:noProof/>
                <w:sz w:val="20"/>
              </w:rPr>
              <w:t>3,750</w:t>
            </w:r>
          </w:p>
        </w:tc>
        <w:tc>
          <w:tcPr>
            <w:tcW w:w="1134" w:type="dxa"/>
            <w:vAlign w:val="center"/>
          </w:tcPr>
          <w:p>
            <w:pPr>
              <w:jc w:val="right"/>
              <w:rPr>
                <w:noProof/>
                <w:sz w:val="22"/>
              </w:rPr>
            </w:pPr>
            <w:r>
              <w:rPr>
                <w:noProof/>
                <w:sz w:val="20"/>
              </w:rPr>
              <w:t>66,000</w:t>
            </w:r>
          </w:p>
        </w:tc>
        <w:tc>
          <w:tcPr>
            <w:tcW w:w="1777" w:type="dxa"/>
            <w:vAlign w:val="center"/>
          </w:tcPr>
          <w:p>
            <w:pPr>
              <w:jc w:val="right"/>
              <w:rPr>
                <w:b/>
                <w:noProof/>
                <w:sz w:val="22"/>
              </w:rPr>
            </w:pPr>
            <w:r>
              <w:rPr>
                <w:b/>
                <w:noProof/>
                <w:sz w:val="20"/>
              </w:rPr>
              <w:t>75,000</w:t>
            </w:r>
          </w:p>
        </w:tc>
      </w:tr>
      <w:tr>
        <w:trPr>
          <w:jc w:val="center"/>
        </w:trPr>
        <w:tc>
          <w:tcPr>
            <w:tcW w:w="3960" w:type="dxa"/>
            <w:vMerge w:val="restart"/>
          </w:tcPr>
          <w:p>
            <w:pPr>
              <w:rPr>
                <w:noProof/>
                <w:sz w:val="22"/>
              </w:rPr>
            </w:pPr>
            <w:r>
              <w:rPr>
                <w:noProof/>
                <w:sz w:val="20"/>
              </w:rPr>
              <w:t>08.020201</w:t>
            </w:r>
          </w:p>
        </w:tc>
        <w:tc>
          <w:tcPr>
            <w:tcW w:w="1440" w:type="dxa"/>
            <w:vAlign w:val="center"/>
          </w:tcPr>
          <w:p>
            <w:pPr>
              <w:jc w:val="left"/>
              <w:rPr>
                <w:noProof/>
                <w:sz w:val="18"/>
              </w:rPr>
            </w:pPr>
            <w:r>
              <w:rPr>
                <w:noProof/>
                <w:sz w:val="18"/>
              </w:rPr>
              <w:t>Поети задължения</w:t>
            </w:r>
          </w:p>
        </w:tc>
        <w:tc>
          <w:tcPr>
            <w:tcW w:w="654" w:type="dxa"/>
            <w:gridSpan w:val="2"/>
            <w:vAlign w:val="center"/>
          </w:tcPr>
          <w:p>
            <w:pPr>
              <w:rPr>
                <w:noProof/>
                <w:sz w:val="14"/>
              </w:rPr>
            </w:pPr>
            <w:r>
              <w:rPr>
                <w:noProof/>
                <w:sz w:val="14"/>
              </w:rPr>
              <w:t>(1б)</w:t>
            </w:r>
          </w:p>
        </w:tc>
        <w:tc>
          <w:tcPr>
            <w:tcW w:w="868" w:type="dxa"/>
            <w:vAlign w:val="center"/>
          </w:tcPr>
          <w:p>
            <w:pPr>
              <w:jc w:val="right"/>
              <w:rPr>
                <w:noProof/>
                <w:sz w:val="20"/>
              </w:rPr>
            </w:pPr>
            <w:r>
              <w:rPr>
                <w:noProof/>
                <w:sz w:val="20"/>
              </w:rPr>
              <w:t>2,500</w:t>
            </w:r>
          </w:p>
        </w:tc>
        <w:tc>
          <w:tcPr>
            <w:tcW w:w="868" w:type="dxa"/>
            <w:vAlign w:val="center"/>
          </w:tcPr>
          <w:p>
            <w:pPr>
              <w:jc w:val="right"/>
              <w:rPr>
                <w:noProof/>
                <w:sz w:val="20"/>
              </w:rPr>
            </w:pPr>
            <w:r>
              <w:rPr>
                <w:noProof/>
                <w:sz w:val="20"/>
              </w:rPr>
              <w:t>2,500</w:t>
            </w:r>
          </w:p>
        </w:tc>
        <w:tc>
          <w:tcPr>
            <w:tcW w:w="1075" w:type="dxa"/>
            <w:vAlign w:val="center"/>
          </w:tcPr>
          <w:p>
            <w:pPr>
              <w:jc w:val="right"/>
              <w:rPr>
                <w:noProof/>
                <w:sz w:val="20"/>
              </w:rPr>
            </w:pPr>
            <w:r>
              <w:rPr>
                <w:noProof/>
                <w:sz w:val="20"/>
              </w:rPr>
              <w:t>20,000</w:t>
            </w:r>
          </w:p>
        </w:tc>
        <w:tc>
          <w:tcPr>
            <w:tcW w:w="1134" w:type="dxa"/>
            <w:vAlign w:val="center"/>
          </w:tcPr>
          <w:p>
            <w:pPr>
              <w:jc w:val="right"/>
              <w:rPr>
                <w:noProof/>
                <w:sz w:val="20"/>
              </w:rPr>
            </w:pPr>
          </w:p>
        </w:tc>
        <w:tc>
          <w:tcPr>
            <w:tcW w:w="1777" w:type="dxa"/>
            <w:vAlign w:val="center"/>
          </w:tcPr>
          <w:p>
            <w:pPr>
              <w:jc w:val="right"/>
              <w:rPr>
                <w:b/>
                <w:noProof/>
                <w:sz w:val="20"/>
              </w:rPr>
            </w:pPr>
            <w:r>
              <w:rPr>
                <w:b/>
                <w:noProof/>
                <w:sz w:val="20"/>
              </w:rPr>
              <w:t>25,000</w:t>
            </w:r>
          </w:p>
        </w:tc>
      </w:tr>
      <w:tr>
        <w:trPr>
          <w:jc w:val="center"/>
        </w:trPr>
        <w:tc>
          <w:tcPr>
            <w:tcW w:w="3960" w:type="dxa"/>
            <w:vMerge/>
          </w:tcPr>
          <w:p>
            <w:pPr>
              <w:rPr>
                <w:noProof/>
                <w:sz w:val="22"/>
              </w:rPr>
            </w:pPr>
          </w:p>
        </w:tc>
        <w:tc>
          <w:tcPr>
            <w:tcW w:w="1440" w:type="dxa"/>
            <w:vAlign w:val="center"/>
          </w:tcPr>
          <w:p>
            <w:pPr>
              <w:jc w:val="left"/>
              <w:rPr>
                <w:noProof/>
                <w:sz w:val="18"/>
              </w:rPr>
            </w:pPr>
            <w:r>
              <w:rPr>
                <w:noProof/>
                <w:sz w:val="18"/>
              </w:rPr>
              <w:t>Плащания</w:t>
            </w:r>
          </w:p>
        </w:tc>
        <w:tc>
          <w:tcPr>
            <w:tcW w:w="654" w:type="dxa"/>
            <w:gridSpan w:val="2"/>
            <w:vAlign w:val="center"/>
          </w:tcPr>
          <w:p>
            <w:pPr>
              <w:rPr>
                <w:noProof/>
                <w:sz w:val="14"/>
              </w:rPr>
            </w:pPr>
            <w:r>
              <w:rPr>
                <w:noProof/>
                <w:sz w:val="14"/>
              </w:rPr>
              <w:t>(2б)</w:t>
            </w:r>
          </w:p>
        </w:tc>
        <w:tc>
          <w:tcPr>
            <w:tcW w:w="868" w:type="dxa"/>
            <w:vAlign w:val="center"/>
          </w:tcPr>
          <w:p>
            <w:pPr>
              <w:jc w:val="right"/>
              <w:rPr>
                <w:noProof/>
                <w:sz w:val="20"/>
              </w:rPr>
            </w:pPr>
            <w:r>
              <w:rPr>
                <w:noProof/>
                <w:sz w:val="20"/>
              </w:rPr>
              <w:t>500</w:t>
            </w:r>
          </w:p>
        </w:tc>
        <w:tc>
          <w:tcPr>
            <w:tcW w:w="868" w:type="dxa"/>
            <w:vAlign w:val="center"/>
          </w:tcPr>
          <w:p>
            <w:pPr>
              <w:jc w:val="right"/>
              <w:rPr>
                <w:noProof/>
                <w:sz w:val="20"/>
              </w:rPr>
            </w:pPr>
            <w:r>
              <w:rPr>
                <w:noProof/>
                <w:sz w:val="20"/>
              </w:rPr>
              <w:t>1,250</w:t>
            </w:r>
          </w:p>
        </w:tc>
        <w:tc>
          <w:tcPr>
            <w:tcW w:w="1075" w:type="dxa"/>
            <w:vAlign w:val="center"/>
          </w:tcPr>
          <w:p>
            <w:pPr>
              <w:jc w:val="right"/>
              <w:rPr>
                <w:noProof/>
                <w:sz w:val="20"/>
              </w:rPr>
            </w:pPr>
            <w:r>
              <w:rPr>
                <w:noProof/>
                <w:sz w:val="20"/>
              </w:rPr>
              <w:t>1,250</w:t>
            </w:r>
          </w:p>
        </w:tc>
        <w:tc>
          <w:tcPr>
            <w:tcW w:w="1134" w:type="dxa"/>
            <w:vAlign w:val="center"/>
          </w:tcPr>
          <w:p>
            <w:pPr>
              <w:jc w:val="right"/>
              <w:rPr>
                <w:noProof/>
                <w:sz w:val="20"/>
              </w:rPr>
            </w:pPr>
            <w:r>
              <w:rPr>
                <w:noProof/>
                <w:sz w:val="20"/>
              </w:rPr>
              <w:t>22,000</w:t>
            </w:r>
          </w:p>
        </w:tc>
        <w:tc>
          <w:tcPr>
            <w:tcW w:w="1777" w:type="dxa"/>
            <w:vAlign w:val="center"/>
          </w:tcPr>
          <w:p>
            <w:pPr>
              <w:jc w:val="right"/>
              <w:rPr>
                <w:b/>
                <w:noProof/>
                <w:sz w:val="20"/>
              </w:rPr>
            </w:pPr>
            <w:r>
              <w:rPr>
                <w:b/>
                <w:noProof/>
                <w:sz w:val="20"/>
              </w:rPr>
              <w:t>25,000</w:t>
            </w:r>
          </w:p>
        </w:tc>
      </w:tr>
      <w:tr>
        <w:trPr>
          <w:jc w:val="center"/>
        </w:trPr>
        <w:tc>
          <w:tcPr>
            <w:tcW w:w="3960" w:type="dxa"/>
            <w:vMerge w:val="restart"/>
          </w:tcPr>
          <w:p>
            <w:pPr>
              <w:jc w:val="center"/>
              <w:rPr>
                <w:noProof/>
                <w:sz w:val="20"/>
              </w:rPr>
            </w:pPr>
            <w:r>
              <w:rPr>
                <w:b/>
                <w:noProof/>
                <w:sz w:val="22"/>
              </w:rPr>
              <w:t xml:space="preserve">ОБЩО бюджетни кредити </w:t>
            </w:r>
            <w:r>
              <w:rPr>
                <w:noProof/>
                <w:sz w:val="22"/>
              </w:rPr>
              <w:br/>
            </w:r>
            <w:r>
              <w:rPr>
                <w:b/>
                <w:noProof/>
                <w:sz w:val="22"/>
              </w:rPr>
              <w:t>за ГД „Научни изследвания и иновации“</w:t>
            </w:r>
          </w:p>
        </w:tc>
        <w:tc>
          <w:tcPr>
            <w:tcW w:w="1440" w:type="dxa"/>
            <w:vAlign w:val="center"/>
          </w:tcPr>
          <w:p>
            <w:pPr>
              <w:spacing w:before="20" w:after="20"/>
              <w:jc w:val="left"/>
              <w:rPr>
                <w:noProof/>
                <w:sz w:val="18"/>
              </w:rPr>
            </w:pPr>
            <w:r>
              <w:rPr>
                <w:noProof/>
                <w:sz w:val="18"/>
              </w:rPr>
              <w:t>Поети задължения</w:t>
            </w:r>
          </w:p>
        </w:tc>
        <w:tc>
          <w:tcPr>
            <w:tcW w:w="654" w:type="dxa"/>
            <w:gridSpan w:val="2"/>
            <w:vAlign w:val="center"/>
          </w:tcPr>
          <w:p>
            <w:pPr>
              <w:spacing w:before="20" w:after="20"/>
              <w:jc w:val="center"/>
              <w:rPr>
                <w:noProof/>
                <w:sz w:val="14"/>
              </w:rPr>
            </w:pPr>
            <w:r>
              <w:rPr>
                <w:noProof/>
                <w:sz w:val="14"/>
              </w:rPr>
              <w:t>=1+1а+1б</w:t>
            </w:r>
          </w:p>
        </w:tc>
        <w:tc>
          <w:tcPr>
            <w:tcW w:w="868" w:type="dxa"/>
            <w:vAlign w:val="center"/>
          </w:tcPr>
          <w:p>
            <w:pPr>
              <w:spacing w:before="20" w:after="20"/>
              <w:jc w:val="right"/>
              <w:rPr>
                <w:noProof/>
                <w:sz w:val="20"/>
              </w:rPr>
            </w:pPr>
            <w:r>
              <w:rPr>
                <w:noProof/>
                <w:sz w:val="20"/>
              </w:rPr>
              <w:t>15,000</w:t>
            </w:r>
          </w:p>
        </w:tc>
        <w:tc>
          <w:tcPr>
            <w:tcW w:w="868" w:type="dxa"/>
            <w:vAlign w:val="center"/>
          </w:tcPr>
          <w:p>
            <w:pPr>
              <w:spacing w:before="20" w:after="20"/>
              <w:jc w:val="right"/>
              <w:rPr>
                <w:noProof/>
                <w:sz w:val="20"/>
              </w:rPr>
            </w:pPr>
            <w:r>
              <w:rPr>
                <w:noProof/>
                <w:sz w:val="20"/>
              </w:rPr>
              <w:t>15,000</w:t>
            </w:r>
          </w:p>
        </w:tc>
        <w:tc>
          <w:tcPr>
            <w:tcW w:w="1075" w:type="dxa"/>
            <w:vAlign w:val="center"/>
          </w:tcPr>
          <w:p>
            <w:pPr>
              <w:spacing w:before="20" w:after="20"/>
              <w:jc w:val="right"/>
              <w:rPr>
                <w:noProof/>
                <w:sz w:val="20"/>
              </w:rPr>
            </w:pPr>
            <w:r>
              <w:rPr>
                <w:noProof/>
                <w:sz w:val="20"/>
              </w:rPr>
              <w:t>120,000</w:t>
            </w:r>
          </w:p>
        </w:tc>
        <w:tc>
          <w:tcPr>
            <w:tcW w:w="1134" w:type="dxa"/>
            <w:vAlign w:val="center"/>
          </w:tcPr>
          <w:p>
            <w:pPr>
              <w:spacing w:before="20" w:after="20"/>
              <w:jc w:val="right"/>
              <w:rPr>
                <w:noProof/>
                <w:sz w:val="20"/>
              </w:rPr>
            </w:pPr>
          </w:p>
        </w:tc>
        <w:tc>
          <w:tcPr>
            <w:tcW w:w="1777" w:type="dxa"/>
            <w:vAlign w:val="center"/>
          </w:tcPr>
          <w:p>
            <w:pPr>
              <w:spacing w:before="20" w:after="20"/>
              <w:jc w:val="right"/>
              <w:rPr>
                <w:b/>
                <w:noProof/>
                <w:sz w:val="20"/>
              </w:rPr>
            </w:pPr>
            <w:r>
              <w:rPr>
                <w:b/>
                <w:noProof/>
                <w:sz w:val="20"/>
              </w:rPr>
              <w:t>150,000</w:t>
            </w:r>
          </w:p>
        </w:tc>
      </w:tr>
      <w:tr>
        <w:trPr>
          <w:jc w:val="center"/>
        </w:trPr>
        <w:tc>
          <w:tcPr>
            <w:tcW w:w="3960" w:type="dxa"/>
            <w:vMerge/>
          </w:tcPr>
          <w:p>
            <w:pPr>
              <w:rPr>
                <w:noProof/>
                <w:sz w:val="22"/>
              </w:rPr>
            </w:pPr>
          </w:p>
        </w:tc>
        <w:tc>
          <w:tcPr>
            <w:tcW w:w="1440" w:type="dxa"/>
            <w:vAlign w:val="center"/>
          </w:tcPr>
          <w:p>
            <w:pPr>
              <w:jc w:val="left"/>
              <w:rPr>
                <w:noProof/>
                <w:sz w:val="22"/>
              </w:rPr>
            </w:pPr>
            <w:r>
              <w:rPr>
                <w:noProof/>
                <w:sz w:val="18"/>
              </w:rPr>
              <w:t>Плащания</w:t>
            </w:r>
          </w:p>
        </w:tc>
        <w:tc>
          <w:tcPr>
            <w:tcW w:w="654" w:type="dxa"/>
            <w:gridSpan w:val="2"/>
            <w:vAlign w:val="center"/>
          </w:tcPr>
          <w:p>
            <w:pPr>
              <w:rPr>
                <w:noProof/>
                <w:sz w:val="22"/>
              </w:rPr>
            </w:pPr>
            <w:r>
              <w:rPr>
                <w:noProof/>
                <w:sz w:val="14"/>
              </w:rPr>
              <w:t>=2+2а+2б</w:t>
            </w:r>
          </w:p>
        </w:tc>
        <w:tc>
          <w:tcPr>
            <w:tcW w:w="868" w:type="dxa"/>
            <w:vAlign w:val="center"/>
          </w:tcPr>
          <w:p>
            <w:pPr>
              <w:jc w:val="right"/>
              <w:rPr>
                <w:noProof/>
                <w:sz w:val="22"/>
              </w:rPr>
            </w:pPr>
            <w:r>
              <w:rPr>
                <w:noProof/>
                <w:sz w:val="20"/>
              </w:rPr>
              <w:t>3,000</w:t>
            </w:r>
          </w:p>
        </w:tc>
        <w:tc>
          <w:tcPr>
            <w:tcW w:w="868" w:type="dxa"/>
            <w:vAlign w:val="center"/>
          </w:tcPr>
          <w:p>
            <w:pPr>
              <w:jc w:val="right"/>
              <w:rPr>
                <w:noProof/>
                <w:sz w:val="22"/>
              </w:rPr>
            </w:pPr>
            <w:r>
              <w:rPr>
                <w:noProof/>
                <w:sz w:val="20"/>
              </w:rPr>
              <w:t>7,500</w:t>
            </w:r>
          </w:p>
        </w:tc>
        <w:tc>
          <w:tcPr>
            <w:tcW w:w="1075" w:type="dxa"/>
            <w:vAlign w:val="center"/>
          </w:tcPr>
          <w:p>
            <w:pPr>
              <w:jc w:val="right"/>
              <w:rPr>
                <w:noProof/>
                <w:sz w:val="22"/>
              </w:rPr>
            </w:pPr>
            <w:r>
              <w:rPr>
                <w:noProof/>
                <w:sz w:val="20"/>
              </w:rPr>
              <w:t>7,500</w:t>
            </w:r>
          </w:p>
        </w:tc>
        <w:tc>
          <w:tcPr>
            <w:tcW w:w="1134" w:type="dxa"/>
            <w:vAlign w:val="center"/>
          </w:tcPr>
          <w:p>
            <w:pPr>
              <w:jc w:val="right"/>
              <w:rPr>
                <w:noProof/>
                <w:sz w:val="22"/>
              </w:rPr>
            </w:pPr>
            <w:r>
              <w:rPr>
                <w:noProof/>
                <w:sz w:val="20"/>
              </w:rPr>
              <w:t>132,000</w:t>
            </w:r>
          </w:p>
        </w:tc>
        <w:tc>
          <w:tcPr>
            <w:tcW w:w="1777" w:type="dxa"/>
            <w:vAlign w:val="center"/>
          </w:tcPr>
          <w:p>
            <w:pPr>
              <w:jc w:val="right"/>
              <w:rPr>
                <w:b/>
                <w:noProof/>
                <w:sz w:val="22"/>
              </w:rPr>
            </w:pPr>
            <w:r>
              <w:rPr>
                <w:b/>
                <w:noProof/>
                <w:sz w:val="20"/>
              </w:rPr>
              <w:t>150,000</w:t>
            </w:r>
          </w:p>
        </w:tc>
      </w:tr>
    </w:tbl>
    <w:p>
      <w:pPr>
        <w:rPr>
          <w:noProof/>
        </w:rPr>
      </w:pPr>
      <w:r>
        <w:rPr>
          <w:noProof/>
        </w:rPr>
        <w:br w:type="page"/>
      </w:r>
    </w:p>
    <w:tbl>
      <w:tblPr>
        <w:tblW w:w="0" w:type="auto"/>
        <w:jc w:val="center"/>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440"/>
        <w:gridCol w:w="654"/>
        <w:gridCol w:w="868"/>
        <w:gridCol w:w="868"/>
        <w:gridCol w:w="1075"/>
        <w:gridCol w:w="1134"/>
        <w:gridCol w:w="1777"/>
      </w:tblGrid>
      <w:tr>
        <w:trPr>
          <w:trHeight w:val="319"/>
          <w:jc w:val="center"/>
        </w:trPr>
        <w:tc>
          <w:tcPr>
            <w:tcW w:w="3960" w:type="dxa"/>
            <w:vMerge w:val="restart"/>
            <w:vAlign w:val="center"/>
          </w:tcPr>
          <w:p>
            <w:pPr>
              <w:spacing w:before="60" w:after="60"/>
              <w:rPr>
                <w:noProof/>
              </w:rPr>
            </w:pPr>
            <w:r>
              <w:rPr>
                <w:noProof/>
                <w:sz w:val="20"/>
              </w:rPr>
              <w:t xml:space="preserve">05.090301 </w:t>
            </w:r>
          </w:p>
          <w:p>
            <w:pPr>
              <w:spacing w:before="60" w:after="60"/>
              <w:rPr>
                <w:noProof/>
              </w:rPr>
            </w:pPr>
          </w:p>
        </w:tc>
        <w:tc>
          <w:tcPr>
            <w:tcW w:w="1440" w:type="dxa"/>
            <w:vAlign w:val="center"/>
          </w:tcPr>
          <w:p>
            <w:pPr>
              <w:spacing w:before="40" w:after="40"/>
              <w:jc w:val="left"/>
              <w:rPr>
                <w:noProof/>
                <w:sz w:val="18"/>
              </w:rPr>
            </w:pPr>
            <w:r>
              <w:rPr>
                <w:noProof/>
                <w:sz w:val="18"/>
              </w:rPr>
              <w:t>Поети задължения</w:t>
            </w:r>
          </w:p>
        </w:tc>
        <w:tc>
          <w:tcPr>
            <w:tcW w:w="654" w:type="dxa"/>
            <w:vAlign w:val="center"/>
          </w:tcPr>
          <w:p>
            <w:pPr>
              <w:spacing w:before="40" w:after="40"/>
              <w:jc w:val="center"/>
              <w:rPr>
                <w:noProof/>
                <w:sz w:val="14"/>
              </w:rPr>
            </w:pPr>
            <w:r>
              <w:rPr>
                <w:noProof/>
                <w:sz w:val="14"/>
              </w:rPr>
              <w:t>(1в)</w:t>
            </w:r>
          </w:p>
        </w:tc>
        <w:tc>
          <w:tcPr>
            <w:tcW w:w="868" w:type="dxa"/>
            <w:vAlign w:val="center"/>
          </w:tcPr>
          <w:p>
            <w:pPr>
              <w:spacing w:before="40" w:after="40"/>
              <w:jc w:val="right"/>
              <w:rPr>
                <w:noProof/>
                <w:sz w:val="20"/>
              </w:rPr>
            </w:pPr>
            <w:r>
              <w:rPr>
                <w:noProof/>
                <w:sz w:val="20"/>
              </w:rPr>
              <w:t>5,000</w:t>
            </w:r>
          </w:p>
        </w:tc>
        <w:tc>
          <w:tcPr>
            <w:tcW w:w="868" w:type="dxa"/>
            <w:vAlign w:val="center"/>
          </w:tcPr>
          <w:p>
            <w:pPr>
              <w:spacing w:before="40" w:after="40"/>
              <w:jc w:val="right"/>
              <w:rPr>
                <w:b/>
                <w:noProof/>
                <w:sz w:val="20"/>
              </w:rPr>
            </w:pPr>
            <w:r>
              <w:rPr>
                <w:noProof/>
                <w:sz w:val="20"/>
              </w:rPr>
              <w:t>5,000</w:t>
            </w:r>
          </w:p>
        </w:tc>
        <w:tc>
          <w:tcPr>
            <w:tcW w:w="1075" w:type="dxa"/>
            <w:vAlign w:val="center"/>
          </w:tcPr>
          <w:p>
            <w:pPr>
              <w:spacing w:before="40" w:after="40"/>
              <w:jc w:val="right"/>
              <w:rPr>
                <w:b/>
                <w:noProof/>
                <w:sz w:val="20"/>
              </w:rPr>
            </w:pPr>
            <w:r>
              <w:rPr>
                <w:noProof/>
                <w:sz w:val="20"/>
              </w:rPr>
              <w:t>40,000</w:t>
            </w:r>
          </w:p>
        </w:tc>
        <w:tc>
          <w:tcPr>
            <w:tcW w:w="1134" w:type="dxa"/>
            <w:vAlign w:val="center"/>
          </w:tcPr>
          <w:p>
            <w:pPr>
              <w:spacing w:before="40" w:after="40"/>
              <w:jc w:val="right"/>
              <w:rPr>
                <w:noProof/>
                <w:sz w:val="20"/>
              </w:rPr>
            </w:pPr>
          </w:p>
        </w:tc>
        <w:tc>
          <w:tcPr>
            <w:tcW w:w="1777" w:type="dxa"/>
            <w:vAlign w:val="center"/>
          </w:tcPr>
          <w:p>
            <w:pPr>
              <w:spacing w:before="40" w:after="40"/>
              <w:jc w:val="right"/>
              <w:rPr>
                <w:b/>
                <w:noProof/>
                <w:sz w:val="20"/>
              </w:rPr>
            </w:pPr>
            <w:r>
              <w:rPr>
                <w:b/>
                <w:noProof/>
                <w:sz w:val="20"/>
              </w:rPr>
              <w:t>50,000</w:t>
            </w:r>
          </w:p>
        </w:tc>
      </w:tr>
      <w:tr>
        <w:trPr>
          <w:trHeight w:val="319"/>
          <w:jc w:val="center"/>
        </w:trPr>
        <w:tc>
          <w:tcPr>
            <w:tcW w:w="3960" w:type="dxa"/>
            <w:vMerge/>
            <w:vAlign w:val="center"/>
          </w:tcPr>
          <w:p>
            <w:pPr>
              <w:rPr>
                <w:noProof/>
                <w:sz w:val="22"/>
              </w:rPr>
            </w:pPr>
          </w:p>
        </w:tc>
        <w:tc>
          <w:tcPr>
            <w:tcW w:w="1440" w:type="dxa"/>
            <w:vAlign w:val="center"/>
          </w:tcPr>
          <w:p>
            <w:pPr>
              <w:jc w:val="left"/>
              <w:rPr>
                <w:noProof/>
                <w:sz w:val="18"/>
                <w:szCs w:val="18"/>
              </w:rPr>
            </w:pPr>
            <w:r>
              <w:rPr>
                <w:noProof/>
                <w:sz w:val="18"/>
              </w:rPr>
              <w:t>Плащания</w:t>
            </w:r>
          </w:p>
        </w:tc>
        <w:tc>
          <w:tcPr>
            <w:tcW w:w="654" w:type="dxa"/>
            <w:vAlign w:val="center"/>
          </w:tcPr>
          <w:p>
            <w:pPr>
              <w:jc w:val="center"/>
              <w:rPr>
                <w:noProof/>
                <w:sz w:val="22"/>
              </w:rPr>
            </w:pPr>
            <w:r>
              <w:rPr>
                <w:noProof/>
                <w:sz w:val="14"/>
              </w:rPr>
              <w:t>(2в)</w:t>
            </w:r>
          </w:p>
        </w:tc>
        <w:tc>
          <w:tcPr>
            <w:tcW w:w="868" w:type="dxa"/>
            <w:vAlign w:val="center"/>
          </w:tcPr>
          <w:p>
            <w:pPr>
              <w:jc w:val="right"/>
              <w:rPr>
                <w:noProof/>
                <w:sz w:val="20"/>
                <w:szCs w:val="20"/>
              </w:rPr>
            </w:pPr>
            <w:r>
              <w:rPr>
                <w:noProof/>
                <w:sz w:val="20"/>
              </w:rPr>
              <w:t>1,000</w:t>
            </w:r>
          </w:p>
        </w:tc>
        <w:tc>
          <w:tcPr>
            <w:tcW w:w="868" w:type="dxa"/>
            <w:vAlign w:val="center"/>
          </w:tcPr>
          <w:p>
            <w:pPr>
              <w:jc w:val="right"/>
              <w:rPr>
                <w:noProof/>
                <w:sz w:val="22"/>
              </w:rPr>
            </w:pPr>
            <w:r>
              <w:rPr>
                <w:noProof/>
                <w:sz w:val="20"/>
              </w:rPr>
              <w:t>2,500</w:t>
            </w:r>
          </w:p>
        </w:tc>
        <w:tc>
          <w:tcPr>
            <w:tcW w:w="1075" w:type="dxa"/>
            <w:vAlign w:val="center"/>
          </w:tcPr>
          <w:p>
            <w:pPr>
              <w:jc w:val="right"/>
              <w:rPr>
                <w:noProof/>
                <w:sz w:val="22"/>
              </w:rPr>
            </w:pPr>
            <w:r>
              <w:rPr>
                <w:noProof/>
                <w:sz w:val="20"/>
              </w:rPr>
              <w:t>2,500</w:t>
            </w:r>
          </w:p>
        </w:tc>
        <w:tc>
          <w:tcPr>
            <w:tcW w:w="1134" w:type="dxa"/>
            <w:vAlign w:val="center"/>
          </w:tcPr>
          <w:p>
            <w:pPr>
              <w:jc w:val="right"/>
              <w:rPr>
                <w:noProof/>
                <w:sz w:val="22"/>
              </w:rPr>
            </w:pPr>
            <w:r>
              <w:rPr>
                <w:noProof/>
                <w:sz w:val="20"/>
              </w:rPr>
              <w:t>44,000</w:t>
            </w:r>
          </w:p>
        </w:tc>
        <w:tc>
          <w:tcPr>
            <w:tcW w:w="1777" w:type="dxa"/>
            <w:vAlign w:val="center"/>
          </w:tcPr>
          <w:p>
            <w:pPr>
              <w:jc w:val="right"/>
              <w:rPr>
                <w:b/>
                <w:noProof/>
                <w:sz w:val="22"/>
              </w:rPr>
            </w:pPr>
            <w:r>
              <w:rPr>
                <w:b/>
                <w:noProof/>
                <w:sz w:val="20"/>
              </w:rPr>
              <w:t>50,000</w:t>
            </w:r>
          </w:p>
        </w:tc>
      </w:tr>
      <w:tr>
        <w:trPr>
          <w:trHeight w:val="319"/>
          <w:jc w:val="center"/>
        </w:trPr>
        <w:tc>
          <w:tcPr>
            <w:tcW w:w="3960" w:type="dxa"/>
            <w:vMerge w:val="restart"/>
          </w:tcPr>
          <w:p>
            <w:pPr>
              <w:spacing w:before="60" w:after="60"/>
              <w:jc w:val="center"/>
              <w:rPr>
                <w:noProof/>
                <w:sz w:val="20"/>
              </w:rPr>
            </w:pPr>
            <w:r>
              <w:rPr>
                <w:b/>
                <w:noProof/>
                <w:sz w:val="22"/>
              </w:rPr>
              <w:t xml:space="preserve">ОБЩО бюджетни кредити </w:t>
            </w:r>
            <w:r>
              <w:rPr>
                <w:noProof/>
                <w:sz w:val="22"/>
              </w:rPr>
              <w:br/>
            </w:r>
            <w:r>
              <w:rPr>
                <w:b/>
                <w:noProof/>
                <w:sz w:val="22"/>
              </w:rPr>
              <w:t>за ГД „Земеделие и развитие на селските райони“</w:t>
            </w:r>
          </w:p>
        </w:tc>
        <w:tc>
          <w:tcPr>
            <w:tcW w:w="1440" w:type="dxa"/>
            <w:vAlign w:val="center"/>
          </w:tcPr>
          <w:p>
            <w:pPr>
              <w:spacing w:before="40" w:after="40"/>
              <w:jc w:val="left"/>
              <w:rPr>
                <w:noProof/>
                <w:sz w:val="18"/>
              </w:rPr>
            </w:pPr>
            <w:r>
              <w:rPr>
                <w:noProof/>
                <w:sz w:val="18"/>
              </w:rPr>
              <w:t>Поети задължения</w:t>
            </w:r>
          </w:p>
        </w:tc>
        <w:tc>
          <w:tcPr>
            <w:tcW w:w="654" w:type="dxa"/>
            <w:vAlign w:val="center"/>
          </w:tcPr>
          <w:p>
            <w:pPr>
              <w:spacing w:before="40" w:after="40"/>
              <w:jc w:val="center"/>
              <w:rPr>
                <w:noProof/>
                <w:sz w:val="14"/>
              </w:rPr>
            </w:pPr>
            <w:r>
              <w:rPr>
                <w:noProof/>
                <w:sz w:val="14"/>
              </w:rPr>
              <w:t>=1в</w:t>
            </w:r>
          </w:p>
        </w:tc>
        <w:tc>
          <w:tcPr>
            <w:tcW w:w="868" w:type="dxa"/>
            <w:vAlign w:val="center"/>
          </w:tcPr>
          <w:p>
            <w:pPr>
              <w:spacing w:before="40" w:after="40"/>
              <w:jc w:val="right"/>
              <w:rPr>
                <w:noProof/>
                <w:sz w:val="20"/>
              </w:rPr>
            </w:pPr>
            <w:r>
              <w:rPr>
                <w:noProof/>
                <w:sz w:val="20"/>
              </w:rPr>
              <w:t>5,000</w:t>
            </w:r>
          </w:p>
        </w:tc>
        <w:tc>
          <w:tcPr>
            <w:tcW w:w="868" w:type="dxa"/>
            <w:vAlign w:val="center"/>
          </w:tcPr>
          <w:p>
            <w:pPr>
              <w:spacing w:before="40" w:after="40"/>
              <w:jc w:val="right"/>
              <w:rPr>
                <w:noProof/>
                <w:sz w:val="20"/>
              </w:rPr>
            </w:pPr>
            <w:r>
              <w:rPr>
                <w:noProof/>
                <w:sz w:val="20"/>
              </w:rPr>
              <w:t>5,000</w:t>
            </w:r>
          </w:p>
        </w:tc>
        <w:tc>
          <w:tcPr>
            <w:tcW w:w="1075" w:type="dxa"/>
            <w:vAlign w:val="center"/>
          </w:tcPr>
          <w:p>
            <w:pPr>
              <w:spacing w:before="40" w:after="40"/>
              <w:jc w:val="right"/>
              <w:rPr>
                <w:noProof/>
                <w:sz w:val="20"/>
              </w:rPr>
            </w:pPr>
            <w:r>
              <w:rPr>
                <w:noProof/>
                <w:sz w:val="20"/>
              </w:rPr>
              <w:t>40,000</w:t>
            </w:r>
          </w:p>
        </w:tc>
        <w:tc>
          <w:tcPr>
            <w:tcW w:w="1134" w:type="dxa"/>
            <w:vAlign w:val="center"/>
          </w:tcPr>
          <w:p>
            <w:pPr>
              <w:spacing w:before="40" w:after="40"/>
              <w:jc w:val="right"/>
              <w:rPr>
                <w:noProof/>
                <w:sz w:val="20"/>
              </w:rPr>
            </w:pPr>
          </w:p>
        </w:tc>
        <w:tc>
          <w:tcPr>
            <w:tcW w:w="1777" w:type="dxa"/>
            <w:vAlign w:val="center"/>
          </w:tcPr>
          <w:p>
            <w:pPr>
              <w:spacing w:before="40" w:after="40"/>
              <w:jc w:val="right"/>
              <w:rPr>
                <w:b/>
                <w:noProof/>
                <w:sz w:val="20"/>
              </w:rPr>
            </w:pPr>
            <w:r>
              <w:rPr>
                <w:b/>
                <w:noProof/>
                <w:sz w:val="20"/>
              </w:rPr>
              <w:t>50,000</w:t>
            </w:r>
          </w:p>
        </w:tc>
      </w:tr>
      <w:tr>
        <w:trPr>
          <w:trHeight w:val="319"/>
          <w:jc w:val="center"/>
        </w:trPr>
        <w:tc>
          <w:tcPr>
            <w:tcW w:w="3960" w:type="dxa"/>
            <w:vMerge/>
          </w:tcPr>
          <w:p>
            <w:pPr>
              <w:rPr>
                <w:noProof/>
                <w:sz w:val="22"/>
              </w:rPr>
            </w:pPr>
          </w:p>
        </w:tc>
        <w:tc>
          <w:tcPr>
            <w:tcW w:w="1440" w:type="dxa"/>
            <w:vAlign w:val="center"/>
          </w:tcPr>
          <w:p>
            <w:pPr>
              <w:jc w:val="left"/>
              <w:rPr>
                <w:noProof/>
                <w:sz w:val="22"/>
              </w:rPr>
            </w:pPr>
            <w:r>
              <w:rPr>
                <w:noProof/>
                <w:sz w:val="18"/>
              </w:rPr>
              <w:t>Плащания</w:t>
            </w:r>
          </w:p>
        </w:tc>
        <w:tc>
          <w:tcPr>
            <w:tcW w:w="654" w:type="dxa"/>
            <w:vAlign w:val="center"/>
          </w:tcPr>
          <w:p>
            <w:pPr>
              <w:jc w:val="center"/>
              <w:rPr>
                <w:noProof/>
                <w:sz w:val="22"/>
              </w:rPr>
            </w:pPr>
            <w:r>
              <w:rPr>
                <w:noProof/>
                <w:sz w:val="14"/>
              </w:rPr>
              <w:t>=2в</w:t>
            </w:r>
          </w:p>
        </w:tc>
        <w:tc>
          <w:tcPr>
            <w:tcW w:w="868" w:type="dxa"/>
            <w:vAlign w:val="center"/>
          </w:tcPr>
          <w:p>
            <w:pPr>
              <w:jc w:val="right"/>
              <w:rPr>
                <w:noProof/>
                <w:sz w:val="20"/>
                <w:szCs w:val="20"/>
              </w:rPr>
            </w:pPr>
            <w:r>
              <w:rPr>
                <w:noProof/>
                <w:sz w:val="20"/>
              </w:rPr>
              <w:t>1,000</w:t>
            </w:r>
          </w:p>
        </w:tc>
        <w:tc>
          <w:tcPr>
            <w:tcW w:w="868" w:type="dxa"/>
            <w:vAlign w:val="center"/>
          </w:tcPr>
          <w:p>
            <w:pPr>
              <w:jc w:val="right"/>
              <w:rPr>
                <w:noProof/>
                <w:sz w:val="22"/>
              </w:rPr>
            </w:pPr>
            <w:r>
              <w:rPr>
                <w:noProof/>
                <w:sz w:val="20"/>
              </w:rPr>
              <w:t>2,500</w:t>
            </w:r>
          </w:p>
        </w:tc>
        <w:tc>
          <w:tcPr>
            <w:tcW w:w="1075" w:type="dxa"/>
            <w:vAlign w:val="center"/>
          </w:tcPr>
          <w:p>
            <w:pPr>
              <w:jc w:val="right"/>
              <w:rPr>
                <w:noProof/>
                <w:sz w:val="22"/>
              </w:rPr>
            </w:pPr>
            <w:r>
              <w:rPr>
                <w:noProof/>
                <w:sz w:val="20"/>
              </w:rPr>
              <w:t>2,500</w:t>
            </w:r>
          </w:p>
        </w:tc>
        <w:tc>
          <w:tcPr>
            <w:tcW w:w="1134" w:type="dxa"/>
            <w:vAlign w:val="center"/>
          </w:tcPr>
          <w:p>
            <w:pPr>
              <w:jc w:val="right"/>
              <w:rPr>
                <w:noProof/>
                <w:sz w:val="22"/>
              </w:rPr>
            </w:pPr>
            <w:r>
              <w:rPr>
                <w:noProof/>
                <w:sz w:val="20"/>
              </w:rPr>
              <w:t>44,000</w:t>
            </w:r>
          </w:p>
        </w:tc>
        <w:tc>
          <w:tcPr>
            <w:tcW w:w="1777" w:type="dxa"/>
            <w:vAlign w:val="center"/>
          </w:tcPr>
          <w:p>
            <w:pPr>
              <w:jc w:val="right"/>
              <w:rPr>
                <w:b/>
                <w:noProof/>
                <w:sz w:val="22"/>
              </w:rPr>
            </w:pPr>
            <w:r>
              <w:rPr>
                <w:b/>
                <w:noProof/>
                <w:sz w:val="20"/>
              </w:rPr>
              <w:t>50,000</w:t>
            </w:r>
          </w:p>
        </w:tc>
      </w:tr>
    </w:tbl>
    <w:p>
      <w:pPr>
        <w:rPr>
          <w:noProof/>
        </w:rPr>
      </w:pPr>
      <w:r>
        <w:rPr>
          <w:noProof/>
          <w:sz w:val="22"/>
        </w:rPr>
        <w:br/>
      </w:r>
      <w:r>
        <w:rPr>
          <w:noProof/>
          <w:sz w:val="22"/>
        </w:rPr>
        <w:br/>
      </w:r>
    </w:p>
    <w:tbl>
      <w:tblPr>
        <w:tblW w:w="0" w:type="auto"/>
        <w:jc w:val="center"/>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440"/>
        <w:gridCol w:w="654"/>
        <w:gridCol w:w="868"/>
        <w:gridCol w:w="868"/>
        <w:gridCol w:w="1075"/>
        <w:gridCol w:w="1134"/>
        <w:gridCol w:w="1777"/>
      </w:tblGrid>
      <w:tr>
        <w:trPr>
          <w:trHeight w:val="697"/>
          <w:jc w:val="center"/>
        </w:trPr>
        <w:tc>
          <w:tcPr>
            <w:tcW w:w="3960" w:type="dxa"/>
            <w:vAlign w:val="center"/>
          </w:tcPr>
          <w:p>
            <w:pPr>
              <w:spacing w:before="20" w:after="20"/>
              <w:jc w:val="center"/>
              <w:rPr>
                <w:noProof/>
                <w:sz w:val="22"/>
              </w:rPr>
            </w:pPr>
          </w:p>
        </w:tc>
        <w:tc>
          <w:tcPr>
            <w:tcW w:w="1440" w:type="dxa"/>
          </w:tcPr>
          <w:p>
            <w:pPr>
              <w:spacing w:beforeLines="20" w:before="48" w:afterLines="20" w:after="48"/>
              <w:rPr>
                <w:noProof/>
                <w:sz w:val="18"/>
              </w:rPr>
            </w:pPr>
          </w:p>
        </w:tc>
        <w:tc>
          <w:tcPr>
            <w:tcW w:w="654" w:type="dxa"/>
          </w:tcPr>
          <w:p>
            <w:pPr>
              <w:spacing w:beforeLines="20" w:before="48" w:afterLines="20" w:after="48"/>
              <w:jc w:val="center"/>
              <w:rPr>
                <w:noProof/>
                <w:sz w:val="14"/>
              </w:rPr>
            </w:pPr>
          </w:p>
        </w:tc>
        <w:tc>
          <w:tcPr>
            <w:tcW w:w="868" w:type="dxa"/>
            <w:vAlign w:val="center"/>
          </w:tcPr>
          <w:p>
            <w:pPr>
              <w:spacing w:before="20" w:after="20"/>
              <w:jc w:val="center"/>
              <w:rPr>
                <w:noProof/>
                <w:sz w:val="20"/>
              </w:rPr>
            </w:pPr>
            <w:r>
              <w:rPr>
                <w:noProof/>
                <w:sz w:val="20"/>
              </w:rPr>
              <w:t>Година</w:t>
            </w:r>
            <w:r>
              <w:rPr>
                <w:noProof/>
                <w:sz w:val="22"/>
              </w:rPr>
              <w:br/>
            </w:r>
            <w:r>
              <w:rPr>
                <w:b/>
                <w:noProof/>
                <w:sz w:val="20"/>
              </w:rPr>
              <w:t>2018</w:t>
            </w:r>
            <w:r>
              <w:rPr>
                <w:rStyle w:val="FootnoteReference"/>
                <w:b/>
                <w:noProof/>
                <w:sz w:val="20"/>
              </w:rPr>
              <w:footnoteReference w:id="18"/>
            </w:r>
          </w:p>
        </w:tc>
        <w:tc>
          <w:tcPr>
            <w:tcW w:w="868" w:type="dxa"/>
            <w:vAlign w:val="center"/>
          </w:tcPr>
          <w:p>
            <w:pPr>
              <w:spacing w:before="20" w:after="20"/>
              <w:jc w:val="center"/>
              <w:rPr>
                <w:noProof/>
                <w:sz w:val="20"/>
              </w:rPr>
            </w:pPr>
            <w:r>
              <w:rPr>
                <w:noProof/>
                <w:sz w:val="20"/>
              </w:rPr>
              <w:t>Година</w:t>
            </w:r>
            <w:r>
              <w:rPr>
                <w:noProof/>
                <w:sz w:val="22"/>
              </w:rPr>
              <w:br/>
            </w:r>
            <w:r>
              <w:rPr>
                <w:b/>
                <w:noProof/>
                <w:sz w:val="20"/>
              </w:rPr>
              <w:t>2019</w:t>
            </w:r>
          </w:p>
        </w:tc>
        <w:tc>
          <w:tcPr>
            <w:tcW w:w="1075" w:type="dxa"/>
            <w:vAlign w:val="center"/>
          </w:tcPr>
          <w:p>
            <w:pPr>
              <w:spacing w:before="20" w:after="20"/>
              <w:jc w:val="center"/>
              <w:rPr>
                <w:noProof/>
                <w:sz w:val="20"/>
              </w:rPr>
            </w:pPr>
            <w:r>
              <w:rPr>
                <w:noProof/>
                <w:sz w:val="20"/>
              </w:rPr>
              <w:t>Година</w:t>
            </w:r>
            <w:r>
              <w:rPr>
                <w:noProof/>
                <w:sz w:val="22"/>
              </w:rPr>
              <w:br/>
            </w:r>
            <w:r>
              <w:rPr>
                <w:b/>
                <w:noProof/>
                <w:sz w:val="20"/>
              </w:rPr>
              <w:t>2020</w:t>
            </w:r>
          </w:p>
        </w:tc>
        <w:tc>
          <w:tcPr>
            <w:tcW w:w="1134" w:type="dxa"/>
            <w:vAlign w:val="center"/>
          </w:tcPr>
          <w:p>
            <w:pPr>
              <w:spacing w:before="20" w:after="20"/>
              <w:jc w:val="center"/>
              <w:rPr>
                <w:noProof/>
                <w:sz w:val="20"/>
              </w:rPr>
            </w:pPr>
            <w:r>
              <w:rPr>
                <w:noProof/>
                <w:sz w:val="20"/>
              </w:rPr>
              <w:t>Година</w:t>
            </w:r>
            <w:r>
              <w:rPr>
                <w:noProof/>
                <w:sz w:val="22"/>
              </w:rPr>
              <w:br/>
            </w:r>
            <w:r>
              <w:rPr>
                <w:b/>
                <w:noProof/>
                <w:sz w:val="20"/>
              </w:rPr>
              <w:t>2021 – 2029</w:t>
            </w:r>
          </w:p>
        </w:tc>
        <w:tc>
          <w:tcPr>
            <w:tcW w:w="1777" w:type="dxa"/>
            <w:vAlign w:val="center"/>
          </w:tcPr>
          <w:p>
            <w:pPr>
              <w:spacing w:before="20" w:after="20"/>
              <w:jc w:val="center"/>
              <w:rPr>
                <w:b/>
                <w:noProof/>
                <w:sz w:val="20"/>
              </w:rPr>
            </w:pPr>
            <w:r>
              <w:rPr>
                <w:b/>
                <w:noProof/>
                <w:sz w:val="20"/>
              </w:rPr>
              <w:t>ОБЩО</w:t>
            </w:r>
          </w:p>
        </w:tc>
      </w:tr>
      <w:tr>
        <w:trPr>
          <w:trHeight w:val="277"/>
          <w:jc w:val="center"/>
        </w:trPr>
        <w:tc>
          <w:tcPr>
            <w:tcW w:w="3960" w:type="dxa"/>
            <w:vMerge w:val="restart"/>
            <w:vAlign w:val="center"/>
          </w:tcPr>
          <w:p>
            <w:pPr>
              <w:spacing w:before="20" w:after="20"/>
              <w:rPr>
                <w:noProof/>
              </w:rPr>
            </w:pPr>
            <w:r>
              <w:rPr>
                <w:noProof/>
              </w:rPr>
              <w:br w:type="page"/>
            </w:r>
            <w:r>
              <w:rPr>
                <w:noProof/>
                <w:sz w:val="21"/>
              </w:rPr>
              <w:sym w:font="Wingdings" w:char="F09F"/>
            </w:r>
            <w:r>
              <w:rPr>
                <w:noProof/>
                <w:sz w:val="21"/>
              </w:rPr>
              <w:t xml:space="preserve"> ОБЩО бюджетни кредити за оперативни разходи </w:t>
            </w:r>
          </w:p>
        </w:tc>
        <w:tc>
          <w:tcPr>
            <w:tcW w:w="1440" w:type="dxa"/>
            <w:vAlign w:val="center"/>
          </w:tcPr>
          <w:p>
            <w:pPr>
              <w:spacing w:beforeLines="20" w:before="48" w:afterLines="20" w:after="48"/>
              <w:rPr>
                <w:noProof/>
                <w:sz w:val="18"/>
              </w:rPr>
            </w:pPr>
            <w:r>
              <w:rPr>
                <w:noProof/>
                <w:sz w:val="18"/>
              </w:rPr>
              <w:t>Поети задължения</w:t>
            </w:r>
          </w:p>
        </w:tc>
        <w:tc>
          <w:tcPr>
            <w:tcW w:w="654" w:type="dxa"/>
            <w:vAlign w:val="center"/>
          </w:tcPr>
          <w:p>
            <w:pPr>
              <w:spacing w:beforeLines="20" w:before="48" w:afterLines="20" w:after="48"/>
              <w:jc w:val="center"/>
              <w:rPr>
                <w:noProof/>
                <w:sz w:val="14"/>
              </w:rPr>
            </w:pPr>
            <w:r>
              <w:rPr>
                <w:noProof/>
                <w:sz w:val="14"/>
              </w:rPr>
              <w:t>(4)</w:t>
            </w:r>
          </w:p>
        </w:tc>
        <w:tc>
          <w:tcPr>
            <w:tcW w:w="868" w:type="dxa"/>
            <w:vAlign w:val="center"/>
          </w:tcPr>
          <w:p>
            <w:pPr>
              <w:spacing w:before="20" w:after="20"/>
              <w:jc w:val="right"/>
              <w:rPr>
                <w:noProof/>
                <w:sz w:val="20"/>
              </w:rPr>
            </w:pPr>
            <w:r>
              <w:rPr>
                <w:noProof/>
                <w:sz w:val="20"/>
              </w:rPr>
              <w:t>20,000</w:t>
            </w:r>
          </w:p>
        </w:tc>
        <w:tc>
          <w:tcPr>
            <w:tcW w:w="868" w:type="dxa"/>
            <w:vAlign w:val="center"/>
          </w:tcPr>
          <w:p>
            <w:pPr>
              <w:spacing w:before="20" w:after="20"/>
              <w:jc w:val="right"/>
              <w:rPr>
                <w:noProof/>
                <w:sz w:val="20"/>
              </w:rPr>
            </w:pPr>
            <w:r>
              <w:rPr>
                <w:noProof/>
                <w:sz w:val="20"/>
              </w:rPr>
              <w:t>20,000</w:t>
            </w:r>
          </w:p>
        </w:tc>
        <w:tc>
          <w:tcPr>
            <w:tcW w:w="1075" w:type="dxa"/>
            <w:vAlign w:val="center"/>
          </w:tcPr>
          <w:p>
            <w:pPr>
              <w:spacing w:before="20" w:after="20"/>
              <w:jc w:val="right"/>
              <w:rPr>
                <w:noProof/>
                <w:sz w:val="20"/>
              </w:rPr>
            </w:pPr>
            <w:r>
              <w:rPr>
                <w:noProof/>
                <w:sz w:val="20"/>
              </w:rPr>
              <w:t>160,000</w:t>
            </w:r>
          </w:p>
        </w:tc>
        <w:tc>
          <w:tcPr>
            <w:tcW w:w="1134" w:type="dxa"/>
            <w:vAlign w:val="center"/>
          </w:tcPr>
          <w:p>
            <w:pPr>
              <w:spacing w:before="20" w:after="20"/>
              <w:jc w:val="right"/>
              <w:rPr>
                <w:noProof/>
                <w:sz w:val="20"/>
              </w:rPr>
            </w:pPr>
          </w:p>
        </w:tc>
        <w:tc>
          <w:tcPr>
            <w:tcW w:w="1777" w:type="dxa"/>
            <w:vAlign w:val="center"/>
          </w:tcPr>
          <w:p>
            <w:pPr>
              <w:spacing w:before="20" w:after="20"/>
              <w:jc w:val="right"/>
              <w:rPr>
                <w:b/>
                <w:noProof/>
                <w:sz w:val="20"/>
              </w:rPr>
            </w:pPr>
            <w:r>
              <w:rPr>
                <w:b/>
                <w:noProof/>
                <w:sz w:val="20"/>
              </w:rPr>
              <w:t>200,000</w:t>
            </w:r>
          </w:p>
        </w:tc>
      </w:tr>
      <w:tr>
        <w:trPr>
          <w:jc w:val="center"/>
        </w:trPr>
        <w:tc>
          <w:tcPr>
            <w:tcW w:w="3960" w:type="dxa"/>
            <w:vMerge/>
          </w:tcPr>
          <w:p>
            <w:pPr>
              <w:rPr>
                <w:noProof/>
              </w:rPr>
            </w:pPr>
          </w:p>
        </w:tc>
        <w:tc>
          <w:tcPr>
            <w:tcW w:w="1440" w:type="dxa"/>
            <w:vAlign w:val="center"/>
          </w:tcPr>
          <w:p>
            <w:pPr>
              <w:rPr>
                <w:noProof/>
              </w:rPr>
            </w:pPr>
            <w:r>
              <w:rPr>
                <w:noProof/>
                <w:sz w:val="18"/>
              </w:rPr>
              <w:t>Плащания</w:t>
            </w:r>
          </w:p>
        </w:tc>
        <w:tc>
          <w:tcPr>
            <w:tcW w:w="654" w:type="dxa"/>
            <w:vAlign w:val="center"/>
          </w:tcPr>
          <w:p>
            <w:pPr>
              <w:rPr>
                <w:noProof/>
              </w:rPr>
            </w:pPr>
            <w:r>
              <w:rPr>
                <w:noProof/>
                <w:sz w:val="14"/>
              </w:rPr>
              <w:t>(5)</w:t>
            </w:r>
          </w:p>
        </w:tc>
        <w:tc>
          <w:tcPr>
            <w:tcW w:w="868" w:type="dxa"/>
            <w:vAlign w:val="center"/>
          </w:tcPr>
          <w:p>
            <w:pPr>
              <w:jc w:val="right"/>
              <w:rPr>
                <w:noProof/>
              </w:rPr>
            </w:pPr>
            <w:r>
              <w:rPr>
                <w:noProof/>
                <w:sz w:val="20"/>
              </w:rPr>
              <w:t>4,000</w:t>
            </w:r>
          </w:p>
        </w:tc>
        <w:tc>
          <w:tcPr>
            <w:tcW w:w="868" w:type="dxa"/>
            <w:vAlign w:val="center"/>
          </w:tcPr>
          <w:p>
            <w:pPr>
              <w:jc w:val="right"/>
              <w:rPr>
                <w:noProof/>
              </w:rPr>
            </w:pPr>
            <w:r>
              <w:rPr>
                <w:noProof/>
                <w:sz w:val="20"/>
              </w:rPr>
              <w:t>10,000</w:t>
            </w:r>
          </w:p>
        </w:tc>
        <w:tc>
          <w:tcPr>
            <w:tcW w:w="1075" w:type="dxa"/>
            <w:vAlign w:val="center"/>
          </w:tcPr>
          <w:p>
            <w:pPr>
              <w:jc w:val="right"/>
              <w:rPr>
                <w:noProof/>
              </w:rPr>
            </w:pPr>
            <w:r>
              <w:rPr>
                <w:noProof/>
                <w:sz w:val="20"/>
              </w:rPr>
              <w:t>10,000</w:t>
            </w:r>
          </w:p>
        </w:tc>
        <w:tc>
          <w:tcPr>
            <w:tcW w:w="1134" w:type="dxa"/>
            <w:vAlign w:val="center"/>
          </w:tcPr>
          <w:p>
            <w:pPr>
              <w:jc w:val="right"/>
              <w:rPr>
                <w:noProof/>
              </w:rPr>
            </w:pPr>
            <w:r>
              <w:rPr>
                <w:noProof/>
                <w:sz w:val="20"/>
              </w:rPr>
              <w:t>176,000</w:t>
            </w:r>
          </w:p>
        </w:tc>
        <w:tc>
          <w:tcPr>
            <w:tcW w:w="1777" w:type="dxa"/>
            <w:vAlign w:val="center"/>
          </w:tcPr>
          <w:p>
            <w:pPr>
              <w:jc w:val="right"/>
              <w:rPr>
                <w:b/>
                <w:noProof/>
              </w:rPr>
            </w:pPr>
            <w:r>
              <w:rPr>
                <w:b/>
                <w:noProof/>
                <w:sz w:val="20"/>
              </w:rPr>
              <w:t>200,000</w:t>
            </w:r>
          </w:p>
        </w:tc>
      </w:tr>
      <w:tr>
        <w:trPr>
          <w:trHeight w:val="533"/>
          <w:jc w:val="center"/>
        </w:trPr>
        <w:tc>
          <w:tcPr>
            <w:tcW w:w="5400" w:type="dxa"/>
            <w:gridSpan w:val="2"/>
            <w:vAlign w:val="center"/>
          </w:tcPr>
          <w:p>
            <w:pPr>
              <w:spacing w:beforeLines="20" w:before="48" w:afterLines="20" w:after="48"/>
              <w:rPr>
                <w:noProof/>
              </w:rPr>
            </w:pPr>
            <w:r>
              <w:rPr>
                <w:noProof/>
                <w:sz w:val="21"/>
              </w:rPr>
              <w:sym w:font="Wingdings" w:char="F09F"/>
            </w:r>
            <w:r>
              <w:rPr>
                <w:noProof/>
                <w:sz w:val="21"/>
              </w:rPr>
              <w:t xml:space="preserve"> ОБЩО бюджетни кредити за административни разходи, финансирани от пакета за определени програми (08 01 05)</w:t>
            </w:r>
          </w:p>
        </w:tc>
        <w:tc>
          <w:tcPr>
            <w:tcW w:w="654" w:type="dxa"/>
            <w:vAlign w:val="center"/>
          </w:tcPr>
          <w:p>
            <w:pPr>
              <w:spacing w:beforeLines="20" w:before="48" w:afterLines="20" w:after="48"/>
              <w:jc w:val="center"/>
              <w:rPr>
                <w:noProof/>
                <w:sz w:val="14"/>
              </w:rPr>
            </w:pPr>
            <w:r>
              <w:rPr>
                <w:noProof/>
                <w:sz w:val="14"/>
              </w:rPr>
              <w:t>(6)</w:t>
            </w:r>
          </w:p>
        </w:tc>
        <w:tc>
          <w:tcPr>
            <w:tcW w:w="868" w:type="dxa"/>
            <w:vAlign w:val="center"/>
          </w:tcPr>
          <w:p>
            <w:pPr>
              <w:spacing w:before="20" w:after="20"/>
              <w:jc w:val="right"/>
              <w:rPr>
                <w:b/>
                <w:noProof/>
                <w:sz w:val="20"/>
                <w:szCs w:val="20"/>
              </w:rPr>
            </w:pPr>
            <w:r>
              <w:rPr>
                <w:noProof/>
                <w:sz w:val="20"/>
              </w:rPr>
              <w:t>0,222</w:t>
            </w:r>
          </w:p>
        </w:tc>
        <w:tc>
          <w:tcPr>
            <w:tcW w:w="868" w:type="dxa"/>
            <w:vAlign w:val="center"/>
          </w:tcPr>
          <w:p>
            <w:pPr>
              <w:spacing w:before="20" w:after="20"/>
              <w:jc w:val="right"/>
              <w:rPr>
                <w:b/>
                <w:noProof/>
                <w:sz w:val="20"/>
                <w:szCs w:val="20"/>
              </w:rPr>
            </w:pPr>
            <w:r>
              <w:rPr>
                <w:noProof/>
                <w:sz w:val="20"/>
              </w:rPr>
              <w:t>0,226</w:t>
            </w:r>
          </w:p>
        </w:tc>
        <w:tc>
          <w:tcPr>
            <w:tcW w:w="1075" w:type="dxa"/>
            <w:vAlign w:val="center"/>
          </w:tcPr>
          <w:p>
            <w:pPr>
              <w:spacing w:before="20" w:after="20"/>
              <w:jc w:val="right"/>
              <w:rPr>
                <w:b/>
                <w:noProof/>
                <w:sz w:val="20"/>
                <w:szCs w:val="20"/>
              </w:rPr>
            </w:pPr>
            <w:r>
              <w:rPr>
                <w:noProof/>
                <w:sz w:val="20"/>
              </w:rPr>
              <w:t>0,230</w:t>
            </w:r>
          </w:p>
        </w:tc>
        <w:tc>
          <w:tcPr>
            <w:tcW w:w="1134" w:type="dxa"/>
            <w:vAlign w:val="center"/>
          </w:tcPr>
          <w:p>
            <w:pPr>
              <w:spacing w:before="20" w:after="20"/>
              <w:jc w:val="right"/>
              <w:rPr>
                <w:b/>
                <w:noProof/>
                <w:sz w:val="20"/>
                <w:szCs w:val="20"/>
              </w:rPr>
            </w:pPr>
          </w:p>
        </w:tc>
        <w:tc>
          <w:tcPr>
            <w:tcW w:w="1777" w:type="dxa"/>
            <w:vAlign w:val="center"/>
          </w:tcPr>
          <w:p>
            <w:pPr>
              <w:spacing w:before="20" w:after="20"/>
              <w:jc w:val="right"/>
              <w:rPr>
                <w:b/>
                <w:noProof/>
                <w:sz w:val="20"/>
                <w:szCs w:val="20"/>
              </w:rPr>
            </w:pPr>
            <w:r>
              <w:rPr>
                <w:b/>
                <w:noProof/>
                <w:sz w:val="20"/>
              </w:rPr>
              <w:t>0,678</w:t>
            </w:r>
          </w:p>
        </w:tc>
      </w:tr>
      <w:tr>
        <w:trPr>
          <w:jc w:val="center"/>
        </w:trPr>
        <w:tc>
          <w:tcPr>
            <w:tcW w:w="3960" w:type="dxa"/>
            <w:vMerge w:val="restart"/>
            <w:shd w:val="thinDiagStripe" w:color="C0C0C0" w:fill="auto"/>
            <w:vAlign w:val="center"/>
          </w:tcPr>
          <w:p>
            <w:pPr>
              <w:jc w:val="center"/>
              <w:rPr>
                <w:b/>
                <w:noProof/>
              </w:rPr>
            </w:pPr>
            <w:r>
              <w:rPr>
                <w:b/>
                <w:noProof/>
                <w:sz w:val="22"/>
              </w:rPr>
              <w:t xml:space="preserve">ОБЩО бюджетни кредити </w:t>
            </w:r>
            <w:r>
              <w:rPr>
                <w:noProof/>
                <w:sz w:val="22"/>
              </w:rPr>
              <w:br/>
            </w:r>
            <w:r>
              <w:rPr>
                <w:b/>
                <w:noProof/>
                <w:sz w:val="22"/>
              </w:rPr>
              <w:t>за ФУНКЦИЯ 1а</w:t>
            </w:r>
            <w:r>
              <w:rPr>
                <w:noProof/>
                <w:sz w:val="22"/>
              </w:rPr>
              <w:br/>
              <w:t>от многогодишната финансова рамка</w:t>
            </w:r>
          </w:p>
        </w:tc>
        <w:tc>
          <w:tcPr>
            <w:tcW w:w="1440" w:type="dxa"/>
            <w:vAlign w:val="center"/>
          </w:tcPr>
          <w:p>
            <w:pPr>
              <w:rPr>
                <w:noProof/>
                <w:sz w:val="18"/>
              </w:rPr>
            </w:pPr>
            <w:r>
              <w:rPr>
                <w:noProof/>
                <w:sz w:val="18"/>
              </w:rPr>
              <w:t>Поети задължения</w:t>
            </w:r>
          </w:p>
        </w:tc>
        <w:tc>
          <w:tcPr>
            <w:tcW w:w="654" w:type="dxa"/>
            <w:vAlign w:val="center"/>
          </w:tcPr>
          <w:p>
            <w:pPr>
              <w:jc w:val="center"/>
              <w:rPr>
                <w:noProof/>
                <w:sz w:val="14"/>
              </w:rPr>
            </w:pPr>
            <w:r>
              <w:rPr>
                <w:noProof/>
                <w:sz w:val="14"/>
              </w:rPr>
              <w:t>=4+ 6</w:t>
            </w:r>
          </w:p>
        </w:tc>
        <w:tc>
          <w:tcPr>
            <w:tcW w:w="868" w:type="dxa"/>
            <w:vAlign w:val="center"/>
          </w:tcPr>
          <w:p>
            <w:pPr>
              <w:spacing w:before="20" w:after="20"/>
              <w:jc w:val="right"/>
              <w:rPr>
                <w:noProof/>
                <w:sz w:val="20"/>
              </w:rPr>
            </w:pPr>
            <w:r>
              <w:rPr>
                <w:noProof/>
                <w:sz w:val="20"/>
              </w:rPr>
              <w:t>20,222</w:t>
            </w:r>
          </w:p>
        </w:tc>
        <w:tc>
          <w:tcPr>
            <w:tcW w:w="868" w:type="dxa"/>
            <w:vAlign w:val="center"/>
          </w:tcPr>
          <w:p>
            <w:pPr>
              <w:spacing w:before="20" w:after="20"/>
              <w:jc w:val="right"/>
              <w:rPr>
                <w:noProof/>
                <w:sz w:val="20"/>
              </w:rPr>
            </w:pPr>
            <w:r>
              <w:rPr>
                <w:noProof/>
                <w:sz w:val="20"/>
              </w:rPr>
              <w:t>20,226</w:t>
            </w:r>
          </w:p>
        </w:tc>
        <w:tc>
          <w:tcPr>
            <w:tcW w:w="1075" w:type="dxa"/>
            <w:vAlign w:val="center"/>
          </w:tcPr>
          <w:p>
            <w:pPr>
              <w:spacing w:before="20" w:after="20"/>
              <w:jc w:val="right"/>
              <w:rPr>
                <w:noProof/>
                <w:sz w:val="20"/>
              </w:rPr>
            </w:pPr>
            <w:r>
              <w:rPr>
                <w:noProof/>
                <w:sz w:val="20"/>
              </w:rPr>
              <w:t>160,230</w:t>
            </w:r>
          </w:p>
        </w:tc>
        <w:tc>
          <w:tcPr>
            <w:tcW w:w="1134" w:type="dxa"/>
            <w:vAlign w:val="center"/>
          </w:tcPr>
          <w:p>
            <w:pPr>
              <w:spacing w:before="20" w:after="20"/>
              <w:jc w:val="right"/>
              <w:rPr>
                <w:noProof/>
                <w:sz w:val="20"/>
              </w:rPr>
            </w:pPr>
          </w:p>
        </w:tc>
        <w:tc>
          <w:tcPr>
            <w:tcW w:w="1777" w:type="dxa"/>
            <w:vAlign w:val="center"/>
          </w:tcPr>
          <w:p>
            <w:pPr>
              <w:spacing w:before="20" w:after="20"/>
              <w:jc w:val="right"/>
              <w:rPr>
                <w:b/>
                <w:noProof/>
                <w:sz w:val="20"/>
              </w:rPr>
            </w:pPr>
            <w:r>
              <w:rPr>
                <w:b/>
                <w:noProof/>
                <w:sz w:val="20"/>
              </w:rPr>
              <w:t>200,678</w:t>
            </w:r>
          </w:p>
        </w:tc>
      </w:tr>
      <w:tr>
        <w:trPr>
          <w:jc w:val="center"/>
        </w:trPr>
        <w:tc>
          <w:tcPr>
            <w:tcW w:w="3960" w:type="dxa"/>
            <w:vMerge/>
            <w:shd w:val="thinDiagStripe" w:color="C0C0C0" w:fill="auto"/>
          </w:tcPr>
          <w:p>
            <w:pPr>
              <w:rPr>
                <w:noProof/>
              </w:rPr>
            </w:pPr>
          </w:p>
        </w:tc>
        <w:tc>
          <w:tcPr>
            <w:tcW w:w="1440" w:type="dxa"/>
            <w:vAlign w:val="center"/>
          </w:tcPr>
          <w:p>
            <w:pPr>
              <w:rPr>
                <w:noProof/>
              </w:rPr>
            </w:pPr>
            <w:r>
              <w:rPr>
                <w:noProof/>
                <w:sz w:val="18"/>
              </w:rPr>
              <w:t>Плащания</w:t>
            </w:r>
          </w:p>
        </w:tc>
        <w:tc>
          <w:tcPr>
            <w:tcW w:w="654" w:type="dxa"/>
            <w:vAlign w:val="center"/>
          </w:tcPr>
          <w:p>
            <w:pPr>
              <w:rPr>
                <w:noProof/>
              </w:rPr>
            </w:pPr>
            <w:r>
              <w:rPr>
                <w:noProof/>
                <w:sz w:val="14"/>
              </w:rPr>
              <w:t>=5+ 6</w:t>
            </w:r>
          </w:p>
        </w:tc>
        <w:tc>
          <w:tcPr>
            <w:tcW w:w="868" w:type="dxa"/>
            <w:vAlign w:val="center"/>
          </w:tcPr>
          <w:p>
            <w:pPr>
              <w:jc w:val="right"/>
              <w:rPr>
                <w:noProof/>
              </w:rPr>
            </w:pPr>
            <w:r>
              <w:rPr>
                <w:noProof/>
                <w:sz w:val="20"/>
              </w:rPr>
              <w:t>4,222</w:t>
            </w:r>
          </w:p>
        </w:tc>
        <w:tc>
          <w:tcPr>
            <w:tcW w:w="868" w:type="dxa"/>
            <w:vAlign w:val="center"/>
          </w:tcPr>
          <w:p>
            <w:pPr>
              <w:jc w:val="right"/>
              <w:rPr>
                <w:noProof/>
              </w:rPr>
            </w:pPr>
            <w:r>
              <w:rPr>
                <w:noProof/>
                <w:sz w:val="20"/>
              </w:rPr>
              <w:t>10,226</w:t>
            </w:r>
          </w:p>
        </w:tc>
        <w:tc>
          <w:tcPr>
            <w:tcW w:w="1075" w:type="dxa"/>
            <w:vAlign w:val="center"/>
          </w:tcPr>
          <w:p>
            <w:pPr>
              <w:jc w:val="right"/>
              <w:rPr>
                <w:noProof/>
              </w:rPr>
            </w:pPr>
            <w:r>
              <w:rPr>
                <w:noProof/>
                <w:sz w:val="20"/>
              </w:rPr>
              <w:t>10,230</w:t>
            </w:r>
          </w:p>
        </w:tc>
        <w:tc>
          <w:tcPr>
            <w:tcW w:w="1134" w:type="dxa"/>
            <w:vAlign w:val="center"/>
          </w:tcPr>
          <w:p>
            <w:pPr>
              <w:jc w:val="right"/>
              <w:rPr>
                <w:noProof/>
              </w:rPr>
            </w:pPr>
            <w:r>
              <w:rPr>
                <w:noProof/>
                <w:sz w:val="20"/>
              </w:rPr>
              <w:t>176,000</w:t>
            </w:r>
          </w:p>
        </w:tc>
        <w:tc>
          <w:tcPr>
            <w:tcW w:w="1777" w:type="dxa"/>
            <w:vAlign w:val="center"/>
          </w:tcPr>
          <w:p>
            <w:pPr>
              <w:jc w:val="right"/>
              <w:rPr>
                <w:b/>
                <w:noProof/>
              </w:rPr>
            </w:pPr>
            <w:r>
              <w:rPr>
                <w:b/>
                <w:noProof/>
                <w:sz w:val="20"/>
              </w:rPr>
              <w:t>200,678</w:t>
            </w:r>
          </w:p>
        </w:tc>
      </w:tr>
    </w:tbl>
    <w:p>
      <w:pPr>
        <w:rPr>
          <w:b/>
          <w:noProof/>
          <w:u w:val="single"/>
        </w:rPr>
      </w:pPr>
    </w:p>
    <w:p>
      <w:pPr>
        <w:rPr>
          <w:noProof/>
        </w:rPr>
      </w:pPr>
      <w:r>
        <w:rPr>
          <w:noProof/>
        </w:rPr>
        <w:br w:type="page"/>
      </w:r>
    </w:p>
    <w:tbl>
      <w:tblPr>
        <w:tblW w:w="0" w:type="auto"/>
        <w:jc w:val="center"/>
        <w:tblInd w:w="-2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trPr>
          <w:jc w:val="center"/>
        </w:trPr>
        <w:tc>
          <w:tcPr>
            <w:tcW w:w="4744" w:type="dxa"/>
            <w:shd w:val="thinDiagStripe" w:color="C0C0C0" w:fill="auto"/>
            <w:vAlign w:val="center"/>
          </w:tcPr>
          <w:p>
            <w:pPr>
              <w:spacing w:before="60" w:after="60"/>
              <w:jc w:val="center"/>
              <w:rPr>
                <w:b/>
                <w:noProof/>
                <w:sz w:val="22"/>
              </w:rPr>
            </w:pPr>
            <w:r>
              <w:rPr>
                <w:noProof/>
              </w:rPr>
              <w:br w:type="page"/>
            </w:r>
            <w:r>
              <w:rPr>
                <w:b/>
                <w:noProof/>
                <w:sz w:val="22"/>
              </w:rPr>
              <w:t xml:space="preserve">Функция от многогодишната финансова </w:t>
            </w:r>
            <w:r>
              <w:rPr>
                <w:noProof/>
                <w:sz w:val="22"/>
              </w:rPr>
              <w:br/>
            </w:r>
            <w:r>
              <w:rPr>
                <w:b/>
                <w:noProof/>
                <w:sz w:val="22"/>
              </w:rPr>
              <w:t xml:space="preserve">рамка </w:t>
            </w:r>
          </w:p>
        </w:tc>
        <w:tc>
          <w:tcPr>
            <w:tcW w:w="1080" w:type="dxa"/>
            <w:shd w:val="thinDiagStripe" w:color="C0C0C0" w:fill="auto"/>
            <w:vAlign w:val="center"/>
          </w:tcPr>
          <w:p>
            <w:pPr>
              <w:spacing w:before="60" w:after="60"/>
              <w:jc w:val="center"/>
              <w:rPr>
                <w:noProof/>
                <w:sz w:val="22"/>
              </w:rPr>
            </w:pPr>
            <w:r>
              <w:rPr>
                <w:b/>
                <w:noProof/>
                <w:sz w:val="22"/>
              </w:rPr>
              <w:t>5</w:t>
            </w:r>
          </w:p>
        </w:tc>
        <w:tc>
          <w:tcPr>
            <w:tcW w:w="7817" w:type="dxa"/>
            <w:vAlign w:val="center"/>
          </w:tcPr>
          <w:p>
            <w:pPr>
              <w:spacing w:before="60" w:after="60"/>
              <w:rPr>
                <w:noProof/>
                <w:sz w:val="22"/>
              </w:rPr>
            </w:pPr>
            <w:r>
              <w:rPr>
                <w:noProof/>
                <w:sz w:val="22"/>
              </w:rPr>
              <w:t>„Административни разходи“</w:t>
            </w:r>
          </w:p>
        </w:tc>
      </w:tr>
    </w:tbl>
    <w:p>
      <w:pPr>
        <w:jc w:val="right"/>
        <w:rPr>
          <w:noProof/>
          <w:sz w:val="20"/>
        </w:rPr>
      </w:pPr>
      <w:r>
        <w:rPr>
          <w:noProof/>
          <w:sz w:val="20"/>
        </w:rPr>
        <w:t>млн. EUR (до третия знак след десетичната запетая)</w:t>
      </w:r>
    </w:p>
    <w:tbl>
      <w:tblPr>
        <w:tblW w:w="0" w:type="auto"/>
        <w:jc w:val="center"/>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560"/>
        <w:gridCol w:w="534"/>
        <w:gridCol w:w="868"/>
        <w:gridCol w:w="868"/>
        <w:gridCol w:w="868"/>
        <w:gridCol w:w="1200"/>
        <w:gridCol w:w="1445"/>
      </w:tblGrid>
      <w:tr>
        <w:trPr>
          <w:jc w:val="center"/>
        </w:trPr>
        <w:tc>
          <w:tcPr>
            <w:tcW w:w="3960" w:type="dxa"/>
            <w:tcBorders>
              <w:top w:val="nil"/>
              <w:left w:val="nil"/>
              <w:right w:val="nil"/>
            </w:tcBorders>
            <w:vAlign w:val="center"/>
          </w:tcPr>
          <w:p>
            <w:pPr>
              <w:rPr>
                <w:noProof/>
                <w:sz w:val="20"/>
              </w:rPr>
            </w:pPr>
          </w:p>
        </w:tc>
        <w:tc>
          <w:tcPr>
            <w:tcW w:w="1560" w:type="dxa"/>
            <w:tcBorders>
              <w:top w:val="nil"/>
              <w:left w:val="nil"/>
              <w:right w:val="nil"/>
            </w:tcBorders>
          </w:tcPr>
          <w:p>
            <w:pPr>
              <w:rPr>
                <w:noProof/>
                <w:sz w:val="20"/>
              </w:rPr>
            </w:pPr>
          </w:p>
        </w:tc>
        <w:tc>
          <w:tcPr>
            <w:tcW w:w="534" w:type="dxa"/>
            <w:tcBorders>
              <w:top w:val="nil"/>
              <w:left w:val="nil"/>
            </w:tcBorders>
          </w:tcPr>
          <w:p>
            <w:pPr>
              <w:rPr>
                <w:noProof/>
                <w:sz w:val="20"/>
              </w:rPr>
            </w:pPr>
          </w:p>
        </w:tc>
        <w:tc>
          <w:tcPr>
            <w:tcW w:w="868" w:type="dxa"/>
            <w:vAlign w:val="center"/>
          </w:tcPr>
          <w:p>
            <w:pPr>
              <w:rPr>
                <w:noProof/>
                <w:sz w:val="20"/>
              </w:rPr>
            </w:pPr>
            <w:r>
              <w:rPr>
                <w:noProof/>
                <w:sz w:val="20"/>
              </w:rPr>
              <w:t>Година</w:t>
            </w:r>
            <w:r>
              <w:rPr>
                <w:noProof/>
                <w:sz w:val="20"/>
              </w:rPr>
              <w:br/>
            </w:r>
            <w:r>
              <w:rPr>
                <w:b/>
                <w:noProof/>
                <w:sz w:val="20"/>
              </w:rPr>
              <w:t>2018</w:t>
            </w:r>
          </w:p>
        </w:tc>
        <w:tc>
          <w:tcPr>
            <w:tcW w:w="868" w:type="dxa"/>
            <w:vAlign w:val="center"/>
          </w:tcPr>
          <w:p>
            <w:pPr>
              <w:rPr>
                <w:noProof/>
                <w:sz w:val="20"/>
              </w:rPr>
            </w:pPr>
            <w:r>
              <w:rPr>
                <w:noProof/>
                <w:sz w:val="20"/>
              </w:rPr>
              <w:t>Година</w:t>
            </w:r>
            <w:r>
              <w:rPr>
                <w:noProof/>
                <w:sz w:val="20"/>
              </w:rPr>
              <w:br/>
            </w:r>
            <w:r>
              <w:rPr>
                <w:b/>
                <w:noProof/>
                <w:sz w:val="20"/>
              </w:rPr>
              <w:t>2019</w:t>
            </w:r>
          </w:p>
        </w:tc>
        <w:tc>
          <w:tcPr>
            <w:tcW w:w="868" w:type="dxa"/>
            <w:vAlign w:val="center"/>
          </w:tcPr>
          <w:p>
            <w:pPr>
              <w:rPr>
                <w:noProof/>
                <w:sz w:val="20"/>
              </w:rPr>
            </w:pPr>
            <w:r>
              <w:rPr>
                <w:noProof/>
                <w:sz w:val="20"/>
              </w:rPr>
              <w:t>Година</w:t>
            </w:r>
            <w:r>
              <w:rPr>
                <w:noProof/>
                <w:sz w:val="20"/>
              </w:rPr>
              <w:br/>
            </w:r>
            <w:r>
              <w:rPr>
                <w:b/>
                <w:noProof/>
                <w:sz w:val="20"/>
              </w:rPr>
              <w:t>2020</w:t>
            </w:r>
          </w:p>
        </w:tc>
        <w:tc>
          <w:tcPr>
            <w:tcW w:w="1200" w:type="dxa"/>
            <w:vAlign w:val="center"/>
          </w:tcPr>
          <w:p>
            <w:pPr>
              <w:rPr>
                <w:noProof/>
                <w:sz w:val="20"/>
              </w:rPr>
            </w:pPr>
            <w:r>
              <w:rPr>
                <w:noProof/>
                <w:sz w:val="20"/>
              </w:rPr>
              <w:t>Година</w:t>
            </w:r>
            <w:r>
              <w:rPr>
                <w:noProof/>
                <w:sz w:val="20"/>
              </w:rPr>
              <w:br/>
            </w:r>
            <w:r>
              <w:rPr>
                <w:b/>
                <w:noProof/>
                <w:sz w:val="20"/>
              </w:rPr>
              <w:t>2021 – 2029</w:t>
            </w:r>
          </w:p>
        </w:tc>
        <w:tc>
          <w:tcPr>
            <w:tcW w:w="1445" w:type="dxa"/>
            <w:vAlign w:val="center"/>
          </w:tcPr>
          <w:p>
            <w:pPr>
              <w:rPr>
                <w:b/>
                <w:noProof/>
                <w:sz w:val="20"/>
              </w:rPr>
            </w:pPr>
            <w:r>
              <w:rPr>
                <w:b/>
                <w:noProof/>
                <w:sz w:val="20"/>
              </w:rPr>
              <w:t>ОБЩО</w:t>
            </w:r>
          </w:p>
        </w:tc>
      </w:tr>
      <w:tr>
        <w:trPr>
          <w:gridAfter w:val="7"/>
          <w:wAfter w:w="7343" w:type="dxa"/>
          <w:jc w:val="center"/>
        </w:trPr>
        <w:tc>
          <w:tcPr>
            <w:tcW w:w="3960" w:type="dxa"/>
            <w:vAlign w:val="center"/>
          </w:tcPr>
          <w:p>
            <w:pPr>
              <w:rPr>
                <w:noProof/>
                <w:sz w:val="20"/>
              </w:rPr>
            </w:pPr>
            <w:r>
              <w:rPr>
                <w:noProof/>
                <w:sz w:val="20"/>
              </w:rPr>
              <w:t>ГД: „Научни изследвания и иновации“</w:t>
            </w:r>
          </w:p>
        </w:tc>
      </w:tr>
      <w:tr>
        <w:trPr>
          <w:trHeight w:val="313"/>
          <w:jc w:val="center"/>
        </w:trPr>
        <w:tc>
          <w:tcPr>
            <w:tcW w:w="6054" w:type="dxa"/>
            <w:gridSpan w:val="3"/>
            <w:vAlign w:val="center"/>
          </w:tcPr>
          <w:p>
            <w:pPr>
              <w:rPr>
                <w:noProof/>
                <w:sz w:val="20"/>
              </w:rPr>
            </w:pPr>
            <w:r>
              <w:rPr>
                <w:noProof/>
                <w:sz w:val="20"/>
              </w:rPr>
              <w:sym w:font="Wingdings" w:char="F09F"/>
            </w:r>
            <w:r>
              <w:rPr>
                <w:noProof/>
                <w:sz w:val="20"/>
              </w:rPr>
              <w:t xml:space="preserve"> Човешки ресурси </w:t>
            </w:r>
          </w:p>
        </w:tc>
        <w:tc>
          <w:tcPr>
            <w:tcW w:w="868" w:type="dxa"/>
            <w:vAlign w:val="center"/>
          </w:tcPr>
          <w:p>
            <w:pPr>
              <w:rPr>
                <w:noProof/>
                <w:sz w:val="20"/>
              </w:rPr>
            </w:pPr>
            <w:r>
              <w:rPr>
                <w:noProof/>
                <w:sz w:val="20"/>
              </w:rPr>
              <w:t>0,204</w:t>
            </w:r>
          </w:p>
        </w:tc>
        <w:tc>
          <w:tcPr>
            <w:tcW w:w="868" w:type="dxa"/>
            <w:vAlign w:val="center"/>
          </w:tcPr>
          <w:p>
            <w:pPr>
              <w:rPr>
                <w:noProof/>
                <w:sz w:val="20"/>
              </w:rPr>
            </w:pPr>
            <w:r>
              <w:rPr>
                <w:noProof/>
                <w:sz w:val="20"/>
              </w:rPr>
              <w:t>0,208</w:t>
            </w:r>
          </w:p>
        </w:tc>
        <w:tc>
          <w:tcPr>
            <w:tcW w:w="868" w:type="dxa"/>
            <w:vAlign w:val="center"/>
          </w:tcPr>
          <w:p>
            <w:pPr>
              <w:rPr>
                <w:noProof/>
                <w:sz w:val="20"/>
              </w:rPr>
            </w:pPr>
            <w:r>
              <w:rPr>
                <w:noProof/>
                <w:sz w:val="20"/>
              </w:rPr>
              <w:t>0,212</w:t>
            </w:r>
          </w:p>
        </w:tc>
        <w:tc>
          <w:tcPr>
            <w:tcW w:w="1200" w:type="dxa"/>
            <w:vAlign w:val="center"/>
          </w:tcPr>
          <w:p>
            <w:pPr>
              <w:rPr>
                <w:noProof/>
                <w:sz w:val="20"/>
              </w:rPr>
            </w:pPr>
          </w:p>
        </w:tc>
        <w:tc>
          <w:tcPr>
            <w:tcW w:w="1445" w:type="dxa"/>
            <w:vAlign w:val="center"/>
          </w:tcPr>
          <w:p>
            <w:pPr>
              <w:rPr>
                <w:b/>
                <w:noProof/>
                <w:sz w:val="20"/>
              </w:rPr>
            </w:pPr>
            <w:r>
              <w:rPr>
                <w:b/>
                <w:noProof/>
                <w:sz w:val="20"/>
              </w:rPr>
              <w:t>0,624</w:t>
            </w:r>
          </w:p>
        </w:tc>
      </w:tr>
      <w:tr>
        <w:trPr>
          <w:trHeight w:val="351"/>
          <w:jc w:val="center"/>
        </w:trPr>
        <w:tc>
          <w:tcPr>
            <w:tcW w:w="6054" w:type="dxa"/>
            <w:gridSpan w:val="3"/>
            <w:vAlign w:val="center"/>
          </w:tcPr>
          <w:p>
            <w:pPr>
              <w:rPr>
                <w:noProof/>
                <w:sz w:val="20"/>
              </w:rPr>
            </w:pPr>
            <w:r>
              <w:rPr>
                <w:noProof/>
                <w:sz w:val="20"/>
              </w:rPr>
              <w:sym w:font="Wingdings" w:char="F09F"/>
            </w:r>
            <w:r>
              <w:rPr>
                <w:noProof/>
                <w:sz w:val="20"/>
              </w:rPr>
              <w:t xml:space="preserve"> Други административни разходи </w:t>
            </w:r>
          </w:p>
        </w:tc>
        <w:tc>
          <w:tcPr>
            <w:tcW w:w="868" w:type="dxa"/>
            <w:vAlign w:val="center"/>
          </w:tcPr>
          <w:p>
            <w:pPr>
              <w:rPr>
                <w:b/>
                <w:noProof/>
                <w:sz w:val="20"/>
              </w:rPr>
            </w:pPr>
            <w:r>
              <w:rPr>
                <w:noProof/>
                <w:sz w:val="20"/>
              </w:rPr>
              <w:t>0,018</w:t>
            </w:r>
          </w:p>
        </w:tc>
        <w:tc>
          <w:tcPr>
            <w:tcW w:w="868" w:type="dxa"/>
            <w:vAlign w:val="center"/>
          </w:tcPr>
          <w:p>
            <w:pPr>
              <w:rPr>
                <w:b/>
                <w:noProof/>
                <w:sz w:val="20"/>
              </w:rPr>
            </w:pPr>
            <w:r>
              <w:rPr>
                <w:noProof/>
                <w:sz w:val="20"/>
              </w:rPr>
              <w:t>0,018</w:t>
            </w:r>
          </w:p>
        </w:tc>
        <w:tc>
          <w:tcPr>
            <w:tcW w:w="868" w:type="dxa"/>
            <w:vAlign w:val="center"/>
          </w:tcPr>
          <w:p>
            <w:pPr>
              <w:rPr>
                <w:b/>
                <w:noProof/>
                <w:sz w:val="20"/>
              </w:rPr>
            </w:pPr>
            <w:r>
              <w:rPr>
                <w:noProof/>
                <w:sz w:val="20"/>
              </w:rPr>
              <w:t>0, 018</w:t>
            </w:r>
          </w:p>
        </w:tc>
        <w:tc>
          <w:tcPr>
            <w:tcW w:w="1200" w:type="dxa"/>
            <w:vAlign w:val="center"/>
          </w:tcPr>
          <w:p>
            <w:pPr>
              <w:rPr>
                <w:b/>
                <w:noProof/>
                <w:sz w:val="20"/>
              </w:rPr>
            </w:pPr>
          </w:p>
        </w:tc>
        <w:tc>
          <w:tcPr>
            <w:tcW w:w="1445" w:type="dxa"/>
            <w:vAlign w:val="center"/>
          </w:tcPr>
          <w:p>
            <w:pPr>
              <w:rPr>
                <w:b/>
                <w:noProof/>
                <w:sz w:val="20"/>
              </w:rPr>
            </w:pPr>
            <w:r>
              <w:rPr>
                <w:b/>
                <w:noProof/>
                <w:sz w:val="20"/>
              </w:rPr>
              <w:t>0,054</w:t>
            </w:r>
          </w:p>
        </w:tc>
      </w:tr>
      <w:tr>
        <w:trPr>
          <w:jc w:val="center"/>
        </w:trPr>
        <w:tc>
          <w:tcPr>
            <w:tcW w:w="3960" w:type="dxa"/>
            <w:vAlign w:val="center"/>
          </w:tcPr>
          <w:p>
            <w:pPr>
              <w:rPr>
                <w:b/>
                <w:noProof/>
                <w:sz w:val="20"/>
              </w:rPr>
            </w:pPr>
            <w:r>
              <w:rPr>
                <w:b/>
                <w:noProof/>
                <w:sz w:val="20"/>
              </w:rPr>
              <w:t>ОБЩО ГД „Научни изследвания и иновации“</w:t>
            </w:r>
          </w:p>
        </w:tc>
        <w:tc>
          <w:tcPr>
            <w:tcW w:w="2094" w:type="dxa"/>
            <w:gridSpan w:val="2"/>
            <w:vAlign w:val="center"/>
          </w:tcPr>
          <w:p>
            <w:pPr>
              <w:rPr>
                <w:noProof/>
                <w:sz w:val="20"/>
              </w:rPr>
            </w:pPr>
            <w:r>
              <w:rPr>
                <w:noProof/>
                <w:sz w:val="20"/>
              </w:rPr>
              <w:t xml:space="preserve">Бюджетни кредити </w:t>
            </w:r>
          </w:p>
        </w:tc>
        <w:tc>
          <w:tcPr>
            <w:tcW w:w="868" w:type="dxa"/>
            <w:vAlign w:val="center"/>
          </w:tcPr>
          <w:p>
            <w:pPr>
              <w:rPr>
                <w:noProof/>
                <w:sz w:val="20"/>
              </w:rPr>
            </w:pPr>
            <w:r>
              <w:rPr>
                <w:noProof/>
                <w:sz w:val="20"/>
              </w:rPr>
              <w:t>0,222</w:t>
            </w:r>
          </w:p>
        </w:tc>
        <w:tc>
          <w:tcPr>
            <w:tcW w:w="868" w:type="dxa"/>
            <w:vAlign w:val="center"/>
          </w:tcPr>
          <w:p>
            <w:pPr>
              <w:rPr>
                <w:noProof/>
                <w:sz w:val="20"/>
              </w:rPr>
            </w:pPr>
            <w:r>
              <w:rPr>
                <w:noProof/>
                <w:sz w:val="20"/>
              </w:rPr>
              <w:t>0,226</w:t>
            </w:r>
          </w:p>
        </w:tc>
        <w:tc>
          <w:tcPr>
            <w:tcW w:w="868" w:type="dxa"/>
            <w:vAlign w:val="center"/>
          </w:tcPr>
          <w:p>
            <w:pPr>
              <w:rPr>
                <w:noProof/>
                <w:sz w:val="20"/>
              </w:rPr>
            </w:pPr>
            <w:r>
              <w:rPr>
                <w:noProof/>
                <w:sz w:val="20"/>
              </w:rPr>
              <w:t>0,230</w:t>
            </w:r>
          </w:p>
        </w:tc>
        <w:tc>
          <w:tcPr>
            <w:tcW w:w="1200" w:type="dxa"/>
            <w:vAlign w:val="center"/>
          </w:tcPr>
          <w:p>
            <w:pPr>
              <w:rPr>
                <w:noProof/>
                <w:sz w:val="20"/>
              </w:rPr>
            </w:pPr>
          </w:p>
        </w:tc>
        <w:tc>
          <w:tcPr>
            <w:tcW w:w="1445" w:type="dxa"/>
            <w:vAlign w:val="center"/>
          </w:tcPr>
          <w:p>
            <w:pPr>
              <w:rPr>
                <w:b/>
                <w:noProof/>
                <w:sz w:val="20"/>
              </w:rPr>
            </w:pPr>
            <w:r>
              <w:rPr>
                <w:b/>
                <w:noProof/>
                <w:sz w:val="20"/>
              </w:rPr>
              <w:t>0,678</w:t>
            </w:r>
          </w:p>
        </w:tc>
      </w:tr>
    </w:tbl>
    <w:p>
      <w:pPr>
        <w:rPr>
          <w:noProof/>
          <w:sz w:val="20"/>
        </w:rPr>
      </w:pPr>
    </w:p>
    <w:tbl>
      <w:tblPr>
        <w:tblW w:w="0" w:type="auto"/>
        <w:jc w:val="center"/>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2094"/>
        <w:gridCol w:w="868"/>
        <w:gridCol w:w="868"/>
        <w:gridCol w:w="868"/>
        <w:gridCol w:w="1200"/>
        <w:gridCol w:w="1445"/>
      </w:tblGrid>
      <w:tr>
        <w:trPr>
          <w:jc w:val="center"/>
        </w:trPr>
        <w:tc>
          <w:tcPr>
            <w:tcW w:w="3960" w:type="dxa"/>
            <w:shd w:val="thinDiagStripe" w:color="C0C0C0" w:fill="auto"/>
            <w:vAlign w:val="center"/>
          </w:tcPr>
          <w:p>
            <w:pPr>
              <w:rPr>
                <w:b/>
                <w:noProof/>
                <w:sz w:val="20"/>
              </w:rPr>
            </w:pPr>
            <w:r>
              <w:rPr>
                <w:b/>
                <w:noProof/>
                <w:sz w:val="20"/>
              </w:rPr>
              <w:t xml:space="preserve">ОБЩО бюджетни кредити </w:t>
            </w:r>
            <w:r>
              <w:rPr>
                <w:noProof/>
                <w:sz w:val="20"/>
              </w:rPr>
              <w:br/>
            </w:r>
            <w:r>
              <w:rPr>
                <w:b/>
                <w:noProof/>
                <w:sz w:val="20"/>
              </w:rPr>
              <w:t>за ФУНКЦИЯ 1A „Административни разходи“</w:t>
            </w:r>
            <w:r>
              <w:rPr>
                <w:noProof/>
                <w:sz w:val="20"/>
              </w:rPr>
              <w:br/>
              <w:t>от многогодишната финансова рамка</w:t>
            </w:r>
            <w:r>
              <w:rPr>
                <w:b/>
                <w:noProof/>
                <w:sz w:val="20"/>
              </w:rPr>
              <w:t xml:space="preserve"> </w:t>
            </w:r>
          </w:p>
        </w:tc>
        <w:tc>
          <w:tcPr>
            <w:tcW w:w="2094" w:type="dxa"/>
            <w:vAlign w:val="center"/>
          </w:tcPr>
          <w:p>
            <w:pPr>
              <w:rPr>
                <w:noProof/>
                <w:sz w:val="20"/>
              </w:rPr>
            </w:pPr>
            <w:r>
              <w:rPr>
                <w:noProof/>
                <w:sz w:val="20"/>
              </w:rPr>
              <w:t>(Общо поети задължения = общо плащания)</w:t>
            </w:r>
          </w:p>
        </w:tc>
        <w:tc>
          <w:tcPr>
            <w:tcW w:w="868" w:type="dxa"/>
            <w:vAlign w:val="center"/>
          </w:tcPr>
          <w:p>
            <w:pPr>
              <w:rPr>
                <w:noProof/>
                <w:sz w:val="20"/>
              </w:rPr>
            </w:pPr>
            <w:r>
              <w:rPr>
                <w:noProof/>
                <w:sz w:val="20"/>
              </w:rPr>
              <w:t>0,222</w:t>
            </w:r>
          </w:p>
        </w:tc>
        <w:tc>
          <w:tcPr>
            <w:tcW w:w="868" w:type="dxa"/>
            <w:vAlign w:val="center"/>
          </w:tcPr>
          <w:p>
            <w:pPr>
              <w:rPr>
                <w:noProof/>
                <w:sz w:val="20"/>
              </w:rPr>
            </w:pPr>
            <w:r>
              <w:rPr>
                <w:noProof/>
                <w:sz w:val="20"/>
              </w:rPr>
              <w:t>0,226</w:t>
            </w:r>
          </w:p>
        </w:tc>
        <w:tc>
          <w:tcPr>
            <w:tcW w:w="868" w:type="dxa"/>
            <w:vAlign w:val="center"/>
          </w:tcPr>
          <w:p>
            <w:pPr>
              <w:rPr>
                <w:noProof/>
                <w:sz w:val="20"/>
              </w:rPr>
            </w:pPr>
            <w:r>
              <w:rPr>
                <w:noProof/>
                <w:sz w:val="20"/>
              </w:rPr>
              <w:t>0,230</w:t>
            </w:r>
          </w:p>
        </w:tc>
        <w:tc>
          <w:tcPr>
            <w:tcW w:w="1200" w:type="dxa"/>
            <w:vAlign w:val="center"/>
          </w:tcPr>
          <w:p>
            <w:pPr>
              <w:rPr>
                <w:noProof/>
                <w:sz w:val="20"/>
              </w:rPr>
            </w:pPr>
          </w:p>
        </w:tc>
        <w:tc>
          <w:tcPr>
            <w:tcW w:w="1445" w:type="dxa"/>
            <w:vAlign w:val="center"/>
          </w:tcPr>
          <w:p>
            <w:pPr>
              <w:rPr>
                <w:b/>
                <w:noProof/>
                <w:sz w:val="20"/>
              </w:rPr>
            </w:pPr>
            <w:r>
              <w:rPr>
                <w:b/>
                <w:noProof/>
                <w:sz w:val="20"/>
              </w:rPr>
              <w:t>0,678</w:t>
            </w:r>
          </w:p>
        </w:tc>
      </w:tr>
    </w:tbl>
    <w:p>
      <w:pPr>
        <w:rPr>
          <w:noProof/>
          <w:sz w:val="20"/>
        </w:rPr>
      </w:pPr>
      <w:r>
        <w:rPr>
          <w:noProof/>
          <w:sz w:val="20"/>
        </w:rPr>
        <w:t xml:space="preserve">                                                                                           млн. EUR (до третия знак след десетичната запетая)</w:t>
      </w:r>
    </w:p>
    <w:tbl>
      <w:tblPr>
        <w:tblW w:w="0" w:type="auto"/>
        <w:jc w:val="center"/>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560"/>
        <w:gridCol w:w="534"/>
        <w:gridCol w:w="868"/>
        <w:gridCol w:w="868"/>
        <w:gridCol w:w="934"/>
        <w:gridCol w:w="1134"/>
        <w:gridCol w:w="1445"/>
      </w:tblGrid>
      <w:tr>
        <w:trPr>
          <w:jc w:val="center"/>
        </w:trPr>
        <w:tc>
          <w:tcPr>
            <w:tcW w:w="3960" w:type="dxa"/>
            <w:tcBorders>
              <w:top w:val="nil"/>
              <w:left w:val="nil"/>
              <w:right w:val="nil"/>
            </w:tcBorders>
            <w:vAlign w:val="center"/>
          </w:tcPr>
          <w:p>
            <w:pPr>
              <w:rPr>
                <w:noProof/>
                <w:sz w:val="20"/>
              </w:rPr>
            </w:pPr>
          </w:p>
        </w:tc>
        <w:tc>
          <w:tcPr>
            <w:tcW w:w="1560" w:type="dxa"/>
            <w:tcBorders>
              <w:top w:val="nil"/>
              <w:left w:val="nil"/>
              <w:right w:val="nil"/>
            </w:tcBorders>
          </w:tcPr>
          <w:p>
            <w:pPr>
              <w:rPr>
                <w:noProof/>
                <w:sz w:val="20"/>
              </w:rPr>
            </w:pPr>
          </w:p>
        </w:tc>
        <w:tc>
          <w:tcPr>
            <w:tcW w:w="534" w:type="dxa"/>
            <w:tcBorders>
              <w:top w:val="nil"/>
              <w:left w:val="nil"/>
            </w:tcBorders>
          </w:tcPr>
          <w:p>
            <w:pPr>
              <w:rPr>
                <w:noProof/>
                <w:sz w:val="20"/>
              </w:rPr>
            </w:pPr>
          </w:p>
        </w:tc>
        <w:tc>
          <w:tcPr>
            <w:tcW w:w="868" w:type="dxa"/>
            <w:vAlign w:val="center"/>
          </w:tcPr>
          <w:p>
            <w:pPr>
              <w:rPr>
                <w:noProof/>
                <w:sz w:val="20"/>
              </w:rPr>
            </w:pPr>
            <w:r>
              <w:rPr>
                <w:noProof/>
                <w:sz w:val="20"/>
              </w:rPr>
              <w:t>Година</w:t>
            </w:r>
            <w:r>
              <w:rPr>
                <w:noProof/>
                <w:sz w:val="20"/>
              </w:rPr>
              <w:br/>
            </w:r>
            <w:r>
              <w:rPr>
                <w:b/>
                <w:noProof/>
                <w:sz w:val="20"/>
              </w:rPr>
              <w:t>2018</w:t>
            </w:r>
            <w:r>
              <w:rPr>
                <w:rStyle w:val="FootnoteReference"/>
                <w:noProof/>
              </w:rPr>
              <w:footnoteReference w:id="19"/>
            </w:r>
          </w:p>
        </w:tc>
        <w:tc>
          <w:tcPr>
            <w:tcW w:w="868" w:type="dxa"/>
            <w:vAlign w:val="center"/>
          </w:tcPr>
          <w:p>
            <w:pPr>
              <w:rPr>
                <w:noProof/>
                <w:sz w:val="20"/>
              </w:rPr>
            </w:pPr>
            <w:r>
              <w:rPr>
                <w:noProof/>
                <w:sz w:val="20"/>
              </w:rPr>
              <w:t>Година</w:t>
            </w:r>
            <w:r>
              <w:rPr>
                <w:noProof/>
                <w:sz w:val="20"/>
              </w:rPr>
              <w:br/>
            </w:r>
            <w:r>
              <w:rPr>
                <w:b/>
                <w:noProof/>
                <w:sz w:val="20"/>
              </w:rPr>
              <w:t>2019</w:t>
            </w:r>
          </w:p>
        </w:tc>
        <w:tc>
          <w:tcPr>
            <w:tcW w:w="934" w:type="dxa"/>
            <w:vAlign w:val="center"/>
          </w:tcPr>
          <w:p>
            <w:pPr>
              <w:rPr>
                <w:noProof/>
                <w:sz w:val="20"/>
              </w:rPr>
            </w:pPr>
            <w:r>
              <w:rPr>
                <w:noProof/>
                <w:sz w:val="20"/>
              </w:rPr>
              <w:t>Година</w:t>
            </w:r>
            <w:r>
              <w:rPr>
                <w:noProof/>
                <w:sz w:val="20"/>
              </w:rPr>
              <w:br/>
            </w:r>
            <w:r>
              <w:rPr>
                <w:b/>
                <w:noProof/>
                <w:sz w:val="20"/>
              </w:rPr>
              <w:t>2020</w:t>
            </w:r>
          </w:p>
        </w:tc>
        <w:tc>
          <w:tcPr>
            <w:tcW w:w="1134" w:type="dxa"/>
            <w:vAlign w:val="center"/>
          </w:tcPr>
          <w:p>
            <w:pPr>
              <w:rPr>
                <w:noProof/>
                <w:sz w:val="20"/>
              </w:rPr>
            </w:pPr>
            <w:r>
              <w:rPr>
                <w:noProof/>
                <w:sz w:val="20"/>
              </w:rPr>
              <w:t>Година</w:t>
            </w:r>
            <w:r>
              <w:rPr>
                <w:noProof/>
                <w:sz w:val="20"/>
              </w:rPr>
              <w:br/>
            </w:r>
            <w:r>
              <w:rPr>
                <w:b/>
                <w:noProof/>
                <w:sz w:val="20"/>
              </w:rPr>
              <w:t>2021 – 2029</w:t>
            </w:r>
          </w:p>
        </w:tc>
        <w:tc>
          <w:tcPr>
            <w:tcW w:w="1445" w:type="dxa"/>
            <w:vAlign w:val="center"/>
          </w:tcPr>
          <w:p>
            <w:pPr>
              <w:rPr>
                <w:b/>
                <w:noProof/>
                <w:sz w:val="20"/>
              </w:rPr>
            </w:pPr>
            <w:r>
              <w:rPr>
                <w:b/>
                <w:noProof/>
                <w:sz w:val="20"/>
              </w:rPr>
              <w:t>ОБЩО</w:t>
            </w:r>
          </w:p>
        </w:tc>
      </w:tr>
      <w:tr>
        <w:trPr>
          <w:jc w:val="center"/>
        </w:trPr>
        <w:tc>
          <w:tcPr>
            <w:tcW w:w="3960" w:type="dxa"/>
            <w:vMerge w:val="restart"/>
            <w:shd w:val="clear" w:color="auto" w:fill="C0C0C0"/>
            <w:vAlign w:val="center"/>
          </w:tcPr>
          <w:p>
            <w:pPr>
              <w:rPr>
                <w:b/>
                <w:noProof/>
                <w:sz w:val="20"/>
              </w:rPr>
            </w:pPr>
            <w:r>
              <w:rPr>
                <w:b/>
                <w:noProof/>
                <w:sz w:val="20"/>
              </w:rPr>
              <w:t xml:space="preserve">ОБЩО бюджетни кредити </w:t>
            </w:r>
            <w:r>
              <w:rPr>
                <w:noProof/>
                <w:sz w:val="20"/>
              </w:rPr>
              <w:br/>
            </w:r>
            <w:r>
              <w:rPr>
                <w:b/>
                <w:noProof/>
                <w:sz w:val="20"/>
              </w:rPr>
              <w:t>по ФУНКЦИИ 1 – 5</w:t>
            </w:r>
            <w:r>
              <w:rPr>
                <w:noProof/>
                <w:sz w:val="20"/>
              </w:rPr>
              <w:br/>
              <w:t>от многогодишната финансова рамка</w:t>
            </w:r>
            <w:r>
              <w:rPr>
                <w:b/>
                <w:noProof/>
                <w:sz w:val="20"/>
              </w:rPr>
              <w:t xml:space="preserve"> </w:t>
            </w:r>
          </w:p>
        </w:tc>
        <w:tc>
          <w:tcPr>
            <w:tcW w:w="2094" w:type="dxa"/>
            <w:gridSpan w:val="2"/>
            <w:vAlign w:val="center"/>
          </w:tcPr>
          <w:p>
            <w:pPr>
              <w:rPr>
                <w:noProof/>
                <w:sz w:val="20"/>
              </w:rPr>
            </w:pPr>
            <w:r>
              <w:rPr>
                <w:noProof/>
                <w:sz w:val="20"/>
              </w:rPr>
              <w:t>Поети задължения</w:t>
            </w:r>
          </w:p>
        </w:tc>
        <w:tc>
          <w:tcPr>
            <w:tcW w:w="868" w:type="dxa"/>
            <w:vAlign w:val="center"/>
          </w:tcPr>
          <w:p>
            <w:pPr>
              <w:rPr>
                <w:noProof/>
                <w:sz w:val="20"/>
              </w:rPr>
            </w:pPr>
            <w:r>
              <w:rPr>
                <w:noProof/>
                <w:sz w:val="20"/>
              </w:rPr>
              <w:t>20,222</w:t>
            </w:r>
          </w:p>
        </w:tc>
        <w:tc>
          <w:tcPr>
            <w:tcW w:w="868" w:type="dxa"/>
            <w:vAlign w:val="center"/>
          </w:tcPr>
          <w:p>
            <w:pPr>
              <w:rPr>
                <w:noProof/>
                <w:sz w:val="20"/>
              </w:rPr>
            </w:pPr>
            <w:r>
              <w:rPr>
                <w:noProof/>
                <w:sz w:val="20"/>
              </w:rPr>
              <w:t>20,226</w:t>
            </w:r>
          </w:p>
        </w:tc>
        <w:tc>
          <w:tcPr>
            <w:tcW w:w="934" w:type="dxa"/>
            <w:vAlign w:val="center"/>
          </w:tcPr>
          <w:p>
            <w:pPr>
              <w:rPr>
                <w:noProof/>
                <w:sz w:val="20"/>
              </w:rPr>
            </w:pPr>
            <w:r>
              <w:rPr>
                <w:noProof/>
                <w:sz w:val="20"/>
              </w:rPr>
              <w:t>160,230</w:t>
            </w:r>
          </w:p>
        </w:tc>
        <w:tc>
          <w:tcPr>
            <w:tcW w:w="1134" w:type="dxa"/>
            <w:vAlign w:val="center"/>
          </w:tcPr>
          <w:p>
            <w:pPr>
              <w:rPr>
                <w:noProof/>
                <w:sz w:val="20"/>
              </w:rPr>
            </w:pPr>
          </w:p>
        </w:tc>
        <w:tc>
          <w:tcPr>
            <w:tcW w:w="1445" w:type="dxa"/>
            <w:vAlign w:val="center"/>
          </w:tcPr>
          <w:p>
            <w:pPr>
              <w:rPr>
                <w:b/>
                <w:noProof/>
                <w:sz w:val="20"/>
              </w:rPr>
            </w:pPr>
            <w:r>
              <w:rPr>
                <w:b/>
                <w:noProof/>
                <w:sz w:val="20"/>
              </w:rPr>
              <w:t>200,678</w:t>
            </w:r>
          </w:p>
        </w:tc>
      </w:tr>
      <w:tr>
        <w:trPr>
          <w:jc w:val="center"/>
        </w:trPr>
        <w:tc>
          <w:tcPr>
            <w:tcW w:w="3960" w:type="dxa"/>
            <w:vMerge/>
            <w:shd w:val="clear" w:color="auto" w:fill="C0C0C0"/>
          </w:tcPr>
          <w:p>
            <w:pPr>
              <w:rPr>
                <w:noProof/>
                <w:sz w:val="20"/>
              </w:rPr>
            </w:pPr>
          </w:p>
        </w:tc>
        <w:tc>
          <w:tcPr>
            <w:tcW w:w="2094" w:type="dxa"/>
            <w:gridSpan w:val="2"/>
            <w:vAlign w:val="center"/>
          </w:tcPr>
          <w:p>
            <w:pPr>
              <w:rPr>
                <w:noProof/>
                <w:sz w:val="20"/>
              </w:rPr>
            </w:pPr>
            <w:r>
              <w:rPr>
                <w:noProof/>
                <w:sz w:val="20"/>
              </w:rPr>
              <w:t>Плащания</w:t>
            </w:r>
          </w:p>
        </w:tc>
        <w:tc>
          <w:tcPr>
            <w:tcW w:w="868" w:type="dxa"/>
            <w:vAlign w:val="center"/>
          </w:tcPr>
          <w:p>
            <w:pPr>
              <w:rPr>
                <w:noProof/>
                <w:sz w:val="20"/>
              </w:rPr>
            </w:pPr>
            <w:r>
              <w:rPr>
                <w:noProof/>
                <w:sz w:val="20"/>
              </w:rPr>
              <w:t>4,222</w:t>
            </w:r>
          </w:p>
        </w:tc>
        <w:tc>
          <w:tcPr>
            <w:tcW w:w="868" w:type="dxa"/>
            <w:vAlign w:val="center"/>
          </w:tcPr>
          <w:p>
            <w:pPr>
              <w:rPr>
                <w:noProof/>
                <w:sz w:val="20"/>
              </w:rPr>
            </w:pPr>
            <w:r>
              <w:rPr>
                <w:noProof/>
                <w:sz w:val="20"/>
              </w:rPr>
              <w:t>10,226</w:t>
            </w:r>
          </w:p>
        </w:tc>
        <w:tc>
          <w:tcPr>
            <w:tcW w:w="934" w:type="dxa"/>
            <w:vAlign w:val="center"/>
          </w:tcPr>
          <w:p>
            <w:pPr>
              <w:rPr>
                <w:noProof/>
                <w:sz w:val="20"/>
              </w:rPr>
            </w:pPr>
            <w:r>
              <w:rPr>
                <w:noProof/>
                <w:sz w:val="20"/>
              </w:rPr>
              <w:t>10,230</w:t>
            </w:r>
          </w:p>
        </w:tc>
        <w:tc>
          <w:tcPr>
            <w:tcW w:w="1134" w:type="dxa"/>
            <w:vAlign w:val="center"/>
          </w:tcPr>
          <w:p>
            <w:pPr>
              <w:rPr>
                <w:noProof/>
                <w:sz w:val="20"/>
              </w:rPr>
            </w:pPr>
            <w:r>
              <w:rPr>
                <w:noProof/>
                <w:sz w:val="20"/>
              </w:rPr>
              <w:t>176,000</w:t>
            </w:r>
          </w:p>
        </w:tc>
        <w:tc>
          <w:tcPr>
            <w:tcW w:w="1445" w:type="dxa"/>
            <w:vAlign w:val="center"/>
          </w:tcPr>
          <w:p>
            <w:pPr>
              <w:rPr>
                <w:b/>
                <w:noProof/>
                <w:sz w:val="20"/>
              </w:rPr>
            </w:pPr>
            <w:r>
              <w:rPr>
                <w:b/>
                <w:noProof/>
                <w:sz w:val="20"/>
              </w:rPr>
              <w:t>200,678</w:t>
            </w:r>
          </w:p>
        </w:tc>
      </w:tr>
    </w:tbl>
    <w:p>
      <w:pPr>
        <w:rPr>
          <w:noProof/>
        </w:rPr>
        <w:sectPr>
          <w:headerReference w:type="default" r:id="rId14"/>
          <w:footerReference w:type="default" r:id="rId15"/>
          <w:headerReference w:type="first" r:id="rId16"/>
          <w:footerReference w:type="first" r:id="rId17"/>
          <w:pgSz w:w="16840" w:h="11907" w:orient="landscape" w:code="9"/>
          <w:pgMar w:top="1134" w:right="1418" w:bottom="1134" w:left="1418" w:header="709" w:footer="709" w:gutter="0"/>
          <w:cols w:space="708"/>
          <w:docGrid w:linePitch="360"/>
        </w:sectPr>
      </w:pPr>
    </w:p>
    <w:p>
      <w:pPr>
        <w:pStyle w:val="ManualHeading3"/>
        <w:rPr>
          <w:bCs/>
          <w:noProof/>
          <w:szCs w:val="24"/>
        </w:rPr>
      </w:pPr>
      <w:r>
        <w:t>3.2.2.</w:t>
      </w:r>
      <w:r>
        <w:tab/>
      </w:r>
      <w:r>
        <w:rPr>
          <w:noProof/>
        </w:rPr>
        <w:t xml:space="preserve">Очаквано отражение върху бюджетните кредити за оперативни разходи </w:t>
      </w:r>
    </w:p>
    <w:p>
      <w:pPr>
        <w:pStyle w:val="ListDash1"/>
        <w:rPr>
          <w:noProof/>
        </w:rPr>
      </w:pPr>
      <w:r>
        <w:rPr>
          <w:noProof/>
        </w:rPr>
        <w:sym w:font="Wingdings" w:char="F0A8"/>
      </w:r>
      <w:r>
        <w:rPr>
          <w:noProof/>
        </w:rPr>
        <w:tab/>
        <w:t xml:space="preserve">Предложението/инициативата не налага използване на бюджетни кредити за оперативни разходи </w:t>
      </w:r>
    </w:p>
    <w:p>
      <w:pPr>
        <w:pStyle w:val="ListDash1"/>
        <w:rPr>
          <w:noProof/>
        </w:rPr>
      </w:pPr>
      <w:r>
        <w:rPr>
          <w:noProof/>
        </w:rPr>
        <w:sym w:font="Wingdings" w:char="F0FD"/>
      </w:r>
      <w:r>
        <w:rPr>
          <w:noProof/>
        </w:rPr>
        <w:tab/>
        <w:t>Предложението/инициативата налага използване на бюджетни кредити за оперативни разходи съгласно обяснението по-долу:</w:t>
      </w:r>
    </w:p>
    <w:p>
      <w:pPr>
        <w:jc w:val="right"/>
        <w:rPr>
          <w:b/>
          <w:noProof/>
          <w:sz w:val="18"/>
        </w:rPr>
      </w:pPr>
      <w:r>
        <w:rPr>
          <w:noProof/>
          <w:sz w:val="20"/>
        </w:rPr>
        <w:t xml:space="preserve">Бюджетни кредити за поети задължения в млн. EUR (до третия знак след десетичната запетая) </w:t>
      </w:r>
    </w:p>
    <w:tbl>
      <w:tblPr>
        <w:tblW w:w="15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69"/>
        <w:gridCol w:w="1134"/>
        <w:gridCol w:w="441"/>
        <w:gridCol w:w="410"/>
        <w:gridCol w:w="850"/>
        <w:gridCol w:w="426"/>
        <w:gridCol w:w="850"/>
        <w:gridCol w:w="425"/>
        <w:gridCol w:w="851"/>
        <w:gridCol w:w="425"/>
        <w:gridCol w:w="851"/>
        <w:gridCol w:w="567"/>
        <w:gridCol w:w="850"/>
        <w:gridCol w:w="425"/>
        <w:gridCol w:w="851"/>
        <w:gridCol w:w="425"/>
        <w:gridCol w:w="851"/>
        <w:gridCol w:w="708"/>
        <w:gridCol w:w="993"/>
        <w:gridCol w:w="906"/>
        <w:gridCol w:w="900"/>
      </w:tblGrid>
      <w:tr>
        <w:trPr>
          <w:gridAfter w:val="2"/>
          <w:wAfter w:w="1806" w:type="dxa"/>
        </w:trPr>
        <w:tc>
          <w:tcPr>
            <w:tcW w:w="1269" w:type="dxa"/>
            <w:vMerge w:val="restart"/>
            <w:vAlign w:val="center"/>
          </w:tcPr>
          <w:p>
            <w:pPr>
              <w:jc w:val="right"/>
              <w:rPr>
                <w:b/>
                <w:noProof/>
                <w:sz w:val="18"/>
              </w:rPr>
            </w:pPr>
            <w:r>
              <w:rPr>
                <w:b/>
                <w:noProof/>
                <w:sz w:val="18"/>
              </w:rPr>
              <w:t xml:space="preserve">Да се посочат целите и резултатите </w:t>
            </w:r>
          </w:p>
          <w:p>
            <w:pPr>
              <w:jc w:val="right"/>
              <w:rPr>
                <w:b/>
                <w:noProof/>
                <w:sz w:val="18"/>
              </w:rPr>
            </w:pPr>
          </w:p>
          <w:p>
            <w:pPr>
              <w:jc w:val="right"/>
              <w:rPr>
                <w:b/>
                <w:noProof/>
                <w:sz w:val="18"/>
              </w:rPr>
            </w:pPr>
            <w:r>
              <w:rPr>
                <w:b/>
                <w:noProof/>
                <w:sz w:val="18"/>
              </w:rPr>
              <w:sym w:font="Wingdings" w:char="F0F2"/>
            </w:r>
          </w:p>
        </w:tc>
        <w:tc>
          <w:tcPr>
            <w:tcW w:w="1134" w:type="dxa"/>
            <w:vAlign w:val="center"/>
          </w:tcPr>
          <w:p>
            <w:pPr>
              <w:jc w:val="right"/>
              <w:rPr>
                <w:b/>
                <w:noProof/>
                <w:sz w:val="18"/>
              </w:rPr>
            </w:pPr>
          </w:p>
        </w:tc>
        <w:tc>
          <w:tcPr>
            <w:tcW w:w="441" w:type="dxa"/>
            <w:vAlign w:val="center"/>
          </w:tcPr>
          <w:p>
            <w:pPr>
              <w:jc w:val="right"/>
              <w:rPr>
                <w:b/>
                <w:noProof/>
                <w:sz w:val="18"/>
              </w:rPr>
            </w:pPr>
          </w:p>
        </w:tc>
        <w:tc>
          <w:tcPr>
            <w:tcW w:w="1260" w:type="dxa"/>
            <w:gridSpan w:val="2"/>
            <w:tcBorders>
              <w:left w:val="nil"/>
            </w:tcBorders>
            <w:vAlign w:val="center"/>
          </w:tcPr>
          <w:p>
            <w:pPr>
              <w:jc w:val="right"/>
              <w:rPr>
                <w:b/>
                <w:noProof/>
                <w:sz w:val="18"/>
              </w:rPr>
            </w:pPr>
            <w:r>
              <w:rPr>
                <w:b/>
                <w:noProof/>
                <w:sz w:val="18"/>
              </w:rPr>
              <w:t>Година</w:t>
            </w:r>
            <w:r>
              <w:rPr>
                <w:b/>
                <w:noProof/>
                <w:sz w:val="18"/>
              </w:rPr>
              <w:br/>
              <w:t>2019</w:t>
            </w:r>
          </w:p>
        </w:tc>
        <w:tc>
          <w:tcPr>
            <w:tcW w:w="1276" w:type="dxa"/>
            <w:gridSpan w:val="2"/>
            <w:vAlign w:val="center"/>
          </w:tcPr>
          <w:p>
            <w:pPr>
              <w:jc w:val="right"/>
              <w:rPr>
                <w:b/>
                <w:noProof/>
                <w:sz w:val="18"/>
              </w:rPr>
            </w:pPr>
            <w:r>
              <w:rPr>
                <w:b/>
                <w:noProof/>
                <w:sz w:val="18"/>
              </w:rPr>
              <w:t>Година</w:t>
            </w:r>
            <w:r>
              <w:rPr>
                <w:b/>
                <w:noProof/>
                <w:sz w:val="18"/>
              </w:rPr>
              <w:br/>
              <w:t>2020</w:t>
            </w:r>
          </w:p>
        </w:tc>
        <w:tc>
          <w:tcPr>
            <w:tcW w:w="1276" w:type="dxa"/>
            <w:gridSpan w:val="2"/>
            <w:vAlign w:val="center"/>
          </w:tcPr>
          <w:p>
            <w:pPr>
              <w:jc w:val="right"/>
              <w:rPr>
                <w:b/>
                <w:noProof/>
                <w:sz w:val="18"/>
              </w:rPr>
            </w:pPr>
            <w:r>
              <w:rPr>
                <w:b/>
                <w:noProof/>
                <w:sz w:val="18"/>
              </w:rPr>
              <w:t>Година</w:t>
            </w:r>
            <w:r>
              <w:rPr>
                <w:b/>
                <w:noProof/>
                <w:sz w:val="18"/>
              </w:rPr>
              <w:br/>
              <w:t>2021</w:t>
            </w:r>
          </w:p>
        </w:tc>
        <w:tc>
          <w:tcPr>
            <w:tcW w:w="1276" w:type="dxa"/>
            <w:gridSpan w:val="2"/>
            <w:vAlign w:val="center"/>
          </w:tcPr>
          <w:p>
            <w:pPr>
              <w:jc w:val="right"/>
              <w:rPr>
                <w:b/>
                <w:noProof/>
                <w:sz w:val="18"/>
              </w:rPr>
            </w:pPr>
            <w:r>
              <w:rPr>
                <w:b/>
                <w:noProof/>
                <w:sz w:val="18"/>
              </w:rPr>
              <w:t>Година</w:t>
            </w:r>
            <w:r>
              <w:rPr>
                <w:b/>
                <w:noProof/>
                <w:sz w:val="18"/>
              </w:rPr>
              <w:br/>
              <w:t>2022</w:t>
            </w:r>
          </w:p>
        </w:tc>
        <w:tc>
          <w:tcPr>
            <w:tcW w:w="1417" w:type="dxa"/>
            <w:gridSpan w:val="2"/>
            <w:vAlign w:val="center"/>
          </w:tcPr>
          <w:p>
            <w:pPr>
              <w:jc w:val="right"/>
              <w:rPr>
                <w:b/>
                <w:noProof/>
                <w:sz w:val="18"/>
              </w:rPr>
            </w:pPr>
            <w:r>
              <w:rPr>
                <w:b/>
                <w:noProof/>
                <w:sz w:val="18"/>
              </w:rPr>
              <w:t>Година</w:t>
            </w:r>
            <w:r>
              <w:rPr>
                <w:b/>
                <w:noProof/>
                <w:sz w:val="18"/>
              </w:rPr>
              <w:br/>
              <w:t>2023</w:t>
            </w:r>
          </w:p>
        </w:tc>
        <w:tc>
          <w:tcPr>
            <w:tcW w:w="1276" w:type="dxa"/>
            <w:gridSpan w:val="2"/>
            <w:vAlign w:val="center"/>
          </w:tcPr>
          <w:p>
            <w:pPr>
              <w:jc w:val="right"/>
              <w:rPr>
                <w:b/>
                <w:noProof/>
                <w:sz w:val="18"/>
              </w:rPr>
            </w:pPr>
            <w:r>
              <w:rPr>
                <w:b/>
                <w:noProof/>
                <w:sz w:val="18"/>
              </w:rPr>
              <w:t>Година</w:t>
            </w:r>
            <w:r>
              <w:rPr>
                <w:b/>
                <w:noProof/>
                <w:sz w:val="18"/>
              </w:rPr>
              <w:br/>
              <w:t>2024</w:t>
            </w:r>
          </w:p>
        </w:tc>
        <w:tc>
          <w:tcPr>
            <w:tcW w:w="1276" w:type="dxa"/>
            <w:gridSpan w:val="2"/>
            <w:vAlign w:val="center"/>
          </w:tcPr>
          <w:p>
            <w:pPr>
              <w:jc w:val="right"/>
              <w:rPr>
                <w:b/>
                <w:noProof/>
                <w:sz w:val="18"/>
              </w:rPr>
            </w:pPr>
            <w:r>
              <w:rPr>
                <w:b/>
                <w:noProof/>
                <w:sz w:val="18"/>
              </w:rPr>
              <w:t>Година</w:t>
            </w:r>
            <w:r>
              <w:rPr>
                <w:b/>
                <w:noProof/>
                <w:sz w:val="18"/>
              </w:rPr>
              <w:br/>
              <w:t>2025</w:t>
            </w:r>
          </w:p>
        </w:tc>
        <w:tc>
          <w:tcPr>
            <w:tcW w:w="1701" w:type="dxa"/>
            <w:gridSpan w:val="2"/>
            <w:tcBorders>
              <w:left w:val="nil"/>
              <w:bottom w:val="nil"/>
            </w:tcBorders>
            <w:vAlign w:val="center"/>
          </w:tcPr>
          <w:p>
            <w:pPr>
              <w:jc w:val="right"/>
              <w:rPr>
                <w:b/>
                <w:noProof/>
                <w:sz w:val="18"/>
              </w:rPr>
            </w:pPr>
            <w:r>
              <w:rPr>
                <w:b/>
                <w:noProof/>
                <w:sz w:val="18"/>
              </w:rPr>
              <w:t>ОБЩО</w:t>
            </w:r>
          </w:p>
        </w:tc>
      </w:tr>
      <w:tr>
        <w:trPr>
          <w:gridAfter w:val="2"/>
          <w:wAfter w:w="1806" w:type="dxa"/>
        </w:trPr>
        <w:tc>
          <w:tcPr>
            <w:tcW w:w="1269" w:type="dxa"/>
            <w:vMerge/>
            <w:vAlign w:val="center"/>
          </w:tcPr>
          <w:p>
            <w:pPr>
              <w:jc w:val="right"/>
              <w:rPr>
                <w:b/>
                <w:noProof/>
                <w:sz w:val="18"/>
              </w:rPr>
            </w:pPr>
          </w:p>
        </w:tc>
        <w:tc>
          <w:tcPr>
            <w:tcW w:w="12333" w:type="dxa"/>
            <w:gridSpan w:val="18"/>
            <w:vAlign w:val="center"/>
          </w:tcPr>
          <w:p>
            <w:pPr>
              <w:jc w:val="right"/>
              <w:rPr>
                <w:b/>
                <w:noProof/>
                <w:sz w:val="18"/>
              </w:rPr>
            </w:pPr>
            <w:r>
              <w:rPr>
                <w:b/>
                <w:noProof/>
                <w:sz w:val="18"/>
              </w:rPr>
              <w:t>РЕЗУЛТАТИ</w:t>
            </w:r>
          </w:p>
        </w:tc>
      </w:tr>
      <w:tr>
        <w:trPr>
          <w:gridAfter w:val="2"/>
          <w:wAfter w:w="1806" w:type="dxa"/>
          <w:cantSplit/>
          <w:trHeight w:val="1134"/>
        </w:trPr>
        <w:tc>
          <w:tcPr>
            <w:tcW w:w="1269" w:type="dxa"/>
            <w:vMerge/>
            <w:vAlign w:val="center"/>
          </w:tcPr>
          <w:p>
            <w:pPr>
              <w:jc w:val="right"/>
              <w:rPr>
                <w:b/>
                <w:noProof/>
                <w:sz w:val="18"/>
              </w:rPr>
            </w:pPr>
          </w:p>
        </w:tc>
        <w:tc>
          <w:tcPr>
            <w:tcW w:w="1134" w:type="dxa"/>
            <w:vAlign w:val="center"/>
          </w:tcPr>
          <w:p>
            <w:pPr>
              <w:jc w:val="right"/>
              <w:rPr>
                <w:b/>
                <w:noProof/>
                <w:sz w:val="18"/>
              </w:rPr>
            </w:pPr>
            <w:r>
              <w:rPr>
                <w:b/>
                <w:noProof/>
                <w:sz w:val="18"/>
              </w:rPr>
              <w:t>Вид</w:t>
            </w:r>
            <w:r>
              <w:rPr>
                <w:rStyle w:val="FootnoteReference"/>
                <w:noProof/>
              </w:rPr>
              <w:footnoteReference w:id="20"/>
            </w:r>
          </w:p>
          <w:p>
            <w:pPr>
              <w:jc w:val="right"/>
              <w:rPr>
                <w:b/>
                <w:noProof/>
                <w:sz w:val="18"/>
              </w:rPr>
            </w:pPr>
          </w:p>
        </w:tc>
        <w:tc>
          <w:tcPr>
            <w:tcW w:w="441" w:type="dxa"/>
            <w:vAlign w:val="center"/>
          </w:tcPr>
          <w:p>
            <w:pPr>
              <w:jc w:val="right"/>
              <w:rPr>
                <w:b/>
                <w:noProof/>
                <w:sz w:val="18"/>
              </w:rPr>
            </w:pPr>
            <w:r>
              <w:rPr>
                <w:b/>
                <w:noProof/>
                <w:sz w:val="18"/>
              </w:rPr>
              <w:t>Среден разход</w:t>
            </w:r>
          </w:p>
        </w:tc>
        <w:tc>
          <w:tcPr>
            <w:tcW w:w="410" w:type="dxa"/>
            <w:tcBorders>
              <w:left w:val="nil"/>
              <w:right w:val="dashSmallGap" w:sz="4" w:space="0" w:color="auto"/>
            </w:tcBorders>
            <w:shd w:val="pct10" w:color="auto" w:fill="auto"/>
            <w:textDirection w:val="btLr"/>
            <w:vAlign w:val="center"/>
          </w:tcPr>
          <w:p>
            <w:pPr>
              <w:jc w:val="center"/>
              <w:rPr>
                <w:b/>
                <w:noProof/>
                <w:sz w:val="18"/>
              </w:rPr>
            </w:pPr>
            <w:r>
              <w:rPr>
                <w:b/>
                <w:noProof/>
                <w:sz w:val="18"/>
              </w:rPr>
              <w:t>Бр.</w:t>
            </w:r>
          </w:p>
        </w:tc>
        <w:tc>
          <w:tcPr>
            <w:tcW w:w="850" w:type="dxa"/>
            <w:tcBorders>
              <w:left w:val="dashSmallGap" w:sz="4" w:space="0" w:color="auto"/>
            </w:tcBorders>
            <w:shd w:val="pct10" w:color="auto" w:fill="auto"/>
            <w:vAlign w:val="center"/>
          </w:tcPr>
          <w:p>
            <w:pPr>
              <w:jc w:val="right"/>
              <w:rPr>
                <w:b/>
                <w:noProof/>
                <w:sz w:val="18"/>
              </w:rPr>
            </w:pPr>
            <w:r>
              <w:rPr>
                <w:b/>
                <w:noProof/>
                <w:sz w:val="18"/>
              </w:rPr>
              <w:t>Разходи</w:t>
            </w:r>
          </w:p>
        </w:tc>
        <w:tc>
          <w:tcPr>
            <w:tcW w:w="426" w:type="dxa"/>
            <w:tcBorders>
              <w:right w:val="dashSmallGap" w:sz="4" w:space="0" w:color="auto"/>
            </w:tcBorders>
            <w:shd w:val="pct10" w:color="auto" w:fill="auto"/>
            <w:textDirection w:val="btLr"/>
            <w:vAlign w:val="center"/>
          </w:tcPr>
          <w:p>
            <w:pPr>
              <w:jc w:val="center"/>
              <w:rPr>
                <w:b/>
                <w:noProof/>
                <w:sz w:val="18"/>
              </w:rPr>
            </w:pPr>
            <w:r>
              <w:rPr>
                <w:b/>
                <w:noProof/>
                <w:sz w:val="18"/>
              </w:rPr>
              <w:t>Бр.</w:t>
            </w:r>
          </w:p>
        </w:tc>
        <w:tc>
          <w:tcPr>
            <w:tcW w:w="850" w:type="dxa"/>
            <w:tcBorders>
              <w:left w:val="dashSmallGap" w:sz="4" w:space="0" w:color="auto"/>
            </w:tcBorders>
            <w:shd w:val="pct10" w:color="auto" w:fill="auto"/>
            <w:vAlign w:val="center"/>
          </w:tcPr>
          <w:p>
            <w:pPr>
              <w:jc w:val="right"/>
              <w:rPr>
                <w:b/>
                <w:noProof/>
                <w:sz w:val="18"/>
              </w:rPr>
            </w:pPr>
            <w:r>
              <w:rPr>
                <w:b/>
                <w:noProof/>
                <w:sz w:val="18"/>
              </w:rPr>
              <w:t>Разходи</w:t>
            </w:r>
          </w:p>
        </w:tc>
        <w:tc>
          <w:tcPr>
            <w:tcW w:w="425" w:type="dxa"/>
            <w:tcBorders>
              <w:right w:val="dashSmallGap" w:sz="4" w:space="0" w:color="auto"/>
            </w:tcBorders>
            <w:shd w:val="pct10" w:color="auto" w:fill="auto"/>
            <w:textDirection w:val="btLr"/>
            <w:vAlign w:val="center"/>
          </w:tcPr>
          <w:p>
            <w:pPr>
              <w:jc w:val="center"/>
              <w:rPr>
                <w:b/>
                <w:noProof/>
                <w:sz w:val="18"/>
              </w:rPr>
            </w:pPr>
            <w:r>
              <w:rPr>
                <w:b/>
                <w:noProof/>
                <w:sz w:val="18"/>
              </w:rPr>
              <w:t>Бр.</w:t>
            </w:r>
          </w:p>
        </w:tc>
        <w:tc>
          <w:tcPr>
            <w:tcW w:w="851" w:type="dxa"/>
            <w:tcBorders>
              <w:left w:val="dashSmallGap" w:sz="4" w:space="0" w:color="auto"/>
            </w:tcBorders>
            <w:shd w:val="pct10" w:color="auto" w:fill="auto"/>
            <w:vAlign w:val="center"/>
          </w:tcPr>
          <w:p>
            <w:pPr>
              <w:jc w:val="right"/>
              <w:rPr>
                <w:b/>
                <w:noProof/>
                <w:sz w:val="18"/>
              </w:rPr>
            </w:pPr>
            <w:r>
              <w:rPr>
                <w:b/>
                <w:noProof/>
                <w:sz w:val="18"/>
              </w:rPr>
              <w:t>Разходи</w:t>
            </w:r>
          </w:p>
        </w:tc>
        <w:tc>
          <w:tcPr>
            <w:tcW w:w="425" w:type="dxa"/>
            <w:tcBorders>
              <w:right w:val="dashSmallGap" w:sz="4" w:space="0" w:color="auto"/>
            </w:tcBorders>
            <w:shd w:val="pct10" w:color="auto" w:fill="auto"/>
            <w:textDirection w:val="btLr"/>
            <w:vAlign w:val="center"/>
          </w:tcPr>
          <w:p>
            <w:pPr>
              <w:jc w:val="center"/>
              <w:rPr>
                <w:b/>
                <w:noProof/>
                <w:sz w:val="18"/>
              </w:rPr>
            </w:pPr>
            <w:r>
              <w:rPr>
                <w:b/>
                <w:noProof/>
                <w:sz w:val="18"/>
              </w:rPr>
              <w:t>Бр.</w:t>
            </w:r>
          </w:p>
        </w:tc>
        <w:tc>
          <w:tcPr>
            <w:tcW w:w="851" w:type="dxa"/>
            <w:tcBorders>
              <w:left w:val="dashSmallGap" w:sz="4" w:space="0" w:color="auto"/>
            </w:tcBorders>
            <w:shd w:val="pct10" w:color="auto" w:fill="auto"/>
            <w:vAlign w:val="center"/>
          </w:tcPr>
          <w:p>
            <w:pPr>
              <w:jc w:val="right"/>
              <w:rPr>
                <w:b/>
                <w:noProof/>
                <w:sz w:val="18"/>
              </w:rPr>
            </w:pPr>
            <w:r>
              <w:rPr>
                <w:b/>
                <w:noProof/>
                <w:sz w:val="18"/>
              </w:rPr>
              <w:t>Разходи</w:t>
            </w:r>
          </w:p>
        </w:tc>
        <w:tc>
          <w:tcPr>
            <w:tcW w:w="567" w:type="dxa"/>
            <w:tcBorders>
              <w:right w:val="dashSmallGap" w:sz="4" w:space="0" w:color="auto"/>
            </w:tcBorders>
            <w:shd w:val="pct10" w:color="auto" w:fill="auto"/>
            <w:textDirection w:val="btLr"/>
            <w:vAlign w:val="center"/>
          </w:tcPr>
          <w:p>
            <w:pPr>
              <w:jc w:val="center"/>
              <w:rPr>
                <w:b/>
                <w:noProof/>
                <w:sz w:val="18"/>
              </w:rPr>
            </w:pPr>
            <w:r>
              <w:rPr>
                <w:b/>
                <w:noProof/>
                <w:sz w:val="18"/>
              </w:rPr>
              <w:t>Бр.</w:t>
            </w:r>
          </w:p>
        </w:tc>
        <w:tc>
          <w:tcPr>
            <w:tcW w:w="850" w:type="dxa"/>
            <w:tcBorders>
              <w:left w:val="dashSmallGap" w:sz="4" w:space="0" w:color="auto"/>
            </w:tcBorders>
            <w:shd w:val="pct10" w:color="auto" w:fill="auto"/>
            <w:vAlign w:val="center"/>
          </w:tcPr>
          <w:p>
            <w:pPr>
              <w:jc w:val="right"/>
              <w:rPr>
                <w:b/>
                <w:noProof/>
                <w:sz w:val="18"/>
              </w:rPr>
            </w:pPr>
            <w:r>
              <w:rPr>
                <w:b/>
                <w:noProof/>
                <w:sz w:val="18"/>
              </w:rPr>
              <w:t>Разходи</w:t>
            </w:r>
          </w:p>
        </w:tc>
        <w:tc>
          <w:tcPr>
            <w:tcW w:w="425" w:type="dxa"/>
            <w:tcBorders>
              <w:right w:val="dashSmallGap" w:sz="4" w:space="0" w:color="auto"/>
            </w:tcBorders>
            <w:shd w:val="pct10" w:color="auto" w:fill="auto"/>
            <w:textDirection w:val="btLr"/>
            <w:vAlign w:val="center"/>
          </w:tcPr>
          <w:p>
            <w:pPr>
              <w:jc w:val="center"/>
              <w:rPr>
                <w:b/>
                <w:noProof/>
                <w:sz w:val="18"/>
              </w:rPr>
            </w:pPr>
            <w:r>
              <w:rPr>
                <w:b/>
                <w:noProof/>
                <w:sz w:val="18"/>
              </w:rPr>
              <w:t>Бр.</w:t>
            </w:r>
          </w:p>
        </w:tc>
        <w:tc>
          <w:tcPr>
            <w:tcW w:w="851" w:type="dxa"/>
            <w:tcBorders>
              <w:left w:val="dashSmallGap" w:sz="4" w:space="0" w:color="auto"/>
            </w:tcBorders>
            <w:shd w:val="pct10" w:color="auto" w:fill="auto"/>
            <w:vAlign w:val="center"/>
          </w:tcPr>
          <w:p>
            <w:pPr>
              <w:jc w:val="right"/>
              <w:rPr>
                <w:b/>
                <w:noProof/>
                <w:sz w:val="18"/>
              </w:rPr>
            </w:pPr>
            <w:r>
              <w:rPr>
                <w:b/>
                <w:noProof/>
                <w:sz w:val="18"/>
              </w:rPr>
              <w:t>Разходи</w:t>
            </w:r>
          </w:p>
        </w:tc>
        <w:tc>
          <w:tcPr>
            <w:tcW w:w="425" w:type="dxa"/>
            <w:tcBorders>
              <w:right w:val="dashSmallGap" w:sz="4" w:space="0" w:color="auto"/>
            </w:tcBorders>
            <w:shd w:val="pct10" w:color="auto" w:fill="auto"/>
            <w:textDirection w:val="btLr"/>
            <w:vAlign w:val="center"/>
          </w:tcPr>
          <w:p>
            <w:pPr>
              <w:jc w:val="center"/>
              <w:rPr>
                <w:b/>
                <w:noProof/>
                <w:sz w:val="18"/>
              </w:rPr>
            </w:pPr>
            <w:r>
              <w:rPr>
                <w:b/>
                <w:noProof/>
                <w:sz w:val="18"/>
              </w:rPr>
              <w:t>Бр.</w:t>
            </w:r>
          </w:p>
        </w:tc>
        <w:tc>
          <w:tcPr>
            <w:tcW w:w="851" w:type="dxa"/>
            <w:tcBorders>
              <w:left w:val="dashSmallGap" w:sz="4" w:space="0" w:color="auto"/>
            </w:tcBorders>
            <w:shd w:val="pct10" w:color="auto" w:fill="auto"/>
            <w:vAlign w:val="center"/>
          </w:tcPr>
          <w:p>
            <w:pPr>
              <w:jc w:val="right"/>
              <w:rPr>
                <w:b/>
                <w:noProof/>
                <w:sz w:val="18"/>
              </w:rPr>
            </w:pPr>
            <w:r>
              <w:rPr>
                <w:b/>
                <w:noProof/>
                <w:sz w:val="18"/>
              </w:rPr>
              <w:t>Разходи</w:t>
            </w:r>
          </w:p>
        </w:tc>
        <w:tc>
          <w:tcPr>
            <w:tcW w:w="708" w:type="dxa"/>
            <w:tcBorders>
              <w:right w:val="dashSmallGap" w:sz="4" w:space="0" w:color="auto"/>
            </w:tcBorders>
            <w:shd w:val="pct10" w:color="auto" w:fill="auto"/>
            <w:textDirection w:val="btLr"/>
            <w:vAlign w:val="center"/>
          </w:tcPr>
          <w:p>
            <w:pPr>
              <w:jc w:val="right"/>
              <w:rPr>
                <w:b/>
                <w:noProof/>
                <w:sz w:val="18"/>
              </w:rPr>
            </w:pPr>
            <w:r>
              <w:rPr>
                <w:b/>
                <w:noProof/>
                <w:sz w:val="18"/>
              </w:rPr>
              <w:t>Общ брой на резултатите</w:t>
            </w:r>
          </w:p>
        </w:tc>
        <w:tc>
          <w:tcPr>
            <w:tcW w:w="993" w:type="dxa"/>
            <w:tcBorders>
              <w:left w:val="dashSmallGap" w:sz="4" w:space="0" w:color="auto"/>
            </w:tcBorders>
            <w:shd w:val="pct10" w:color="auto" w:fill="auto"/>
            <w:vAlign w:val="center"/>
          </w:tcPr>
          <w:p>
            <w:pPr>
              <w:jc w:val="right"/>
              <w:rPr>
                <w:b/>
                <w:noProof/>
                <w:sz w:val="18"/>
              </w:rPr>
            </w:pPr>
            <w:r>
              <w:rPr>
                <w:b/>
                <w:noProof/>
                <w:sz w:val="18"/>
              </w:rPr>
              <w:t>Общо разходи</w:t>
            </w:r>
          </w:p>
        </w:tc>
      </w:tr>
      <w:tr>
        <w:tc>
          <w:tcPr>
            <w:tcW w:w="2844" w:type="dxa"/>
            <w:gridSpan w:val="3"/>
            <w:vAlign w:val="center"/>
          </w:tcPr>
          <w:p>
            <w:pPr>
              <w:jc w:val="right"/>
              <w:rPr>
                <w:b/>
                <w:noProof/>
                <w:sz w:val="18"/>
              </w:rPr>
            </w:pPr>
            <w:r>
              <w:rPr>
                <w:b/>
                <w:noProof/>
                <w:sz w:val="18"/>
              </w:rPr>
              <w:t>КОНКРЕТНА ЦЕЛ № 1</w:t>
            </w:r>
            <w:r>
              <w:rPr>
                <w:rStyle w:val="FootnoteReference"/>
                <w:noProof/>
              </w:rPr>
              <w:footnoteReference w:id="21"/>
            </w:r>
            <w:r>
              <w:rPr>
                <w:b/>
                <w:noProof/>
                <w:sz w:val="18"/>
              </w:rPr>
              <w:t>…</w:t>
            </w:r>
          </w:p>
        </w:tc>
        <w:tc>
          <w:tcPr>
            <w:tcW w:w="410" w:type="dxa"/>
            <w:tcBorders>
              <w:top w:val="nil"/>
              <w:left w:val="nil"/>
              <w:bottom w:val="nil"/>
              <w:right w:val="nil"/>
            </w:tcBorders>
          </w:tcPr>
          <w:p>
            <w:pPr>
              <w:jc w:val="right"/>
              <w:rPr>
                <w:b/>
                <w:noProof/>
                <w:sz w:val="18"/>
              </w:rPr>
            </w:pPr>
          </w:p>
        </w:tc>
        <w:tc>
          <w:tcPr>
            <w:tcW w:w="850" w:type="dxa"/>
            <w:tcBorders>
              <w:top w:val="nil"/>
              <w:left w:val="nil"/>
              <w:bottom w:val="nil"/>
              <w:right w:val="nil"/>
            </w:tcBorders>
          </w:tcPr>
          <w:p>
            <w:pPr>
              <w:jc w:val="right"/>
              <w:rPr>
                <w:b/>
                <w:noProof/>
                <w:sz w:val="18"/>
              </w:rPr>
            </w:pPr>
          </w:p>
        </w:tc>
        <w:tc>
          <w:tcPr>
            <w:tcW w:w="426" w:type="dxa"/>
            <w:tcBorders>
              <w:top w:val="nil"/>
              <w:left w:val="nil"/>
              <w:bottom w:val="nil"/>
              <w:right w:val="nil"/>
            </w:tcBorders>
          </w:tcPr>
          <w:p>
            <w:pPr>
              <w:jc w:val="right"/>
              <w:rPr>
                <w:b/>
                <w:noProof/>
                <w:sz w:val="18"/>
              </w:rPr>
            </w:pPr>
          </w:p>
        </w:tc>
        <w:tc>
          <w:tcPr>
            <w:tcW w:w="850" w:type="dxa"/>
            <w:tcBorders>
              <w:top w:val="nil"/>
              <w:left w:val="nil"/>
              <w:bottom w:val="nil"/>
              <w:right w:val="nil"/>
            </w:tcBorders>
          </w:tcPr>
          <w:p>
            <w:pPr>
              <w:jc w:val="right"/>
              <w:rPr>
                <w:b/>
                <w:noProof/>
                <w:sz w:val="18"/>
              </w:rPr>
            </w:pPr>
          </w:p>
        </w:tc>
        <w:tc>
          <w:tcPr>
            <w:tcW w:w="425" w:type="dxa"/>
            <w:tcBorders>
              <w:top w:val="nil"/>
              <w:left w:val="nil"/>
              <w:bottom w:val="nil"/>
              <w:right w:val="nil"/>
            </w:tcBorders>
          </w:tcPr>
          <w:p>
            <w:pPr>
              <w:jc w:val="right"/>
              <w:rPr>
                <w:b/>
                <w:noProof/>
                <w:sz w:val="18"/>
              </w:rPr>
            </w:pPr>
          </w:p>
        </w:tc>
        <w:tc>
          <w:tcPr>
            <w:tcW w:w="851" w:type="dxa"/>
            <w:tcBorders>
              <w:top w:val="nil"/>
              <w:left w:val="nil"/>
              <w:bottom w:val="nil"/>
              <w:right w:val="nil"/>
            </w:tcBorders>
          </w:tcPr>
          <w:p>
            <w:pPr>
              <w:jc w:val="right"/>
              <w:rPr>
                <w:b/>
                <w:noProof/>
                <w:sz w:val="18"/>
              </w:rPr>
            </w:pPr>
          </w:p>
        </w:tc>
        <w:tc>
          <w:tcPr>
            <w:tcW w:w="425" w:type="dxa"/>
            <w:tcBorders>
              <w:top w:val="nil"/>
              <w:left w:val="nil"/>
              <w:bottom w:val="nil"/>
              <w:right w:val="nil"/>
            </w:tcBorders>
          </w:tcPr>
          <w:p>
            <w:pPr>
              <w:jc w:val="right"/>
              <w:rPr>
                <w:b/>
                <w:noProof/>
                <w:sz w:val="18"/>
              </w:rPr>
            </w:pPr>
          </w:p>
        </w:tc>
        <w:tc>
          <w:tcPr>
            <w:tcW w:w="851" w:type="dxa"/>
            <w:tcBorders>
              <w:top w:val="nil"/>
              <w:left w:val="nil"/>
              <w:bottom w:val="nil"/>
              <w:right w:val="nil"/>
            </w:tcBorders>
          </w:tcPr>
          <w:p>
            <w:pPr>
              <w:jc w:val="right"/>
              <w:rPr>
                <w:b/>
                <w:noProof/>
                <w:sz w:val="18"/>
              </w:rPr>
            </w:pPr>
          </w:p>
        </w:tc>
        <w:tc>
          <w:tcPr>
            <w:tcW w:w="567" w:type="dxa"/>
            <w:tcBorders>
              <w:top w:val="nil"/>
              <w:left w:val="nil"/>
              <w:bottom w:val="nil"/>
              <w:right w:val="nil"/>
            </w:tcBorders>
          </w:tcPr>
          <w:p>
            <w:pPr>
              <w:jc w:val="right"/>
              <w:rPr>
                <w:b/>
                <w:noProof/>
                <w:sz w:val="18"/>
              </w:rPr>
            </w:pPr>
          </w:p>
        </w:tc>
        <w:tc>
          <w:tcPr>
            <w:tcW w:w="850" w:type="dxa"/>
            <w:tcBorders>
              <w:top w:val="nil"/>
              <w:left w:val="nil"/>
              <w:bottom w:val="nil"/>
              <w:right w:val="nil"/>
            </w:tcBorders>
          </w:tcPr>
          <w:p>
            <w:pPr>
              <w:jc w:val="right"/>
              <w:rPr>
                <w:b/>
                <w:noProof/>
                <w:sz w:val="18"/>
              </w:rPr>
            </w:pPr>
          </w:p>
        </w:tc>
        <w:tc>
          <w:tcPr>
            <w:tcW w:w="425" w:type="dxa"/>
            <w:tcBorders>
              <w:top w:val="nil"/>
              <w:left w:val="nil"/>
              <w:bottom w:val="nil"/>
              <w:right w:val="nil"/>
            </w:tcBorders>
          </w:tcPr>
          <w:p>
            <w:pPr>
              <w:jc w:val="right"/>
              <w:rPr>
                <w:b/>
                <w:noProof/>
                <w:sz w:val="18"/>
              </w:rPr>
            </w:pPr>
          </w:p>
        </w:tc>
        <w:tc>
          <w:tcPr>
            <w:tcW w:w="851" w:type="dxa"/>
            <w:tcBorders>
              <w:top w:val="nil"/>
              <w:left w:val="nil"/>
              <w:bottom w:val="nil"/>
              <w:right w:val="nil"/>
            </w:tcBorders>
          </w:tcPr>
          <w:p>
            <w:pPr>
              <w:jc w:val="right"/>
              <w:rPr>
                <w:b/>
                <w:noProof/>
                <w:sz w:val="18"/>
              </w:rPr>
            </w:pPr>
          </w:p>
        </w:tc>
        <w:tc>
          <w:tcPr>
            <w:tcW w:w="425" w:type="dxa"/>
            <w:tcBorders>
              <w:top w:val="nil"/>
              <w:left w:val="nil"/>
              <w:bottom w:val="nil"/>
              <w:right w:val="nil"/>
            </w:tcBorders>
          </w:tcPr>
          <w:p>
            <w:pPr>
              <w:jc w:val="right"/>
              <w:rPr>
                <w:b/>
                <w:noProof/>
                <w:sz w:val="18"/>
              </w:rPr>
            </w:pPr>
          </w:p>
        </w:tc>
        <w:tc>
          <w:tcPr>
            <w:tcW w:w="851" w:type="dxa"/>
            <w:tcBorders>
              <w:top w:val="nil"/>
              <w:left w:val="nil"/>
              <w:bottom w:val="nil"/>
              <w:right w:val="nil"/>
            </w:tcBorders>
          </w:tcPr>
          <w:p>
            <w:pPr>
              <w:jc w:val="right"/>
              <w:rPr>
                <w:b/>
                <w:noProof/>
                <w:sz w:val="18"/>
              </w:rPr>
            </w:pPr>
          </w:p>
        </w:tc>
        <w:tc>
          <w:tcPr>
            <w:tcW w:w="708" w:type="dxa"/>
            <w:tcBorders>
              <w:top w:val="nil"/>
              <w:left w:val="nil"/>
              <w:bottom w:val="nil"/>
              <w:right w:val="nil"/>
            </w:tcBorders>
          </w:tcPr>
          <w:p>
            <w:pPr>
              <w:jc w:val="right"/>
              <w:rPr>
                <w:b/>
                <w:noProof/>
                <w:sz w:val="18"/>
              </w:rPr>
            </w:pPr>
          </w:p>
        </w:tc>
        <w:tc>
          <w:tcPr>
            <w:tcW w:w="993" w:type="dxa"/>
            <w:tcBorders>
              <w:top w:val="nil"/>
              <w:left w:val="nil"/>
              <w:bottom w:val="nil"/>
              <w:right w:val="nil"/>
            </w:tcBorders>
          </w:tcPr>
          <w:p>
            <w:pPr>
              <w:jc w:val="right"/>
              <w:rPr>
                <w:b/>
                <w:noProof/>
                <w:sz w:val="18"/>
              </w:rPr>
            </w:pPr>
          </w:p>
        </w:tc>
        <w:tc>
          <w:tcPr>
            <w:tcW w:w="906" w:type="dxa"/>
            <w:tcBorders>
              <w:top w:val="nil"/>
              <w:left w:val="nil"/>
              <w:bottom w:val="nil"/>
              <w:right w:val="nil"/>
            </w:tcBorders>
          </w:tcPr>
          <w:p>
            <w:pPr>
              <w:jc w:val="right"/>
              <w:rPr>
                <w:b/>
                <w:noProof/>
                <w:sz w:val="18"/>
              </w:rPr>
            </w:pPr>
          </w:p>
        </w:tc>
        <w:tc>
          <w:tcPr>
            <w:tcW w:w="900" w:type="dxa"/>
            <w:tcBorders>
              <w:top w:val="nil"/>
              <w:left w:val="nil"/>
              <w:bottom w:val="nil"/>
              <w:right w:val="nil"/>
            </w:tcBorders>
          </w:tcPr>
          <w:p>
            <w:pPr>
              <w:jc w:val="right"/>
              <w:rPr>
                <w:b/>
                <w:noProof/>
                <w:sz w:val="18"/>
              </w:rPr>
            </w:pPr>
          </w:p>
        </w:tc>
      </w:tr>
      <w:tr>
        <w:trPr>
          <w:gridAfter w:val="2"/>
          <w:wAfter w:w="1806" w:type="dxa"/>
          <w:trHeight w:hRule="exact" w:val="1088"/>
        </w:trPr>
        <w:tc>
          <w:tcPr>
            <w:tcW w:w="1269" w:type="dxa"/>
          </w:tcPr>
          <w:p>
            <w:pPr>
              <w:jc w:val="right"/>
              <w:rPr>
                <w:b/>
                <w:noProof/>
                <w:sz w:val="18"/>
              </w:rPr>
            </w:pPr>
            <w:r>
              <w:rPr>
                <w:b/>
                <w:noProof/>
                <w:sz w:val="18"/>
              </w:rPr>
              <w:t>- Резултат</w:t>
            </w:r>
          </w:p>
        </w:tc>
        <w:tc>
          <w:tcPr>
            <w:tcW w:w="1134" w:type="dxa"/>
          </w:tcPr>
          <w:p>
            <w:pPr>
              <w:jc w:val="left"/>
              <w:rPr>
                <w:b/>
                <w:noProof/>
                <w:sz w:val="18"/>
              </w:rPr>
            </w:pPr>
            <w:r>
              <w:rPr>
                <w:b/>
                <w:noProof/>
                <w:sz w:val="18"/>
              </w:rPr>
              <w:t>Демонстрационни/пилотни проекти*</w:t>
            </w:r>
          </w:p>
        </w:tc>
        <w:tc>
          <w:tcPr>
            <w:tcW w:w="441" w:type="dxa"/>
          </w:tcPr>
          <w:p>
            <w:pPr>
              <w:jc w:val="right"/>
              <w:rPr>
                <w:b/>
                <w:noProof/>
                <w:sz w:val="18"/>
              </w:rPr>
            </w:pPr>
          </w:p>
        </w:tc>
        <w:tc>
          <w:tcPr>
            <w:tcW w:w="410" w:type="dxa"/>
            <w:tcBorders>
              <w:right w:val="dashSmallGap" w:sz="4" w:space="0" w:color="auto"/>
            </w:tcBorders>
          </w:tcPr>
          <w:p>
            <w:pPr>
              <w:jc w:val="right"/>
              <w:rPr>
                <w:b/>
                <w:noProof/>
                <w:sz w:val="18"/>
              </w:rPr>
            </w:pPr>
            <w:r>
              <w:rPr>
                <w:b/>
                <w:noProof/>
                <w:sz w:val="18"/>
              </w:rPr>
              <w:t>3</w:t>
            </w:r>
          </w:p>
          <w:p>
            <w:pPr>
              <w:jc w:val="right"/>
              <w:rPr>
                <w:b/>
                <w:noProof/>
                <w:sz w:val="18"/>
              </w:rPr>
            </w:pPr>
          </w:p>
        </w:tc>
        <w:tc>
          <w:tcPr>
            <w:tcW w:w="850" w:type="dxa"/>
            <w:tcBorders>
              <w:left w:val="dashSmallGap" w:sz="4" w:space="0" w:color="auto"/>
            </w:tcBorders>
          </w:tcPr>
          <w:p>
            <w:pPr>
              <w:jc w:val="right"/>
              <w:rPr>
                <w:b/>
                <w:noProof/>
                <w:sz w:val="18"/>
              </w:rPr>
            </w:pPr>
            <w:r>
              <w:rPr>
                <w:b/>
                <w:noProof/>
                <w:sz w:val="18"/>
              </w:rPr>
              <w:t>20,000</w:t>
            </w:r>
          </w:p>
        </w:tc>
        <w:tc>
          <w:tcPr>
            <w:tcW w:w="426" w:type="dxa"/>
            <w:tcBorders>
              <w:right w:val="dashSmallGap" w:sz="4" w:space="0" w:color="auto"/>
            </w:tcBorders>
          </w:tcPr>
          <w:p>
            <w:pPr>
              <w:jc w:val="right"/>
              <w:rPr>
                <w:b/>
                <w:noProof/>
                <w:sz w:val="18"/>
              </w:rPr>
            </w:pPr>
            <w:r>
              <w:rPr>
                <w:b/>
                <w:noProof/>
                <w:sz w:val="18"/>
              </w:rPr>
              <w:t>3</w:t>
            </w:r>
          </w:p>
        </w:tc>
        <w:tc>
          <w:tcPr>
            <w:tcW w:w="850" w:type="dxa"/>
            <w:tcBorders>
              <w:left w:val="dashSmallGap" w:sz="4" w:space="0" w:color="auto"/>
            </w:tcBorders>
          </w:tcPr>
          <w:p>
            <w:pPr>
              <w:jc w:val="right"/>
              <w:rPr>
                <w:b/>
                <w:noProof/>
                <w:sz w:val="18"/>
              </w:rPr>
            </w:pPr>
            <w:r>
              <w:rPr>
                <w:b/>
                <w:noProof/>
                <w:sz w:val="18"/>
              </w:rPr>
              <w:t>20,000</w:t>
            </w:r>
          </w:p>
        </w:tc>
        <w:tc>
          <w:tcPr>
            <w:tcW w:w="425" w:type="dxa"/>
            <w:tcBorders>
              <w:right w:val="dashSmallGap" w:sz="4" w:space="0" w:color="auto"/>
            </w:tcBorders>
          </w:tcPr>
          <w:p>
            <w:pPr>
              <w:jc w:val="right"/>
              <w:rPr>
                <w:b/>
                <w:noProof/>
                <w:sz w:val="18"/>
              </w:rPr>
            </w:pPr>
            <w:r>
              <w:rPr>
                <w:b/>
                <w:noProof/>
                <w:sz w:val="18"/>
              </w:rPr>
              <w:t>3</w:t>
            </w:r>
          </w:p>
        </w:tc>
        <w:tc>
          <w:tcPr>
            <w:tcW w:w="851" w:type="dxa"/>
            <w:tcBorders>
              <w:left w:val="dashSmallGap" w:sz="4" w:space="0" w:color="auto"/>
            </w:tcBorders>
          </w:tcPr>
          <w:p>
            <w:pPr>
              <w:jc w:val="right"/>
              <w:rPr>
                <w:b/>
                <w:noProof/>
                <w:sz w:val="18"/>
              </w:rPr>
            </w:pPr>
            <w:r>
              <w:rPr>
                <w:b/>
                <w:noProof/>
                <w:sz w:val="18"/>
              </w:rPr>
              <w:t>20,000</w:t>
            </w:r>
          </w:p>
        </w:tc>
        <w:tc>
          <w:tcPr>
            <w:tcW w:w="425" w:type="dxa"/>
            <w:tcBorders>
              <w:right w:val="dashSmallGap" w:sz="4" w:space="0" w:color="auto"/>
            </w:tcBorders>
          </w:tcPr>
          <w:p>
            <w:pPr>
              <w:jc w:val="right"/>
              <w:rPr>
                <w:b/>
                <w:noProof/>
                <w:sz w:val="18"/>
              </w:rPr>
            </w:pPr>
            <w:r>
              <w:rPr>
                <w:b/>
                <w:noProof/>
                <w:sz w:val="18"/>
              </w:rPr>
              <w:t>4</w:t>
            </w:r>
          </w:p>
        </w:tc>
        <w:tc>
          <w:tcPr>
            <w:tcW w:w="851" w:type="dxa"/>
            <w:tcBorders>
              <w:left w:val="dashSmallGap" w:sz="4" w:space="0" w:color="auto"/>
            </w:tcBorders>
          </w:tcPr>
          <w:p>
            <w:pPr>
              <w:jc w:val="right"/>
              <w:rPr>
                <w:b/>
                <w:noProof/>
                <w:sz w:val="18"/>
              </w:rPr>
            </w:pPr>
            <w:r>
              <w:rPr>
                <w:b/>
                <w:noProof/>
                <w:sz w:val="18"/>
              </w:rPr>
              <w:t>30,000</w:t>
            </w:r>
          </w:p>
        </w:tc>
        <w:tc>
          <w:tcPr>
            <w:tcW w:w="567" w:type="dxa"/>
            <w:tcBorders>
              <w:right w:val="dashSmallGap" w:sz="4" w:space="0" w:color="auto"/>
            </w:tcBorders>
          </w:tcPr>
          <w:p>
            <w:pPr>
              <w:jc w:val="right"/>
              <w:rPr>
                <w:b/>
                <w:noProof/>
                <w:sz w:val="18"/>
              </w:rPr>
            </w:pPr>
            <w:r>
              <w:rPr>
                <w:b/>
                <w:noProof/>
                <w:sz w:val="18"/>
              </w:rPr>
              <w:t>4</w:t>
            </w:r>
          </w:p>
        </w:tc>
        <w:tc>
          <w:tcPr>
            <w:tcW w:w="850" w:type="dxa"/>
            <w:tcBorders>
              <w:left w:val="dashSmallGap" w:sz="4" w:space="0" w:color="auto"/>
            </w:tcBorders>
          </w:tcPr>
          <w:p>
            <w:pPr>
              <w:jc w:val="right"/>
              <w:rPr>
                <w:b/>
                <w:noProof/>
                <w:sz w:val="18"/>
              </w:rPr>
            </w:pPr>
            <w:r>
              <w:rPr>
                <w:b/>
                <w:noProof/>
                <w:sz w:val="18"/>
              </w:rPr>
              <w:t>30,000</w:t>
            </w:r>
          </w:p>
        </w:tc>
        <w:tc>
          <w:tcPr>
            <w:tcW w:w="425" w:type="dxa"/>
            <w:tcBorders>
              <w:right w:val="dashSmallGap" w:sz="4" w:space="0" w:color="auto"/>
            </w:tcBorders>
          </w:tcPr>
          <w:p>
            <w:pPr>
              <w:jc w:val="right"/>
              <w:rPr>
                <w:b/>
                <w:noProof/>
                <w:sz w:val="18"/>
              </w:rPr>
            </w:pPr>
            <w:r>
              <w:rPr>
                <w:b/>
                <w:noProof/>
                <w:sz w:val="18"/>
              </w:rPr>
              <w:t>6</w:t>
            </w:r>
          </w:p>
        </w:tc>
        <w:tc>
          <w:tcPr>
            <w:tcW w:w="851" w:type="dxa"/>
            <w:tcBorders>
              <w:left w:val="dashSmallGap" w:sz="4" w:space="0" w:color="auto"/>
            </w:tcBorders>
          </w:tcPr>
          <w:p>
            <w:pPr>
              <w:jc w:val="right"/>
              <w:rPr>
                <w:b/>
                <w:noProof/>
                <w:sz w:val="18"/>
              </w:rPr>
            </w:pPr>
            <w:r>
              <w:rPr>
                <w:b/>
                <w:noProof/>
                <w:sz w:val="18"/>
              </w:rPr>
              <w:t>40,000</w:t>
            </w:r>
          </w:p>
        </w:tc>
        <w:tc>
          <w:tcPr>
            <w:tcW w:w="425" w:type="dxa"/>
            <w:tcBorders>
              <w:right w:val="dashSmallGap" w:sz="4" w:space="0" w:color="auto"/>
            </w:tcBorders>
          </w:tcPr>
          <w:p>
            <w:pPr>
              <w:jc w:val="right"/>
              <w:rPr>
                <w:b/>
                <w:noProof/>
                <w:sz w:val="18"/>
              </w:rPr>
            </w:pPr>
            <w:r>
              <w:rPr>
                <w:b/>
                <w:noProof/>
                <w:sz w:val="18"/>
              </w:rPr>
              <w:t>6</w:t>
            </w:r>
          </w:p>
        </w:tc>
        <w:tc>
          <w:tcPr>
            <w:tcW w:w="851" w:type="dxa"/>
            <w:tcBorders>
              <w:left w:val="dashSmallGap" w:sz="4" w:space="0" w:color="auto"/>
            </w:tcBorders>
          </w:tcPr>
          <w:p>
            <w:pPr>
              <w:jc w:val="right"/>
              <w:rPr>
                <w:b/>
                <w:noProof/>
                <w:sz w:val="18"/>
              </w:rPr>
            </w:pPr>
            <w:r>
              <w:rPr>
                <w:b/>
                <w:noProof/>
                <w:sz w:val="18"/>
              </w:rPr>
              <w:t>40,000</w:t>
            </w:r>
          </w:p>
        </w:tc>
        <w:tc>
          <w:tcPr>
            <w:tcW w:w="708" w:type="dxa"/>
          </w:tcPr>
          <w:p>
            <w:pPr>
              <w:jc w:val="right"/>
              <w:rPr>
                <w:b/>
                <w:noProof/>
                <w:sz w:val="18"/>
              </w:rPr>
            </w:pPr>
            <w:r>
              <w:rPr>
                <w:b/>
                <w:noProof/>
                <w:sz w:val="18"/>
              </w:rPr>
              <w:t>29</w:t>
            </w:r>
          </w:p>
        </w:tc>
        <w:tc>
          <w:tcPr>
            <w:tcW w:w="993" w:type="dxa"/>
          </w:tcPr>
          <w:p>
            <w:pPr>
              <w:jc w:val="right"/>
              <w:rPr>
                <w:b/>
                <w:noProof/>
                <w:sz w:val="18"/>
              </w:rPr>
            </w:pPr>
            <w:r>
              <w:rPr>
                <w:b/>
                <w:noProof/>
                <w:sz w:val="18"/>
              </w:rPr>
              <w:t>200,000</w:t>
            </w:r>
          </w:p>
        </w:tc>
      </w:tr>
      <w:tr>
        <w:tc>
          <w:tcPr>
            <w:tcW w:w="2844" w:type="dxa"/>
            <w:gridSpan w:val="3"/>
            <w:vAlign w:val="center"/>
          </w:tcPr>
          <w:p>
            <w:pPr>
              <w:jc w:val="right"/>
              <w:rPr>
                <w:b/>
                <w:noProof/>
                <w:sz w:val="18"/>
              </w:rPr>
            </w:pPr>
            <w:r>
              <w:rPr>
                <w:b/>
                <w:noProof/>
                <w:sz w:val="18"/>
              </w:rPr>
              <w:t>КОНКРЕТНА ЦЕЛ № 2 ...</w:t>
            </w:r>
          </w:p>
        </w:tc>
        <w:tc>
          <w:tcPr>
            <w:tcW w:w="410" w:type="dxa"/>
            <w:tcBorders>
              <w:top w:val="nil"/>
              <w:left w:val="nil"/>
              <w:bottom w:val="nil"/>
              <w:right w:val="nil"/>
            </w:tcBorders>
          </w:tcPr>
          <w:p>
            <w:pPr>
              <w:jc w:val="right"/>
              <w:rPr>
                <w:b/>
                <w:noProof/>
                <w:sz w:val="18"/>
              </w:rPr>
            </w:pPr>
          </w:p>
        </w:tc>
        <w:tc>
          <w:tcPr>
            <w:tcW w:w="850" w:type="dxa"/>
            <w:tcBorders>
              <w:top w:val="nil"/>
              <w:left w:val="nil"/>
              <w:bottom w:val="nil"/>
              <w:right w:val="nil"/>
            </w:tcBorders>
          </w:tcPr>
          <w:p>
            <w:pPr>
              <w:jc w:val="right"/>
              <w:rPr>
                <w:b/>
                <w:noProof/>
                <w:sz w:val="18"/>
              </w:rPr>
            </w:pPr>
          </w:p>
        </w:tc>
        <w:tc>
          <w:tcPr>
            <w:tcW w:w="426" w:type="dxa"/>
            <w:tcBorders>
              <w:top w:val="nil"/>
              <w:left w:val="nil"/>
              <w:bottom w:val="nil"/>
              <w:right w:val="nil"/>
            </w:tcBorders>
          </w:tcPr>
          <w:p>
            <w:pPr>
              <w:jc w:val="right"/>
              <w:rPr>
                <w:b/>
                <w:noProof/>
                <w:sz w:val="18"/>
              </w:rPr>
            </w:pPr>
          </w:p>
        </w:tc>
        <w:tc>
          <w:tcPr>
            <w:tcW w:w="850" w:type="dxa"/>
            <w:tcBorders>
              <w:top w:val="nil"/>
              <w:left w:val="nil"/>
              <w:bottom w:val="nil"/>
              <w:right w:val="nil"/>
            </w:tcBorders>
          </w:tcPr>
          <w:p>
            <w:pPr>
              <w:jc w:val="right"/>
              <w:rPr>
                <w:b/>
                <w:noProof/>
                <w:sz w:val="18"/>
              </w:rPr>
            </w:pPr>
          </w:p>
        </w:tc>
        <w:tc>
          <w:tcPr>
            <w:tcW w:w="425" w:type="dxa"/>
            <w:tcBorders>
              <w:top w:val="nil"/>
              <w:left w:val="nil"/>
              <w:bottom w:val="nil"/>
              <w:right w:val="nil"/>
            </w:tcBorders>
          </w:tcPr>
          <w:p>
            <w:pPr>
              <w:jc w:val="right"/>
              <w:rPr>
                <w:b/>
                <w:noProof/>
                <w:sz w:val="18"/>
              </w:rPr>
            </w:pPr>
          </w:p>
        </w:tc>
        <w:tc>
          <w:tcPr>
            <w:tcW w:w="851" w:type="dxa"/>
            <w:tcBorders>
              <w:top w:val="nil"/>
              <w:left w:val="nil"/>
              <w:bottom w:val="nil"/>
              <w:right w:val="nil"/>
            </w:tcBorders>
          </w:tcPr>
          <w:p>
            <w:pPr>
              <w:jc w:val="right"/>
              <w:rPr>
                <w:b/>
                <w:noProof/>
                <w:sz w:val="18"/>
              </w:rPr>
            </w:pPr>
          </w:p>
        </w:tc>
        <w:tc>
          <w:tcPr>
            <w:tcW w:w="425" w:type="dxa"/>
            <w:tcBorders>
              <w:top w:val="nil"/>
              <w:left w:val="nil"/>
              <w:bottom w:val="nil"/>
              <w:right w:val="nil"/>
            </w:tcBorders>
          </w:tcPr>
          <w:p>
            <w:pPr>
              <w:jc w:val="right"/>
              <w:rPr>
                <w:b/>
                <w:noProof/>
                <w:sz w:val="18"/>
              </w:rPr>
            </w:pPr>
          </w:p>
        </w:tc>
        <w:tc>
          <w:tcPr>
            <w:tcW w:w="851" w:type="dxa"/>
            <w:tcBorders>
              <w:top w:val="nil"/>
              <w:left w:val="nil"/>
              <w:bottom w:val="nil"/>
              <w:right w:val="nil"/>
            </w:tcBorders>
          </w:tcPr>
          <w:p>
            <w:pPr>
              <w:jc w:val="right"/>
              <w:rPr>
                <w:b/>
                <w:noProof/>
                <w:sz w:val="18"/>
              </w:rPr>
            </w:pPr>
          </w:p>
        </w:tc>
        <w:tc>
          <w:tcPr>
            <w:tcW w:w="567" w:type="dxa"/>
            <w:tcBorders>
              <w:top w:val="nil"/>
              <w:left w:val="nil"/>
              <w:bottom w:val="nil"/>
              <w:right w:val="nil"/>
            </w:tcBorders>
          </w:tcPr>
          <w:p>
            <w:pPr>
              <w:jc w:val="right"/>
              <w:rPr>
                <w:b/>
                <w:noProof/>
                <w:sz w:val="18"/>
              </w:rPr>
            </w:pPr>
          </w:p>
        </w:tc>
        <w:tc>
          <w:tcPr>
            <w:tcW w:w="850" w:type="dxa"/>
            <w:tcBorders>
              <w:top w:val="nil"/>
              <w:left w:val="nil"/>
              <w:bottom w:val="nil"/>
              <w:right w:val="nil"/>
            </w:tcBorders>
          </w:tcPr>
          <w:p>
            <w:pPr>
              <w:jc w:val="right"/>
              <w:rPr>
                <w:b/>
                <w:noProof/>
                <w:sz w:val="18"/>
              </w:rPr>
            </w:pPr>
          </w:p>
        </w:tc>
        <w:tc>
          <w:tcPr>
            <w:tcW w:w="425" w:type="dxa"/>
            <w:tcBorders>
              <w:top w:val="nil"/>
              <w:left w:val="nil"/>
              <w:bottom w:val="nil"/>
              <w:right w:val="nil"/>
            </w:tcBorders>
          </w:tcPr>
          <w:p>
            <w:pPr>
              <w:jc w:val="right"/>
              <w:rPr>
                <w:b/>
                <w:noProof/>
                <w:sz w:val="18"/>
              </w:rPr>
            </w:pPr>
          </w:p>
        </w:tc>
        <w:tc>
          <w:tcPr>
            <w:tcW w:w="851" w:type="dxa"/>
            <w:tcBorders>
              <w:top w:val="nil"/>
              <w:left w:val="nil"/>
              <w:bottom w:val="nil"/>
              <w:right w:val="nil"/>
            </w:tcBorders>
          </w:tcPr>
          <w:p>
            <w:pPr>
              <w:jc w:val="right"/>
              <w:rPr>
                <w:b/>
                <w:noProof/>
                <w:sz w:val="18"/>
              </w:rPr>
            </w:pPr>
          </w:p>
        </w:tc>
        <w:tc>
          <w:tcPr>
            <w:tcW w:w="425" w:type="dxa"/>
            <w:tcBorders>
              <w:top w:val="nil"/>
              <w:left w:val="nil"/>
              <w:bottom w:val="nil"/>
              <w:right w:val="nil"/>
            </w:tcBorders>
          </w:tcPr>
          <w:p>
            <w:pPr>
              <w:jc w:val="right"/>
              <w:rPr>
                <w:b/>
                <w:noProof/>
                <w:sz w:val="18"/>
              </w:rPr>
            </w:pPr>
          </w:p>
        </w:tc>
        <w:tc>
          <w:tcPr>
            <w:tcW w:w="851" w:type="dxa"/>
            <w:tcBorders>
              <w:top w:val="nil"/>
              <w:left w:val="nil"/>
              <w:bottom w:val="nil"/>
              <w:right w:val="nil"/>
            </w:tcBorders>
          </w:tcPr>
          <w:p>
            <w:pPr>
              <w:jc w:val="right"/>
              <w:rPr>
                <w:b/>
                <w:noProof/>
                <w:sz w:val="18"/>
              </w:rPr>
            </w:pPr>
          </w:p>
        </w:tc>
        <w:tc>
          <w:tcPr>
            <w:tcW w:w="708" w:type="dxa"/>
            <w:tcBorders>
              <w:top w:val="nil"/>
              <w:left w:val="nil"/>
              <w:bottom w:val="nil"/>
              <w:right w:val="nil"/>
            </w:tcBorders>
          </w:tcPr>
          <w:p>
            <w:pPr>
              <w:jc w:val="right"/>
              <w:rPr>
                <w:b/>
                <w:noProof/>
                <w:sz w:val="18"/>
              </w:rPr>
            </w:pPr>
          </w:p>
        </w:tc>
        <w:tc>
          <w:tcPr>
            <w:tcW w:w="993" w:type="dxa"/>
            <w:tcBorders>
              <w:top w:val="nil"/>
              <w:left w:val="nil"/>
              <w:bottom w:val="nil"/>
              <w:right w:val="nil"/>
            </w:tcBorders>
          </w:tcPr>
          <w:p>
            <w:pPr>
              <w:jc w:val="right"/>
              <w:rPr>
                <w:b/>
                <w:noProof/>
                <w:sz w:val="18"/>
              </w:rPr>
            </w:pPr>
          </w:p>
        </w:tc>
        <w:tc>
          <w:tcPr>
            <w:tcW w:w="906" w:type="dxa"/>
            <w:tcBorders>
              <w:top w:val="nil"/>
              <w:left w:val="nil"/>
              <w:bottom w:val="nil"/>
              <w:right w:val="nil"/>
            </w:tcBorders>
          </w:tcPr>
          <w:p>
            <w:pPr>
              <w:jc w:val="right"/>
              <w:rPr>
                <w:b/>
                <w:noProof/>
                <w:sz w:val="18"/>
              </w:rPr>
            </w:pPr>
          </w:p>
        </w:tc>
        <w:tc>
          <w:tcPr>
            <w:tcW w:w="900" w:type="dxa"/>
            <w:tcBorders>
              <w:top w:val="nil"/>
              <w:left w:val="nil"/>
              <w:bottom w:val="nil"/>
              <w:right w:val="nil"/>
            </w:tcBorders>
          </w:tcPr>
          <w:p>
            <w:pPr>
              <w:jc w:val="right"/>
              <w:rPr>
                <w:b/>
                <w:noProof/>
                <w:sz w:val="18"/>
              </w:rPr>
            </w:pPr>
          </w:p>
        </w:tc>
      </w:tr>
      <w:tr>
        <w:trPr>
          <w:gridAfter w:val="2"/>
          <w:wAfter w:w="1806" w:type="dxa"/>
          <w:trHeight w:hRule="exact" w:val="661"/>
        </w:trPr>
        <w:tc>
          <w:tcPr>
            <w:tcW w:w="1269" w:type="dxa"/>
          </w:tcPr>
          <w:p>
            <w:pPr>
              <w:jc w:val="right"/>
              <w:rPr>
                <w:b/>
                <w:noProof/>
                <w:sz w:val="18"/>
              </w:rPr>
            </w:pPr>
            <w:r>
              <w:rPr>
                <w:b/>
                <w:noProof/>
                <w:sz w:val="18"/>
              </w:rPr>
              <w:t>- Резултат</w:t>
            </w:r>
          </w:p>
        </w:tc>
        <w:tc>
          <w:tcPr>
            <w:tcW w:w="1134" w:type="dxa"/>
          </w:tcPr>
          <w:p>
            <w:pPr>
              <w:jc w:val="right"/>
              <w:rPr>
                <w:b/>
                <w:noProof/>
                <w:sz w:val="18"/>
              </w:rPr>
            </w:pPr>
            <w:r>
              <w:rPr>
                <w:b/>
                <w:noProof/>
                <w:sz w:val="18"/>
              </w:rPr>
              <w:t>Проекти за НИРД**</w:t>
            </w:r>
          </w:p>
        </w:tc>
        <w:tc>
          <w:tcPr>
            <w:tcW w:w="441" w:type="dxa"/>
          </w:tcPr>
          <w:p>
            <w:pPr>
              <w:jc w:val="right"/>
              <w:rPr>
                <w:b/>
                <w:noProof/>
                <w:sz w:val="18"/>
              </w:rPr>
            </w:pPr>
          </w:p>
        </w:tc>
        <w:tc>
          <w:tcPr>
            <w:tcW w:w="410" w:type="dxa"/>
            <w:vAlign w:val="center"/>
          </w:tcPr>
          <w:p>
            <w:pPr>
              <w:jc w:val="right"/>
              <w:rPr>
                <w:b/>
                <w:noProof/>
                <w:sz w:val="18"/>
              </w:rPr>
            </w:pPr>
            <w:r>
              <w:rPr>
                <w:b/>
                <w:noProof/>
                <w:sz w:val="18"/>
              </w:rPr>
              <w:t>15</w:t>
            </w:r>
          </w:p>
        </w:tc>
        <w:tc>
          <w:tcPr>
            <w:tcW w:w="850" w:type="dxa"/>
            <w:vAlign w:val="center"/>
          </w:tcPr>
          <w:p>
            <w:pPr>
              <w:jc w:val="right"/>
              <w:rPr>
                <w:b/>
                <w:noProof/>
                <w:sz w:val="18"/>
              </w:rPr>
            </w:pPr>
            <w:r>
              <w:rPr>
                <w:b/>
                <w:noProof/>
                <w:sz w:val="18"/>
              </w:rPr>
              <w:t>20,000</w:t>
            </w:r>
          </w:p>
        </w:tc>
        <w:tc>
          <w:tcPr>
            <w:tcW w:w="426" w:type="dxa"/>
            <w:vAlign w:val="center"/>
          </w:tcPr>
          <w:p>
            <w:pPr>
              <w:jc w:val="right"/>
              <w:rPr>
                <w:b/>
                <w:noProof/>
                <w:sz w:val="18"/>
              </w:rPr>
            </w:pPr>
            <w:r>
              <w:rPr>
                <w:b/>
                <w:noProof/>
                <w:sz w:val="18"/>
              </w:rPr>
              <w:t>15</w:t>
            </w:r>
          </w:p>
        </w:tc>
        <w:tc>
          <w:tcPr>
            <w:tcW w:w="850" w:type="dxa"/>
            <w:vAlign w:val="center"/>
          </w:tcPr>
          <w:p>
            <w:pPr>
              <w:jc w:val="right"/>
              <w:rPr>
                <w:b/>
                <w:noProof/>
                <w:sz w:val="18"/>
              </w:rPr>
            </w:pPr>
            <w:r>
              <w:rPr>
                <w:b/>
                <w:noProof/>
                <w:sz w:val="18"/>
              </w:rPr>
              <w:t>20,000</w:t>
            </w:r>
          </w:p>
        </w:tc>
        <w:tc>
          <w:tcPr>
            <w:tcW w:w="425" w:type="dxa"/>
            <w:vAlign w:val="center"/>
          </w:tcPr>
          <w:p>
            <w:pPr>
              <w:jc w:val="right"/>
              <w:rPr>
                <w:b/>
                <w:noProof/>
                <w:sz w:val="18"/>
              </w:rPr>
            </w:pPr>
            <w:r>
              <w:rPr>
                <w:b/>
                <w:noProof/>
                <w:sz w:val="18"/>
              </w:rPr>
              <w:t>15</w:t>
            </w:r>
          </w:p>
        </w:tc>
        <w:tc>
          <w:tcPr>
            <w:tcW w:w="851" w:type="dxa"/>
            <w:vAlign w:val="center"/>
          </w:tcPr>
          <w:p>
            <w:pPr>
              <w:jc w:val="right"/>
              <w:rPr>
                <w:b/>
                <w:noProof/>
                <w:sz w:val="18"/>
              </w:rPr>
            </w:pPr>
            <w:r>
              <w:rPr>
                <w:b/>
                <w:noProof/>
                <w:sz w:val="18"/>
              </w:rPr>
              <w:t>20,000</w:t>
            </w:r>
          </w:p>
        </w:tc>
        <w:tc>
          <w:tcPr>
            <w:tcW w:w="425" w:type="dxa"/>
            <w:vAlign w:val="center"/>
          </w:tcPr>
          <w:p>
            <w:pPr>
              <w:jc w:val="right"/>
              <w:rPr>
                <w:b/>
                <w:noProof/>
                <w:sz w:val="18"/>
              </w:rPr>
            </w:pPr>
            <w:r>
              <w:rPr>
                <w:b/>
                <w:noProof/>
                <w:sz w:val="18"/>
              </w:rPr>
              <w:t>20</w:t>
            </w:r>
          </w:p>
        </w:tc>
        <w:tc>
          <w:tcPr>
            <w:tcW w:w="851" w:type="dxa"/>
            <w:vAlign w:val="center"/>
          </w:tcPr>
          <w:p>
            <w:pPr>
              <w:jc w:val="right"/>
              <w:rPr>
                <w:b/>
                <w:noProof/>
                <w:sz w:val="18"/>
              </w:rPr>
            </w:pPr>
            <w:r>
              <w:rPr>
                <w:b/>
                <w:noProof/>
                <w:sz w:val="18"/>
              </w:rPr>
              <w:t>30,000</w:t>
            </w:r>
          </w:p>
        </w:tc>
        <w:tc>
          <w:tcPr>
            <w:tcW w:w="567" w:type="dxa"/>
            <w:vAlign w:val="center"/>
          </w:tcPr>
          <w:p>
            <w:pPr>
              <w:jc w:val="right"/>
              <w:rPr>
                <w:b/>
                <w:noProof/>
                <w:sz w:val="18"/>
              </w:rPr>
            </w:pPr>
            <w:r>
              <w:rPr>
                <w:b/>
                <w:noProof/>
                <w:sz w:val="18"/>
              </w:rPr>
              <w:t>20</w:t>
            </w:r>
          </w:p>
        </w:tc>
        <w:tc>
          <w:tcPr>
            <w:tcW w:w="850" w:type="dxa"/>
            <w:vAlign w:val="center"/>
          </w:tcPr>
          <w:p>
            <w:pPr>
              <w:jc w:val="right"/>
              <w:rPr>
                <w:b/>
                <w:noProof/>
                <w:sz w:val="18"/>
              </w:rPr>
            </w:pPr>
            <w:r>
              <w:rPr>
                <w:b/>
                <w:noProof/>
                <w:sz w:val="18"/>
              </w:rPr>
              <w:t>30,000</w:t>
            </w:r>
          </w:p>
        </w:tc>
        <w:tc>
          <w:tcPr>
            <w:tcW w:w="425" w:type="dxa"/>
            <w:vAlign w:val="center"/>
          </w:tcPr>
          <w:p>
            <w:pPr>
              <w:jc w:val="right"/>
              <w:rPr>
                <w:b/>
                <w:noProof/>
                <w:sz w:val="18"/>
              </w:rPr>
            </w:pPr>
            <w:r>
              <w:rPr>
                <w:b/>
                <w:noProof/>
                <w:sz w:val="18"/>
              </w:rPr>
              <w:t>30</w:t>
            </w:r>
          </w:p>
        </w:tc>
        <w:tc>
          <w:tcPr>
            <w:tcW w:w="851" w:type="dxa"/>
            <w:vAlign w:val="center"/>
          </w:tcPr>
          <w:p>
            <w:pPr>
              <w:jc w:val="right"/>
              <w:rPr>
                <w:b/>
                <w:noProof/>
                <w:sz w:val="18"/>
              </w:rPr>
            </w:pPr>
            <w:r>
              <w:rPr>
                <w:b/>
                <w:noProof/>
                <w:sz w:val="18"/>
              </w:rPr>
              <w:t>40,000</w:t>
            </w:r>
          </w:p>
        </w:tc>
        <w:tc>
          <w:tcPr>
            <w:tcW w:w="425" w:type="dxa"/>
            <w:vAlign w:val="center"/>
          </w:tcPr>
          <w:p>
            <w:pPr>
              <w:jc w:val="right"/>
              <w:rPr>
                <w:b/>
                <w:noProof/>
                <w:sz w:val="18"/>
              </w:rPr>
            </w:pPr>
            <w:r>
              <w:rPr>
                <w:b/>
                <w:noProof/>
                <w:sz w:val="18"/>
              </w:rPr>
              <w:t>30</w:t>
            </w:r>
          </w:p>
        </w:tc>
        <w:tc>
          <w:tcPr>
            <w:tcW w:w="851" w:type="dxa"/>
            <w:vAlign w:val="center"/>
          </w:tcPr>
          <w:p>
            <w:pPr>
              <w:jc w:val="right"/>
              <w:rPr>
                <w:b/>
                <w:noProof/>
                <w:sz w:val="18"/>
              </w:rPr>
            </w:pPr>
            <w:r>
              <w:rPr>
                <w:b/>
                <w:noProof/>
                <w:sz w:val="18"/>
              </w:rPr>
              <w:t>40,000</w:t>
            </w:r>
          </w:p>
        </w:tc>
        <w:tc>
          <w:tcPr>
            <w:tcW w:w="708" w:type="dxa"/>
            <w:vAlign w:val="center"/>
          </w:tcPr>
          <w:p>
            <w:pPr>
              <w:jc w:val="right"/>
              <w:rPr>
                <w:b/>
                <w:noProof/>
                <w:sz w:val="18"/>
              </w:rPr>
            </w:pPr>
            <w:r>
              <w:rPr>
                <w:b/>
                <w:noProof/>
                <w:sz w:val="18"/>
              </w:rPr>
              <w:t>145</w:t>
            </w:r>
          </w:p>
        </w:tc>
        <w:tc>
          <w:tcPr>
            <w:tcW w:w="993" w:type="dxa"/>
            <w:vAlign w:val="center"/>
          </w:tcPr>
          <w:p>
            <w:pPr>
              <w:jc w:val="right"/>
              <w:rPr>
                <w:b/>
                <w:noProof/>
                <w:sz w:val="18"/>
              </w:rPr>
            </w:pPr>
            <w:r>
              <w:rPr>
                <w:b/>
                <w:noProof/>
                <w:sz w:val="18"/>
              </w:rPr>
              <w:t>200,000</w:t>
            </w:r>
          </w:p>
        </w:tc>
      </w:tr>
      <w:tr>
        <w:trPr>
          <w:gridAfter w:val="2"/>
          <w:wAfter w:w="1806" w:type="dxa"/>
        </w:trPr>
        <w:tc>
          <w:tcPr>
            <w:tcW w:w="2844" w:type="dxa"/>
            <w:gridSpan w:val="3"/>
            <w:tcBorders>
              <w:top w:val="single" w:sz="12" w:space="0" w:color="auto"/>
              <w:left w:val="single" w:sz="12" w:space="0" w:color="auto"/>
              <w:bottom w:val="single" w:sz="12" w:space="0" w:color="auto"/>
            </w:tcBorders>
            <w:vAlign w:val="center"/>
          </w:tcPr>
          <w:p>
            <w:pPr>
              <w:jc w:val="right"/>
              <w:rPr>
                <w:b/>
                <w:noProof/>
                <w:sz w:val="18"/>
              </w:rPr>
            </w:pPr>
            <w:r>
              <w:rPr>
                <w:b/>
                <w:noProof/>
                <w:sz w:val="18"/>
              </w:rPr>
              <w:t>ОБЩО РАЗХОДИ</w:t>
            </w:r>
          </w:p>
        </w:tc>
        <w:tc>
          <w:tcPr>
            <w:tcW w:w="410" w:type="dxa"/>
            <w:tcBorders>
              <w:top w:val="single" w:sz="12" w:space="0" w:color="auto"/>
              <w:bottom w:val="single" w:sz="12" w:space="0" w:color="auto"/>
            </w:tcBorders>
          </w:tcPr>
          <w:p>
            <w:pPr>
              <w:jc w:val="right"/>
              <w:rPr>
                <w:b/>
                <w:noProof/>
                <w:sz w:val="18"/>
              </w:rPr>
            </w:pPr>
            <w:r>
              <w:rPr>
                <w:b/>
                <w:noProof/>
                <w:sz w:val="18"/>
              </w:rPr>
              <w:t>18</w:t>
            </w:r>
          </w:p>
        </w:tc>
        <w:tc>
          <w:tcPr>
            <w:tcW w:w="850" w:type="dxa"/>
            <w:tcBorders>
              <w:top w:val="single" w:sz="12" w:space="0" w:color="auto"/>
              <w:bottom w:val="single" w:sz="12" w:space="0" w:color="auto"/>
            </w:tcBorders>
          </w:tcPr>
          <w:p>
            <w:pPr>
              <w:jc w:val="right"/>
              <w:rPr>
                <w:b/>
                <w:noProof/>
                <w:sz w:val="18"/>
              </w:rPr>
            </w:pPr>
            <w:r>
              <w:rPr>
                <w:b/>
                <w:noProof/>
                <w:sz w:val="18"/>
              </w:rPr>
              <w:t>40,000</w:t>
            </w:r>
          </w:p>
        </w:tc>
        <w:tc>
          <w:tcPr>
            <w:tcW w:w="426" w:type="dxa"/>
            <w:tcBorders>
              <w:top w:val="single" w:sz="12" w:space="0" w:color="auto"/>
              <w:bottom w:val="single" w:sz="12" w:space="0" w:color="auto"/>
            </w:tcBorders>
          </w:tcPr>
          <w:p>
            <w:pPr>
              <w:jc w:val="right"/>
              <w:rPr>
                <w:b/>
                <w:noProof/>
                <w:sz w:val="18"/>
              </w:rPr>
            </w:pPr>
            <w:r>
              <w:rPr>
                <w:b/>
                <w:noProof/>
                <w:sz w:val="18"/>
              </w:rPr>
              <w:t>18</w:t>
            </w:r>
          </w:p>
        </w:tc>
        <w:tc>
          <w:tcPr>
            <w:tcW w:w="850" w:type="dxa"/>
            <w:tcBorders>
              <w:top w:val="single" w:sz="12" w:space="0" w:color="auto"/>
              <w:bottom w:val="single" w:sz="12" w:space="0" w:color="auto"/>
            </w:tcBorders>
          </w:tcPr>
          <w:p>
            <w:pPr>
              <w:jc w:val="right"/>
              <w:rPr>
                <w:b/>
                <w:noProof/>
                <w:sz w:val="18"/>
              </w:rPr>
            </w:pPr>
            <w:r>
              <w:rPr>
                <w:b/>
                <w:noProof/>
                <w:sz w:val="18"/>
              </w:rPr>
              <w:t>40,000</w:t>
            </w:r>
          </w:p>
        </w:tc>
        <w:tc>
          <w:tcPr>
            <w:tcW w:w="425" w:type="dxa"/>
            <w:tcBorders>
              <w:top w:val="single" w:sz="12" w:space="0" w:color="auto"/>
              <w:bottom w:val="single" w:sz="12" w:space="0" w:color="auto"/>
            </w:tcBorders>
          </w:tcPr>
          <w:p>
            <w:pPr>
              <w:jc w:val="right"/>
              <w:rPr>
                <w:b/>
                <w:noProof/>
                <w:sz w:val="18"/>
              </w:rPr>
            </w:pPr>
            <w:r>
              <w:rPr>
                <w:b/>
                <w:noProof/>
                <w:sz w:val="18"/>
              </w:rPr>
              <w:t>19</w:t>
            </w:r>
          </w:p>
        </w:tc>
        <w:tc>
          <w:tcPr>
            <w:tcW w:w="851" w:type="dxa"/>
            <w:tcBorders>
              <w:top w:val="single" w:sz="12" w:space="0" w:color="auto"/>
              <w:bottom w:val="single" w:sz="12" w:space="0" w:color="auto"/>
            </w:tcBorders>
          </w:tcPr>
          <w:p>
            <w:pPr>
              <w:jc w:val="right"/>
              <w:rPr>
                <w:b/>
                <w:noProof/>
                <w:sz w:val="18"/>
              </w:rPr>
            </w:pPr>
            <w:r>
              <w:rPr>
                <w:b/>
                <w:noProof/>
                <w:sz w:val="18"/>
              </w:rPr>
              <w:t>55,000</w:t>
            </w:r>
          </w:p>
        </w:tc>
        <w:tc>
          <w:tcPr>
            <w:tcW w:w="425" w:type="dxa"/>
            <w:tcBorders>
              <w:top w:val="single" w:sz="12" w:space="0" w:color="auto"/>
              <w:bottom w:val="single" w:sz="12" w:space="0" w:color="auto"/>
            </w:tcBorders>
          </w:tcPr>
          <w:p>
            <w:pPr>
              <w:jc w:val="right"/>
              <w:rPr>
                <w:b/>
                <w:noProof/>
                <w:sz w:val="18"/>
              </w:rPr>
            </w:pPr>
            <w:r>
              <w:rPr>
                <w:b/>
                <w:noProof/>
                <w:sz w:val="18"/>
              </w:rPr>
              <w:t>24</w:t>
            </w:r>
          </w:p>
        </w:tc>
        <w:tc>
          <w:tcPr>
            <w:tcW w:w="851" w:type="dxa"/>
            <w:tcBorders>
              <w:top w:val="single" w:sz="12" w:space="0" w:color="auto"/>
              <w:bottom w:val="single" w:sz="12" w:space="0" w:color="auto"/>
            </w:tcBorders>
          </w:tcPr>
          <w:p>
            <w:pPr>
              <w:jc w:val="right"/>
              <w:rPr>
                <w:b/>
                <w:noProof/>
                <w:sz w:val="18"/>
              </w:rPr>
            </w:pPr>
            <w:r>
              <w:rPr>
                <w:b/>
                <w:noProof/>
                <w:sz w:val="18"/>
              </w:rPr>
              <w:t>65,000</w:t>
            </w:r>
          </w:p>
        </w:tc>
        <w:tc>
          <w:tcPr>
            <w:tcW w:w="567" w:type="dxa"/>
            <w:tcBorders>
              <w:top w:val="single" w:sz="12" w:space="0" w:color="auto"/>
              <w:bottom w:val="single" w:sz="12" w:space="0" w:color="auto"/>
            </w:tcBorders>
          </w:tcPr>
          <w:p>
            <w:pPr>
              <w:jc w:val="right"/>
              <w:rPr>
                <w:b/>
                <w:noProof/>
                <w:sz w:val="18"/>
              </w:rPr>
            </w:pPr>
            <w:r>
              <w:rPr>
                <w:b/>
                <w:noProof/>
                <w:sz w:val="18"/>
              </w:rPr>
              <w:t>24</w:t>
            </w:r>
          </w:p>
        </w:tc>
        <w:tc>
          <w:tcPr>
            <w:tcW w:w="850" w:type="dxa"/>
            <w:tcBorders>
              <w:top w:val="single" w:sz="12" w:space="0" w:color="auto"/>
              <w:bottom w:val="single" w:sz="12" w:space="0" w:color="auto"/>
            </w:tcBorders>
          </w:tcPr>
          <w:p>
            <w:pPr>
              <w:jc w:val="right"/>
              <w:rPr>
                <w:b/>
                <w:noProof/>
                <w:sz w:val="18"/>
              </w:rPr>
            </w:pPr>
            <w:r>
              <w:rPr>
                <w:b/>
                <w:noProof/>
                <w:sz w:val="18"/>
              </w:rPr>
              <w:t>65,000</w:t>
            </w:r>
          </w:p>
        </w:tc>
        <w:tc>
          <w:tcPr>
            <w:tcW w:w="425" w:type="dxa"/>
            <w:tcBorders>
              <w:top w:val="single" w:sz="12" w:space="0" w:color="auto"/>
              <w:bottom w:val="single" w:sz="12" w:space="0" w:color="auto"/>
            </w:tcBorders>
          </w:tcPr>
          <w:p>
            <w:pPr>
              <w:jc w:val="right"/>
              <w:rPr>
                <w:b/>
                <w:noProof/>
                <w:sz w:val="18"/>
              </w:rPr>
            </w:pPr>
            <w:r>
              <w:rPr>
                <w:b/>
                <w:noProof/>
                <w:sz w:val="18"/>
              </w:rPr>
              <w:t>36</w:t>
            </w:r>
          </w:p>
        </w:tc>
        <w:tc>
          <w:tcPr>
            <w:tcW w:w="851" w:type="dxa"/>
            <w:tcBorders>
              <w:top w:val="single" w:sz="12" w:space="0" w:color="auto"/>
              <w:bottom w:val="single" w:sz="12" w:space="0" w:color="auto"/>
            </w:tcBorders>
          </w:tcPr>
          <w:p>
            <w:pPr>
              <w:jc w:val="right"/>
              <w:rPr>
                <w:b/>
                <w:noProof/>
                <w:sz w:val="18"/>
              </w:rPr>
            </w:pPr>
            <w:r>
              <w:rPr>
                <w:b/>
                <w:noProof/>
                <w:sz w:val="18"/>
              </w:rPr>
              <w:t>67,500</w:t>
            </w:r>
          </w:p>
        </w:tc>
        <w:tc>
          <w:tcPr>
            <w:tcW w:w="425" w:type="dxa"/>
            <w:tcBorders>
              <w:top w:val="single" w:sz="12" w:space="0" w:color="auto"/>
              <w:bottom w:val="single" w:sz="12" w:space="0" w:color="auto"/>
            </w:tcBorders>
          </w:tcPr>
          <w:p>
            <w:pPr>
              <w:jc w:val="right"/>
              <w:rPr>
                <w:b/>
                <w:noProof/>
                <w:sz w:val="18"/>
              </w:rPr>
            </w:pPr>
            <w:r>
              <w:rPr>
                <w:b/>
                <w:noProof/>
                <w:sz w:val="18"/>
              </w:rPr>
              <w:t>36</w:t>
            </w:r>
          </w:p>
        </w:tc>
        <w:tc>
          <w:tcPr>
            <w:tcW w:w="851" w:type="dxa"/>
            <w:tcBorders>
              <w:top w:val="single" w:sz="12" w:space="0" w:color="auto"/>
              <w:bottom w:val="single" w:sz="12" w:space="0" w:color="auto"/>
            </w:tcBorders>
          </w:tcPr>
          <w:p>
            <w:pPr>
              <w:jc w:val="right"/>
              <w:rPr>
                <w:b/>
                <w:noProof/>
                <w:sz w:val="18"/>
              </w:rPr>
            </w:pPr>
            <w:r>
              <w:rPr>
                <w:b/>
                <w:noProof/>
                <w:sz w:val="18"/>
              </w:rPr>
              <w:t>67,500</w:t>
            </w:r>
          </w:p>
        </w:tc>
        <w:tc>
          <w:tcPr>
            <w:tcW w:w="708" w:type="dxa"/>
            <w:tcBorders>
              <w:top w:val="single" w:sz="12" w:space="0" w:color="auto"/>
              <w:bottom w:val="single" w:sz="12" w:space="0" w:color="auto"/>
            </w:tcBorders>
          </w:tcPr>
          <w:p>
            <w:pPr>
              <w:jc w:val="right"/>
              <w:rPr>
                <w:b/>
                <w:noProof/>
                <w:sz w:val="18"/>
              </w:rPr>
            </w:pPr>
            <w:r>
              <w:rPr>
                <w:b/>
                <w:noProof/>
                <w:sz w:val="18"/>
              </w:rPr>
              <w:t>175</w:t>
            </w:r>
          </w:p>
        </w:tc>
        <w:tc>
          <w:tcPr>
            <w:tcW w:w="993" w:type="dxa"/>
            <w:tcBorders>
              <w:top w:val="single" w:sz="12" w:space="0" w:color="auto"/>
              <w:bottom w:val="single" w:sz="12" w:space="0" w:color="auto"/>
              <w:right w:val="single" w:sz="12" w:space="0" w:color="auto"/>
            </w:tcBorders>
          </w:tcPr>
          <w:p>
            <w:pPr>
              <w:jc w:val="right"/>
              <w:rPr>
                <w:b/>
                <w:noProof/>
                <w:sz w:val="18"/>
              </w:rPr>
            </w:pPr>
            <w:r>
              <w:rPr>
                <w:b/>
                <w:noProof/>
                <w:sz w:val="18"/>
              </w:rPr>
              <w:t>400,000</w:t>
            </w:r>
          </w:p>
        </w:tc>
      </w:tr>
    </w:tbl>
    <w:p>
      <w:pPr>
        <w:jc w:val="left"/>
        <w:rPr>
          <w:b/>
          <w:noProof/>
          <w:sz w:val="18"/>
        </w:rPr>
      </w:pPr>
      <w:r>
        <w:rPr>
          <w:b/>
          <w:noProof/>
          <w:sz w:val="18"/>
        </w:rPr>
        <w:t>*   Участие на ЕС, използвано за 10 демонстрационни проекта със средна цена между 10 и 15 милиона евро и 20 пилотни проекта със средна цена от 2,5 милиона евро на проект.</w:t>
      </w:r>
    </w:p>
    <w:p>
      <w:pPr>
        <w:jc w:val="left"/>
        <w:rPr>
          <w:noProof/>
        </w:rPr>
        <w:sectPr>
          <w:pgSz w:w="16840" w:h="11907" w:orient="landscape" w:code="9"/>
          <w:pgMar w:top="1134" w:right="1418" w:bottom="567" w:left="1418" w:header="709" w:footer="709" w:gutter="0"/>
          <w:cols w:space="708"/>
          <w:docGrid w:linePitch="360"/>
        </w:sectPr>
      </w:pPr>
      <w:r>
        <w:rPr>
          <w:b/>
          <w:noProof/>
          <w:sz w:val="18"/>
        </w:rPr>
        <w:t>** Участие на участващите държави, използвано за проекти със средна цена от 1 до 1,5 милиона евро.</w:t>
      </w:r>
    </w:p>
    <w:p>
      <w:pPr>
        <w:pStyle w:val="ManualHeading3"/>
        <w:rPr>
          <w:bCs/>
          <w:noProof/>
          <w:szCs w:val="24"/>
        </w:rPr>
      </w:pPr>
      <w:r>
        <w:t>3.2.3.</w:t>
      </w:r>
      <w:r>
        <w:tab/>
      </w:r>
      <w:r>
        <w:rPr>
          <w:noProof/>
        </w:rPr>
        <w:t>Очаквано отражение върху бюджетните кредити за административни разходи</w:t>
      </w:r>
    </w:p>
    <w:p>
      <w:pPr>
        <w:pStyle w:val="ManualHeading4"/>
        <w:rPr>
          <w:noProof/>
        </w:rPr>
      </w:pPr>
      <w:r>
        <w:t>3.2.3.1.</w:t>
      </w:r>
      <w:r>
        <w:tab/>
      </w:r>
      <w:r>
        <w:rPr>
          <w:noProof/>
        </w:rPr>
        <w:t xml:space="preserve">Обобщение </w:t>
      </w:r>
    </w:p>
    <w:p>
      <w:pPr>
        <w:pStyle w:val="ListDash1"/>
        <w:rPr>
          <w:noProof/>
        </w:rPr>
      </w:pPr>
      <w:r>
        <w:rPr>
          <w:noProof/>
        </w:rPr>
        <w:sym w:font="Wingdings" w:char="F0A8"/>
      </w:r>
      <w:r>
        <w:rPr>
          <w:noProof/>
        </w:rPr>
        <w:tab/>
        <w:t xml:space="preserve">Предложението/инициативата не налага използване на бюджетни кредити за административни разходи </w:t>
      </w:r>
    </w:p>
    <w:p>
      <w:pPr>
        <w:pStyle w:val="ListDash1"/>
        <w:rPr>
          <w:noProof/>
        </w:rPr>
      </w:pPr>
      <w:r>
        <w:rPr>
          <w:noProof/>
        </w:rPr>
        <w:sym w:font="Wingdings" w:char="F078"/>
      </w:r>
      <w:r>
        <w:rPr>
          <w:noProof/>
        </w:rPr>
        <w:tab/>
        <w:t>Предложението/инициативата налага използване на бюджетни кредити за административни разходи съгласно обяснението по-долу:</w:t>
      </w:r>
    </w:p>
    <w:p>
      <w:pPr>
        <w:rPr>
          <w:noProof/>
          <w:sz w:val="16"/>
        </w:rPr>
      </w:pPr>
      <w:r>
        <w:rPr>
          <w:noProof/>
          <w:sz w:val="20"/>
        </w:rPr>
        <w:t xml:space="preserve">млн. EUR (до третия знак след десетичната запетая) </w:t>
      </w:r>
    </w:p>
    <w:tbl>
      <w:tblPr>
        <w:tblW w:w="7380" w:type="dxa"/>
        <w:jc w:val="center"/>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tblGrid>
      <w:tr>
        <w:trPr>
          <w:trHeight w:val="585"/>
          <w:jc w:val="center"/>
        </w:trPr>
        <w:tc>
          <w:tcPr>
            <w:tcW w:w="1980" w:type="dxa"/>
          </w:tcPr>
          <w:p>
            <w:pPr>
              <w:rPr>
                <w:noProof/>
                <w:sz w:val="16"/>
              </w:rPr>
            </w:pPr>
          </w:p>
        </w:tc>
        <w:tc>
          <w:tcPr>
            <w:tcW w:w="1080" w:type="dxa"/>
            <w:vAlign w:val="center"/>
          </w:tcPr>
          <w:p>
            <w:pPr>
              <w:rPr>
                <w:noProof/>
                <w:sz w:val="16"/>
              </w:rPr>
            </w:pPr>
            <w:r>
              <w:rPr>
                <w:noProof/>
                <w:sz w:val="16"/>
              </w:rPr>
              <w:t>Година</w:t>
            </w:r>
            <w:r>
              <w:rPr>
                <w:noProof/>
                <w:sz w:val="16"/>
              </w:rPr>
              <w:br/>
            </w:r>
            <w:r>
              <w:rPr>
                <w:b/>
                <w:noProof/>
                <w:sz w:val="16"/>
              </w:rPr>
              <w:t xml:space="preserve">2018 </w:t>
            </w:r>
          </w:p>
        </w:tc>
        <w:tc>
          <w:tcPr>
            <w:tcW w:w="1080" w:type="dxa"/>
            <w:vAlign w:val="center"/>
          </w:tcPr>
          <w:p>
            <w:pPr>
              <w:rPr>
                <w:noProof/>
                <w:sz w:val="16"/>
              </w:rPr>
            </w:pPr>
            <w:r>
              <w:rPr>
                <w:noProof/>
                <w:sz w:val="16"/>
              </w:rPr>
              <w:t>Година</w:t>
            </w:r>
            <w:r>
              <w:rPr>
                <w:noProof/>
                <w:sz w:val="16"/>
              </w:rPr>
              <w:br/>
            </w:r>
            <w:r>
              <w:rPr>
                <w:b/>
                <w:noProof/>
                <w:sz w:val="16"/>
              </w:rPr>
              <w:t>2019</w:t>
            </w:r>
          </w:p>
        </w:tc>
        <w:tc>
          <w:tcPr>
            <w:tcW w:w="1080" w:type="dxa"/>
            <w:vAlign w:val="center"/>
          </w:tcPr>
          <w:p>
            <w:pPr>
              <w:rPr>
                <w:noProof/>
                <w:sz w:val="16"/>
              </w:rPr>
            </w:pPr>
            <w:r>
              <w:rPr>
                <w:noProof/>
                <w:sz w:val="16"/>
              </w:rPr>
              <w:t>Година</w:t>
            </w:r>
            <w:r>
              <w:rPr>
                <w:noProof/>
                <w:sz w:val="16"/>
              </w:rPr>
              <w:br/>
            </w:r>
            <w:r>
              <w:rPr>
                <w:b/>
                <w:noProof/>
                <w:sz w:val="16"/>
              </w:rPr>
              <w:t>2020</w:t>
            </w:r>
          </w:p>
        </w:tc>
        <w:tc>
          <w:tcPr>
            <w:tcW w:w="1080" w:type="dxa"/>
            <w:vAlign w:val="center"/>
          </w:tcPr>
          <w:p>
            <w:pPr>
              <w:rPr>
                <w:noProof/>
                <w:sz w:val="16"/>
              </w:rPr>
            </w:pPr>
            <w:r>
              <w:rPr>
                <w:noProof/>
                <w:sz w:val="16"/>
              </w:rPr>
              <w:t>Година</w:t>
            </w:r>
            <w:r>
              <w:rPr>
                <w:noProof/>
                <w:sz w:val="16"/>
              </w:rPr>
              <w:br/>
            </w:r>
            <w:r>
              <w:rPr>
                <w:b/>
                <w:noProof/>
                <w:sz w:val="16"/>
              </w:rPr>
              <w:t>2021 – 2029</w:t>
            </w:r>
          </w:p>
        </w:tc>
        <w:tc>
          <w:tcPr>
            <w:tcW w:w="1080" w:type="dxa"/>
            <w:vAlign w:val="center"/>
          </w:tcPr>
          <w:p>
            <w:pPr>
              <w:rPr>
                <w:b/>
                <w:noProof/>
                <w:sz w:val="16"/>
              </w:rPr>
            </w:pPr>
            <w:r>
              <w:rPr>
                <w:b/>
                <w:noProof/>
                <w:sz w:val="16"/>
              </w:rPr>
              <w:t>ОБЩО</w:t>
            </w:r>
          </w:p>
        </w:tc>
      </w:tr>
    </w:tbl>
    <w:p>
      <w:pPr>
        <w:rPr>
          <w:noProof/>
          <w:sz w:val="16"/>
        </w:rPr>
      </w:pPr>
    </w:p>
    <w:tbl>
      <w:tblPr>
        <w:tblW w:w="7380" w:type="dxa"/>
        <w:jc w:val="center"/>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tblGrid>
      <w:tr>
        <w:trPr>
          <w:trHeight w:val="585"/>
          <w:jc w:val="center"/>
        </w:trPr>
        <w:tc>
          <w:tcPr>
            <w:tcW w:w="1980" w:type="dxa"/>
            <w:shd w:val="clear" w:color="auto" w:fill="CCCCCC"/>
            <w:vAlign w:val="center"/>
          </w:tcPr>
          <w:p>
            <w:pPr>
              <w:rPr>
                <w:b/>
                <w:noProof/>
                <w:sz w:val="16"/>
              </w:rPr>
            </w:pPr>
            <w:r>
              <w:rPr>
                <w:b/>
                <w:noProof/>
                <w:sz w:val="16"/>
              </w:rPr>
              <w:t>ФУНКЦИЯ 5</w:t>
            </w:r>
            <w:r>
              <w:rPr>
                <w:noProof/>
                <w:sz w:val="16"/>
              </w:rPr>
              <w:br/>
            </w:r>
            <w:r>
              <w:rPr>
                <w:b/>
                <w:noProof/>
                <w:sz w:val="16"/>
              </w:rPr>
              <w:t>от многогодишната финансова рамка</w:t>
            </w:r>
          </w:p>
        </w:tc>
        <w:tc>
          <w:tcPr>
            <w:tcW w:w="1080" w:type="dxa"/>
            <w:vAlign w:val="center"/>
          </w:tcPr>
          <w:p>
            <w:pPr>
              <w:rPr>
                <w:noProof/>
                <w:sz w:val="16"/>
              </w:rPr>
            </w:pPr>
          </w:p>
        </w:tc>
        <w:tc>
          <w:tcPr>
            <w:tcW w:w="1080" w:type="dxa"/>
            <w:vAlign w:val="center"/>
          </w:tcPr>
          <w:p>
            <w:pPr>
              <w:rPr>
                <w:noProof/>
                <w:sz w:val="16"/>
              </w:rPr>
            </w:pPr>
          </w:p>
        </w:tc>
        <w:tc>
          <w:tcPr>
            <w:tcW w:w="1080" w:type="dxa"/>
            <w:vAlign w:val="center"/>
          </w:tcPr>
          <w:p>
            <w:pPr>
              <w:rPr>
                <w:noProof/>
                <w:sz w:val="16"/>
              </w:rPr>
            </w:pPr>
          </w:p>
        </w:tc>
        <w:tc>
          <w:tcPr>
            <w:tcW w:w="1080" w:type="dxa"/>
            <w:vAlign w:val="center"/>
          </w:tcPr>
          <w:p>
            <w:pPr>
              <w:rPr>
                <w:noProof/>
                <w:sz w:val="16"/>
              </w:rPr>
            </w:pPr>
          </w:p>
        </w:tc>
        <w:tc>
          <w:tcPr>
            <w:tcW w:w="1080" w:type="dxa"/>
            <w:vAlign w:val="center"/>
          </w:tcPr>
          <w:p>
            <w:pPr>
              <w:rPr>
                <w:b/>
                <w:noProof/>
                <w:sz w:val="16"/>
              </w:rPr>
            </w:pPr>
          </w:p>
        </w:tc>
      </w:tr>
      <w:tr>
        <w:trPr>
          <w:trHeight w:val="585"/>
          <w:jc w:val="center"/>
        </w:trPr>
        <w:tc>
          <w:tcPr>
            <w:tcW w:w="1980" w:type="dxa"/>
            <w:vAlign w:val="center"/>
          </w:tcPr>
          <w:p>
            <w:pPr>
              <w:rPr>
                <w:noProof/>
                <w:sz w:val="16"/>
              </w:rPr>
            </w:pPr>
            <w:r>
              <w:rPr>
                <w:noProof/>
                <w:sz w:val="16"/>
              </w:rPr>
              <w:t xml:space="preserve">Човешки ресурси </w:t>
            </w:r>
          </w:p>
        </w:tc>
        <w:tc>
          <w:tcPr>
            <w:tcW w:w="1080" w:type="dxa"/>
            <w:vAlign w:val="center"/>
          </w:tcPr>
          <w:p>
            <w:pPr>
              <w:rPr>
                <w:noProof/>
                <w:sz w:val="16"/>
              </w:rPr>
            </w:pPr>
          </w:p>
        </w:tc>
        <w:tc>
          <w:tcPr>
            <w:tcW w:w="1080" w:type="dxa"/>
            <w:vAlign w:val="center"/>
          </w:tcPr>
          <w:p>
            <w:pPr>
              <w:rPr>
                <w:noProof/>
                <w:sz w:val="16"/>
              </w:rPr>
            </w:pPr>
          </w:p>
        </w:tc>
        <w:tc>
          <w:tcPr>
            <w:tcW w:w="1080" w:type="dxa"/>
            <w:vAlign w:val="center"/>
          </w:tcPr>
          <w:p>
            <w:pPr>
              <w:rPr>
                <w:noProof/>
                <w:sz w:val="16"/>
              </w:rPr>
            </w:pPr>
          </w:p>
        </w:tc>
        <w:tc>
          <w:tcPr>
            <w:tcW w:w="1080" w:type="dxa"/>
            <w:vAlign w:val="center"/>
          </w:tcPr>
          <w:p>
            <w:pPr>
              <w:rPr>
                <w:noProof/>
                <w:sz w:val="16"/>
              </w:rPr>
            </w:pPr>
          </w:p>
        </w:tc>
        <w:tc>
          <w:tcPr>
            <w:tcW w:w="1080" w:type="dxa"/>
            <w:vAlign w:val="center"/>
          </w:tcPr>
          <w:p>
            <w:pPr>
              <w:rPr>
                <w:b/>
                <w:noProof/>
                <w:sz w:val="16"/>
              </w:rPr>
            </w:pPr>
          </w:p>
        </w:tc>
      </w:tr>
      <w:tr>
        <w:trPr>
          <w:trHeight w:val="585"/>
          <w:jc w:val="center"/>
        </w:trPr>
        <w:tc>
          <w:tcPr>
            <w:tcW w:w="1980" w:type="dxa"/>
            <w:vAlign w:val="center"/>
          </w:tcPr>
          <w:p>
            <w:pPr>
              <w:rPr>
                <w:noProof/>
                <w:sz w:val="16"/>
              </w:rPr>
            </w:pPr>
            <w:r>
              <w:rPr>
                <w:noProof/>
                <w:sz w:val="16"/>
              </w:rPr>
              <w:t xml:space="preserve">Други административни разходи </w:t>
            </w:r>
          </w:p>
        </w:tc>
        <w:tc>
          <w:tcPr>
            <w:tcW w:w="1080" w:type="dxa"/>
            <w:vAlign w:val="center"/>
          </w:tcPr>
          <w:p>
            <w:pPr>
              <w:rPr>
                <w:noProof/>
                <w:sz w:val="16"/>
              </w:rPr>
            </w:pPr>
          </w:p>
        </w:tc>
        <w:tc>
          <w:tcPr>
            <w:tcW w:w="1080" w:type="dxa"/>
            <w:vAlign w:val="center"/>
          </w:tcPr>
          <w:p>
            <w:pPr>
              <w:rPr>
                <w:noProof/>
                <w:sz w:val="16"/>
              </w:rPr>
            </w:pPr>
          </w:p>
        </w:tc>
        <w:tc>
          <w:tcPr>
            <w:tcW w:w="1080" w:type="dxa"/>
            <w:vAlign w:val="center"/>
          </w:tcPr>
          <w:p>
            <w:pPr>
              <w:rPr>
                <w:noProof/>
                <w:sz w:val="16"/>
              </w:rPr>
            </w:pPr>
          </w:p>
        </w:tc>
        <w:tc>
          <w:tcPr>
            <w:tcW w:w="1080" w:type="dxa"/>
            <w:vAlign w:val="center"/>
          </w:tcPr>
          <w:p>
            <w:pPr>
              <w:rPr>
                <w:noProof/>
                <w:sz w:val="16"/>
              </w:rPr>
            </w:pPr>
          </w:p>
        </w:tc>
        <w:tc>
          <w:tcPr>
            <w:tcW w:w="1080" w:type="dxa"/>
            <w:vAlign w:val="center"/>
          </w:tcPr>
          <w:p>
            <w:pPr>
              <w:rPr>
                <w:b/>
                <w:noProof/>
                <w:sz w:val="16"/>
              </w:rPr>
            </w:pPr>
          </w:p>
        </w:tc>
      </w:tr>
      <w:tr>
        <w:trPr>
          <w:trHeight w:val="585"/>
          <w:jc w:val="center"/>
        </w:trPr>
        <w:tc>
          <w:tcPr>
            <w:tcW w:w="1980" w:type="dxa"/>
            <w:shd w:val="clear" w:color="auto" w:fill="CCCCCC"/>
            <w:vAlign w:val="center"/>
          </w:tcPr>
          <w:p>
            <w:pPr>
              <w:rPr>
                <w:b/>
                <w:noProof/>
                <w:sz w:val="16"/>
              </w:rPr>
            </w:pPr>
            <w:r>
              <w:rPr>
                <w:b/>
                <w:noProof/>
                <w:sz w:val="16"/>
              </w:rPr>
              <w:t>Междинен сбор за ФУНКЦИЯ 5</w:t>
            </w:r>
            <w:r>
              <w:rPr>
                <w:noProof/>
                <w:sz w:val="16"/>
              </w:rPr>
              <w:br/>
            </w:r>
            <w:r>
              <w:rPr>
                <w:b/>
                <w:noProof/>
                <w:sz w:val="16"/>
              </w:rPr>
              <w:t xml:space="preserve">от многогодишната финансова рамка </w:t>
            </w:r>
          </w:p>
        </w:tc>
        <w:tc>
          <w:tcPr>
            <w:tcW w:w="1080" w:type="dxa"/>
            <w:vAlign w:val="center"/>
          </w:tcPr>
          <w:p>
            <w:pPr>
              <w:rPr>
                <w:noProof/>
                <w:sz w:val="16"/>
              </w:rPr>
            </w:pPr>
          </w:p>
        </w:tc>
        <w:tc>
          <w:tcPr>
            <w:tcW w:w="1080" w:type="dxa"/>
            <w:vAlign w:val="center"/>
          </w:tcPr>
          <w:p>
            <w:pPr>
              <w:rPr>
                <w:noProof/>
                <w:sz w:val="16"/>
              </w:rPr>
            </w:pPr>
          </w:p>
        </w:tc>
        <w:tc>
          <w:tcPr>
            <w:tcW w:w="1080" w:type="dxa"/>
            <w:vAlign w:val="center"/>
          </w:tcPr>
          <w:p>
            <w:pPr>
              <w:rPr>
                <w:noProof/>
                <w:sz w:val="16"/>
              </w:rPr>
            </w:pPr>
          </w:p>
        </w:tc>
        <w:tc>
          <w:tcPr>
            <w:tcW w:w="1080" w:type="dxa"/>
            <w:vAlign w:val="center"/>
          </w:tcPr>
          <w:p>
            <w:pPr>
              <w:rPr>
                <w:noProof/>
                <w:sz w:val="16"/>
              </w:rPr>
            </w:pPr>
          </w:p>
        </w:tc>
        <w:tc>
          <w:tcPr>
            <w:tcW w:w="1080" w:type="dxa"/>
            <w:vAlign w:val="center"/>
          </w:tcPr>
          <w:p>
            <w:pPr>
              <w:rPr>
                <w:b/>
                <w:noProof/>
                <w:sz w:val="16"/>
              </w:rPr>
            </w:pPr>
          </w:p>
        </w:tc>
      </w:tr>
    </w:tbl>
    <w:p>
      <w:pPr>
        <w:rPr>
          <w:noProof/>
          <w:sz w:val="16"/>
        </w:rPr>
      </w:pPr>
    </w:p>
    <w:tbl>
      <w:tblPr>
        <w:tblW w:w="7380" w:type="dxa"/>
        <w:jc w:val="center"/>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tblGrid>
      <w:tr>
        <w:trPr>
          <w:trHeight w:val="585"/>
          <w:jc w:val="center"/>
        </w:trPr>
        <w:tc>
          <w:tcPr>
            <w:tcW w:w="1980" w:type="dxa"/>
            <w:shd w:val="clear" w:color="auto" w:fill="CCCCCC"/>
            <w:vAlign w:val="center"/>
          </w:tcPr>
          <w:p>
            <w:pPr>
              <w:rPr>
                <w:noProof/>
                <w:sz w:val="16"/>
              </w:rPr>
            </w:pPr>
            <w:r>
              <w:rPr>
                <w:b/>
                <w:noProof/>
                <w:sz w:val="16"/>
              </w:rPr>
              <w:t>Междинна сума извън ФУНКЦИЯ 5</w:t>
            </w:r>
            <w:r>
              <w:rPr>
                <w:rStyle w:val="FootnoteReference"/>
                <w:noProof/>
              </w:rPr>
              <w:footnoteReference w:id="22"/>
            </w:r>
            <w:r>
              <w:rPr>
                <w:noProof/>
                <w:sz w:val="16"/>
              </w:rPr>
              <w:br/>
            </w:r>
            <w:r>
              <w:rPr>
                <w:b/>
                <w:noProof/>
                <w:sz w:val="16"/>
              </w:rPr>
              <w:t xml:space="preserve">от многогодишната финансова рамка </w:t>
            </w:r>
          </w:p>
          <w:p>
            <w:pPr>
              <w:rPr>
                <w:b/>
                <w:noProof/>
                <w:sz w:val="16"/>
              </w:rPr>
            </w:pPr>
          </w:p>
        </w:tc>
        <w:tc>
          <w:tcPr>
            <w:tcW w:w="1080" w:type="dxa"/>
            <w:vAlign w:val="center"/>
          </w:tcPr>
          <w:p>
            <w:pPr>
              <w:rPr>
                <w:noProof/>
                <w:sz w:val="16"/>
              </w:rPr>
            </w:pPr>
          </w:p>
        </w:tc>
        <w:tc>
          <w:tcPr>
            <w:tcW w:w="1080" w:type="dxa"/>
            <w:vAlign w:val="center"/>
          </w:tcPr>
          <w:p>
            <w:pPr>
              <w:rPr>
                <w:noProof/>
                <w:sz w:val="16"/>
              </w:rPr>
            </w:pPr>
          </w:p>
        </w:tc>
        <w:tc>
          <w:tcPr>
            <w:tcW w:w="1080" w:type="dxa"/>
            <w:vAlign w:val="center"/>
          </w:tcPr>
          <w:p>
            <w:pPr>
              <w:rPr>
                <w:noProof/>
                <w:sz w:val="16"/>
              </w:rPr>
            </w:pPr>
          </w:p>
        </w:tc>
        <w:tc>
          <w:tcPr>
            <w:tcW w:w="1080" w:type="dxa"/>
            <w:vAlign w:val="center"/>
          </w:tcPr>
          <w:p>
            <w:pPr>
              <w:rPr>
                <w:noProof/>
                <w:sz w:val="16"/>
              </w:rPr>
            </w:pPr>
          </w:p>
        </w:tc>
        <w:tc>
          <w:tcPr>
            <w:tcW w:w="1080" w:type="dxa"/>
            <w:vAlign w:val="center"/>
          </w:tcPr>
          <w:p>
            <w:pPr>
              <w:rPr>
                <w:b/>
                <w:noProof/>
                <w:sz w:val="16"/>
              </w:rPr>
            </w:pPr>
          </w:p>
        </w:tc>
      </w:tr>
      <w:tr>
        <w:trPr>
          <w:trHeight w:val="585"/>
          <w:jc w:val="center"/>
        </w:trPr>
        <w:tc>
          <w:tcPr>
            <w:tcW w:w="1980" w:type="dxa"/>
            <w:vAlign w:val="center"/>
          </w:tcPr>
          <w:p>
            <w:pPr>
              <w:rPr>
                <w:noProof/>
                <w:sz w:val="16"/>
              </w:rPr>
            </w:pPr>
            <w:r>
              <w:rPr>
                <w:noProof/>
                <w:sz w:val="16"/>
              </w:rPr>
              <w:t xml:space="preserve">Човешки ресурси </w:t>
            </w:r>
          </w:p>
        </w:tc>
        <w:tc>
          <w:tcPr>
            <w:tcW w:w="1080" w:type="dxa"/>
            <w:vAlign w:val="center"/>
          </w:tcPr>
          <w:p>
            <w:pPr>
              <w:rPr>
                <w:noProof/>
                <w:sz w:val="16"/>
              </w:rPr>
            </w:pPr>
            <w:r>
              <w:rPr>
                <w:noProof/>
                <w:sz w:val="16"/>
              </w:rPr>
              <w:t>0,204</w:t>
            </w:r>
          </w:p>
        </w:tc>
        <w:tc>
          <w:tcPr>
            <w:tcW w:w="1080" w:type="dxa"/>
            <w:vAlign w:val="center"/>
          </w:tcPr>
          <w:p>
            <w:pPr>
              <w:rPr>
                <w:noProof/>
                <w:sz w:val="16"/>
              </w:rPr>
            </w:pPr>
            <w:r>
              <w:rPr>
                <w:noProof/>
                <w:sz w:val="16"/>
              </w:rPr>
              <w:t>0,208</w:t>
            </w:r>
          </w:p>
        </w:tc>
        <w:tc>
          <w:tcPr>
            <w:tcW w:w="1080" w:type="dxa"/>
            <w:vAlign w:val="center"/>
          </w:tcPr>
          <w:p>
            <w:pPr>
              <w:rPr>
                <w:noProof/>
                <w:sz w:val="16"/>
              </w:rPr>
            </w:pPr>
            <w:r>
              <w:rPr>
                <w:noProof/>
                <w:sz w:val="16"/>
              </w:rPr>
              <w:t>0,212</w:t>
            </w:r>
          </w:p>
        </w:tc>
        <w:tc>
          <w:tcPr>
            <w:tcW w:w="1080" w:type="dxa"/>
            <w:vAlign w:val="center"/>
          </w:tcPr>
          <w:p>
            <w:pPr>
              <w:rPr>
                <w:noProof/>
                <w:sz w:val="16"/>
              </w:rPr>
            </w:pPr>
          </w:p>
        </w:tc>
        <w:tc>
          <w:tcPr>
            <w:tcW w:w="1080" w:type="dxa"/>
            <w:vAlign w:val="center"/>
          </w:tcPr>
          <w:p>
            <w:pPr>
              <w:rPr>
                <w:b/>
                <w:noProof/>
                <w:sz w:val="16"/>
              </w:rPr>
            </w:pPr>
            <w:r>
              <w:rPr>
                <w:b/>
                <w:noProof/>
                <w:sz w:val="16"/>
              </w:rPr>
              <w:t>0,624</w:t>
            </w:r>
          </w:p>
        </w:tc>
      </w:tr>
      <w:tr>
        <w:trPr>
          <w:trHeight w:val="585"/>
          <w:jc w:val="center"/>
        </w:trPr>
        <w:tc>
          <w:tcPr>
            <w:tcW w:w="1980" w:type="dxa"/>
            <w:vAlign w:val="center"/>
          </w:tcPr>
          <w:p>
            <w:pPr>
              <w:rPr>
                <w:noProof/>
                <w:sz w:val="16"/>
              </w:rPr>
            </w:pPr>
            <w:r>
              <w:rPr>
                <w:noProof/>
                <w:sz w:val="16"/>
              </w:rPr>
              <w:t xml:space="preserve">Други разходи </w:t>
            </w:r>
            <w:r>
              <w:rPr>
                <w:noProof/>
                <w:sz w:val="16"/>
              </w:rPr>
              <w:br/>
              <w:t>с административен характер</w:t>
            </w:r>
          </w:p>
        </w:tc>
        <w:tc>
          <w:tcPr>
            <w:tcW w:w="1080" w:type="dxa"/>
            <w:vAlign w:val="center"/>
          </w:tcPr>
          <w:p>
            <w:pPr>
              <w:rPr>
                <w:noProof/>
                <w:sz w:val="16"/>
              </w:rPr>
            </w:pPr>
            <w:r>
              <w:rPr>
                <w:noProof/>
                <w:sz w:val="16"/>
              </w:rPr>
              <w:t>0,018</w:t>
            </w:r>
          </w:p>
        </w:tc>
        <w:tc>
          <w:tcPr>
            <w:tcW w:w="1080" w:type="dxa"/>
            <w:vAlign w:val="center"/>
          </w:tcPr>
          <w:p>
            <w:pPr>
              <w:rPr>
                <w:noProof/>
                <w:sz w:val="16"/>
              </w:rPr>
            </w:pPr>
            <w:r>
              <w:rPr>
                <w:noProof/>
                <w:sz w:val="16"/>
              </w:rPr>
              <w:t>0,018</w:t>
            </w:r>
          </w:p>
        </w:tc>
        <w:tc>
          <w:tcPr>
            <w:tcW w:w="1080" w:type="dxa"/>
            <w:vAlign w:val="center"/>
          </w:tcPr>
          <w:p>
            <w:pPr>
              <w:rPr>
                <w:noProof/>
                <w:sz w:val="16"/>
              </w:rPr>
            </w:pPr>
            <w:r>
              <w:rPr>
                <w:noProof/>
                <w:sz w:val="16"/>
              </w:rPr>
              <w:t>0,018</w:t>
            </w:r>
          </w:p>
        </w:tc>
        <w:tc>
          <w:tcPr>
            <w:tcW w:w="1080" w:type="dxa"/>
            <w:vAlign w:val="center"/>
          </w:tcPr>
          <w:p>
            <w:pPr>
              <w:rPr>
                <w:noProof/>
                <w:sz w:val="16"/>
              </w:rPr>
            </w:pPr>
          </w:p>
        </w:tc>
        <w:tc>
          <w:tcPr>
            <w:tcW w:w="1080" w:type="dxa"/>
            <w:vAlign w:val="center"/>
          </w:tcPr>
          <w:p>
            <w:pPr>
              <w:rPr>
                <w:b/>
                <w:noProof/>
                <w:sz w:val="16"/>
              </w:rPr>
            </w:pPr>
            <w:r>
              <w:rPr>
                <w:b/>
                <w:noProof/>
                <w:sz w:val="16"/>
              </w:rPr>
              <w:t>0,054</w:t>
            </w:r>
          </w:p>
        </w:tc>
      </w:tr>
      <w:tr>
        <w:trPr>
          <w:trHeight w:val="585"/>
          <w:jc w:val="center"/>
        </w:trPr>
        <w:tc>
          <w:tcPr>
            <w:tcW w:w="1980" w:type="dxa"/>
            <w:shd w:val="clear" w:color="auto" w:fill="CCCCCC"/>
            <w:vAlign w:val="center"/>
          </w:tcPr>
          <w:p>
            <w:pPr>
              <w:rPr>
                <w:b/>
                <w:noProof/>
                <w:sz w:val="16"/>
              </w:rPr>
            </w:pPr>
            <w:r>
              <w:rPr>
                <w:b/>
                <w:noProof/>
                <w:sz w:val="16"/>
              </w:rPr>
              <w:t xml:space="preserve">Междинен сбор </w:t>
            </w:r>
            <w:r>
              <w:rPr>
                <w:noProof/>
                <w:sz w:val="16"/>
              </w:rPr>
              <w:br/>
            </w:r>
            <w:r>
              <w:rPr>
                <w:b/>
                <w:noProof/>
                <w:sz w:val="16"/>
              </w:rPr>
              <w:t>извън ФУНКЦИЯ 5</w:t>
            </w:r>
            <w:r>
              <w:rPr>
                <w:noProof/>
                <w:sz w:val="16"/>
              </w:rPr>
              <w:br/>
            </w:r>
            <w:r>
              <w:rPr>
                <w:b/>
                <w:noProof/>
                <w:sz w:val="16"/>
              </w:rPr>
              <w:t xml:space="preserve">от многогодишната финансова рамка </w:t>
            </w:r>
          </w:p>
        </w:tc>
        <w:tc>
          <w:tcPr>
            <w:tcW w:w="1080" w:type="dxa"/>
            <w:vAlign w:val="center"/>
          </w:tcPr>
          <w:p>
            <w:pPr>
              <w:rPr>
                <w:noProof/>
                <w:sz w:val="16"/>
              </w:rPr>
            </w:pPr>
            <w:r>
              <w:rPr>
                <w:noProof/>
                <w:sz w:val="16"/>
              </w:rPr>
              <w:t>0,222</w:t>
            </w:r>
          </w:p>
        </w:tc>
        <w:tc>
          <w:tcPr>
            <w:tcW w:w="1080" w:type="dxa"/>
            <w:vAlign w:val="center"/>
          </w:tcPr>
          <w:p>
            <w:pPr>
              <w:rPr>
                <w:noProof/>
                <w:sz w:val="16"/>
              </w:rPr>
            </w:pPr>
            <w:r>
              <w:rPr>
                <w:noProof/>
                <w:sz w:val="16"/>
              </w:rPr>
              <w:t>0,226</w:t>
            </w:r>
          </w:p>
        </w:tc>
        <w:tc>
          <w:tcPr>
            <w:tcW w:w="1080" w:type="dxa"/>
            <w:vAlign w:val="center"/>
          </w:tcPr>
          <w:p>
            <w:pPr>
              <w:rPr>
                <w:noProof/>
                <w:sz w:val="16"/>
              </w:rPr>
            </w:pPr>
            <w:r>
              <w:rPr>
                <w:noProof/>
                <w:sz w:val="16"/>
              </w:rPr>
              <w:t>0,230</w:t>
            </w:r>
          </w:p>
        </w:tc>
        <w:tc>
          <w:tcPr>
            <w:tcW w:w="1080" w:type="dxa"/>
            <w:vAlign w:val="center"/>
          </w:tcPr>
          <w:p>
            <w:pPr>
              <w:rPr>
                <w:noProof/>
                <w:sz w:val="16"/>
              </w:rPr>
            </w:pPr>
          </w:p>
        </w:tc>
        <w:tc>
          <w:tcPr>
            <w:tcW w:w="1080" w:type="dxa"/>
            <w:vAlign w:val="center"/>
          </w:tcPr>
          <w:p>
            <w:pPr>
              <w:rPr>
                <w:b/>
                <w:noProof/>
                <w:sz w:val="16"/>
              </w:rPr>
            </w:pPr>
            <w:r>
              <w:rPr>
                <w:b/>
                <w:noProof/>
                <w:sz w:val="16"/>
              </w:rPr>
              <w:t>0,678</w:t>
            </w:r>
          </w:p>
        </w:tc>
      </w:tr>
    </w:tbl>
    <w:p>
      <w:pPr>
        <w:rPr>
          <w:noProof/>
          <w:sz w:val="16"/>
        </w:rPr>
      </w:pPr>
    </w:p>
    <w:tbl>
      <w:tblPr>
        <w:tblW w:w="7380" w:type="dxa"/>
        <w:jc w:val="center"/>
        <w:tblInd w:w="-612" w:type="dxa"/>
        <w:tblLayout w:type="fixed"/>
        <w:tblLook w:val="01E0" w:firstRow="1" w:lastRow="1" w:firstColumn="1" w:lastColumn="1" w:noHBand="0" w:noVBand="0"/>
      </w:tblPr>
      <w:tblGrid>
        <w:gridCol w:w="1980"/>
        <w:gridCol w:w="1080"/>
        <w:gridCol w:w="1080"/>
        <w:gridCol w:w="1080"/>
        <w:gridCol w:w="1080"/>
        <w:gridCol w:w="1080"/>
      </w:tblGrid>
      <w:tr>
        <w:trPr>
          <w:trHeight w:val="585"/>
          <w:jc w:val="center"/>
        </w:trPr>
        <w:tc>
          <w:tcPr>
            <w:tcW w:w="1980" w:type="dxa"/>
            <w:tcBorders>
              <w:top w:val="single" w:sz="12" w:space="0" w:color="auto"/>
              <w:left w:val="single" w:sz="12" w:space="0" w:color="auto"/>
              <w:bottom w:val="single" w:sz="12" w:space="0" w:color="auto"/>
              <w:right w:val="single" w:sz="2" w:space="0" w:color="auto"/>
            </w:tcBorders>
            <w:vAlign w:val="center"/>
          </w:tcPr>
          <w:p>
            <w:pPr>
              <w:rPr>
                <w:noProof/>
                <w:sz w:val="16"/>
              </w:rPr>
            </w:pPr>
            <w:r>
              <w:rPr>
                <w:b/>
                <w:noProof/>
                <w:sz w:val="16"/>
              </w:rPr>
              <w:t>ОБЩО</w:t>
            </w:r>
          </w:p>
        </w:tc>
        <w:tc>
          <w:tcPr>
            <w:tcW w:w="1080" w:type="dxa"/>
            <w:tcBorders>
              <w:top w:val="single" w:sz="12" w:space="0" w:color="auto"/>
              <w:left w:val="single" w:sz="2" w:space="0" w:color="auto"/>
              <w:bottom w:val="single" w:sz="12" w:space="0" w:color="auto"/>
              <w:right w:val="single" w:sz="2" w:space="0" w:color="auto"/>
            </w:tcBorders>
            <w:vAlign w:val="center"/>
          </w:tcPr>
          <w:p>
            <w:pPr>
              <w:rPr>
                <w:b/>
                <w:noProof/>
                <w:sz w:val="16"/>
              </w:rPr>
            </w:pPr>
            <w:r>
              <w:rPr>
                <w:noProof/>
                <w:sz w:val="16"/>
              </w:rPr>
              <w:t>0,222</w:t>
            </w:r>
          </w:p>
        </w:tc>
        <w:tc>
          <w:tcPr>
            <w:tcW w:w="1080" w:type="dxa"/>
            <w:tcBorders>
              <w:top w:val="single" w:sz="12" w:space="0" w:color="auto"/>
              <w:left w:val="single" w:sz="2" w:space="0" w:color="auto"/>
              <w:bottom w:val="single" w:sz="12" w:space="0" w:color="auto"/>
              <w:right w:val="single" w:sz="2" w:space="0" w:color="auto"/>
            </w:tcBorders>
            <w:vAlign w:val="center"/>
          </w:tcPr>
          <w:p>
            <w:pPr>
              <w:rPr>
                <w:b/>
                <w:noProof/>
                <w:sz w:val="16"/>
              </w:rPr>
            </w:pPr>
            <w:r>
              <w:rPr>
                <w:noProof/>
                <w:sz w:val="16"/>
              </w:rPr>
              <w:t>0,226</w:t>
            </w:r>
          </w:p>
        </w:tc>
        <w:tc>
          <w:tcPr>
            <w:tcW w:w="1080" w:type="dxa"/>
            <w:tcBorders>
              <w:top w:val="single" w:sz="12" w:space="0" w:color="auto"/>
              <w:left w:val="single" w:sz="2" w:space="0" w:color="auto"/>
              <w:bottom w:val="single" w:sz="12" w:space="0" w:color="auto"/>
              <w:right w:val="single" w:sz="2" w:space="0" w:color="auto"/>
            </w:tcBorders>
            <w:vAlign w:val="center"/>
          </w:tcPr>
          <w:p>
            <w:pPr>
              <w:rPr>
                <w:b/>
                <w:noProof/>
                <w:sz w:val="16"/>
              </w:rPr>
            </w:pPr>
            <w:r>
              <w:rPr>
                <w:noProof/>
                <w:sz w:val="16"/>
              </w:rPr>
              <w:t>0,230</w:t>
            </w:r>
          </w:p>
        </w:tc>
        <w:tc>
          <w:tcPr>
            <w:tcW w:w="1080" w:type="dxa"/>
            <w:tcBorders>
              <w:top w:val="single" w:sz="12" w:space="0" w:color="auto"/>
              <w:left w:val="single" w:sz="2" w:space="0" w:color="auto"/>
              <w:bottom w:val="single" w:sz="12" w:space="0" w:color="auto"/>
              <w:right w:val="single" w:sz="2" w:space="0" w:color="auto"/>
            </w:tcBorders>
            <w:vAlign w:val="center"/>
          </w:tcPr>
          <w:p>
            <w:pPr>
              <w:rPr>
                <w:b/>
                <w:noProof/>
                <w:sz w:val="16"/>
              </w:rPr>
            </w:pPr>
          </w:p>
        </w:tc>
        <w:tc>
          <w:tcPr>
            <w:tcW w:w="1080" w:type="dxa"/>
            <w:tcBorders>
              <w:top w:val="single" w:sz="12" w:space="0" w:color="auto"/>
              <w:left w:val="single" w:sz="2" w:space="0" w:color="auto"/>
              <w:bottom w:val="single" w:sz="12" w:space="0" w:color="auto"/>
              <w:right w:val="single" w:sz="12" w:space="0" w:color="auto"/>
            </w:tcBorders>
            <w:vAlign w:val="center"/>
          </w:tcPr>
          <w:p>
            <w:pPr>
              <w:rPr>
                <w:b/>
                <w:noProof/>
                <w:sz w:val="16"/>
              </w:rPr>
            </w:pPr>
            <w:r>
              <w:rPr>
                <w:b/>
                <w:noProof/>
                <w:sz w:val="16"/>
              </w:rPr>
              <w:t>0,678</w:t>
            </w:r>
          </w:p>
        </w:tc>
      </w:tr>
    </w:tbl>
    <w:p>
      <w:pPr>
        <w:jc w:val="left"/>
        <w:rPr>
          <w:noProof/>
          <w:sz w:val="18"/>
        </w:rPr>
        <w:sectPr>
          <w:headerReference w:type="default" r:id="rId18"/>
          <w:footerReference w:type="default" r:id="rId19"/>
          <w:headerReference w:type="first" r:id="rId20"/>
          <w:footerReference w:type="first" r:id="rId21"/>
          <w:pgSz w:w="11907" w:h="16840"/>
          <w:pgMar w:top="1134" w:right="1418" w:bottom="1134" w:left="1418" w:header="709" w:footer="709" w:gutter="0"/>
          <w:cols w:space="708"/>
          <w:docGrid w:linePitch="360"/>
        </w:sectPr>
      </w:pPr>
      <w:r>
        <w:rPr>
          <w:noProof/>
          <w:sz w:val="18"/>
        </w:rPr>
        <w:t>Нуждите от бюджетни кредити за човешки ресурси и за другите разходи с административен характер ще бъдат покрити с бюджетните кредити на ГД, които вече са отпуснати за управлението на дейността и/или които са преразпределени в рамките на ГД, при необходимост заедно с всички допълнителни ресурси, които могат да бъдат предоставени на управляващата ГД в рамките на годишната процедура за отпускане на средства и като се имат предвид бюджетните ограничения.</w:t>
      </w:r>
    </w:p>
    <w:p>
      <w:pPr>
        <w:pStyle w:val="ManualHeading4"/>
        <w:rPr>
          <w:bCs/>
          <w:noProof/>
          <w:szCs w:val="24"/>
        </w:rPr>
      </w:pPr>
      <w:r>
        <w:t>3.2.3.2.</w:t>
      </w:r>
      <w:r>
        <w:tab/>
      </w:r>
      <w:r>
        <w:rPr>
          <w:noProof/>
        </w:rPr>
        <w:t>Очаквани нужди от човешки ресурси</w:t>
      </w:r>
    </w:p>
    <w:p>
      <w:pPr>
        <w:pStyle w:val="ListDash1"/>
        <w:rPr>
          <w:noProof/>
        </w:rPr>
      </w:pPr>
      <w:r>
        <w:rPr>
          <w:noProof/>
        </w:rPr>
        <w:sym w:font="Wingdings" w:char="F0A8"/>
      </w:r>
      <w:r>
        <w:rPr>
          <w:noProof/>
        </w:rPr>
        <w:tab/>
        <w:t xml:space="preserve">Предложението/инициативата не налага използване на човешки ресурси. </w:t>
      </w:r>
    </w:p>
    <w:p>
      <w:pPr>
        <w:pStyle w:val="ListDash1"/>
        <w:rPr>
          <w:noProof/>
        </w:rPr>
      </w:pPr>
      <w:r>
        <w:rPr>
          <w:noProof/>
        </w:rPr>
        <w:sym w:font="Wingdings" w:char="F0A8"/>
      </w:r>
      <w:r>
        <w:rPr>
          <w:noProof/>
        </w:rPr>
        <w:tab/>
        <w:t>Предложението/инициативата налага използване на човешки ресурси съгласно обяснението по-долу:</w:t>
      </w:r>
    </w:p>
    <w:p>
      <w:pPr>
        <w:spacing w:after="60"/>
        <w:jc w:val="right"/>
        <w:rPr>
          <w:i/>
          <w:noProof/>
          <w:sz w:val="20"/>
        </w:rPr>
      </w:pPr>
      <w:r>
        <w:rPr>
          <w:i/>
          <w:noProof/>
          <w:sz w:val="20"/>
        </w:rPr>
        <w:t>Оценката се посочва в еквиваленти на пълно работно време</w:t>
      </w:r>
    </w:p>
    <w:p>
      <w:pPr>
        <w:pStyle w:val="Text1"/>
        <w:rPr>
          <w:i/>
          <w:noProof/>
          <w:sz w:val="16"/>
        </w:rPr>
      </w:pPr>
    </w:p>
    <w:tbl>
      <w:tblPr>
        <w:tblW w:w="3188"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323"/>
        <w:gridCol w:w="1612"/>
        <w:gridCol w:w="2746"/>
        <w:gridCol w:w="1202"/>
        <w:gridCol w:w="1202"/>
        <w:gridCol w:w="1202"/>
      </w:tblGrid>
      <w:tr>
        <w:trPr>
          <w:trHeight w:val="289"/>
        </w:trPr>
        <w:tc>
          <w:tcPr>
            <w:tcW w:w="2809" w:type="pct"/>
            <w:gridSpan w:val="3"/>
          </w:tcPr>
          <w:p>
            <w:pPr>
              <w:pStyle w:val="Text1"/>
              <w:numPr>
                <w:ilvl w:val="0"/>
                <w:numId w:val="21"/>
              </w:numPr>
              <w:rPr>
                <w:i/>
                <w:noProof/>
                <w:sz w:val="16"/>
              </w:rPr>
            </w:pPr>
          </w:p>
        </w:tc>
        <w:tc>
          <w:tcPr>
            <w:tcW w:w="698" w:type="pct"/>
            <w:vAlign w:val="center"/>
          </w:tcPr>
          <w:p>
            <w:pPr>
              <w:pStyle w:val="Text1"/>
              <w:rPr>
                <w:noProof/>
                <w:sz w:val="16"/>
              </w:rPr>
            </w:pPr>
            <w:r>
              <w:rPr>
                <w:noProof/>
                <w:sz w:val="16"/>
              </w:rPr>
              <w:t>Година</w:t>
            </w:r>
          </w:p>
          <w:p>
            <w:pPr>
              <w:pStyle w:val="Text1"/>
              <w:rPr>
                <w:b/>
                <w:noProof/>
                <w:sz w:val="16"/>
              </w:rPr>
            </w:pPr>
            <w:r>
              <w:rPr>
                <w:b/>
                <w:noProof/>
                <w:sz w:val="16"/>
              </w:rPr>
              <w:t>2018</w:t>
            </w:r>
          </w:p>
        </w:tc>
        <w:tc>
          <w:tcPr>
            <w:tcW w:w="706" w:type="pct"/>
          </w:tcPr>
          <w:p>
            <w:pPr>
              <w:pStyle w:val="Text1"/>
              <w:rPr>
                <w:noProof/>
                <w:sz w:val="16"/>
              </w:rPr>
            </w:pPr>
            <w:r>
              <w:rPr>
                <w:noProof/>
                <w:sz w:val="16"/>
              </w:rPr>
              <w:t>Година</w:t>
            </w:r>
          </w:p>
          <w:p>
            <w:pPr>
              <w:pStyle w:val="Text1"/>
              <w:rPr>
                <w:noProof/>
                <w:sz w:val="16"/>
              </w:rPr>
            </w:pPr>
            <w:r>
              <w:rPr>
                <w:b/>
                <w:noProof/>
                <w:sz w:val="16"/>
              </w:rPr>
              <w:t>2019</w:t>
            </w:r>
          </w:p>
        </w:tc>
        <w:tc>
          <w:tcPr>
            <w:tcW w:w="706" w:type="pct"/>
          </w:tcPr>
          <w:p>
            <w:pPr>
              <w:pStyle w:val="Text1"/>
              <w:rPr>
                <w:noProof/>
                <w:sz w:val="16"/>
              </w:rPr>
            </w:pPr>
            <w:r>
              <w:rPr>
                <w:noProof/>
                <w:sz w:val="16"/>
              </w:rPr>
              <w:t>Година</w:t>
            </w:r>
          </w:p>
          <w:p>
            <w:pPr>
              <w:pStyle w:val="Text1"/>
              <w:rPr>
                <w:noProof/>
                <w:sz w:val="16"/>
              </w:rPr>
            </w:pPr>
            <w:r>
              <w:rPr>
                <w:b/>
                <w:noProof/>
                <w:sz w:val="16"/>
              </w:rPr>
              <w:t>2020</w:t>
            </w:r>
          </w:p>
        </w:tc>
      </w:tr>
      <w:tr>
        <w:trPr>
          <w:trHeight w:val="248"/>
        </w:trPr>
        <w:tc>
          <w:tcPr>
            <w:tcW w:w="627" w:type="pct"/>
          </w:tcPr>
          <w:p>
            <w:pPr>
              <w:pStyle w:val="Text1"/>
              <w:numPr>
                <w:ilvl w:val="0"/>
                <w:numId w:val="21"/>
              </w:numPr>
              <w:rPr>
                <w:b/>
                <w:noProof/>
                <w:sz w:val="16"/>
              </w:rPr>
            </w:pPr>
          </w:p>
        </w:tc>
        <w:tc>
          <w:tcPr>
            <w:tcW w:w="4373" w:type="pct"/>
            <w:gridSpan w:val="5"/>
          </w:tcPr>
          <w:p>
            <w:pPr>
              <w:pStyle w:val="Text1"/>
              <w:numPr>
                <w:ilvl w:val="0"/>
                <w:numId w:val="21"/>
              </w:numPr>
              <w:rPr>
                <w:noProof/>
                <w:sz w:val="16"/>
              </w:rPr>
            </w:pPr>
            <w:r>
              <w:rPr>
                <w:b/>
                <w:noProof/>
                <w:sz w:val="16"/>
              </w:rPr>
              <w:sym w:font="Wingdings" w:char="F09F"/>
            </w:r>
            <w:r>
              <w:rPr>
                <w:b/>
                <w:noProof/>
                <w:sz w:val="16"/>
              </w:rPr>
              <w:t xml:space="preserve"> Длъжности в щатното разписание (длъжностни лица и временно наети лица)</w:t>
            </w:r>
          </w:p>
        </w:tc>
      </w:tr>
      <w:tr>
        <w:trPr>
          <w:trHeight w:val="289"/>
        </w:trPr>
        <w:tc>
          <w:tcPr>
            <w:tcW w:w="2809" w:type="pct"/>
            <w:gridSpan w:val="3"/>
          </w:tcPr>
          <w:p>
            <w:pPr>
              <w:pStyle w:val="Text1"/>
              <w:numPr>
                <w:ilvl w:val="0"/>
                <w:numId w:val="21"/>
              </w:numPr>
              <w:rPr>
                <w:noProof/>
                <w:sz w:val="16"/>
              </w:rPr>
            </w:pPr>
            <w:r>
              <w:rPr>
                <w:noProof/>
                <w:sz w:val="16"/>
              </w:rPr>
              <w:t>08 01 01 01 (Централа и представителства на Комисията)</w:t>
            </w:r>
          </w:p>
        </w:tc>
        <w:tc>
          <w:tcPr>
            <w:tcW w:w="698" w:type="pct"/>
          </w:tcPr>
          <w:p>
            <w:pPr>
              <w:pStyle w:val="Text1"/>
              <w:rPr>
                <w:noProof/>
                <w:sz w:val="16"/>
              </w:rPr>
            </w:pPr>
          </w:p>
        </w:tc>
        <w:tc>
          <w:tcPr>
            <w:tcW w:w="706" w:type="pct"/>
          </w:tcPr>
          <w:p>
            <w:pPr>
              <w:pStyle w:val="Text1"/>
              <w:rPr>
                <w:noProof/>
                <w:sz w:val="16"/>
              </w:rPr>
            </w:pPr>
          </w:p>
        </w:tc>
        <w:tc>
          <w:tcPr>
            <w:tcW w:w="706" w:type="pct"/>
          </w:tcPr>
          <w:p>
            <w:pPr>
              <w:pStyle w:val="Text1"/>
              <w:rPr>
                <w:noProof/>
                <w:sz w:val="16"/>
              </w:rPr>
            </w:pPr>
          </w:p>
        </w:tc>
      </w:tr>
      <w:tr>
        <w:trPr>
          <w:trHeight w:val="289"/>
        </w:trPr>
        <w:tc>
          <w:tcPr>
            <w:tcW w:w="2809" w:type="pct"/>
            <w:gridSpan w:val="3"/>
          </w:tcPr>
          <w:p>
            <w:pPr>
              <w:pStyle w:val="Text1"/>
              <w:numPr>
                <w:ilvl w:val="0"/>
                <w:numId w:val="21"/>
              </w:numPr>
              <w:rPr>
                <w:noProof/>
                <w:sz w:val="16"/>
              </w:rPr>
            </w:pPr>
            <w:r>
              <w:rPr>
                <w:noProof/>
                <w:sz w:val="16"/>
              </w:rPr>
              <w:t>08 01 01 02 (Делегации)</w:t>
            </w:r>
          </w:p>
        </w:tc>
        <w:tc>
          <w:tcPr>
            <w:tcW w:w="698" w:type="pct"/>
          </w:tcPr>
          <w:p>
            <w:pPr>
              <w:pStyle w:val="Text1"/>
              <w:rPr>
                <w:noProof/>
                <w:sz w:val="16"/>
              </w:rPr>
            </w:pPr>
          </w:p>
        </w:tc>
        <w:tc>
          <w:tcPr>
            <w:tcW w:w="706" w:type="pct"/>
          </w:tcPr>
          <w:p>
            <w:pPr>
              <w:pStyle w:val="Text1"/>
              <w:rPr>
                <w:noProof/>
                <w:sz w:val="16"/>
              </w:rPr>
            </w:pPr>
          </w:p>
        </w:tc>
        <w:tc>
          <w:tcPr>
            <w:tcW w:w="706" w:type="pct"/>
          </w:tcPr>
          <w:p>
            <w:pPr>
              <w:pStyle w:val="Text1"/>
              <w:rPr>
                <w:noProof/>
                <w:sz w:val="16"/>
              </w:rPr>
            </w:pPr>
          </w:p>
        </w:tc>
      </w:tr>
      <w:tr>
        <w:trPr>
          <w:trHeight w:val="289"/>
        </w:trPr>
        <w:tc>
          <w:tcPr>
            <w:tcW w:w="2809" w:type="pct"/>
            <w:gridSpan w:val="3"/>
          </w:tcPr>
          <w:p>
            <w:pPr>
              <w:pStyle w:val="Text1"/>
              <w:numPr>
                <w:ilvl w:val="0"/>
                <w:numId w:val="21"/>
              </w:numPr>
              <w:rPr>
                <w:noProof/>
                <w:sz w:val="16"/>
              </w:rPr>
            </w:pPr>
            <w:r>
              <w:rPr>
                <w:noProof/>
                <w:sz w:val="16"/>
              </w:rPr>
              <w:t>08 01 05 01 (Непреки научни изследвания)</w:t>
            </w:r>
          </w:p>
        </w:tc>
        <w:tc>
          <w:tcPr>
            <w:tcW w:w="698" w:type="pct"/>
          </w:tcPr>
          <w:p>
            <w:pPr>
              <w:pStyle w:val="Text1"/>
              <w:rPr>
                <w:noProof/>
                <w:sz w:val="16"/>
              </w:rPr>
            </w:pPr>
            <w:r>
              <w:rPr>
                <w:noProof/>
                <w:sz w:val="16"/>
              </w:rPr>
              <w:t>1</w:t>
            </w:r>
          </w:p>
        </w:tc>
        <w:tc>
          <w:tcPr>
            <w:tcW w:w="706" w:type="pct"/>
          </w:tcPr>
          <w:p>
            <w:pPr>
              <w:pStyle w:val="Text1"/>
              <w:rPr>
                <w:noProof/>
                <w:sz w:val="16"/>
              </w:rPr>
            </w:pPr>
            <w:r>
              <w:rPr>
                <w:noProof/>
                <w:sz w:val="16"/>
              </w:rPr>
              <w:t>1</w:t>
            </w:r>
          </w:p>
        </w:tc>
        <w:tc>
          <w:tcPr>
            <w:tcW w:w="706" w:type="pct"/>
          </w:tcPr>
          <w:p>
            <w:pPr>
              <w:pStyle w:val="Text1"/>
              <w:rPr>
                <w:noProof/>
                <w:sz w:val="16"/>
              </w:rPr>
            </w:pPr>
            <w:r>
              <w:rPr>
                <w:noProof/>
                <w:sz w:val="16"/>
              </w:rPr>
              <w:t>1</w:t>
            </w:r>
          </w:p>
        </w:tc>
      </w:tr>
      <w:tr>
        <w:trPr>
          <w:trHeight w:val="289"/>
        </w:trPr>
        <w:tc>
          <w:tcPr>
            <w:tcW w:w="2809" w:type="pct"/>
            <w:gridSpan w:val="3"/>
          </w:tcPr>
          <w:p>
            <w:pPr>
              <w:pStyle w:val="Text1"/>
              <w:numPr>
                <w:ilvl w:val="0"/>
                <w:numId w:val="21"/>
              </w:numPr>
              <w:rPr>
                <w:noProof/>
                <w:sz w:val="16"/>
              </w:rPr>
            </w:pPr>
            <w:r>
              <w:rPr>
                <w:noProof/>
                <w:sz w:val="16"/>
              </w:rPr>
              <w:t>10 01 05 01 (Преки научни изследвания)</w:t>
            </w:r>
          </w:p>
        </w:tc>
        <w:tc>
          <w:tcPr>
            <w:tcW w:w="698" w:type="pct"/>
          </w:tcPr>
          <w:p>
            <w:pPr>
              <w:pStyle w:val="Text1"/>
              <w:rPr>
                <w:noProof/>
                <w:sz w:val="16"/>
              </w:rPr>
            </w:pPr>
          </w:p>
        </w:tc>
        <w:tc>
          <w:tcPr>
            <w:tcW w:w="706" w:type="pct"/>
          </w:tcPr>
          <w:p>
            <w:pPr>
              <w:pStyle w:val="Text1"/>
              <w:rPr>
                <w:noProof/>
                <w:sz w:val="16"/>
              </w:rPr>
            </w:pPr>
          </w:p>
        </w:tc>
        <w:tc>
          <w:tcPr>
            <w:tcW w:w="706" w:type="pct"/>
          </w:tcPr>
          <w:p>
            <w:pPr>
              <w:pStyle w:val="Text1"/>
              <w:rPr>
                <w:noProof/>
                <w:sz w:val="16"/>
              </w:rPr>
            </w:pPr>
          </w:p>
        </w:tc>
      </w:tr>
      <w:tr>
        <w:trPr>
          <w:trHeight w:val="248"/>
        </w:trPr>
        <w:tc>
          <w:tcPr>
            <w:tcW w:w="627" w:type="pct"/>
          </w:tcPr>
          <w:p>
            <w:pPr>
              <w:pStyle w:val="Text1"/>
              <w:numPr>
                <w:ilvl w:val="0"/>
                <w:numId w:val="21"/>
              </w:numPr>
              <w:rPr>
                <w:b/>
                <w:noProof/>
                <w:sz w:val="16"/>
              </w:rPr>
            </w:pPr>
          </w:p>
        </w:tc>
        <w:tc>
          <w:tcPr>
            <w:tcW w:w="4373" w:type="pct"/>
            <w:gridSpan w:val="5"/>
          </w:tcPr>
          <w:p>
            <w:pPr>
              <w:pStyle w:val="Text1"/>
              <w:numPr>
                <w:ilvl w:val="0"/>
                <w:numId w:val="21"/>
              </w:numPr>
              <w:rPr>
                <w:b/>
                <w:noProof/>
                <w:sz w:val="16"/>
              </w:rPr>
            </w:pPr>
            <w:r>
              <w:rPr>
                <w:b/>
                <w:noProof/>
                <w:sz w:val="16"/>
              </w:rPr>
              <w:sym w:font="Wingdings" w:char="F09F"/>
            </w:r>
            <w:r>
              <w:rPr>
                <w:b/>
                <w:noProof/>
                <w:sz w:val="16"/>
              </w:rPr>
              <w:t xml:space="preserve"> Външен персонал (в еквивалент на пълно работно време: ЕПРВ)</w:t>
            </w:r>
            <w:r>
              <w:rPr>
                <w:rStyle w:val="FootnoteReference"/>
                <w:noProof/>
              </w:rPr>
              <w:footnoteReference w:id="23"/>
            </w:r>
          </w:p>
          <w:p>
            <w:pPr>
              <w:pStyle w:val="Text1"/>
              <w:numPr>
                <w:ilvl w:val="0"/>
                <w:numId w:val="21"/>
              </w:numPr>
              <w:rPr>
                <w:noProof/>
                <w:sz w:val="16"/>
              </w:rPr>
            </w:pPr>
          </w:p>
        </w:tc>
      </w:tr>
      <w:tr>
        <w:trPr>
          <w:trHeight w:val="289"/>
        </w:trPr>
        <w:tc>
          <w:tcPr>
            <w:tcW w:w="2809" w:type="pct"/>
            <w:gridSpan w:val="3"/>
          </w:tcPr>
          <w:p>
            <w:pPr>
              <w:pStyle w:val="Text1"/>
              <w:numPr>
                <w:ilvl w:val="0"/>
                <w:numId w:val="21"/>
              </w:numPr>
              <w:rPr>
                <w:noProof/>
                <w:sz w:val="16"/>
              </w:rPr>
            </w:pPr>
            <w:r>
              <w:rPr>
                <w:noProof/>
                <w:sz w:val="16"/>
              </w:rPr>
              <w:t>XX 01 02 01 (ДНП, ПНА, КНЕ от общия финансов пакет)</w:t>
            </w:r>
          </w:p>
        </w:tc>
        <w:tc>
          <w:tcPr>
            <w:tcW w:w="698" w:type="pct"/>
          </w:tcPr>
          <w:p>
            <w:pPr>
              <w:pStyle w:val="Text1"/>
              <w:rPr>
                <w:noProof/>
                <w:sz w:val="16"/>
              </w:rPr>
            </w:pPr>
          </w:p>
        </w:tc>
        <w:tc>
          <w:tcPr>
            <w:tcW w:w="706" w:type="pct"/>
          </w:tcPr>
          <w:p>
            <w:pPr>
              <w:pStyle w:val="Text1"/>
              <w:rPr>
                <w:noProof/>
                <w:sz w:val="16"/>
              </w:rPr>
            </w:pPr>
          </w:p>
        </w:tc>
        <w:tc>
          <w:tcPr>
            <w:tcW w:w="706" w:type="pct"/>
          </w:tcPr>
          <w:p>
            <w:pPr>
              <w:pStyle w:val="Text1"/>
              <w:rPr>
                <w:noProof/>
                <w:sz w:val="16"/>
              </w:rPr>
            </w:pPr>
          </w:p>
        </w:tc>
      </w:tr>
      <w:tr>
        <w:trPr>
          <w:trHeight w:val="289"/>
        </w:trPr>
        <w:tc>
          <w:tcPr>
            <w:tcW w:w="2809" w:type="pct"/>
            <w:gridSpan w:val="3"/>
          </w:tcPr>
          <w:p>
            <w:pPr>
              <w:pStyle w:val="Text1"/>
              <w:numPr>
                <w:ilvl w:val="0"/>
                <w:numId w:val="21"/>
              </w:numPr>
              <w:rPr>
                <w:noProof/>
                <w:sz w:val="16"/>
              </w:rPr>
            </w:pPr>
            <w:r>
              <w:rPr>
                <w:noProof/>
                <w:sz w:val="16"/>
              </w:rPr>
              <w:t>XX 01 02 02 (ДНП, ПНА, МЕД, МП и КНЕ в делегациите)</w:t>
            </w:r>
          </w:p>
        </w:tc>
        <w:tc>
          <w:tcPr>
            <w:tcW w:w="698" w:type="pct"/>
          </w:tcPr>
          <w:p>
            <w:pPr>
              <w:pStyle w:val="Text1"/>
              <w:rPr>
                <w:noProof/>
                <w:sz w:val="16"/>
              </w:rPr>
            </w:pPr>
          </w:p>
        </w:tc>
        <w:tc>
          <w:tcPr>
            <w:tcW w:w="706" w:type="pct"/>
          </w:tcPr>
          <w:p>
            <w:pPr>
              <w:pStyle w:val="Text1"/>
              <w:rPr>
                <w:noProof/>
                <w:sz w:val="16"/>
              </w:rPr>
            </w:pPr>
          </w:p>
        </w:tc>
        <w:tc>
          <w:tcPr>
            <w:tcW w:w="706" w:type="pct"/>
          </w:tcPr>
          <w:p>
            <w:pPr>
              <w:pStyle w:val="Text1"/>
              <w:rPr>
                <w:noProof/>
                <w:sz w:val="16"/>
              </w:rPr>
            </w:pPr>
          </w:p>
        </w:tc>
      </w:tr>
      <w:tr>
        <w:trPr>
          <w:trHeight w:val="289"/>
        </w:trPr>
        <w:tc>
          <w:tcPr>
            <w:tcW w:w="1399" w:type="pct"/>
            <w:gridSpan w:val="2"/>
            <w:vMerge w:val="restart"/>
          </w:tcPr>
          <w:p>
            <w:pPr>
              <w:pStyle w:val="Text1"/>
              <w:numPr>
                <w:ilvl w:val="0"/>
                <w:numId w:val="21"/>
              </w:numPr>
              <w:rPr>
                <w:b/>
                <w:noProof/>
                <w:sz w:val="16"/>
              </w:rPr>
            </w:pPr>
            <w:r>
              <w:rPr>
                <w:b/>
                <w:noProof/>
                <w:sz w:val="16"/>
              </w:rPr>
              <w:t>XX</w:t>
            </w:r>
            <w:r>
              <w:rPr>
                <w:noProof/>
                <w:sz w:val="16"/>
              </w:rPr>
              <w:t xml:space="preserve"> 01 04 </w:t>
            </w:r>
            <w:r>
              <w:rPr>
                <w:b/>
                <w:noProof/>
                <w:sz w:val="16"/>
              </w:rPr>
              <w:t>yy</w:t>
            </w:r>
            <w:r>
              <w:rPr>
                <w:rStyle w:val="FootnoteReference"/>
                <w:noProof/>
              </w:rPr>
              <w:footnoteReference w:id="24"/>
            </w:r>
          </w:p>
          <w:p>
            <w:pPr>
              <w:pStyle w:val="Text1"/>
              <w:numPr>
                <w:ilvl w:val="0"/>
                <w:numId w:val="21"/>
              </w:numPr>
              <w:rPr>
                <w:b/>
                <w:noProof/>
                <w:sz w:val="16"/>
              </w:rPr>
            </w:pPr>
          </w:p>
        </w:tc>
        <w:tc>
          <w:tcPr>
            <w:tcW w:w="1410" w:type="pct"/>
          </w:tcPr>
          <w:p>
            <w:pPr>
              <w:pStyle w:val="Text1"/>
              <w:numPr>
                <w:ilvl w:val="0"/>
                <w:numId w:val="21"/>
              </w:numPr>
              <w:rPr>
                <w:b/>
                <w:noProof/>
                <w:sz w:val="16"/>
              </w:rPr>
            </w:pPr>
            <w:r>
              <w:rPr>
                <w:noProof/>
                <w:sz w:val="16"/>
              </w:rPr>
              <w:t>- в централата</w:t>
            </w:r>
          </w:p>
          <w:p>
            <w:pPr>
              <w:pStyle w:val="Text1"/>
              <w:numPr>
                <w:ilvl w:val="0"/>
                <w:numId w:val="21"/>
              </w:numPr>
              <w:rPr>
                <w:b/>
                <w:noProof/>
                <w:sz w:val="16"/>
              </w:rPr>
            </w:pPr>
          </w:p>
        </w:tc>
        <w:tc>
          <w:tcPr>
            <w:tcW w:w="698" w:type="pct"/>
          </w:tcPr>
          <w:p>
            <w:pPr>
              <w:pStyle w:val="Text1"/>
              <w:numPr>
                <w:ilvl w:val="0"/>
                <w:numId w:val="21"/>
              </w:numPr>
              <w:rPr>
                <w:noProof/>
                <w:sz w:val="16"/>
              </w:rPr>
            </w:pPr>
          </w:p>
        </w:tc>
        <w:tc>
          <w:tcPr>
            <w:tcW w:w="706" w:type="pct"/>
          </w:tcPr>
          <w:p>
            <w:pPr>
              <w:pStyle w:val="Text1"/>
              <w:rPr>
                <w:noProof/>
                <w:sz w:val="16"/>
              </w:rPr>
            </w:pPr>
          </w:p>
        </w:tc>
        <w:tc>
          <w:tcPr>
            <w:tcW w:w="706" w:type="pct"/>
          </w:tcPr>
          <w:p>
            <w:pPr>
              <w:pStyle w:val="Text1"/>
              <w:rPr>
                <w:noProof/>
                <w:sz w:val="16"/>
              </w:rPr>
            </w:pPr>
          </w:p>
        </w:tc>
      </w:tr>
      <w:tr>
        <w:trPr>
          <w:trHeight w:val="289"/>
        </w:trPr>
        <w:tc>
          <w:tcPr>
            <w:tcW w:w="1399" w:type="pct"/>
            <w:gridSpan w:val="2"/>
            <w:vMerge/>
          </w:tcPr>
          <w:p>
            <w:pPr>
              <w:pStyle w:val="Text1"/>
              <w:numPr>
                <w:ilvl w:val="0"/>
                <w:numId w:val="21"/>
              </w:numPr>
              <w:rPr>
                <w:b/>
                <w:noProof/>
                <w:sz w:val="16"/>
              </w:rPr>
            </w:pPr>
          </w:p>
        </w:tc>
        <w:tc>
          <w:tcPr>
            <w:tcW w:w="1410" w:type="pct"/>
          </w:tcPr>
          <w:p>
            <w:pPr>
              <w:pStyle w:val="Text1"/>
              <w:numPr>
                <w:ilvl w:val="0"/>
                <w:numId w:val="21"/>
              </w:numPr>
              <w:rPr>
                <w:noProof/>
                <w:sz w:val="16"/>
              </w:rPr>
            </w:pPr>
            <w:r>
              <w:rPr>
                <w:noProof/>
                <w:sz w:val="16"/>
              </w:rPr>
              <w:t xml:space="preserve">- в делегациите </w:t>
            </w:r>
          </w:p>
        </w:tc>
        <w:tc>
          <w:tcPr>
            <w:tcW w:w="698" w:type="pct"/>
          </w:tcPr>
          <w:p>
            <w:pPr>
              <w:pStyle w:val="Text1"/>
              <w:numPr>
                <w:ilvl w:val="0"/>
                <w:numId w:val="21"/>
              </w:numPr>
              <w:rPr>
                <w:noProof/>
                <w:sz w:val="16"/>
              </w:rPr>
            </w:pPr>
          </w:p>
        </w:tc>
        <w:tc>
          <w:tcPr>
            <w:tcW w:w="706" w:type="pct"/>
          </w:tcPr>
          <w:p>
            <w:pPr>
              <w:pStyle w:val="Text1"/>
              <w:rPr>
                <w:noProof/>
                <w:sz w:val="16"/>
              </w:rPr>
            </w:pPr>
          </w:p>
        </w:tc>
        <w:tc>
          <w:tcPr>
            <w:tcW w:w="706" w:type="pct"/>
          </w:tcPr>
          <w:p>
            <w:pPr>
              <w:pStyle w:val="Text1"/>
              <w:rPr>
                <w:noProof/>
                <w:sz w:val="16"/>
              </w:rPr>
            </w:pPr>
          </w:p>
        </w:tc>
      </w:tr>
      <w:tr>
        <w:trPr>
          <w:trHeight w:val="289"/>
        </w:trPr>
        <w:tc>
          <w:tcPr>
            <w:tcW w:w="2809" w:type="pct"/>
            <w:gridSpan w:val="3"/>
          </w:tcPr>
          <w:p>
            <w:pPr>
              <w:pStyle w:val="Text1"/>
              <w:numPr>
                <w:ilvl w:val="0"/>
                <w:numId w:val="21"/>
              </w:numPr>
              <w:rPr>
                <w:noProof/>
                <w:sz w:val="16"/>
              </w:rPr>
            </w:pPr>
            <w:r>
              <w:rPr>
                <w:b/>
                <w:noProof/>
                <w:sz w:val="16"/>
              </w:rPr>
              <w:t>08</w:t>
            </w:r>
            <w:r>
              <w:rPr>
                <w:noProof/>
                <w:sz w:val="16"/>
              </w:rPr>
              <w:t xml:space="preserve"> 01 05 02 (ДНП, КНЕ, ПНА – Непреки научни изследвания)</w:t>
            </w:r>
          </w:p>
          <w:p>
            <w:pPr>
              <w:pStyle w:val="Text1"/>
              <w:numPr>
                <w:ilvl w:val="0"/>
                <w:numId w:val="21"/>
              </w:numPr>
              <w:rPr>
                <w:noProof/>
                <w:sz w:val="16"/>
              </w:rPr>
            </w:pPr>
          </w:p>
        </w:tc>
        <w:tc>
          <w:tcPr>
            <w:tcW w:w="698" w:type="pct"/>
          </w:tcPr>
          <w:p>
            <w:pPr>
              <w:pStyle w:val="Text1"/>
              <w:rPr>
                <w:noProof/>
                <w:sz w:val="16"/>
              </w:rPr>
            </w:pPr>
            <w:r>
              <w:rPr>
                <w:noProof/>
                <w:sz w:val="16"/>
              </w:rPr>
              <w:t>1</w:t>
            </w:r>
          </w:p>
        </w:tc>
        <w:tc>
          <w:tcPr>
            <w:tcW w:w="706" w:type="pct"/>
          </w:tcPr>
          <w:p>
            <w:pPr>
              <w:pStyle w:val="Text1"/>
              <w:rPr>
                <w:noProof/>
                <w:sz w:val="16"/>
              </w:rPr>
            </w:pPr>
            <w:r>
              <w:rPr>
                <w:noProof/>
                <w:sz w:val="16"/>
              </w:rPr>
              <w:t>1</w:t>
            </w:r>
          </w:p>
        </w:tc>
        <w:tc>
          <w:tcPr>
            <w:tcW w:w="706" w:type="pct"/>
          </w:tcPr>
          <w:p>
            <w:pPr>
              <w:pStyle w:val="Text1"/>
              <w:rPr>
                <w:noProof/>
                <w:sz w:val="16"/>
              </w:rPr>
            </w:pPr>
            <w:r>
              <w:rPr>
                <w:noProof/>
                <w:sz w:val="16"/>
              </w:rPr>
              <w:t>1</w:t>
            </w:r>
          </w:p>
        </w:tc>
      </w:tr>
      <w:tr>
        <w:trPr>
          <w:trHeight w:val="289"/>
        </w:trPr>
        <w:tc>
          <w:tcPr>
            <w:tcW w:w="2809" w:type="pct"/>
            <w:gridSpan w:val="3"/>
          </w:tcPr>
          <w:p>
            <w:pPr>
              <w:pStyle w:val="Text1"/>
              <w:numPr>
                <w:ilvl w:val="0"/>
                <w:numId w:val="21"/>
              </w:numPr>
              <w:rPr>
                <w:noProof/>
                <w:sz w:val="16"/>
              </w:rPr>
            </w:pPr>
            <w:r>
              <w:rPr>
                <w:noProof/>
                <w:sz w:val="16"/>
              </w:rPr>
              <w:t>10 01 05 02 (ДНП, КНЕ, ПНА – Преки научни изследвания)</w:t>
            </w:r>
          </w:p>
        </w:tc>
        <w:tc>
          <w:tcPr>
            <w:tcW w:w="698" w:type="pct"/>
          </w:tcPr>
          <w:p>
            <w:pPr>
              <w:pStyle w:val="Text1"/>
              <w:rPr>
                <w:noProof/>
                <w:sz w:val="16"/>
              </w:rPr>
            </w:pPr>
          </w:p>
        </w:tc>
        <w:tc>
          <w:tcPr>
            <w:tcW w:w="706" w:type="pct"/>
          </w:tcPr>
          <w:p>
            <w:pPr>
              <w:pStyle w:val="Text1"/>
              <w:rPr>
                <w:noProof/>
                <w:sz w:val="16"/>
              </w:rPr>
            </w:pPr>
          </w:p>
        </w:tc>
        <w:tc>
          <w:tcPr>
            <w:tcW w:w="706" w:type="pct"/>
          </w:tcPr>
          <w:p>
            <w:pPr>
              <w:pStyle w:val="Text1"/>
              <w:rPr>
                <w:noProof/>
                <w:sz w:val="16"/>
              </w:rPr>
            </w:pPr>
          </w:p>
        </w:tc>
      </w:tr>
      <w:tr>
        <w:trPr>
          <w:trHeight w:val="289"/>
        </w:trPr>
        <w:tc>
          <w:tcPr>
            <w:tcW w:w="2809" w:type="pct"/>
            <w:gridSpan w:val="3"/>
          </w:tcPr>
          <w:p>
            <w:pPr>
              <w:pStyle w:val="Text1"/>
              <w:numPr>
                <w:ilvl w:val="0"/>
                <w:numId w:val="21"/>
              </w:numPr>
              <w:rPr>
                <w:noProof/>
                <w:sz w:val="16"/>
              </w:rPr>
            </w:pPr>
            <w:r>
              <w:rPr>
                <w:noProof/>
                <w:sz w:val="16"/>
              </w:rPr>
              <w:t>Други бюджетни редове (да се посочат)</w:t>
            </w:r>
          </w:p>
        </w:tc>
        <w:tc>
          <w:tcPr>
            <w:tcW w:w="698" w:type="pct"/>
          </w:tcPr>
          <w:p>
            <w:pPr>
              <w:pStyle w:val="Text1"/>
              <w:rPr>
                <w:noProof/>
                <w:sz w:val="16"/>
              </w:rPr>
            </w:pPr>
          </w:p>
        </w:tc>
        <w:tc>
          <w:tcPr>
            <w:tcW w:w="706" w:type="pct"/>
          </w:tcPr>
          <w:p>
            <w:pPr>
              <w:pStyle w:val="Text1"/>
              <w:rPr>
                <w:noProof/>
                <w:sz w:val="16"/>
              </w:rPr>
            </w:pPr>
          </w:p>
        </w:tc>
        <w:tc>
          <w:tcPr>
            <w:tcW w:w="706" w:type="pct"/>
          </w:tcPr>
          <w:p>
            <w:pPr>
              <w:pStyle w:val="Text1"/>
              <w:rPr>
                <w:noProof/>
                <w:sz w:val="16"/>
              </w:rPr>
            </w:pPr>
          </w:p>
        </w:tc>
      </w:tr>
      <w:tr>
        <w:trPr>
          <w:trHeight w:val="289"/>
        </w:trPr>
        <w:tc>
          <w:tcPr>
            <w:tcW w:w="2809" w:type="pct"/>
            <w:gridSpan w:val="3"/>
          </w:tcPr>
          <w:p>
            <w:pPr>
              <w:pStyle w:val="Text1"/>
              <w:numPr>
                <w:ilvl w:val="0"/>
                <w:numId w:val="21"/>
              </w:numPr>
              <w:rPr>
                <w:noProof/>
                <w:sz w:val="16"/>
              </w:rPr>
            </w:pPr>
            <w:r>
              <w:rPr>
                <w:b/>
                <w:noProof/>
                <w:sz w:val="16"/>
              </w:rPr>
              <w:t>ОБЩО</w:t>
            </w:r>
          </w:p>
        </w:tc>
        <w:tc>
          <w:tcPr>
            <w:tcW w:w="698" w:type="pct"/>
          </w:tcPr>
          <w:p>
            <w:pPr>
              <w:pStyle w:val="Text1"/>
              <w:rPr>
                <w:b/>
                <w:noProof/>
                <w:sz w:val="16"/>
              </w:rPr>
            </w:pPr>
            <w:r>
              <w:rPr>
                <w:b/>
                <w:noProof/>
                <w:sz w:val="16"/>
              </w:rPr>
              <w:t>2</w:t>
            </w:r>
          </w:p>
        </w:tc>
        <w:tc>
          <w:tcPr>
            <w:tcW w:w="706" w:type="pct"/>
          </w:tcPr>
          <w:p>
            <w:pPr>
              <w:pStyle w:val="Text1"/>
              <w:rPr>
                <w:b/>
                <w:noProof/>
                <w:sz w:val="16"/>
              </w:rPr>
            </w:pPr>
            <w:r>
              <w:rPr>
                <w:b/>
                <w:noProof/>
                <w:sz w:val="16"/>
              </w:rPr>
              <w:t>2</w:t>
            </w:r>
          </w:p>
        </w:tc>
        <w:tc>
          <w:tcPr>
            <w:tcW w:w="706" w:type="pct"/>
          </w:tcPr>
          <w:p>
            <w:pPr>
              <w:pStyle w:val="Text1"/>
              <w:rPr>
                <w:b/>
                <w:noProof/>
                <w:sz w:val="16"/>
              </w:rPr>
            </w:pPr>
            <w:r>
              <w:rPr>
                <w:b/>
                <w:noProof/>
                <w:sz w:val="16"/>
              </w:rPr>
              <w:t>2</w:t>
            </w:r>
          </w:p>
        </w:tc>
      </w:tr>
    </w:tbl>
    <w:p>
      <w:pPr>
        <w:pStyle w:val="Text1"/>
        <w:rPr>
          <w:noProof/>
          <w:sz w:val="16"/>
        </w:rPr>
      </w:pPr>
      <w:r>
        <w:rPr>
          <w:b/>
          <w:noProof/>
          <w:sz w:val="16"/>
        </w:rPr>
        <w:t>XX</w:t>
      </w:r>
      <w:r>
        <w:rPr>
          <w:noProof/>
          <w:sz w:val="16"/>
        </w:rPr>
        <w:t xml:space="preserve"> е съответната област на политиката или бюджетен дял.</w:t>
      </w:r>
    </w:p>
    <w:p>
      <w:pPr>
        <w:pStyle w:val="Text1"/>
        <w:rPr>
          <w:noProof/>
          <w:sz w:val="18"/>
          <w:szCs w:val="18"/>
        </w:rPr>
      </w:pPr>
      <w:r>
        <w:rPr>
          <w:noProof/>
          <w:sz w:val="18"/>
        </w:rPr>
        <w:t>Нуждите от човешки ресурси ще бъдат покрити от персонала на ГД, на който вече е възложено управлението на дейността и/или който е преразпределен в рамките на ГД, при необходимост заедно с всички допълнителни отпуснати ресурси, които могат да бъдат предоставени на управляващата ГД в рамките на годишната процедура за отпускане на средства и като се имат предвид бюджетните ограничения.</w:t>
      </w:r>
    </w:p>
    <w:p>
      <w:pPr>
        <w:rPr>
          <w:noProof/>
          <w:sz w:val="20"/>
        </w:rPr>
      </w:pPr>
      <w:r>
        <w:rPr>
          <w:noProof/>
          <w:sz w:val="20"/>
        </w:rPr>
        <w:t>Описание на задачите, които трябва да се изпълнят:</w:t>
      </w:r>
    </w:p>
    <w:tbl>
      <w:tblPr>
        <w:tblW w:w="10440" w:type="dxa"/>
        <w:tblInd w:w="-4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3240"/>
        <w:gridCol w:w="7200"/>
      </w:tblGrid>
      <w:tr>
        <w:tc>
          <w:tcPr>
            <w:tcW w:w="3240" w:type="dxa"/>
          </w:tcPr>
          <w:p>
            <w:pPr>
              <w:rPr>
                <w:noProof/>
                <w:sz w:val="20"/>
              </w:rPr>
            </w:pPr>
            <w:r>
              <w:rPr>
                <w:noProof/>
                <w:sz w:val="20"/>
              </w:rPr>
              <w:t>Длъжностни лица и временно наети служители</w:t>
            </w:r>
          </w:p>
        </w:tc>
        <w:tc>
          <w:tcPr>
            <w:tcW w:w="7200" w:type="dxa"/>
          </w:tcPr>
          <w:p>
            <w:pPr>
              <w:pStyle w:val="Text2"/>
              <w:spacing w:before="40" w:after="0"/>
              <w:ind w:left="0"/>
              <w:jc w:val="left"/>
              <w:rPr>
                <w:noProof/>
                <w:sz w:val="20"/>
                <w:szCs w:val="20"/>
                <w:u w:val="single"/>
              </w:rPr>
            </w:pPr>
            <w:r>
              <w:rPr>
                <w:noProof/>
                <w:sz w:val="20"/>
                <w:u w:val="single"/>
              </w:rPr>
              <w:t>Длъжностни лица и договорно нает персонал</w:t>
            </w:r>
          </w:p>
          <w:p>
            <w:pPr>
              <w:pStyle w:val="Text2"/>
              <w:spacing w:before="40" w:after="0"/>
              <w:ind w:left="0"/>
              <w:jc w:val="left"/>
              <w:rPr>
                <w:bCs/>
                <w:iCs/>
                <w:noProof/>
                <w:sz w:val="20"/>
                <w:szCs w:val="20"/>
              </w:rPr>
            </w:pPr>
            <w:r>
              <w:rPr>
                <w:noProof/>
                <w:sz w:val="20"/>
              </w:rPr>
              <w:t xml:space="preserve">Човешките ресурси в раздел 8.2.1 се изчисляват при средна цена от 134,000 евро на служител и 70,000 евро на договорно нает служител, увеличени с 2 % на година. </w:t>
            </w:r>
          </w:p>
          <w:p>
            <w:pPr>
              <w:pStyle w:val="Text1"/>
              <w:jc w:val="left"/>
              <w:rPr>
                <w:noProof/>
                <w:sz w:val="20"/>
                <w:szCs w:val="20"/>
              </w:rPr>
            </w:pPr>
            <w:r>
              <w:rPr>
                <w:noProof/>
                <w:sz w:val="20"/>
              </w:rPr>
              <w:t>От действието произтичат следните основни задачи:</w:t>
            </w:r>
          </w:p>
          <w:p>
            <w:pPr>
              <w:pStyle w:val="Text1"/>
              <w:jc w:val="left"/>
              <w:rPr>
                <w:noProof/>
                <w:sz w:val="20"/>
                <w:szCs w:val="20"/>
              </w:rPr>
            </w:pPr>
            <w:r>
              <w:rPr>
                <w:noProof/>
                <w:sz w:val="20"/>
              </w:rPr>
              <w:t xml:space="preserve">Участие в заседания на Комитета на PRIMA и на Съвета за научни изследвания на PRIMA като член, двудневни заседания +/- 3 – 4 пъти годишно. </w:t>
            </w:r>
          </w:p>
          <w:p>
            <w:pPr>
              <w:pStyle w:val="Text1"/>
              <w:jc w:val="left"/>
              <w:rPr>
                <w:noProof/>
                <w:sz w:val="20"/>
                <w:szCs w:val="20"/>
              </w:rPr>
            </w:pPr>
            <w:r>
              <w:rPr>
                <w:noProof/>
                <w:sz w:val="20"/>
              </w:rPr>
              <w:t xml:space="preserve">Наблюдател при оценката на предложенията по PRIMA, 2–3 дни годишно </w:t>
            </w:r>
          </w:p>
          <w:p>
            <w:pPr>
              <w:pStyle w:val="Text1"/>
              <w:jc w:val="left"/>
              <w:rPr>
                <w:noProof/>
                <w:sz w:val="20"/>
                <w:szCs w:val="20"/>
              </w:rPr>
            </w:pPr>
            <w:r>
              <w:rPr>
                <w:noProof/>
                <w:sz w:val="20"/>
              </w:rPr>
              <w:t>Участие в семинари и мероприятия за разпространение на резултатите 2 – 3 пъти годишно</w:t>
            </w:r>
          </w:p>
          <w:p>
            <w:pPr>
              <w:pStyle w:val="Text1"/>
              <w:jc w:val="left"/>
              <w:rPr>
                <w:noProof/>
                <w:sz w:val="20"/>
                <w:szCs w:val="20"/>
              </w:rPr>
            </w:pPr>
            <w:r>
              <w:rPr>
                <w:noProof/>
                <w:sz w:val="20"/>
              </w:rPr>
              <w:t>Договаряне и изготвяне на споразумение с PRIMA-IS</w:t>
            </w:r>
          </w:p>
          <w:p>
            <w:pPr>
              <w:pStyle w:val="Text1"/>
              <w:jc w:val="left"/>
              <w:rPr>
                <w:noProof/>
                <w:sz w:val="20"/>
                <w:szCs w:val="20"/>
              </w:rPr>
            </w:pPr>
            <w:r>
              <w:rPr>
                <w:noProof/>
                <w:sz w:val="20"/>
              </w:rPr>
              <w:t>Подготовка на годишното решение за финансиране и свързаните плащания.</w:t>
            </w:r>
          </w:p>
          <w:p>
            <w:pPr>
              <w:pStyle w:val="Text1"/>
              <w:jc w:val="left"/>
              <w:rPr>
                <w:noProof/>
                <w:sz w:val="20"/>
                <w:szCs w:val="20"/>
              </w:rPr>
            </w:pPr>
            <w:r>
              <w:rPr>
                <w:noProof/>
                <w:sz w:val="20"/>
              </w:rPr>
              <w:t>Одобрение на годишния работен план</w:t>
            </w:r>
          </w:p>
          <w:p>
            <w:pPr>
              <w:pStyle w:val="Text1"/>
              <w:jc w:val="left"/>
              <w:rPr>
                <w:noProof/>
                <w:sz w:val="20"/>
                <w:szCs w:val="20"/>
              </w:rPr>
            </w:pPr>
            <w:r>
              <w:rPr>
                <w:noProof/>
                <w:sz w:val="20"/>
              </w:rPr>
              <w:t>Наблюдение на изпълнението въз основа на годишните доклади и координация на междинните и заключителните оценки.</w:t>
            </w:r>
          </w:p>
          <w:p>
            <w:pPr>
              <w:rPr>
                <w:noProof/>
                <w:sz w:val="20"/>
              </w:rPr>
            </w:pPr>
            <w:r>
              <w:rPr>
                <w:noProof/>
                <w:sz w:val="20"/>
              </w:rPr>
              <w:t>Финансов и правен одит на изпълнението на PRIMA</w:t>
            </w:r>
          </w:p>
        </w:tc>
      </w:tr>
      <w:tr>
        <w:tc>
          <w:tcPr>
            <w:tcW w:w="3240" w:type="dxa"/>
          </w:tcPr>
          <w:p>
            <w:pPr>
              <w:spacing w:before="60" w:after="60"/>
              <w:rPr>
                <w:noProof/>
                <w:sz w:val="20"/>
              </w:rPr>
            </w:pPr>
            <w:r>
              <w:rPr>
                <w:noProof/>
                <w:sz w:val="20"/>
              </w:rPr>
              <w:t>Външен персонал</w:t>
            </w:r>
          </w:p>
        </w:tc>
        <w:tc>
          <w:tcPr>
            <w:tcW w:w="7200" w:type="dxa"/>
          </w:tcPr>
          <w:p>
            <w:pPr>
              <w:rPr>
                <w:noProof/>
                <w:sz w:val="20"/>
              </w:rPr>
            </w:pPr>
          </w:p>
        </w:tc>
      </w:tr>
    </w:tbl>
    <w:p>
      <w:pPr>
        <w:rPr>
          <w:noProof/>
        </w:rPr>
        <w:sectPr>
          <w:pgSz w:w="11907" w:h="16840"/>
          <w:pgMar w:top="1134" w:right="1418" w:bottom="1134" w:left="1418" w:header="709" w:footer="709" w:gutter="0"/>
          <w:cols w:space="708"/>
          <w:docGrid w:linePitch="360"/>
        </w:sectPr>
      </w:pPr>
    </w:p>
    <w:p>
      <w:pPr>
        <w:pStyle w:val="ManualHeading3"/>
        <w:rPr>
          <w:bCs/>
          <w:noProof/>
          <w:szCs w:val="24"/>
        </w:rPr>
      </w:pPr>
      <w:r>
        <w:t>3.2.4.</w:t>
      </w:r>
      <w:r>
        <w:tab/>
      </w:r>
      <w:r>
        <w:rPr>
          <w:noProof/>
        </w:rPr>
        <w:t xml:space="preserve">Съвместимост с текущата многогодишна финансова рамка </w:t>
      </w:r>
    </w:p>
    <w:p>
      <w:pPr>
        <w:pStyle w:val="ListDash1"/>
        <w:rPr>
          <w:noProof/>
        </w:rPr>
      </w:pPr>
      <w:r>
        <w:rPr>
          <w:noProof/>
        </w:rPr>
        <w:sym w:font="Wingdings" w:char="F078"/>
      </w:r>
      <w:r>
        <w:rPr>
          <w:noProof/>
        </w:rPr>
        <w:tab/>
        <w:t>Предложението/инициативата е съвместимо(а) с настоящата многогодишна финансова рамка.</w:t>
      </w:r>
    </w:p>
    <w:p>
      <w:pPr>
        <w:pStyle w:val="ListDash1"/>
        <w:rPr>
          <w:noProof/>
        </w:rPr>
      </w:pPr>
      <w:r>
        <w:rPr>
          <w:noProof/>
        </w:rPr>
        <w:sym w:font="Wingdings" w:char="F0A8"/>
      </w:r>
      <w:r>
        <w:rPr>
          <w:noProof/>
        </w:rPr>
        <w:tab/>
        <w:t>Предложението/инициативата налага препрограмиране на съответната функция от многогодишната финансова рамка.</w:t>
      </w:r>
    </w:p>
    <w:p>
      <w:pPr>
        <w:pStyle w:val="Text1"/>
        <w:pBdr>
          <w:top w:val="single" w:sz="4" w:space="1" w:color="auto"/>
          <w:left w:val="single" w:sz="4" w:space="4" w:color="auto"/>
          <w:bottom w:val="single" w:sz="4" w:space="1" w:color="auto"/>
          <w:right w:val="single" w:sz="4" w:space="4" w:color="auto"/>
        </w:pBdr>
        <w:rPr>
          <w:noProof/>
          <w:sz w:val="20"/>
        </w:rPr>
      </w:pPr>
      <w:r>
        <w:rPr>
          <w:noProof/>
          <w:sz w:val="20"/>
        </w:rPr>
        <w:t>Обяснете какво препрограмиране е необходимо, като посочите съответните бюджетни редове и суми.</w:t>
      </w:r>
    </w:p>
    <w:p>
      <w:pPr>
        <w:pStyle w:val="Text1"/>
        <w:pBdr>
          <w:top w:val="single" w:sz="4" w:space="1" w:color="auto"/>
          <w:left w:val="single" w:sz="4" w:space="4" w:color="auto"/>
          <w:bottom w:val="single" w:sz="4" w:space="1" w:color="auto"/>
          <w:right w:val="single" w:sz="4" w:space="4" w:color="auto"/>
        </w:pBdr>
        <w:rPr>
          <w:noProof/>
        </w:rPr>
      </w:pPr>
    </w:p>
    <w:p>
      <w:pPr>
        <w:pStyle w:val="ListDash1"/>
        <w:rPr>
          <w:noProof/>
        </w:rPr>
      </w:pPr>
      <w:r>
        <w:rPr>
          <w:noProof/>
        </w:rPr>
        <w:sym w:font="Wingdings" w:char="F0A8"/>
      </w:r>
      <w:r>
        <w:rPr>
          <w:noProof/>
        </w:rPr>
        <w:tab/>
        <w:t>Предложението/инициативата налага да се използва Инструментът за гъвкавост или да се преразгледа многогодишната финансова рамка.</w:t>
      </w:r>
    </w:p>
    <w:p>
      <w:pPr>
        <w:pStyle w:val="Text1"/>
        <w:pBdr>
          <w:top w:val="single" w:sz="4" w:space="1" w:color="auto"/>
          <w:left w:val="single" w:sz="4" w:space="4" w:color="auto"/>
          <w:bottom w:val="single" w:sz="4" w:space="1" w:color="auto"/>
          <w:right w:val="single" w:sz="4" w:space="4" w:color="auto"/>
        </w:pBdr>
        <w:rPr>
          <w:noProof/>
          <w:sz w:val="20"/>
        </w:rPr>
      </w:pPr>
      <w:r>
        <w:rPr>
          <w:noProof/>
          <w:sz w:val="20"/>
        </w:rPr>
        <w:t>Обяснете какво е необходимо, като посочите съответните функции, бюджетни редове и суми.</w:t>
      </w:r>
    </w:p>
    <w:p>
      <w:pPr>
        <w:pStyle w:val="Text1"/>
        <w:pBdr>
          <w:top w:val="single" w:sz="4" w:space="1" w:color="auto"/>
          <w:left w:val="single" w:sz="4" w:space="4" w:color="auto"/>
          <w:bottom w:val="single" w:sz="4" w:space="1" w:color="auto"/>
          <w:right w:val="single" w:sz="4" w:space="4" w:color="auto"/>
        </w:pBdr>
        <w:rPr>
          <w:noProof/>
        </w:rPr>
      </w:pPr>
    </w:p>
    <w:p>
      <w:pPr>
        <w:pStyle w:val="ManualHeading3"/>
        <w:rPr>
          <w:bCs/>
          <w:noProof/>
          <w:szCs w:val="24"/>
        </w:rPr>
      </w:pPr>
      <w:r>
        <w:t>3.2.5.</w:t>
      </w:r>
      <w:r>
        <w:tab/>
      </w:r>
      <w:r>
        <w:rPr>
          <w:noProof/>
        </w:rPr>
        <w:t xml:space="preserve">Участие на трети страни във финансирането </w:t>
      </w:r>
    </w:p>
    <w:p>
      <w:pPr>
        <w:pStyle w:val="ListDash1"/>
        <w:rPr>
          <w:noProof/>
        </w:rPr>
      </w:pPr>
      <w:r>
        <w:rPr>
          <w:noProof/>
        </w:rPr>
        <w:t xml:space="preserve">Предложението/инициативата не предвижда съфинансиране от трети страни. </w:t>
      </w:r>
    </w:p>
    <w:p>
      <w:pPr>
        <w:pStyle w:val="ListDash1"/>
        <w:rPr>
          <w:noProof/>
        </w:rPr>
      </w:pPr>
      <w:r>
        <w:rPr>
          <w:noProof/>
        </w:rPr>
        <w:sym w:font="Wingdings" w:char="F078"/>
      </w:r>
      <w:r>
        <w:rPr>
          <w:noProof/>
        </w:rPr>
        <w:t xml:space="preserve"> Предложението/инициативата предвижда съфинансиране съгласно следните прогнози:</w:t>
      </w:r>
    </w:p>
    <w:p>
      <w:pPr>
        <w:jc w:val="right"/>
        <w:rPr>
          <w:noProof/>
          <w:sz w:val="20"/>
        </w:rPr>
      </w:pPr>
      <w:r>
        <w:rPr>
          <w:noProof/>
          <w:sz w:val="20"/>
        </w:rPr>
        <w:t>Бюджетни кредити в млн. EUR (до третия знак след десетичната запетая)</w:t>
      </w:r>
    </w:p>
    <w:tbl>
      <w:tblPr>
        <w:tblW w:w="10246" w:type="dxa"/>
        <w:jc w:val="center"/>
        <w:tblInd w:w="-43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340"/>
        <w:gridCol w:w="964"/>
        <w:gridCol w:w="964"/>
        <w:gridCol w:w="964"/>
        <w:gridCol w:w="964"/>
        <w:gridCol w:w="964"/>
        <w:gridCol w:w="964"/>
        <w:gridCol w:w="964"/>
        <w:gridCol w:w="1158"/>
      </w:tblGrid>
      <w:tr>
        <w:trPr>
          <w:cantSplit/>
          <w:jc w:val="center"/>
        </w:trPr>
        <w:tc>
          <w:tcPr>
            <w:tcW w:w="2340" w:type="dxa"/>
          </w:tcPr>
          <w:p>
            <w:pPr>
              <w:spacing w:before="60" w:after="60"/>
              <w:rPr>
                <w:noProof/>
                <w:sz w:val="20"/>
              </w:rPr>
            </w:pPr>
          </w:p>
        </w:tc>
        <w:tc>
          <w:tcPr>
            <w:tcW w:w="964" w:type="dxa"/>
            <w:vAlign w:val="center"/>
          </w:tcPr>
          <w:p>
            <w:pPr>
              <w:jc w:val="center"/>
              <w:rPr>
                <w:noProof/>
                <w:sz w:val="20"/>
              </w:rPr>
            </w:pPr>
            <w:r>
              <w:rPr>
                <w:noProof/>
                <w:sz w:val="20"/>
              </w:rPr>
              <w:t>Година</w:t>
            </w:r>
            <w:r>
              <w:rPr>
                <w:noProof/>
                <w:sz w:val="22"/>
              </w:rPr>
              <w:br/>
            </w:r>
            <w:r>
              <w:rPr>
                <w:b/>
                <w:noProof/>
                <w:sz w:val="20"/>
              </w:rPr>
              <w:t>2018</w:t>
            </w:r>
          </w:p>
        </w:tc>
        <w:tc>
          <w:tcPr>
            <w:tcW w:w="964" w:type="dxa"/>
            <w:vAlign w:val="center"/>
          </w:tcPr>
          <w:p>
            <w:pPr>
              <w:jc w:val="center"/>
              <w:rPr>
                <w:noProof/>
                <w:sz w:val="20"/>
              </w:rPr>
            </w:pPr>
            <w:r>
              <w:rPr>
                <w:noProof/>
                <w:sz w:val="20"/>
              </w:rPr>
              <w:t>Година</w:t>
            </w:r>
            <w:r>
              <w:rPr>
                <w:noProof/>
                <w:sz w:val="22"/>
              </w:rPr>
              <w:br/>
            </w:r>
            <w:r>
              <w:rPr>
                <w:b/>
                <w:noProof/>
                <w:sz w:val="20"/>
              </w:rPr>
              <w:t>2019</w:t>
            </w:r>
          </w:p>
        </w:tc>
        <w:tc>
          <w:tcPr>
            <w:tcW w:w="964" w:type="dxa"/>
            <w:vAlign w:val="center"/>
          </w:tcPr>
          <w:p>
            <w:pPr>
              <w:jc w:val="center"/>
              <w:rPr>
                <w:noProof/>
                <w:sz w:val="20"/>
              </w:rPr>
            </w:pPr>
            <w:r>
              <w:rPr>
                <w:noProof/>
                <w:sz w:val="20"/>
              </w:rPr>
              <w:t>Година</w:t>
            </w:r>
            <w:r>
              <w:rPr>
                <w:noProof/>
                <w:sz w:val="22"/>
              </w:rPr>
              <w:br/>
            </w:r>
            <w:r>
              <w:rPr>
                <w:b/>
                <w:noProof/>
                <w:sz w:val="20"/>
              </w:rPr>
              <w:t>2020</w:t>
            </w:r>
          </w:p>
        </w:tc>
        <w:tc>
          <w:tcPr>
            <w:tcW w:w="964" w:type="dxa"/>
            <w:vAlign w:val="center"/>
          </w:tcPr>
          <w:p>
            <w:pPr>
              <w:spacing w:before="60" w:after="60"/>
              <w:jc w:val="center"/>
              <w:rPr>
                <w:noProof/>
                <w:sz w:val="20"/>
              </w:rPr>
            </w:pPr>
            <w:r>
              <w:rPr>
                <w:noProof/>
                <w:sz w:val="20"/>
              </w:rPr>
              <w:t>Година</w:t>
            </w:r>
            <w:r>
              <w:rPr>
                <w:noProof/>
                <w:sz w:val="22"/>
              </w:rPr>
              <w:br/>
            </w:r>
            <w:r>
              <w:rPr>
                <w:b/>
                <w:noProof/>
                <w:sz w:val="20"/>
              </w:rPr>
              <w:t>2021</w:t>
            </w:r>
          </w:p>
        </w:tc>
        <w:tc>
          <w:tcPr>
            <w:tcW w:w="2892" w:type="dxa"/>
            <w:gridSpan w:val="3"/>
            <w:vAlign w:val="center"/>
          </w:tcPr>
          <w:p>
            <w:pPr>
              <w:spacing w:before="60" w:after="60"/>
              <w:jc w:val="center"/>
              <w:rPr>
                <w:noProof/>
                <w:sz w:val="20"/>
              </w:rPr>
            </w:pPr>
            <w:r>
              <w:rPr>
                <w:noProof/>
                <w:sz w:val="20"/>
              </w:rPr>
              <w:t>Година</w:t>
            </w:r>
            <w:r>
              <w:rPr>
                <w:noProof/>
                <w:sz w:val="22"/>
              </w:rPr>
              <w:br/>
            </w:r>
            <w:r>
              <w:rPr>
                <w:b/>
                <w:noProof/>
                <w:sz w:val="20"/>
              </w:rPr>
              <w:t>2022</w:t>
            </w:r>
          </w:p>
        </w:tc>
        <w:tc>
          <w:tcPr>
            <w:tcW w:w="1158" w:type="dxa"/>
            <w:vAlign w:val="center"/>
          </w:tcPr>
          <w:p>
            <w:pPr>
              <w:spacing w:before="60" w:after="60"/>
              <w:jc w:val="center"/>
              <w:rPr>
                <w:noProof/>
                <w:sz w:val="20"/>
              </w:rPr>
            </w:pPr>
            <w:r>
              <w:rPr>
                <w:noProof/>
                <w:sz w:val="20"/>
              </w:rPr>
              <w:t>Година</w:t>
            </w:r>
            <w:r>
              <w:rPr>
                <w:noProof/>
                <w:sz w:val="22"/>
              </w:rPr>
              <w:br/>
            </w:r>
            <w:r>
              <w:rPr>
                <w:b/>
                <w:noProof/>
                <w:sz w:val="20"/>
              </w:rPr>
              <w:t>2023</w:t>
            </w:r>
          </w:p>
        </w:tc>
      </w:tr>
      <w:tr>
        <w:trPr>
          <w:cantSplit/>
          <w:jc w:val="center"/>
        </w:trPr>
        <w:tc>
          <w:tcPr>
            <w:tcW w:w="2340" w:type="dxa"/>
          </w:tcPr>
          <w:p>
            <w:pPr>
              <w:rPr>
                <w:noProof/>
              </w:rPr>
            </w:pPr>
            <w:r>
              <w:rPr>
                <w:noProof/>
                <w:sz w:val="20"/>
              </w:rPr>
              <w:t xml:space="preserve">Поети задължения от държавите, участващи в програмата PRIMA </w:t>
            </w:r>
          </w:p>
        </w:tc>
        <w:tc>
          <w:tcPr>
            <w:tcW w:w="964" w:type="dxa"/>
            <w:vAlign w:val="center"/>
          </w:tcPr>
          <w:p>
            <w:pPr>
              <w:spacing w:before="60" w:after="60"/>
              <w:jc w:val="center"/>
              <w:rPr>
                <w:noProof/>
                <w:sz w:val="20"/>
              </w:rPr>
            </w:pPr>
            <w:r>
              <w:rPr>
                <w:noProof/>
                <w:sz w:val="20"/>
              </w:rPr>
              <w:t>20,000</w:t>
            </w:r>
          </w:p>
        </w:tc>
        <w:tc>
          <w:tcPr>
            <w:tcW w:w="964" w:type="dxa"/>
            <w:vAlign w:val="center"/>
          </w:tcPr>
          <w:p>
            <w:pPr>
              <w:spacing w:before="60" w:after="60"/>
              <w:jc w:val="center"/>
              <w:rPr>
                <w:noProof/>
                <w:sz w:val="20"/>
              </w:rPr>
            </w:pPr>
            <w:r>
              <w:rPr>
                <w:noProof/>
                <w:sz w:val="20"/>
              </w:rPr>
              <w:t>20,000</w:t>
            </w:r>
          </w:p>
        </w:tc>
        <w:tc>
          <w:tcPr>
            <w:tcW w:w="964" w:type="dxa"/>
            <w:vAlign w:val="center"/>
          </w:tcPr>
          <w:p>
            <w:pPr>
              <w:spacing w:before="60" w:after="60"/>
              <w:jc w:val="center"/>
              <w:rPr>
                <w:noProof/>
                <w:sz w:val="20"/>
              </w:rPr>
            </w:pPr>
            <w:r>
              <w:rPr>
                <w:noProof/>
                <w:sz w:val="20"/>
              </w:rPr>
              <w:t>20,000</w:t>
            </w:r>
          </w:p>
        </w:tc>
        <w:tc>
          <w:tcPr>
            <w:tcW w:w="964" w:type="dxa"/>
            <w:vAlign w:val="center"/>
          </w:tcPr>
          <w:p>
            <w:pPr>
              <w:spacing w:before="60" w:after="60"/>
              <w:jc w:val="center"/>
              <w:rPr>
                <w:noProof/>
                <w:sz w:val="20"/>
              </w:rPr>
            </w:pPr>
            <w:r>
              <w:rPr>
                <w:noProof/>
                <w:sz w:val="20"/>
              </w:rPr>
              <w:t>30,000</w:t>
            </w:r>
          </w:p>
        </w:tc>
        <w:tc>
          <w:tcPr>
            <w:tcW w:w="964" w:type="dxa"/>
            <w:vAlign w:val="center"/>
          </w:tcPr>
          <w:p>
            <w:pPr>
              <w:spacing w:before="60" w:after="60"/>
              <w:jc w:val="center"/>
              <w:rPr>
                <w:noProof/>
                <w:sz w:val="20"/>
              </w:rPr>
            </w:pPr>
            <w:r>
              <w:rPr>
                <w:noProof/>
                <w:sz w:val="20"/>
              </w:rPr>
              <w:t>30,000</w:t>
            </w:r>
          </w:p>
        </w:tc>
        <w:tc>
          <w:tcPr>
            <w:tcW w:w="964" w:type="dxa"/>
            <w:vAlign w:val="center"/>
          </w:tcPr>
          <w:p>
            <w:pPr>
              <w:spacing w:before="60" w:after="60"/>
              <w:jc w:val="center"/>
              <w:rPr>
                <w:noProof/>
                <w:sz w:val="20"/>
              </w:rPr>
            </w:pPr>
            <w:r>
              <w:rPr>
                <w:noProof/>
                <w:sz w:val="20"/>
              </w:rPr>
              <w:t>40,000</w:t>
            </w:r>
          </w:p>
        </w:tc>
        <w:tc>
          <w:tcPr>
            <w:tcW w:w="964" w:type="dxa"/>
            <w:vAlign w:val="center"/>
          </w:tcPr>
          <w:p>
            <w:pPr>
              <w:spacing w:before="60" w:after="60"/>
              <w:jc w:val="center"/>
              <w:rPr>
                <w:noProof/>
                <w:sz w:val="20"/>
              </w:rPr>
            </w:pPr>
            <w:r>
              <w:rPr>
                <w:noProof/>
                <w:sz w:val="20"/>
              </w:rPr>
              <w:t>40,000</w:t>
            </w:r>
          </w:p>
        </w:tc>
        <w:tc>
          <w:tcPr>
            <w:tcW w:w="1158" w:type="dxa"/>
            <w:vAlign w:val="center"/>
          </w:tcPr>
          <w:p>
            <w:pPr>
              <w:spacing w:before="60" w:after="60"/>
              <w:jc w:val="center"/>
              <w:rPr>
                <w:noProof/>
                <w:sz w:val="20"/>
              </w:rPr>
            </w:pPr>
            <w:r>
              <w:rPr>
                <w:noProof/>
                <w:sz w:val="20"/>
              </w:rPr>
              <w:t>200,000</w:t>
            </w:r>
          </w:p>
        </w:tc>
      </w:tr>
      <w:tr>
        <w:trPr>
          <w:cantSplit/>
          <w:jc w:val="center"/>
        </w:trPr>
        <w:tc>
          <w:tcPr>
            <w:tcW w:w="2340" w:type="dxa"/>
          </w:tcPr>
          <w:p>
            <w:pPr>
              <w:spacing w:before="60" w:after="60"/>
              <w:jc w:val="left"/>
              <w:rPr>
                <w:noProof/>
                <w:sz w:val="20"/>
              </w:rPr>
            </w:pPr>
            <w:r>
              <w:rPr>
                <w:noProof/>
                <w:sz w:val="20"/>
              </w:rPr>
              <w:t xml:space="preserve">ОБЩО съфинансирани бюджетни кредити </w:t>
            </w:r>
          </w:p>
        </w:tc>
        <w:tc>
          <w:tcPr>
            <w:tcW w:w="964" w:type="dxa"/>
            <w:vAlign w:val="center"/>
          </w:tcPr>
          <w:p>
            <w:pPr>
              <w:spacing w:before="60" w:after="60"/>
              <w:jc w:val="center"/>
              <w:rPr>
                <w:noProof/>
                <w:sz w:val="20"/>
              </w:rPr>
            </w:pPr>
            <w:r>
              <w:rPr>
                <w:noProof/>
                <w:sz w:val="20"/>
              </w:rPr>
              <w:t>20,000</w:t>
            </w:r>
          </w:p>
        </w:tc>
        <w:tc>
          <w:tcPr>
            <w:tcW w:w="964" w:type="dxa"/>
            <w:vAlign w:val="center"/>
          </w:tcPr>
          <w:p>
            <w:pPr>
              <w:spacing w:before="60" w:after="60"/>
              <w:jc w:val="center"/>
              <w:rPr>
                <w:noProof/>
                <w:sz w:val="20"/>
              </w:rPr>
            </w:pPr>
            <w:r>
              <w:rPr>
                <w:noProof/>
                <w:sz w:val="20"/>
              </w:rPr>
              <w:t>20,000</w:t>
            </w:r>
          </w:p>
        </w:tc>
        <w:tc>
          <w:tcPr>
            <w:tcW w:w="964" w:type="dxa"/>
            <w:vAlign w:val="center"/>
          </w:tcPr>
          <w:p>
            <w:pPr>
              <w:spacing w:before="60" w:after="60"/>
              <w:jc w:val="center"/>
              <w:rPr>
                <w:noProof/>
                <w:sz w:val="20"/>
              </w:rPr>
            </w:pPr>
            <w:r>
              <w:rPr>
                <w:noProof/>
                <w:sz w:val="20"/>
              </w:rPr>
              <w:t>20,000</w:t>
            </w:r>
          </w:p>
        </w:tc>
        <w:tc>
          <w:tcPr>
            <w:tcW w:w="964" w:type="dxa"/>
            <w:vAlign w:val="center"/>
          </w:tcPr>
          <w:p>
            <w:pPr>
              <w:spacing w:before="60" w:after="60"/>
              <w:jc w:val="center"/>
              <w:rPr>
                <w:noProof/>
                <w:sz w:val="20"/>
              </w:rPr>
            </w:pPr>
            <w:r>
              <w:rPr>
                <w:noProof/>
                <w:sz w:val="20"/>
              </w:rPr>
              <w:t>30,000</w:t>
            </w:r>
          </w:p>
        </w:tc>
        <w:tc>
          <w:tcPr>
            <w:tcW w:w="964" w:type="dxa"/>
            <w:vAlign w:val="center"/>
          </w:tcPr>
          <w:p>
            <w:pPr>
              <w:spacing w:before="60" w:after="60"/>
              <w:jc w:val="center"/>
              <w:rPr>
                <w:noProof/>
                <w:sz w:val="20"/>
              </w:rPr>
            </w:pPr>
            <w:r>
              <w:rPr>
                <w:noProof/>
                <w:sz w:val="20"/>
              </w:rPr>
              <w:t>30,000</w:t>
            </w:r>
          </w:p>
        </w:tc>
        <w:tc>
          <w:tcPr>
            <w:tcW w:w="964" w:type="dxa"/>
            <w:vAlign w:val="center"/>
          </w:tcPr>
          <w:p>
            <w:pPr>
              <w:spacing w:before="60" w:after="60"/>
              <w:jc w:val="center"/>
              <w:rPr>
                <w:noProof/>
                <w:sz w:val="20"/>
              </w:rPr>
            </w:pPr>
            <w:r>
              <w:rPr>
                <w:noProof/>
                <w:sz w:val="20"/>
              </w:rPr>
              <w:t>40,000</w:t>
            </w:r>
          </w:p>
        </w:tc>
        <w:tc>
          <w:tcPr>
            <w:tcW w:w="964" w:type="dxa"/>
            <w:vAlign w:val="center"/>
          </w:tcPr>
          <w:p>
            <w:pPr>
              <w:spacing w:before="60" w:after="60"/>
              <w:jc w:val="center"/>
              <w:rPr>
                <w:noProof/>
                <w:sz w:val="20"/>
              </w:rPr>
            </w:pPr>
            <w:r>
              <w:rPr>
                <w:noProof/>
                <w:sz w:val="20"/>
              </w:rPr>
              <w:t>40,000</w:t>
            </w:r>
          </w:p>
        </w:tc>
        <w:tc>
          <w:tcPr>
            <w:tcW w:w="1158" w:type="dxa"/>
            <w:vAlign w:val="center"/>
          </w:tcPr>
          <w:p>
            <w:pPr>
              <w:spacing w:before="60" w:after="60"/>
              <w:jc w:val="center"/>
              <w:rPr>
                <w:noProof/>
                <w:sz w:val="20"/>
              </w:rPr>
            </w:pPr>
            <w:r>
              <w:rPr>
                <w:noProof/>
                <w:sz w:val="20"/>
              </w:rPr>
              <w:t>200,000</w:t>
            </w:r>
          </w:p>
        </w:tc>
      </w:tr>
    </w:tbl>
    <w:p>
      <w:pPr>
        <w:rPr>
          <w:noProof/>
        </w:rPr>
      </w:pPr>
      <w:r>
        <w:rPr>
          <w:noProof/>
        </w:rPr>
        <w:br/>
      </w:r>
    </w:p>
    <w:p>
      <w:pPr>
        <w:pStyle w:val="ManualHeading2"/>
        <w:rPr>
          <w:bCs/>
          <w:noProof/>
          <w:szCs w:val="24"/>
        </w:rPr>
      </w:pPr>
      <w:r>
        <w:rPr>
          <w:noProof/>
        </w:rPr>
        <w:br w:type="page"/>
      </w:r>
      <w:r>
        <w:t>3.3.</w:t>
      </w:r>
      <w:r>
        <w:tab/>
      </w:r>
      <w:r>
        <w:rPr>
          <w:noProof/>
        </w:rPr>
        <w:t xml:space="preserve">Очаквано отражение върху приходите </w:t>
      </w:r>
    </w:p>
    <w:p>
      <w:pPr>
        <w:pStyle w:val="ListDash1"/>
        <w:rPr>
          <w:noProof/>
        </w:rPr>
      </w:pPr>
      <w:r>
        <w:rPr>
          <w:noProof/>
        </w:rPr>
        <w:sym w:font="Wingdings" w:char="F078"/>
      </w:r>
      <w:r>
        <w:rPr>
          <w:noProof/>
        </w:rPr>
        <w:tab/>
        <w:t>Предложението/инициативата няма финансово отражение върху приходите.</w:t>
      </w:r>
    </w:p>
    <w:p>
      <w:pPr>
        <w:pStyle w:val="ListDash1"/>
        <w:rPr>
          <w:noProof/>
        </w:rPr>
      </w:pPr>
      <w:r>
        <w:rPr>
          <w:noProof/>
        </w:rPr>
        <w:sym w:font="Wingdings" w:char="F0A8"/>
      </w:r>
      <w:r>
        <w:rPr>
          <w:noProof/>
        </w:rPr>
        <w:tab/>
        <w:t>Предложението/инициативата има следното финансово отражение:</w:t>
      </w:r>
    </w:p>
    <w:p>
      <w:pPr>
        <w:pStyle w:val="ListNumberLevel3"/>
        <w:rPr>
          <w:noProof/>
        </w:rPr>
      </w:pPr>
      <w:r>
        <w:rPr>
          <w:noProof/>
        </w:rPr>
        <w:sym w:font="Wingdings" w:char="F0A8"/>
      </w:r>
      <w:r>
        <w:rPr>
          <w:noProof/>
        </w:rPr>
        <w:tab/>
        <w:t xml:space="preserve">върху собствените ресурси </w:t>
      </w:r>
    </w:p>
    <w:p>
      <w:pPr>
        <w:pStyle w:val="ListNumberLevel3"/>
        <w:rPr>
          <w:noProof/>
        </w:rPr>
      </w:pPr>
      <w:r>
        <w:rPr>
          <w:noProof/>
        </w:rPr>
        <w:sym w:font="Wingdings" w:char="F0A8"/>
      </w:r>
      <w:r>
        <w:rPr>
          <w:noProof/>
        </w:rPr>
        <w:tab/>
        <w:t xml:space="preserve">върху разните приходи </w:t>
      </w:r>
    </w:p>
    <w:p>
      <w:pPr>
        <w:jc w:val="right"/>
        <w:rPr>
          <w:i/>
          <w:noProof/>
          <w:sz w:val="20"/>
        </w:rPr>
      </w:pPr>
      <w:r>
        <w:rPr>
          <w:noProof/>
        </w:rPr>
        <w:t>млн. EUR (до третия знак след десетичната запетая)</w:t>
      </w:r>
    </w:p>
    <w:tbl>
      <w:tblPr>
        <w:tblW w:w="10620" w:type="dxa"/>
        <w:jc w:val="center"/>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44"/>
        <w:gridCol w:w="1276"/>
        <w:gridCol w:w="1080"/>
        <w:gridCol w:w="900"/>
        <w:gridCol w:w="900"/>
        <w:gridCol w:w="1080"/>
        <w:gridCol w:w="1080"/>
        <w:gridCol w:w="1080"/>
        <w:gridCol w:w="1080"/>
      </w:tblGrid>
      <w:tr>
        <w:trPr>
          <w:trHeight w:val="388"/>
          <w:jc w:val="center"/>
        </w:trPr>
        <w:tc>
          <w:tcPr>
            <w:tcW w:w="2144" w:type="dxa"/>
            <w:vMerge w:val="restart"/>
            <w:vAlign w:val="center"/>
          </w:tcPr>
          <w:p>
            <w:pPr>
              <w:spacing w:before="40" w:after="40"/>
              <w:rPr>
                <w:noProof/>
                <w:sz w:val="18"/>
              </w:rPr>
            </w:pPr>
            <w:r>
              <w:rPr>
                <w:noProof/>
                <w:sz w:val="18"/>
              </w:rPr>
              <w:t>Приходен бюджетен ред:</w:t>
            </w:r>
          </w:p>
        </w:tc>
        <w:tc>
          <w:tcPr>
            <w:tcW w:w="1276" w:type="dxa"/>
            <w:vMerge w:val="restart"/>
            <w:vAlign w:val="center"/>
          </w:tcPr>
          <w:p>
            <w:pPr>
              <w:jc w:val="center"/>
              <w:rPr>
                <w:noProof/>
                <w:sz w:val="18"/>
              </w:rPr>
            </w:pPr>
            <w:r>
              <w:rPr>
                <w:noProof/>
                <w:sz w:val="18"/>
              </w:rPr>
              <w:t>Налични бюджетни кредити за текущата финансова година</w:t>
            </w:r>
          </w:p>
        </w:tc>
        <w:tc>
          <w:tcPr>
            <w:tcW w:w="7200" w:type="dxa"/>
            <w:gridSpan w:val="7"/>
            <w:vAlign w:val="center"/>
          </w:tcPr>
          <w:p>
            <w:pPr>
              <w:jc w:val="center"/>
              <w:rPr>
                <w:noProof/>
                <w:sz w:val="18"/>
              </w:rPr>
            </w:pPr>
            <w:r>
              <w:rPr>
                <w:noProof/>
                <w:sz w:val="18"/>
              </w:rPr>
              <w:t>Отражение на предложението/инициативата</w:t>
            </w:r>
            <w:r>
              <w:rPr>
                <w:rStyle w:val="FootnoteReference"/>
                <w:noProof/>
                <w:sz w:val="18"/>
              </w:rPr>
              <w:footnoteReference w:id="25"/>
            </w:r>
          </w:p>
        </w:tc>
      </w:tr>
      <w:tr>
        <w:trPr>
          <w:trHeight w:val="388"/>
          <w:jc w:val="center"/>
        </w:trPr>
        <w:tc>
          <w:tcPr>
            <w:tcW w:w="2144" w:type="dxa"/>
            <w:vMerge/>
          </w:tcPr>
          <w:p>
            <w:pPr>
              <w:spacing w:before="40" w:after="40"/>
              <w:rPr>
                <w:noProof/>
                <w:sz w:val="18"/>
              </w:rPr>
            </w:pPr>
          </w:p>
        </w:tc>
        <w:tc>
          <w:tcPr>
            <w:tcW w:w="1276" w:type="dxa"/>
            <w:vMerge/>
          </w:tcPr>
          <w:p>
            <w:pPr>
              <w:spacing w:beforeLines="40" w:before="96" w:afterLines="40" w:after="96"/>
              <w:rPr>
                <w:i/>
                <w:noProof/>
                <w:sz w:val="18"/>
              </w:rPr>
            </w:pPr>
          </w:p>
        </w:tc>
        <w:tc>
          <w:tcPr>
            <w:tcW w:w="1080" w:type="dxa"/>
            <w:vAlign w:val="center"/>
          </w:tcPr>
          <w:p>
            <w:pPr>
              <w:jc w:val="center"/>
              <w:rPr>
                <w:noProof/>
                <w:sz w:val="18"/>
              </w:rPr>
            </w:pPr>
            <w:r>
              <w:rPr>
                <w:noProof/>
                <w:sz w:val="18"/>
              </w:rPr>
              <w:t>Година</w:t>
            </w:r>
            <w:r>
              <w:rPr>
                <w:noProof/>
                <w:sz w:val="22"/>
              </w:rPr>
              <w:br/>
            </w:r>
            <w:r>
              <w:rPr>
                <w:b/>
                <w:noProof/>
                <w:sz w:val="18"/>
              </w:rPr>
              <w:t>N</w:t>
            </w:r>
          </w:p>
        </w:tc>
        <w:tc>
          <w:tcPr>
            <w:tcW w:w="900" w:type="dxa"/>
            <w:vAlign w:val="center"/>
          </w:tcPr>
          <w:p>
            <w:pPr>
              <w:jc w:val="center"/>
              <w:rPr>
                <w:noProof/>
                <w:sz w:val="18"/>
              </w:rPr>
            </w:pPr>
            <w:r>
              <w:rPr>
                <w:noProof/>
                <w:sz w:val="18"/>
              </w:rPr>
              <w:t>Година</w:t>
            </w:r>
            <w:r>
              <w:rPr>
                <w:noProof/>
                <w:sz w:val="22"/>
              </w:rPr>
              <w:br/>
            </w:r>
            <w:r>
              <w:rPr>
                <w:b/>
                <w:noProof/>
                <w:sz w:val="18"/>
              </w:rPr>
              <w:t>N+1</w:t>
            </w:r>
          </w:p>
        </w:tc>
        <w:tc>
          <w:tcPr>
            <w:tcW w:w="900" w:type="dxa"/>
            <w:vAlign w:val="center"/>
          </w:tcPr>
          <w:p>
            <w:pPr>
              <w:jc w:val="center"/>
              <w:rPr>
                <w:noProof/>
                <w:sz w:val="18"/>
              </w:rPr>
            </w:pPr>
            <w:r>
              <w:rPr>
                <w:noProof/>
                <w:sz w:val="18"/>
              </w:rPr>
              <w:t>Година</w:t>
            </w:r>
            <w:r>
              <w:rPr>
                <w:noProof/>
                <w:sz w:val="22"/>
              </w:rPr>
              <w:br/>
            </w:r>
            <w:r>
              <w:rPr>
                <w:b/>
                <w:noProof/>
                <w:sz w:val="18"/>
              </w:rPr>
              <w:t>N+2</w:t>
            </w:r>
          </w:p>
        </w:tc>
        <w:tc>
          <w:tcPr>
            <w:tcW w:w="1080" w:type="dxa"/>
            <w:vAlign w:val="center"/>
          </w:tcPr>
          <w:p>
            <w:pPr>
              <w:jc w:val="center"/>
              <w:rPr>
                <w:noProof/>
                <w:sz w:val="18"/>
              </w:rPr>
            </w:pPr>
            <w:r>
              <w:rPr>
                <w:noProof/>
                <w:sz w:val="18"/>
              </w:rPr>
              <w:t>Година</w:t>
            </w:r>
            <w:r>
              <w:rPr>
                <w:noProof/>
                <w:sz w:val="22"/>
              </w:rPr>
              <w:br/>
            </w:r>
            <w:r>
              <w:rPr>
                <w:b/>
                <w:noProof/>
                <w:sz w:val="18"/>
              </w:rPr>
              <w:t>N+3</w:t>
            </w:r>
          </w:p>
        </w:tc>
        <w:tc>
          <w:tcPr>
            <w:tcW w:w="3240" w:type="dxa"/>
            <w:gridSpan w:val="3"/>
            <w:vAlign w:val="center"/>
          </w:tcPr>
          <w:p>
            <w:pPr>
              <w:jc w:val="center"/>
              <w:rPr>
                <w:b/>
                <w:noProof/>
                <w:sz w:val="18"/>
              </w:rPr>
            </w:pPr>
            <w:r>
              <w:rPr>
                <w:noProof/>
                <w:sz w:val="18"/>
              </w:rPr>
              <w:t>Да се добавят толкова години, колкото е необходимо, за да се обхване продължителността на отражението (вж. точка 1.6)</w:t>
            </w:r>
          </w:p>
        </w:tc>
      </w:tr>
      <w:tr>
        <w:trPr>
          <w:trHeight w:val="388"/>
          <w:jc w:val="center"/>
        </w:trPr>
        <w:tc>
          <w:tcPr>
            <w:tcW w:w="2144" w:type="dxa"/>
            <w:vAlign w:val="center"/>
          </w:tcPr>
          <w:p>
            <w:pPr>
              <w:spacing w:before="40" w:after="40"/>
              <w:rPr>
                <w:noProof/>
                <w:sz w:val="18"/>
              </w:rPr>
            </w:pPr>
            <w:r>
              <w:rPr>
                <w:noProof/>
                <w:sz w:val="18"/>
              </w:rPr>
              <w:t>Статия …………</w:t>
            </w:r>
          </w:p>
        </w:tc>
        <w:tc>
          <w:tcPr>
            <w:tcW w:w="1276" w:type="dxa"/>
          </w:tcPr>
          <w:p>
            <w:pPr>
              <w:spacing w:beforeLines="40" w:before="96" w:afterLines="40" w:after="96"/>
              <w:jc w:val="center"/>
              <w:rPr>
                <w:i/>
                <w:noProof/>
                <w:sz w:val="18"/>
              </w:rPr>
            </w:pPr>
          </w:p>
        </w:tc>
        <w:tc>
          <w:tcPr>
            <w:tcW w:w="1080" w:type="dxa"/>
          </w:tcPr>
          <w:p>
            <w:pPr>
              <w:spacing w:beforeLines="40" w:before="96" w:afterLines="40" w:after="96"/>
              <w:jc w:val="center"/>
              <w:rPr>
                <w:noProof/>
                <w:sz w:val="18"/>
              </w:rPr>
            </w:pPr>
          </w:p>
        </w:tc>
        <w:tc>
          <w:tcPr>
            <w:tcW w:w="900" w:type="dxa"/>
          </w:tcPr>
          <w:p>
            <w:pPr>
              <w:spacing w:beforeLines="40" w:before="96" w:afterLines="40" w:after="96"/>
              <w:jc w:val="center"/>
              <w:rPr>
                <w:noProof/>
                <w:sz w:val="18"/>
              </w:rPr>
            </w:pPr>
          </w:p>
        </w:tc>
        <w:tc>
          <w:tcPr>
            <w:tcW w:w="90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r>
    </w:tbl>
    <w:p>
      <w:pPr>
        <w:pStyle w:val="Text1"/>
        <w:rPr>
          <w:noProof/>
          <w:sz w:val="20"/>
        </w:rPr>
      </w:pPr>
      <w:r>
        <w:rPr>
          <w:noProof/>
          <w:sz w:val="20"/>
        </w:rPr>
        <w:t>За разните „целеви“ приходи да се посочат съответните разходни бюджетни редове.</w:t>
      </w:r>
    </w:p>
    <w:p>
      <w:pPr>
        <w:pStyle w:val="Text1"/>
        <w:pBdr>
          <w:top w:val="single" w:sz="4" w:space="1" w:color="auto"/>
          <w:left w:val="single" w:sz="4" w:space="4" w:color="auto"/>
          <w:bottom w:val="single" w:sz="4" w:space="1" w:color="auto"/>
          <w:right w:val="single" w:sz="4" w:space="4" w:color="auto"/>
        </w:pBdr>
        <w:rPr>
          <w:noProof/>
        </w:rPr>
      </w:pPr>
    </w:p>
    <w:p>
      <w:pPr>
        <w:pStyle w:val="Text1"/>
        <w:rPr>
          <w:noProof/>
          <w:sz w:val="20"/>
        </w:rPr>
      </w:pPr>
      <w:r>
        <w:rPr>
          <w:noProof/>
          <w:sz w:val="20"/>
        </w:rPr>
        <w:t>Да се посочи методът за изчисляване на отражението върху приходите.</w:t>
      </w:r>
    </w:p>
    <w:sectPr>
      <w:pgSz w:w="12240" w:h="15840" w:code="1"/>
      <w:pgMar w:top="902" w:right="1134" w:bottom="1247" w:left="902" w:header="709" w:footer="709" w:gutter="0"/>
      <w:cols w:space="708"/>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EUAlbertina">
    <w:altName w:val="EU Albertin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30</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49</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55</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Съвместната програма PRIMA (Партньорство в областта на научните изследвания и иновациите в Средиземноморския регион) обхваща 19 държави:</w:t>
      </w:r>
    </w:p>
    <w:p>
      <w:pPr>
        <w:pStyle w:val="FootnoteText"/>
      </w:pPr>
      <w:r>
        <w:tab/>
        <w:t>- 11 държави членки: Хърватия, Кипър, Чешката република, Франция, Гърция, Италия, Люксембург, Малта, Португалия, Словения и Испания;</w:t>
      </w:r>
    </w:p>
    <w:p>
      <w:pPr>
        <w:pStyle w:val="FootnoteText"/>
      </w:pPr>
      <w:r>
        <w:tab/>
        <w:t>- 8 трети държави: Алжир, Египет, Израел, Йордания, Ливан, Мароко, Тунис и Турция.</w:t>
      </w:r>
    </w:p>
    <w:p>
      <w:pPr>
        <w:pStyle w:val="FootnoteText"/>
      </w:pPr>
      <w:r>
        <w:tab/>
        <w:t>От тези държави 14 (Кипър, Чешката република, Египет, Франция, Гърция, Израел, Италия, Ливан, Люксембург, Малта, Мароко, Португалия, Испания и Тунис) се договориха да започнат заедно инициативата PRIMA.</w:t>
      </w:r>
    </w:p>
  </w:footnote>
  <w:footnote w:id="2">
    <w:p>
      <w:pPr>
        <w:pStyle w:val="FootnoteText"/>
      </w:pPr>
      <w:r>
        <w:rPr>
          <w:rStyle w:val="FootnoteReference"/>
        </w:rPr>
        <w:footnoteRef/>
      </w:r>
      <w:r>
        <w:tab/>
        <w:t>Решение C(2016)4614 на Европейската комисия от 25.7.2016 г.</w:t>
      </w:r>
    </w:p>
  </w:footnote>
  <w:footnote w:id="3">
    <w:p>
      <w:pPr>
        <w:pStyle w:val="FootnoteText"/>
      </w:pPr>
      <w:r>
        <w:rPr>
          <w:rStyle w:val="FootnoteReference"/>
        </w:rPr>
        <w:footnoteRef/>
      </w:r>
      <w:r>
        <w:tab/>
        <w:t>ОВ C... [Становище на Европейския икономически и социален комитет].</w:t>
      </w:r>
    </w:p>
  </w:footnote>
  <w:footnote w:id="4">
    <w:p>
      <w:pPr>
        <w:pStyle w:val="FootnoteText"/>
      </w:pPr>
      <w:r>
        <w:rPr>
          <w:rStyle w:val="FootnoteReference"/>
        </w:rPr>
        <w:footnoteRef/>
      </w:r>
      <w:r>
        <w:tab/>
        <w:t>Регламент (ЕС) № 1291/2013 на Европейския парламент и на Съвета от 11 декември 2013 г. за установяване на „Хоризонт 2020“ – рамкова програма за научни изследвания и иновации (2014—2020 г.) и за отмяна на Решение № 1982/2006/ЕО (OB L  347, 20.12.2013 г., стр. 104).</w:t>
      </w:r>
    </w:p>
  </w:footnote>
  <w:footnote w:id="5">
    <w:p>
      <w:pPr>
        <w:pStyle w:val="FootnoteText"/>
      </w:pPr>
      <w:r>
        <w:rPr>
          <w:rStyle w:val="FootnoteReference"/>
        </w:rPr>
        <w:footnoteRef/>
      </w:r>
      <w:r>
        <w:tab/>
        <w:t>Регламент (ЕС, Евратом) № 966/2012 на Европейския парламент и на Съвета от 25 октомври 2012 г. относно финансовите правила, приложими за общия бюджет на Съюза и за отмяна на Регламент (ЕО, Евратом) № 1605/2002 на Съвета (ОВ L 298 от 26.10.2012 г., стр. 1).</w:t>
      </w:r>
    </w:p>
  </w:footnote>
  <w:footnote w:id="6">
    <w:p>
      <w:pPr>
        <w:pStyle w:val="FootnoteText"/>
      </w:pPr>
      <w:r>
        <w:rPr>
          <w:rStyle w:val="FootnoteReference"/>
        </w:rPr>
        <w:footnoteRef/>
      </w:r>
      <w:r>
        <w:tab/>
        <w:t>Делегиран регламент (ЕС) № 1268/2012 на Комисията от 29 октомври 2012 г. относно правилата за прилагане на Регламент (ЕС, Евратом) № 966/2012 на Европейския парламент и на Съвета относно финансовите правила, приложими за общия бюджет на Съюза (ОВ L 362, 31.12.2012 г., стр. 1).</w:t>
      </w:r>
    </w:p>
  </w:footnote>
  <w:footnote w:id="7">
    <w:p>
      <w:pPr>
        <w:pStyle w:val="FootnoteText"/>
      </w:pPr>
      <w:r>
        <w:rPr>
          <w:rStyle w:val="FootnoteReference"/>
        </w:rPr>
        <w:footnoteRef/>
      </w:r>
      <w:r>
        <w:tab/>
        <w:t>Регламент (ЕС) № 1290/2013 на Европейския парламент и на Съвета от 11 декември 2013 г. за определяне на правилата за участие и разпространение на резултатите в „Хоризонт 2020“ — рамкова програма за научни изследвания и иновации (2014—2020 г.)“ и за отмяна на Регламент (ЕО) № 1906/2006 (ОВ L 347, 20.12.2013 г., стр. 81).</w:t>
      </w:r>
    </w:p>
  </w:footnote>
  <w:footnote w:id="8">
    <w:p>
      <w:pPr>
        <w:pStyle w:val="FootnoteText"/>
      </w:pPr>
      <w:r>
        <w:rPr>
          <w:rStyle w:val="FootnoteReference"/>
        </w:rPr>
        <w:footnoteRef/>
      </w:r>
      <w:r>
        <w:tab/>
        <w:t>Решение 2013/743/ЕС на Съвета от 3 декември 2013 г. за създаване на специфичната програма за изпълнение на „Хоризонт 2020“ — рамковата програма за научни изследвания и иновации (2014—2020 г.) и за отмяна на решения 2006/971/EC, 2006/972/EC, 2006/973/EC, 2006/974/EC и 2006/975/EC (ОВ L 347, 20.12.2013 г., стр. 965).</w:t>
      </w:r>
    </w:p>
  </w:footnote>
  <w:footnote w:id="9">
    <w:p>
      <w:pPr>
        <w:pStyle w:val="FootnoteText"/>
      </w:pPr>
      <w:r>
        <w:rPr>
          <w:rStyle w:val="FootnoteReference"/>
        </w:rPr>
        <w:footnoteRef/>
      </w:r>
      <w:r>
        <w:tab/>
        <w:t>Регламент (Евратом, ЕО) № 2185/96 на Съвета от 11 ноември 1996 г. относно контрола и проверките на място, извършвани от Комисията за защита на финансовите интереси на Европейските общности срещу измами и други нередности (OB L 292, 15.11.1996 г., стр. 2).</w:t>
      </w:r>
    </w:p>
  </w:footnote>
  <w:footnote w:id="10">
    <w:p>
      <w:pPr>
        <w:pStyle w:val="FootnoteText"/>
      </w:pPr>
      <w:r>
        <w:rPr>
          <w:rStyle w:val="FootnoteReference"/>
        </w:rPr>
        <w:footnoteRef/>
      </w:r>
      <w:r>
        <w:tab/>
        <w:t>Регламент (ЕС, Евратом) № 883/2013 на Европейския парламент и на Съвета от 11 септември 2013 г. относно разследванията, провеждани от Европейската служба за борба с измамите (OLAF), и за отмяна на Регламент (ЕО) № 1073/1999 на Европейския парламент и на Съвета и Регламент (Евратом) № 1074/1999 на Съвета (ОВ L 248, 18.9.2013 г., стр. 1).</w:t>
      </w:r>
    </w:p>
  </w:footnote>
  <w:footnote w:id="11">
    <w:p>
      <w:pPr>
        <w:pStyle w:val="FootnoteText"/>
        <w:rPr>
          <w:szCs w:val="24"/>
        </w:rPr>
      </w:pPr>
      <w:r>
        <w:rPr>
          <w:rStyle w:val="FootnoteReference"/>
        </w:rPr>
        <w:footnoteRef/>
      </w:r>
      <w:r>
        <w:tab/>
        <w:t>УД: управление по дейности; БД: бюджетиране по дейности.</w:t>
      </w:r>
    </w:p>
  </w:footnote>
  <w:footnote w:id="12">
    <w:p>
      <w:pPr>
        <w:pStyle w:val="FootnoteText"/>
        <w:rPr>
          <w:szCs w:val="24"/>
        </w:rPr>
      </w:pPr>
      <w:r>
        <w:rPr>
          <w:rStyle w:val="FootnoteReference"/>
        </w:rPr>
        <w:footnoteRef/>
      </w:r>
      <w:r>
        <w:tab/>
        <w:t>Съгласно член 54, параграф 2, буква а) или б) от Финансовия регламент.</w:t>
      </w:r>
    </w:p>
  </w:footnote>
  <w:footnote w:id="13">
    <w:p>
      <w:pPr>
        <w:pStyle w:val="FootnoteText"/>
        <w:rPr>
          <w:szCs w:val="24"/>
        </w:rPr>
      </w:pPr>
      <w:r>
        <w:rPr>
          <w:rStyle w:val="FootnoteReference"/>
        </w:rPr>
        <w:footnoteRef/>
      </w:r>
      <w:r>
        <w:tab/>
        <w:t xml:space="preserve">Подробности относно начините на управление и позовавания на Финансовия регламент се намират на уебсайта за бюджета: </w:t>
      </w:r>
      <w:hyperlink r:id="rId1">
        <w:r>
          <w:rPr>
            <w:rStyle w:val="Hyperlink"/>
            <w:sz w:val="18"/>
          </w:rPr>
          <w:t>http://www.cc.cec/budg/man/budgmanag/budgmanag_en.html</w:t>
        </w:r>
      </w:hyperlink>
      <w:r>
        <w:rPr>
          <w:rStyle w:val="Hyperlink"/>
          <w:sz w:val="18"/>
        </w:rPr>
        <w:t>.</w:t>
      </w:r>
    </w:p>
  </w:footnote>
  <w:footnote w:id="14">
    <w:p>
      <w:pPr>
        <w:pStyle w:val="FootnoteText"/>
        <w:rPr>
          <w:szCs w:val="24"/>
        </w:rPr>
      </w:pPr>
      <w:r>
        <w:rPr>
          <w:rStyle w:val="FootnoteReference"/>
        </w:rPr>
        <w:footnoteRef/>
      </w:r>
      <w:r>
        <w:tab/>
        <w:t>Многогод. = многогодишни бюджетни кредити / Едногод. = едногодишни бюджетни кредити.</w:t>
      </w:r>
    </w:p>
  </w:footnote>
  <w:footnote w:id="15">
    <w:p>
      <w:pPr>
        <w:pStyle w:val="FootnoteText"/>
        <w:rPr>
          <w:szCs w:val="24"/>
        </w:rPr>
      </w:pPr>
      <w:r>
        <w:rPr>
          <w:rStyle w:val="FootnoteReference"/>
        </w:rPr>
        <w:footnoteRef/>
      </w:r>
      <w:r>
        <w:tab/>
        <w:t>ЕАСТ: Европейска асоциация за свободна търговия. .</w:t>
      </w:r>
    </w:p>
  </w:footnote>
  <w:footnote w:id="16">
    <w:p>
      <w:pPr>
        <w:pStyle w:val="FootnoteText"/>
        <w:rPr>
          <w:szCs w:val="24"/>
        </w:rPr>
      </w:pPr>
      <w:r>
        <w:rPr>
          <w:rStyle w:val="FootnoteReference"/>
        </w:rPr>
        <w:footnoteRef/>
      </w:r>
      <w:r>
        <w:tab/>
        <w:t>Държави кандидатки и, ако е приложимо, държави потенциални кандидатки от Западните Балкани.</w:t>
      </w:r>
    </w:p>
  </w:footnote>
  <w:footnote w:id="17">
    <w:p>
      <w:pPr>
        <w:pStyle w:val="FootnoteText"/>
        <w:rPr>
          <w:szCs w:val="24"/>
        </w:rPr>
      </w:pPr>
      <w:r>
        <w:rPr>
          <w:rStyle w:val="FootnoteReference"/>
        </w:rPr>
        <w:footnoteRef/>
      </w:r>
      <w:r>
        <w:tab/>
        <w:t>Година N е годината, през която започва да се осъществява предложението/инициативата.</w:t>
      </w:r>
    </w:p>
  </w:footnote>
  <w:footnote w:id="18">
    <w:p>
      <w:pPr>
        <w:pStyle w:val="FootnoteText"/>
        <w:rPr>
          <w:szCs w:val="24"/>
        </w:rPr>
      </w:pPr>
      <w:r>
        <w:rPr>
          <w:rStyle w:val="FootnoteReference"/>
        </w:rPr>
        <w:footnoteRef/>
      </w:r>
      <w:r>
        <w:tab/>
        <w:t>Година N е годината, през която започва да се осъществява предложението/инициативата.</w:t>
      </w:r>
    </w:p>
  </w:footnote>
  <w:footnote w:id="19">
    <w:p>
      <w:pPr>
        <w:pStyle w:val="FootnoteText"/>
        <w:rPr>
          <w:szCs w:val="24"/>
        </w:rPr>
      </w:pPr>
      <w:r>
        <w:rPr>
          <w:rStyle w:val="FootnoteReference"/>
        </w:rPr>
        <w:footnoteRef/>
      </w:r>
      <w:r>
        <w:tab/>
        <w:t>Година N е годината, през която започва да се осъществява предложението/инициативата.</w:t>
      </w:r>
    </w:p>
  </w:footnote>
  <w:footnote w:id="20">
    <w:p>
      <w:pPr>
        <w:pStyle w:val="FootnoteText"/>
        <w:rPr>
          <w:szCs w:val="24"/>
        </w:rPr>
      </w:pPr>
      <w:r>
        <w:rPr>
          <w:rStyle w:val="FootnoteReference"/>
        </w:rPr>
        <w:footnoteRef/>
      </w:r>
      <w:r>
        <w:tab/>
        <w:t>Резултатите са продуктите и услугите, които ще бъдат доставени (например брой финансирани обмени на учащи се, дължина на построените пътища в километри и т.н.).</w:t>
      </w:r>
    </w:p>
  </w:footnote>
  <w:footnote w:id="21">
    <w:p>
      <w:pPr>
        <w:pStyle w:val="FootnoteText"/>
        <w:rPr>
          <w:szCs w:val="24"/>
        </w:rPr>
      </w:pPr>
      <w:r>
        <w:rPr>
          <w:rStyle w:val="FootnoteReference"/>
        </w:rPr>
        <w:footnoteRef/>
      </w:r>
      <w:r>
        <w:tab/>
        <w:t xml:space="preserve">Съгласно описанието в точка 1.4.2. „Конкретни цели…“. </w:t>
      </w:r>
    </w:p>
  </w:footnote>
  <w:footnote w:id="22">
    <w:p>
      <w:pPr>
        <w:pStyle w:val="FootnoteText"/>
        <w:rPr>
          <w:szCs w:val="24"/>
        </w:rPr>
      </w:pPr>
      <w:r>
        <w:rPr>
          <w:rStyle w:val="FootnoteReference"/>
        </w:rPr>
        <w:footnoteRef/>
      </w:r>
      <w:r>
        <w:tab/>
        <w:t>Техническа и/или административна помощ и разходи в подкрепа на изпълнението на програми и/или дейности на ЕС (предишни редове BA), непреки научни изследвания, преки научни изследвания.</w:t>
      </w:r>
    </w:p>
  </w:footnote>
  <w:footnote w:id="23">
    <w:p>
      <w:pPr>
        <w:pStyle w:val="FootnoteText"/>
      </w:pPr>
      <w:r>
        <w:rPr>
          <w:rStyle w:val="FootnoteReference"/>
        </w:rPr>
        <w:footnoteRef/>
      </w:r>
      <w:r>
        <w:tab/>
        <w:t>ДНП = договорно нает персонал; МП = местен персонал; КНЕ = командирован национален експерт; ПНА = персонал, нает чрез агенции за временна заетост; МЕД = младши експерт в делегация.</w:t>
      </w:r>
    </w:p>
  </w:footnote>
  <w:footnote w:id="24">
    <w:p>
      <w:pPr>
        <w:pStyle w:val="FootnoteText"/>
      </w:pPr>
      <w:r>
        <w:rPr>
          <w:rStyle w:val="FootnoteReference"/>
        </w:rPr>
        <w:footnoteRef/>
      </w:r>
      <w:r>
        <w:tab/>
        <w:t>Подтаван за външния персонал, покрит с бюджетните кредити за оперативни разходи (предишни редове BA).</w:t>
      </w:r>
    </w:p>
  </w:footnote>
  <w:footnote w:id="25">
    <w:p>
      <w:pPr>
        <w:pStyle w:val="FootnoteText"/>
        <w:rPr>
          <w:szCs w:val="24"/>
        </w:rPr>
      </w:pPr>
      <w:r>
        <w:rPr>
          <w:rStyle w:val="FootnoteReference"/>
        </w:rPr>
        <w:footnoteRef/>
      </w:r>
      <w:r>
        <w:tab/>
        <w:t>Що се отнася до традиционните собствени ресурси (мита, налози върху захарта), посочените суми трябва да бъдат нетни, т.е. брутни суми, от които са приспаднати 25 % за разходи по събирането.</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CC044A08"/>
    <w:lvl w:ilvl="0">
      <w:start w:val="1"/>
      <w:numFmt w:val="decimal"/>
      <w:pStyle w:val="ListNumber4"/>
      <w:lvlText w:val="%1."/>
      <w:lvlJc w:val="left"/>
      <w:pPr>
        <w:tabs>
          <w:tab w:val="num" w:pos="1351"/>
        </w:tabs>
        <w:ind w:left="1351" w:hanging="360"/>
      </w:pPr>
    </w:lvl>
  </w:abstractNum>
  <w:abstractNum w:abstractNumId="1">
    <w:nsid w:val="FFFFFF7E"/>
    <w:multiLevelType w:val="singleLevel"/>
    <w:tmpl w:val="197871C0"/>
    <w:lvl w:ilvl="0">
      <w:start w:val="1"/>
      <w:numFmt w:val="decimal"/>
      <w:pStyle w:val="ListNumber3"/>
      <w:lvlText w:val="%1."/>
      <w:lvlJc w:val="left"/>
      <w:pPr>
        <w:tabs>
          <w:tab w:val="num" w:pos="926"/>
        </w:tabs>
        <w:ind w:left="926" w:hanging="360"/>
      </w:pPr>
    </w:lvl>
  </w:abstractNum>
  <w:abstractNum w:abstractNumId="2">
    <w:nsid w:val="FFFFFF7F"/>
    <w:multiLevelType w:val="singleLevel"/>
    <w:tmpl w:val="7F20748A"/>
    <w:lvl w:ilvl="0">
      <w:start w:val="1"/>
      <w:numFmt w:val="decimal"/>
      <w:pStyle w:val="ListNumber2"/>
      <w:lvlText w:val="%1."/>
      <w:lvlJc w:val="left"/>
      <w:pPr>
        <w:tabs>
          <w:tab w:val="num" w:pos="643"/>
        </w:tabs>
        <w:ind w:left="643" w:hanging="360"/>
      </w:pPr>
    </w:lvl>
  </w:abstractNum>
  <w:abstractNum w:abstractNumId="3">
    <w:nsid w:val="FFFFFF81"/>
    <w:multiLevelType w:val="singleLevel"/>
    <w:tmpl w:val="BAEC9978"/>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411E6CB8"/>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062C6A95"/>
    <w:multiLevelType w:val="singleLevel"/>
    <w:tmpl w:val="02BAFA82"/>
    <w:name w:val="List Bullet 1"/>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6">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7">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9">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1">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2">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3">
    <w:nsid w:val="489D74ED"/>
    <w:multiLevelType w:val="singleLevel"/>
    <w:tmpl w:val="51F2025E"/>
    <w:name w:val="List Dash 2"/>
    <w:lvl w:ilvl="0">
      <w:start w:val="1"/>
      <w:numFmt w:val="bullet"/>
      <w:lvlRestart w:val="0"/>
      <w:pStyle w:val="ListDash2"/>
      <w:lvlText w:val="–"/>
      <w:lvlJc w:val="left"/>
      <w:pPr>
        <w:tabs>
          <w:tab w:val="num" w:pos="1134"/>
        </w:tabs>
        <w:ind w:left="1134" w:hanging="283"/>
      </w:pPr>
      <w:rPr>
        <w:rFonts w:ascii="Times New Roman" w:hAnsi="Times New Roman" w:cs="Times New Roman"/>
      </w:rPr>
    </w:lvl>
  </w:abstractNum>
  <w:abstractNum w:abstractNumId="14">
    <w:nsid w:val="4D0C058A"/>
    <w:multiLevelType w:val="singleLevel"/>
    <w:tmpl w:val="BAE8D90E"/>
    <w:name w:val="List Dash 1"/>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5DF84969"/>
    <w:multiLevelType w:val="singleLevel"/>
    <w:tmpl w:val="1E12021A"/>
    <w:lvl w:ilvl="0">
      <w:start w:val="1"/>
      <w:numFmt w:val="bullet"/>
      <w:pStyle w:val="ListBullet"/>
      <w:lvlText w:val=""/>
      <w:lvlJc w:val="left"/>
      <w:pPr>
        <w:tabs>
          <w:tab w:val="num" w:pos="283"/>
        </w:tabs>
        <w:ind w:left="283" w:hanging="283"/>
      </w:pPr>
      <w:rPr>
        <w:rFonts w:ascii="Symbol" w:hAnsi="Symbol" w:hint="default"/>
      </w:rPr>
    </w:lvl>
  </w:abstractNum>
  <w:abstractNum w:abstractNumId="2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2">
    <w:nsid w:val="71F06166"/>
    <w:multiLevelType w:val="multilevel"/>
    <w:tmpl w:val="C08066D2"/>
    <w:name w:val="0.6719891"/>
    <w:lvl w:ilvl="0">
      <w:start w:val="1"/>
      <w:numFmt w:val="decimal"/>
      <w:lvlRestart w:val="0"/>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73D73F7A"/>
    <w:multiLevelType w:val="singleLevel"/>
    <w:tmpl w:val="26365734"/>
    <w:lvl w:ilvl="0">
      <w:start w:val="1"/>
      <w:numFmt w:val="bullet"/>
      <w:pStyle w:val="ListBullet2"/>
      <w:lvlText w:val=""/>
      <w:lvlJc w:val="left"/>
      <w:pPr>
        <w:tabs>
          <w:tab w:val="num" w:pos="1134"/>
        </w:tabs>
        <w:ind w:left="1134" w:hanging="283"/>
      </w:pPr>
      <w:rPr>
        <w:rFonts w:ascii="Symbol" w:hAnsi="Symbol" w:hint="default"/>
      </w:rPr>
    </w:lvl>
  </w:abstractNum>
  <w:abstractNum w:abstractNumId="24">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24"/>
    <w:lvlOverride w:ilvl="0">
      <w:startOverride w:val="1"/>
    </w:lvlOverride>
  </w:num>
  <w:num w:numId="2">
    <w:abstractNumId w:val="5"/>
  </w:num>
  <w:num w:numId="3">
    <w:abstractNumId w:val="14"/>
  </w:num>
  <w:num w:numId="4">
    <w:abstractNumId w:val="13"/>
  </w:num>
  <w:num w:numId="5">
    <w:abstractNumId w:val="22"/>
  </w:num>
  <w:num w:numId="6">
    <w:abstractNumId w:val="19"/>
  </w:num>
  <w:num w:numId="7">
    <w:abstractNumId w:val="23"/>
  </w:num>
  <w:num w:numId="8">
    <w:abstractNumId w:val="4"/>
  </w:num>
  <w:num w:numId="9">
    <w:abstractNumId w:val="3"/>
  </w:num>
  <w:num w:numId="10">
    <w:abstractNumId w:val="2"/>
  </w:num>
  <w:num w:numId="11">
    <w:abstractNumId w:val="1"/>
  </w:num>
  <w:num w:numId="12">
    <w:abstractNumId w:val="0"/>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num>
  <w:num w:numId="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lvlOverride w:ilvl="0">
      <w:startOverride w:val="1"/>
    </w:lvlOverride>
  </w:num>
  <w:num w:numId="27">
    <w:abstractNumId w:val="12"/>
    <w:lvlOverride w:ilvl="0">
      <w:startOverride w:val="1"/>
    </w:lvlOverride>
  </w:num>
  <w:num w:numId="2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8"/>
  </w:num>
  <w:num w:numId="32">
    <w:abstractNumId w:val="10"/>
  </w:num>
  <w:num w:numId="33">
    <w:abstractNumId w:val="21"/>
  </w:num>
  <w:num w:numId="34">
    <w:abstractNumId w:val="9"/>
  </w:num>
  <w:num w:numId="35">
    <w:abstractNumId w:val="11"/>
  </w:num>
  <w:num w:numId="36">
    <w:abstractNumId w:val="7"/>
  </w:num>
  <w:num w:numId="37">
    <w:abstractNumId w:val="20"/>
  </w:num>
  <w:num w:numId="38">
    <w:abstractNumId w:val="6"/>
  </w:num>
  <w:num w:numId="39">
    <w:abstractNumId w:val="12"/>
  </w:num>
  <w:num w:numId="40">
    <w:abstractNumId w:val="16"/>
  </w:num>
  <w:num w:numId="41">
    <w:abstractNumId w:val="17"/>
  </w:num>
  <w:num w:numId="42">
    <w:abstractNumId w:val="8"/>
  </w:num>
  <w:num w:numId="43">
    <w:abstractNumId w:val="15"/>
  </w:num>
  <w:num w:numId="44">
    <w:abstractNumId w:val="24"/>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45"/>
  <w:removePersonalInformation/>
  <w:removeDateAndTime/>
  <w:hideSpellingErrors/>
  <w:hideGrammaticalErrors/>
  <w:attachedTemplate r:id="rId1"/>
  <w:revisionView w:markup="0"/>
  <w:defaultTabStop w:val="720"/>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6-10-21 18:02:23"/>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65"/>
    <w:docVar w:name="DQCResult_ModifiedMarkers" w:val="0;0"/>
    <w:docVar w:name="DQCResult_ModifiedNumbering" w:val="0;0"/>
    <w:docVar w:name="DQCResult_Objects" w:val="0;0"/>
    <w:docVar w:name="DQCResult_Sections" w:val="0;0"/>
    <w:docVar w:name="DQCResult_StructureCheck" w:val="0;0"/>
    <w:docVar w:name="DQCResult_SuperfluousWhitespace" w:val="0;23"/>
    <w:docVar w:name="DQCResult_UnknownFonts" w:val="0;0"/>
    <w:docVar w:name="DQCResult_UnknownStyles" w:val="0;8"/>
    <w:docVar w:name="DQCStatus" w:val="Green"/>
    <w:docVar w:name="DQCVersion" w:val="3"/>
    <w:docVar w:name="DQCWithWarnings" w:val="0"/>
    <w:docVar w:name="LW_CONFIDENCE" w:val=" "/>
    <w:docVar w:name="LW_CONST_RESTREINT_UE" w:val="RESTREINT UE"/>
    <w:docVar w:name="LW_CORRIGENDUM" w:val="&lt;UNUSED&gt;"/>
    <w:docVar w:name="LW_COVERPAGE_GUID" w:val="E819809B625C43BB989B6B101C1EAED1"/>
    <w:docVar w:name="LW_CROSSREFERENCE" w:val="{SWD(2016) 331 final}_x000b_{SWD(2016) 332 final}"/>
    <w:docVar w:name="LW_DocType" w:val="COM"/>
    <w:docVar w:name="LW_EMISSION" w:val="18.10.2016"/>
    <w:docVar w:name="LW_EMISSION_ISODATE" w:val="2016-10-18"/>
    <w:docVar w:name="LW_EMISSION_LOCATION" w:val="BRX"/>
    <w:docVar w:name="LW_EMISSION_PREFIX" w:val="Брюксел, "/>
    <w:docVar w:name="LW_EMISSION_SUFFIX" w:val=" \u1075?."/>
    <w:docVar w:name="LW_ID_DOCMODEL" w:val="SJ-026"/>
    <w:docVar w:name="LW_ID_DOCSIGNATURE" w:val="SJ-026"/>
    <w:docVar w:name="LW_ID_DOCSTRUCTURE" w:val="COM/PL/ORG"/>
    <w:docVar w:name="LW_ID_DOCTYPE" w:val="SJ-026"/>
    <w:docVar w:name="LW_ID_STATUT" w:val="SJ-026"/>
    <w:docVar w:name="LW_INTERETEEE.CP" w:val="&lt;UNUSED&gt;"/>
    <w:docVar w:name="LW_LANGUE" w:val="BG"/>
    <w:docVar w:name="LW_MARKING" w:val="&lt;UNUSED&gt;"/>
    <w:docVar w:name="LW_NOM.INST" w:val="\u1045?\u1042?\u1056?\u1054?\u1055?\u1045?\u1049?\u1057?\u1050?\u1040? \u1050?\u1054?\u1052?\u1048?\u1057?\u1048?\u1071?"/>
    <w:docVar w:name="LW_NOM.INST_JOINTDOC" w:val="&lt;EMPTY&gt;"/>
    <w:docVar w:name="LW_PART_NBR" w:val="1"/>
    <w:docVar w:name="LW_PART_NBR_TOTAL" w:val="1"/>
    <w:docVar w:name="LW_REF.II.NEW.CP" w:val="COD"/>
    <w:docVar w:name="LW_REF.II.NEW.CP_NUMBER" w:val="0325"/>
    <w:docVar w:name="LW_REF.II.NEW.CP_YEAR" w:val="2016"/>
    <w:docVar w:name="LW_REF.INST.NEW" w:val="COM"/>
    <w:docVar w:name="LW_REF.INST.NEW_ADOPTED" w:val="final"/>
    <w:docVar w:name="LW_REF.INST.NEW_TEXT" w:val="(2016) 662"/>
    <w:docVar w:name="LW_REF.INTERNE" w:val="&lt;UNUSED&gt;"/>
    <w:docVar w:name="LW_SOUS.TITRE.OBJ.CP" w:val="&lt;UNUSED&gt;"/>
    <w:docVar w:name="LW_STATUT.CP" w:val="\u1055?\u1088?\u1077?\u1076?\u1083?\u1086?\u1078?\u1077?\u1085?\u1080?\u1077? \u1079?\u1072?"/>
    <w:docVar w:name="LW_SUPERTITRE" w:val="&lt;UNUSED&gt;"/>
    <w:docVar w:name="LW_TITRE.OBJ.CP" w:val="\u1086?\u1090?\u1085?\u1086?\u1089?\u1085?\u1086? \u1091?\u1095?\u1072?\u1089?\u1090?\u1080?\u1077?\u1090?\u1086? \u1085?\u1072? \u1057?\u1098?\u1102?\u1079?\u1072? _x000b_\u1074? \u1055?\u1072?\u1088?\u1090?\u1085?\u1100?\u1086?\u1088?\u1089?\u1090?\u1074?\u1086?\u1090?\u1086? \u1079?\u1072? \u1085?\u1072?\u1091?\u1095?\u1085?\u1080? \u1080?\u1079?\u1089?\u1083?\u1077?\u1076?\u1074?\u1072?\u1085?\u1080?\u1103? \u1080? \u1080?\u1085?\u1086?\u1074?\u1072?\u1094?\u1080?\u1080? \u1074? \u1057?\u1088?\u1077?\u1076?\u1080?\u1079?\u1077?\u1084?\u1085?\u1086?\u1084?\u1086?\u1088?\u1089?\u1082?\u1080?\u1103? \u1088?\u1077?\u1075?\u1080?\u1086?\u1085? (PRIMA), _x000b_\u1086?\u1089?\u1098?\u1097?\u1077?\u1089?\u1090?\u1074?\u1103?\u1074?\u1072?\u1085?\u1086? \u1089?\u1098?\u1074?\u1084?\u1077?\u1089?\u1090?\u1085?\u1086? \u1086?\u1090? \u1085?\u1103?\u1082?\u1086?\u1083?\u1082?\u1086? \u1076?\u1098?\u1088?\u1078?\u1072?\u1074?\u1080? \u1095?\u1083?\u1077?\u1085?\u1082?\u1080?"/>
    <w:docVar w:name="LW_TYPE.DOC.CP" w:val="\u1056?\u1045?\u1064?\u1045?\u1053?\u1048?\u1045? \u1053?\u1040? \u1045?\u1042?\u1056?\u1054?\u1055?\u1045?\u1049?\u1057?\u1050?\u1048?\u1071? \u1055?\u1040?\u1056?\u1051?\u1040?\u1052?\u1045?\u1053?\u1058? \u1048?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List Bullet" w:uiPriority="0"/>
    <w:lsdException w:name="List Number" w:uiPriority="0"/>
    <w:lsdException w:name="List Bullet 2"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pPr>
      <w:numPr>
        <w:numId w:val="5"/>
      </w:numPr>
    </w:pPr>
    <w:rPr>
      <w:rFonts w:eastAsia="Times New Roman"/>
    </w:rPr>
  </w:style>
  <w:style w:type="paragraph" w:customStyle="1" w:styleId="ListBullet1">
    <w:name w:val="List Bullet 1"/>
    <w:basedOn w:val="Normal"/>
    <w:pPr>
      <w:numPr>
        <w:numId w:val="2"/>
      </w:numPr>
    </w:pPr>
    <w:rPr>
      <w:rFonts w:eastAsia="Times New Roman"/>
    </w:rPr>
  </w:style>
  <w:style w:type="paragraph" w:customStyle="1" w:styleId="ListDash1">
    <w:name w:val="List Dash 1"/>
    <w:basedOn w:val="Normal"/>
    <w:pPr>
      <w:numPr>
        <w:numId w:val="3"/>
      </w:numPr>
    </w:pPr>
    <w:rPr>
      <w:rFonts w:eastAsia="Times New Roman"/>
    </w:rPr>
  </w:style>
  <w:style w:type="paragraph" w:customStyle="1" w:styleId="ListDash2">
    <w:name w:val="List Dash 2"/>
    <w:basedOn w:val="Normal"/>
    <w:pPr>
      <w:numPr>
        <w:numId w:val="4"/>
      </w:numPr>
    </w:pPr>
    <w:rPr>
      <w:rFonts w:eastAsia="Times New Roman"/>
    </w:rPr>
  </w:style>
  <w:style w:type="paragraph" w:customStyle="1" w:styleId="ListNumberLevel2">
    <w:name w:val="List Number (Level 2)"/>
    <w:basedOn w:val="Normal"/>
    <w:pPr>
      <w:numPr>
        <w:ilvl w:val="1"/>
        <w:numId w:val="5"/>
      </w:numPr>
    </w:pPr>
    <w:rPr>
      <w:rFonts w:eastAsia="Times New Roman"/>
    </w:rPr>
  </w:style>
  <w:style w:type="paragraph" w:customStyle="1" w:styleId="ListNumberLevel3">
    <w:name w:val="List Number (Level 3)"/>
    <w:basedOn w:val="Normal"/>
    <w:pPr>
      <w:numPr>
        <w:ilvl w:val="2"/>
        <w:numId w:val="5"/>
      </w:numPr>
    </w:pPr>
    <w:rPr>
      <w:rFonts w:eastAsia="Times New Roman"/>
    </w:rPr>
  </w:style>
  <w:style w:type="paragraph" w:customStyle="1" w:styleId="ListNumberLevel4">
    <w:name w:val="List Number (Level 4)"/>
    <w:basedOn w:val="Normal"/>
    <w:pPr>
      <w:numPr>
        <w:ilvl w:val="3"/>
        <w:numId w:val="5"/>
      </w:numPr>
    </w:pPr>
    <w:rPr>
      <w:rFonts w:eastAsia="Times New Roman"/>
    </w:rPr>
  </w:style>
  <w:style w:type="character" w:styleId="Hyperlink">
    <w:name w:val="Hyperlink"/>
    <w:rPr>
      <w:color w:val="0000FF"/>
      <w:u w:val="single"/>
    </w:rPr>
  </w:style>
  <w:style w:type="paragraph" w:styleId="ListBullet">
    <w:name w:val="List Bullet"/>
    <w:basedOn w:val="Normal"/>
    <w:pPr>
      <w:numPr>
        <w:numId w:val="6"/>
      </w:numPr>
    </w:pPr>
    <w:rPr>
      <w:rFonts w:eastAsia="Times New Roman"/>
    </w:rPr>
  </w:style>
  <w:style w:type="paragraph" w:styleId="ListBullet2">
    <w:name w:val="List Bullet 2"/>
    <w:basedOn w:val="Normal"/>
    <w:pPr>
      <w:numPr>
        <w:numId w:val="7"/>
      </w:numPr>
    </w:pPr>
    <w:rPr>
      <w:rFonts w:eastAsia="Times New Roman"/>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3">
    <w:name w:val="List Bullet 3"/>
    <w:basedOn w:val="Normal"/>
    <w:uiPriority w:val="99"/>
    <w:semiHidden/>
    <w:unhideWhenUsed/>
    <w:pPr>
      <w:numPr>
        <w:numId w:val="8"/>
      </w:numPr>
      <w:contextualSpacing/>
    </w:pPr>
  </w:style>
  <w:style w:type="paragraph" w:styleId="ListBullet4">
    <w:name w:val="List Bullet 4"/>
    <w:basedOn w:val="Normal"/>
    <w:uiPriority w:val="99"/>
    <w:semiHidden/>
    <w:unhideWhenUsed/>
    <w:pPr>
      <w:numPr>
        <w:numId w:val="9"/>
      </w:numPr>
      <w:contextualSpacing/>
    </w:pPr>
  </w:style>
  <w:style w:type="paragraph" w:styleId="ListNumber2">
    <w:name w:val="List Number 2"/>
    <w:basedOn w:val="Normal"/>
    <w:uiPriority w:val="99"/>
    <w:semiHidden/>
    <w:unhideWhenUsed/>
    <w:pPr>
      <w:numPr>
        <w:numId w:val="10"/>
      </w:numPr>
      <w:contextualSpacing/>
    </w:pPr>
  </w:style>
  <w:style w:type="paragraph" w:styleId="ListNumber3">
    <w:name w:val="List Number 3"/>
    <w:basedOn w:val="Normal"/>
    <w:uiPriority w:val="99"/>
    <w:semiHidden/>
    <w:unhideWhenUsed/>
    <w:pPr>
      <w:numPr>
        <w:numId w:val="11"/>
      </w:numPr>
      <w:contextualSpacing/>
    </w:pPr>
  </w:style>
  <w:style w:type="paragraph" w:styleId="ListNumber4">
    <w:name w:val="List Number 4"/>
    <w:basedOn w:val="Normal"/>
    <w:uiPriority w:val="99"/>
    <w:semiHidden/>
    <w:unhideWhenUsed/>
    <w:pPr>
      <w:numPr>
        <w:numId w:val="12"/>
      </w:numPr>
      <w:contextualSpacing/>
    </w:p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paragraph" w:customStyle="1" w:styleId="TextValue">
    <w:name w:val="TextValue"/>
    <w:basedOn w:val="Normal"/>
    <w:link w:val="TextValueChar"/>
    <w:qFormat/>
    <w:pPr>
      <w:spacing w:before="0" w:after="200" w:line="276" w:lineRule="auto"/>
    </w:pPr>
    <w:rPr>
      <w:rFonts w:eastAsiaTheme="minorEastAsia"/>
      <w:szCs w:val="24"/>
    </w:rPr>
  </w:style>
  <w:style w:type="character" w:customStyle="1" w:styleId="TextValueChar">
    <w:name w:val="TextValue Char"/>
    <w:basedOn w:val="DefaultParagraphFont"/>
    <w:link w:val="TextValue"/>
    <w:rPr>
      <w:rFonts w:ascii="Times New Roman" w:eastAsiaTheme="minorEastAsia" w:hAnsi="Times New Roman" w:cs="Times New Roman"/>
      <w:sz w:val="24"/>
      <w:szCs w:val="24"/>
      <w:lang w:val="bg-BG" w:eastAsia="bg-BG"/>
    </w:rPr>
  </w:style>
  <w:style w:type="character" w:styleId="CommentReference">
    <w:name w:val="annotation reference"/>
    <w:rPr>
      <w:rFonts w:cs="Times New Roman"/>
      <w:sz w:val="16"/>
      <w:szCs w:val="16"/>
      <w:lang w:val="bg-BG" w:eastAsia="bg-BG"/>
    </w:rPr>
  </w:style>
  <w:style w:type="paragraph" w:styleId="CommentText">
    <w:name w:val="annotation text"/>
    <w:basedOn w:val="Normal"/>
    <w:link w:val="CommentTextChar"/>
    <w:rPr>
      <w:rFonts w:eastAsia="Times New Roman"/>
      <w:sz w:val="20"/>
    </w:rPr>
  </w:style>
  <w:style w:type="character" w:customStyle="1" w:styleId="CommentTextChar">
    <w:name w:val="Comment Text Char"/>
    <w:basedOn w:val="DefaultParagraphFont"/>
    <w:link w:val="CommentText"/>
    <w:rPr>
      <w:rFonts w:ascii="Times New Roman" w:eastAsia="Times New Roman" w:hAnsi="Times New Roman" w:cs="Times New Roman"/>
      <w:sz w:val="20"/>
      <w:lang w:val="bg-BG" w:eastAsia="bg-BG"/>
    </w:rPr>
  </w:style>
  <w:style w:type="paragraph" w:styleId="CommentSubject">
    <w:name w:val="annotation subject"/>
    <w:basedOn w:val="CommentText"/>
    <w:next w:val="CommentText"/>
    <w:link w:val="CommentSubjectChar"/>
    <w:uiPriority w:val="99"/>
    <w:semiHidden/>
    <w:unhideWhenUsed/>
    <w:rPr>
      <w:rFonts w:eastAsiaTheme="minorHAnsi"/>
      <w:b/>
      <w:bCs/>
      <w:szCs w:val="20"/>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lang w:val="bg-BG" w:eastAsia="bg-BG"/>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customStyle="1" w:styleId="Normal0">
    <w:name w:val="N ormal"/>
    <w:basedOn w:val="Point1letter"/>
  </w:style>
  <w:style w:type="paragraph" w:styleId="EndnoteText">
    <w:name w:val="endnote text"/>
    <w:basedOn w:val="Normal"/>
    <w:link w:val="EndnoteTextChar"/>
    <w:uiPriority w:val="99"/>
    <w:semiHidden/>
    <w:unhideWhenUsed/>
    <w:pPr>
      <w:spacing w:before="0" w:after="0"/>
    </w:pPr>
    <w:rPr>
      <w:sz w:val="20"/>
      <w:szCs w:val="20"/>
    </w:rPr>
  </w:style>
  <w:style w:type="character" w:customStyle="1" w:styleId="EndnoteTextChar">
    <w:name w:val="Endnote Text Char"/>
    <w:basedOn w:val="DefaultParagraphFont"/>
    <w:link w:val="EndnoteText"/>
    <w:uiPriority w:val="99"/>
    <w:semiHidden/>
    <w:rPr>
      <w:rFonts w:ascii="Times New Roman" w:hAnsi="Times New Roman" w:cs="Times New Roman"/>
      <w:sz w:val="20"/>
      <w:szCs w:val="20"/>
    </w:rPr>
  </w:style>
  <w:style w:type="character" w:styleId="EndnoteReference">
    <w:name w:val="endnote reference"/>
    <w:basedOn w:val="DefaultParagraphFont"/>
    <w:uiPriority w:val="99"/>
    <w:semiHidden/>
    <w:unhideWhenUsed/>
    <w:rPr>
      <w:vertAlign w:val="superscript"/>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1"/>
      </w:numPr>
    </w:pPr>
  </w:style>
  <w:style w:type="paragraph" w:customStyle="1" w:styleId="Tiret1">
    <w:name w:val="Tiret 1"/>
    <w:basedOn w:val="Point1"/>
    <w:pPr>
      <w:numPr>
        <w:numId w:val="32"/>
      </w:numPr>
    </w:pPr>
  </w:style>
  <w:style w:type="paragraph" w:customStyle="1" w:styleId="Tiret2">
    <w:name w:val="Tiret 2"/>
    <w:basedOn w:val="Point2"/>
    <w:pPr>
      <w:numPr>
        <w:numId w:val="33"/>
      </w:numPr>
    </w:pPr>
  </w:style>
  <w:style w:type="paragraph" w:customStyle="1" w:styleId="Tiret3">
    <w:name w:val="Tiret 3"/>
    <w:basedOn w:val="Point3"/>
    <w:pPr>
      <w:numPr>
        <w:numId w:val="34"/>
      </w:numPr>
    </w:pPr>
  </w:style>
  <w:style w:type="paragraph" w:customStyle="1" w:styleId="Tiret4">
    <w:name w:val="Tiret 4"/>
    <w:basedOn w:val="Point4"/>
    <w:pPr>
      <w:numPr>
        <w:numId w:val="3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6"/>
      </w:numPr>
    </w:pPr>
  </w:style>
  <w:style w:type="paragraph" w:customStyle="1" w:styleId="NumPar2">
    <w:name w:val="NumPar 2"/>
    <w:basedOn w:val="Normal"/>
    <w:next w:val="Text1"/>
    <w:pPr>
      <w:numPr>
        <w:ilvl w:val="1"/>
        <w:numId w:val="36"/>
      </w:numPr>
    </w:pPr>
  </w:style>
  <w:style w:type="paragraph" w:customStyle="1" w:styleId="NumPar3">
    <w:name w:val="NumPar 3"/>
    <w:basedOn w:val="Normal"/>
    <w:next w:val="Text1"/>
    <w:pPr>
      <w:numPr>
        <w:ilvl w:val="2"/>
        <w:numId w:val="36"/>
      </w:numPr>
    </w:pPr>
  </w:style>
  <w:style w:type="paragraph" w:customStyle="1" w:styleId="NumPar4">
    <w:name w:val="NumPar 4"/>
    <w:basedOn w:val="Normal"/>
    <w:next w:val="Text1"/>
    <w:pPr>
      <w:numPr>
        <w:ilvl w:val="3"/>
        <w:numId w:val="3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8"/>
      </w:numPr>
    </w:pPr>
  </w:style>
  <w:style w:type="paragraph" w:customStyle="1" w:styleId="Point1number">
    <w:name w:val="Point 1 (number)"/>
    <w:basedOn w:val="Normal"/>
    <w:pPr>
      <w:numPr>
        <w:ilvl w:val="2"/>
        <w:numId w:val="38"/>
      </w:numPr>
    </w:pPr>
  </w:style>
  <w:style w:type="paragraph" w:customStyle="1" w:styleId="Point2number">
    <w:name w:val="Point 2 (number)"/>
    <w:basedOn w:val="Normal"/>
    <w:pPr>
      <w:numPr>
        <w:ilvl w:val="4"/>
        <w:numId w:val="38"/>
      </w:numPr>
    </w:pPr>
  </w:style>
  <w:style w:type="paragraph" w:customStyle="1" w:styleId="Point3number">
    <w:name w:val="Point 3 (number)"/>
    <w:basedOn w:val="Normal"/>
    <w:pPr>
      <w:numPr>
        <w:ilvl w:val="6"/>
        <w:numId w:val="38"/>
      </w:numPr>
    </w:pPr>
  </w:style>
  <w:style w:type="paragraph" w:customStyle="1" w:styleId="Point0letter">
    <w:name w:val="Point 0 (letter)"/>
    <w:basedOn w:val="Normal"/>
    <w:pPr>
      <w:numPr>
        <w:ilvl w:val="1"/>
        <w:numId w:val="38"/>
      </w:numPr>
    </w:pPr>
  </w:style>
  <w:style w:type="paragraph" w:customStyle="1" w:styleId="Point1letter">
    <w:name w:val="Point 1 (letter)"/>
    <w:basedOn w:val="Normal"/>
    <w:pPr>
      <w:numPr>
        <w:ilvl w:val="3"/>
        <w:numId w:val="38"/>
      </w:numPr>
    </w:pPr>
  </w:style>
  <w:style w:type="paragraph" w:customStyle="1" w:styleId="Point2letter">
    <w:name w:val="Point 2 (letter)"/>
    <w:basedOn w:val="Normal"/>
    <w:pPr>
      <w:numPr>
        <w:ilvl w:val="5"/>
        <w:numId w:val="38"/>
      </w:numPr>
    </w:pPr>
  </w:style>
  <w:style w:type="paragraph" w:customStyle="1" w:styleId="Point3letter">
    <w:name w:val="Point 3 (letter)"/>
    <w:basedOn w:val="Normal"/>
    <w:pPr>
      <w:numPr>
        <w:ilvl w:val="7"/>
        <w:numId w:val="38"/>
      </w:numPr>
    </w:pPr>
  </w:style>
  <w:style w:type="paragraph" w:customStyle="1" w:styleId="Point4letter">
    <w:name w:val="Point 4 (letter)"/>
    <w:basedOn w:val="Normal"/>
    <w:pPr>
      <w:numPr>
        <w:ilvl w:val="8"/>
        <w:numId w:val="38"/>
      </w:numPr>
    </w:pPr>
  </w:style>
  <w:style w:type="paragraph" w:customStyle="1" w:styleId="Bullet0">
    <w:name w:val="Bullet 0"/>
    <w:basedOn w:val="Normal"/>
    <w:pPr>
      <w:numPr>
        <w:numId w:val="39"/>
      </w:numPr>
    </w:pPr>
  </w:style>
  <w:style w:type="paragraph" w:customStyle="1" w:styleId="Bullet1">
    <w:name w:val="Bullet 1"/>
    <w:basedOn w:val="Normal"/>
    <w:pPr>
      <w:numPr>
        <w:numId w:val="40"/>
      </w:numPr>
    </w:pPr>
  </w:style>
  <w:style w:type="paragraph" w:customStyle="1" w:styleId="Bullet2">
    <w:name w:val="Bullet 2"/>
    <w:basedOn w:val="Normal"/>
    <w:pPr>
      <w:numPr>
        <w:numId w:val="41"/>
      </w:numPr>
    </w:pPr>
  </w:style>
  <w:style w:type="paragraph" w:customStyle="1" w:styleId="Bullet3">
    <w:name w:val="Bullet 3"/>
    <w:basedOn w:val="Normal"/>
    <w:pPr>
      <w:numPr>
        <w:numId w:val="42"/>
      </w:numPr>
    </w:pPr>
  </w:style>
  <w:style w:type="paragraph" w:customStyle="1" w:styleId="Bullet4">
    <w:name w:val="Bullet 4"/>
    <w:basedOn w:val="Normal"/>
    <w:pPr>
      <w:numPr>
        <w:numId w:val="43"/>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List Bullet" w:uiPriority="0"/>
    <w:lsdException w:name="List Number" w:uiPriority="0"/>
    <w:lsdException w:name="List Bullet 2"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pPr>
      <w:numPr>
        <w:numId w:val="5"/>
      </w:numPr>
    </w:pPr>
    <w:rPr>
      <w:rFonts w:eastAsia="Times New Roman"/>
    </w:rPr>
  </w:style>
  <w:style w:type="paragraph" w:customStyle="1" w:styleId="ListBullet1">
    <w:name w:val="List Bullet 1"/>
    <w:basedOn w:val="Normal"/>
    <w:pPr>
      <w:numPr>
        <w:numId w:val="2"/>
      </w:numPr>
    </w:pPr>
    <w:rPr>
      <w:rFonts w:eastAsia="Times New Roman"/>
    </w:rPr>
  </w:style>
  <w:style w:type="paragraph" w:customStyle="1" w:styleId="ListDash1">
    <w:name w:val="List Dash 1"/>
    <w:basedOn w:val="Normal"/>
    <w:pPr>
      <w:numPr>
        <w:numId w:val="3"/>
      </w:numPr>
    </w:pPr>
    <w:rPr>
      <w:rFonts w:eastAsia="Times New Roman"/>
    </w:rPr>
  </w:style>
  <w:style w:type="paragraph" w:customStyle="1" w:styleId="ListDash2">
    <w:name w:val="List Dash 2"/>
    <w:basedOn w:val="Normal"/>
    <w:pPr>
      <w:numPr>
        <w:numId w:val="4"/>
      </w:numPr>
    </w:pPr>
    <w:rPr>
      <w:rFonts w:eastAsia="Times New Roman"/>
    </w:rPr>
  </w:style>
  <w:style w:type="paragraph" w:customStyle="1" w:styleId="ListNumberLevel2">
    <w:name w:val="List Number (Level 2)"/>
    <w:basedOn w:val="Normal"/>
    <w:pPr>
      <w:numPr>
        <w:ilvl w:val="1"/>
        <w:numId w:val="5"/>
      </w:numPr>
    </w:pPr>
    <w:rPr>
      <w:rFonts w:eastAsia="Times New Roman"/>
    </w:rPr>
  </w:style>
  <w:style w:type="paragraph" w:customStyle="1" w:styleId="ListNumberLevel3">
    <w:name w:val="List Number (Level 3)"/>
    <w:basedOn w:val="Normal"/>
    <w:pPr>
      <w:numPr>
        <w:ilvl w:val="2"/>
        <w:numId w:val="5"/>
      </w:numPr>
    </w:pPr>
    <w:rPr>
      <w:rFonts w:eastAsia="Times New Roman"/>
    </w:rPr>
  </w:style>
  <w:style w:type="paragraph" w:customStyle="1" w:styleId="ListNumberLevel4">
    <w:name w:val="List Number (Level 4)"/>
    <w:basedOn w:val="Normal"/>
    <w:pPr>
      <w:numPr>
        <w:ilvl w:val="3"/>
        <w:numId w:val="5"/>
      </w:numPr>
    </w:pPr>
    <w:rPr>
      <w:rFonts w:eastAsia="Times New Roman"/>
    </w:rPr>
  </w:style>
  <w:style w:type="character" w:styleId="Hyperlink">
    <w:name w:val="Hyperlink"/>
    <w:rPr>
      <w:color w:val="0000FF"/>
      <w:u w:val="single"/>
    </w:rPr>
  </w:style>
  <w:style w:type="paragraph" w:styleId="ListBullet">
    <w:name w:val="List Bullet"/>
    <w:basedOn w:val="Normal"/>
    <w:pPr>
      <w:numPr>
        <w:numId w:val="6"/>
      </w:numPr>
    </w:pPr>
    <w:rPr>
      <w:rFonts w:eastAsia="Times New Roman"/>
    </w:rPr>
  </w:style>
  <w:style w:type="paragraph" w:styleId="ListBullet2">
    <w:name w:val="List Bullet 2"/>
    <w:basedOn w:val="Normal"/>
    <w:pPr>
      <w:numPr>
        <w:numId w:val="7"/>
      </w:numPr>
    </w:pPr>
    <w:rPr>
      <w:rFonts w:eastAsia="Times New Roman"/>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3">
    <w:name w:val="List Bullet 3"/>
    <w:basedOn w:val="Normal"/>
    <w:uiPriority w:val="99"/>
    <w:semiHidden/>
    <w:unhideWhenUsed/>
    <w:pPr>
      <w:numPr>
        <w:numId w:val="8"/>
      </w:numPr>
      <w:contextualSpacing/>
    </w:pPr>
  </w:style>
  <w:style w:type="paragraph" w:styleId="ListBullet4">
    <w:name w:val="List Bullet 4"/>
    <w:basedOn w:val="Normal"/>
    <w:uiPriority w:val="99"/>
    <w:semiHidden/>
    <w:unhideWhenUsed/>
    <w:pPr>
      <w:numPr>
        <w:numId w:val="9"/>
      </w:numPr>
      <w:contextualSpacing/>
    </w:pPr>
  </w:style>
  <w:style w:type="paragraph" w:styleId="ListNumber2">
    <w:name w:val="List Number 2"/>
    <w:basedOn w:val="Normal"/>
    <w:uiPriority w:val="99"/>
    <w:semiHidden/>
    <w:unhideWhenUsed/>
    <w:pPr>
      <w:numPr>
        <w:numId w:val="10"/>
      </w:numPr>
      <w:contextualSpacing/>
    </w:pPr>
  </w:style>
  <w:style w:type="paragraph" w:styleId="ListNumber3">
    <w:name w:val="List Number 3"/>
    <w:basedOn w:val="Normal"/>
    <w:uiPriority w:val="99"/>
    <w:semiHidden/>
    <w:unhideWhenUsed/>
    <w:pPr>
      <w:numPr>
        <w:numId w:val="11"/>
      </w:numPr>
      <w:contextualSpacing/>
    </w:pPr>
  </w:style>
  <w:style w:type="paragraph" w:styleId="ListNumber4">
    <w:name w:val="List Number 4"/>
    <w:basedOn w:val="Normal"/>
    <w:uiPriority w:val="99"/>
    <w:semiHidden/>
    <w:unhideWhenUsed/>
    <w:pPr>
      <w:numPr>
        <w:numId w:val="12"/>
      </w:numPr>
      <w:contextualSpacing/>
    </w:p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paragraph" w:customStyle="1" w:styleId="TextValue">
    <w:name w:val="TextValue"/>
    <w:basedOn w:val="Normal"/>
    <w:link w:val="TextValueChar"/>
    <w:qFormat/>
    <w:pPr>
      <w:spacing w:before="0" w:after="200" w:line="276" w:lineRule="auto"/>
    </w:pPr>
    <w:rPr>
      <w:rFonts w:eastAsiaTheme="minorEastAsia"/>
      <w:szCs w:val="24"/>
    </w:rPr>
  </w:style>
  <w:style w:type="character" w:customStyle="1" w:styleId="TextValueChar">
    <w:name w:val="TextValue Char"/>
    <w:basedOn w:val="DefaultParagraphFont"/>
    <w:link w:val="TextValue"/>
    <w:rPr>
      <w:rFonts w:ascii="Times New Roman" w:eastAsiaTheme="minorEastAsia" w:hAnsi="Times New Roman" w:cs="Times New Roman"/>
      <w:sz w:val="24"/>
      <w:szCs w:val="24"/>
      <w:lang w:val="bg-BG" w:eastAsia="bg-BG"/>
    </w:rPr>
  </w:style>
  <w:style w:type="character" w:styleId="CommentReference">
    <w:name w:val="annotation reference"/>
    <w:rPr>
      <w:rFonts w:cs="Times New Roman"/>
      <w:sz w:val="16"/>
      <w:szCs w:val="16"/>
      <w:lang w:val="bg-BG" w:eastAsia="bg-BG"/>
    </w:rPr>
  </w:style>
  <w:style w:type="paragraph" w:styleId="CommentText">
    <w:name w:val="annotation text"/>
    <w:basedOn w:val="Normal"/>
    <w:link w:val="CommentTextChar"/>
    <w:rPr>
      <w:rFonts w:eastAsia="Times New Roman"/>
      <w:sz w:val="20"/>
    </w:rPr>
  </w:style>
  <w:style w:type="character" w:customStyle="1" w:styleId="CommentTextChar">
    <w:name w:val="Comment Text Char"/>
    <w:basedOn w:val="DefaultParagraphFont"/>
    <w:link w:val="CommentText"/>
    <w:rPr>
      <w:rFonts w:ascii="Times New Roman" w:eastAsia="Times New Roman" w:hAnsi="Times New Roman" w:cs="Times New Roman"/>
      <w:sz w:val="20"/>
      <w:lang w:val="bg-BG" w:eastAsia="bg-BG"/>
    </w:rPr>
  </w:style>
  <w:style w:type="paragraph" w:styleId="CommentSubject">
    <w:name w:val="annotation subject"/>
    <w:basedOn w:val="CommentText"/>
    <w:next w:val="CommentText"/>
    <w:link w:val="CommentSubjectChar"/>
    <w:uiPriority w:val="99"/>
    <w:semiHidden/>
    <w:unhideWhenUsed/>
    <w:rPr>
      <w:rFonts w:eastAsiaTheme="minorHAnsi"/>
      <w:b/>
      <w:bCs/>
      <w:szCs w:val="20"/>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lang w:val="bg-BG" w:eastAsia="bg-BG"/>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customStyle="1" w:styleId="Normal0">
    <w:name w:val="N ormal"/>
    <w:basedOn w:val="Point1letter"/>
  </w:style>
  <w:style w:type="paragraph" w:styleId="EndnoteText">
    <w:name w:val="endnote text"/>
    <w:basedOn w:val="Normal"/>
    <w:link w:val="EndnoteTextChar"/>
    <w:uiPriority w:val="99"/>
    <w:semiHidden/>
    <w:unhideWhenUsed/>
    <w:pPr>
      <w:spacing w:before="0" w:after="0"/>
    </w:pPr>
    <w:rPr>
      <w:sz w:val="20"/>
      <w:szCs w:val="20"/>
    </w:rPr>
  </w:style>
  <w:style w:type="character" w:customStyle="1" w:styleId="EndnoteTextChar">
    <w:name w:val="Endnote Text Char"/>
    <w:basedOn w:val="DefaultParagraphFont"/>
    <w:link w:val="EndnoteText"/>
    <w:uiPriority w:val="99"/>
    <w:semiHidden/>
    <w:rPr>
      <w:rFonts w:ascii="Times New Roman" w:hAnsi="Times New Roman" w:cs="Times New Roman"/>
      <w:sz w:val="20"/>
      <w:szCs w:val="20"/>
    </w:rPr>
  </w:style>
  <w:style w:type="character" w:styleId="EndnoteReference">
    <w:name w:val="endnote reference"/>
    <w:basedOn w:val="DefaultParagraphFont"/>
    <w:uiPriority w:val="99"/>
    <w:semiHidden/>
    <w:unhideWhenUsed/>
    <w:rPr>
      <w:vertAlign w:val="superscript"/>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1"/>
      </w:numPr>
    </w:pPr>
  </w:style>
  <w:style w:type="paragraph" w:customStyle="1" w:styleId="Tiret1">
    <w:name w:val="Tiret 1"/>
    <w:basedOn w:val="Point1"/>
    <w:pPr>
      <w:numPr>
        <w:numId w:val="32"/>
      </w:numPr>
    </w:pPr>
  </w:style>
  <w:style w:type="paragraph" w:customStyle="1" w:styleId="Tiret2">
    <w:name w:val="Tiret 2"/>
    <w:basedOn w:val="Point2"/>
    <w:pPr>
      <w:numPr>
        <w:numId w:val="33"/>
      </w:numPr>
    </w:pPr>
  </w:style>
  <w:style w:type="paragraph" w:customStyle="1" w:styleId="Tiret3">
    <w:name w:val="Tiret 3"/>
    <w:basedOn w:val="Point3"/>
    <w:pPr>
      <w:numPr>
        <w:numId w:val="34"/>
      </w:numPr>
    </w:pPr>
  </w:style>
  <w:style w:type="paragraph" w:customStyle="1" w:styleId="Tiret4">
    <w:name w:val="Tiret 4"/>
    <w:basedOn w:val="Point4"/>
    <w:pPr>
      <w:numPr>
        <w:numId w:val="3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6"/>
      </w:numPr>
    </w:pPr>
  </w:style>
  <w:style w:type="paragraph" w:customStyle="1" w:styleId="NumPar2">
    <w:name w:val="NumPar 2"/>
    <w:basedOn w:val="Normal"/>
    <w:next w:val="Text1"/>
    <w:pPr>
      <w:numPr>
        <w:ilvl w:val="1"/>
        <w:numId w:val="36"/>
      </w:numPr>
    </w:pPr>
  </w:style>
  <w:style w:type="paragraph" w:customStyle="1" w:styleId="NumPar3">
    <w:name w:val="NumPar 3"/>
    <w:basedOn w:val="Normal"/>
    <w:next w:val="Text1"/>
    <w:pPr>
      <w:numPr>
        <w:ilvl w:val="2"/>
        <w:numId w:val="36"/>
      </w:numPr>
    </w:pPr>
  </w:style>
  <w:style w:type="paragraph" w:customStyle="1" w:styleId="NumPar4">
    <w:name w:val="NumPar 4"/>
    <w:basedOn w:val="Normal"/>
    <w:next w:val="Text1"/>
    <w:pPr>
      <w:numPr>
        <w:ilvl w:val="3"/>
        <w:numId w:val="3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8"/>
      </w:numPr>
    </w:pPr>
  </w:style>
  <w:style w:type="paragraph" w:customStyle="1" w:styleId="Point1number">
    <w:name w:val="Point 1 (number)"/>
    <w:basedOn w:val="Normal"/>
    <w:pPr>
      <w:numPr>
        <w:ilvl w:val="2"/>
        <w:numId w:val="38"/>
      </w:numPr>
    </w:pPr>
  </w:style>
  <w:style w:type="paragraph" w:customStyle="1" w:styleId="Point2number">
    <w:name w:val="Point 2 (number)"/>
    <w:basedOn w:val="Normal"/>
    <w:pPr>
      <w:numPr>
        <w:ilvl w:val="4"/>
        <w:numId w:val="38"/>
      </w:numPr>
    </w:pPr>
  </w:style>
  <w:style w:type="paragraph" w:customStyle="1" w:styleId="Point3number">
    <w:name w:val="Point 3 (number)"/>
    <w:basedOn w:val="Normal"/>
    <w:pPr>
      <w:numPr>
        <w:ilvl w:val="6"/>
        <w:numId w:val="38"/>
      </w:numPr>
    </w:pPr>
  </w:style>
  <w:style w:type="paragraph" w:customStyle="1" w:styleId="Point0letter">
    <w:name w:val="Point 0 (letter)"/>
    <w:basedOn w:val="Normal"/>
    <w:pPr>
      <w:numPr>
        <w:ilvl w:val="1"/>
        <w:numId w:val="38"/>
      </w:numPr>
    </w:pPr>
  </w:style>
  <w:style w:type="paragraph" w:customStyle="1" w:styleId="Point1letter">
    <w:name w:val="Point 1 (letter)"/>
    <w:basedOn w:val="Normal"/>
    <w:pPr>
      <w:numPr>
        <w:ilvl w:val="3"/>
        <w:numId w:val="38"/>
      </w:numPr>
    </w:pPr>
  </w:style>
  <w:style w:type="paragraph" w:customStyle="1" w:styleId="Point2letter">
    <w:name w:val="Point 2 (letter)"/>
    <w:basedOn w:val="Normal"/>
    <w:pPr>
      <w:numPr>
        <w:ilvl w:val="5"/>
        <w:numId w:val="38"/>
      </w:numPr>
    </w:pPr>
  </w:style>
  <w:style w:type="paragraph" w:customStyle="1" w:styleId="Point3letter">
    <w:name w:val="Point 3 (letter)"/>
    <w:basedOn w:val="Normal"/>
    <w:pPr>
      <w:numPr>
        <w:ilvl w:val="7"/>
        <w:numId w:val="38"/>
      </w:numPr>
    </w:pPr>
  </w:style>
  <w:style w:type="paragraph" w:customStyle="1" w:styleId="Point4letter">
    <w:name w:val="Point 4 (letter)"/>
    <w:basedOn w:val="Normal"/>
    <w:pPr>
      <w:numPr>
        <w:ilvl w:val="8"/>
        <w:numId w:val="38"/>
      </w:numPr>
    </w:pPr>
  </w:style>
  <w:style w:type="paragraph" w:customStyle="1" w:styleId="Bullet0">
    <w:name w:val="Bullet 0"/>
    <w:basedOn w:val="Normal"/>
    <w:pPr>
      <w:numPr>
        <w:numId w:val="39"/>
      </w:numPr>
    </w:pPr>
  </w:style>
  <w:style w:type="paragraph" w:customStyle="1" w:styleId="Bullet1">
    <w:name w:val="Bullet 1"/>
    <w:basedOn w:val="Normal"/>
    <w:pPr>
      <w:numPr>
        <w:numId w:val="40"/>
      </w:numPr>
    </w:pPr>
  </w:style>
  <w:style w:type="paragraph" w:customStyle="1" w:styleId="Bullet2">
    <w:name w:val="Bullet 2"/>
    <w:basedOn w:val="Normal"/>
    <w:pPr>
      <w:numPr>
        <w:numId w:val="41"/>
      </w:numPr>
    </w:pPr>
  </w:style>
  <w:style w:type="paragraph" w:customStyle="1" w:styleId="Bullet3">
    <w:name w:val="Bullet 3"/>
    <w:basedOn w:val="Normal"/>
    <w:pPr>
      <w:numPr>
        <w:numId w:val="42"/>
      </w:numPr>
    </w:pPr>
  </w:style>
  <w:style w:type="paragraph" w:customStyle="1" w:styleId="Bullet4">
    <w:name w:val="Bullet 4"/>
    <w:basedOn w:val="Normal"/>
    <w:pPr>
      <w:numPr>
        <w:numId w:val="43"/>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3109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c.cec/budg/leg/internal/leg-070_internal_en.html"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4.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6.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1.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cc.cec/budg/man/budgmanag/budgmanag_en.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12E5E0-B427-4536-BE17-42FB108107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0</TotalTime>
  <Pages>55</Pages>
  <Words>14580</Words>
  <Characters>87047</Characters>
  <Application>Microsoft Office Word</Application>
  <DocSecurity>0</DocSecurity>
  <Lines>2417</Lines>
  <Paragraphs>1058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100569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2016-10-21T12:50:00Z</dcterms:created>
  <dcterms:modified xsi:type="dcterms:W3CDTF">2016-10-21T16:02:00Z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 edited using">
    <vt:lpwstr>LW 5.8.4, Build 20150407</vt:lpwstr>
  </property>
  <property fmtid="{D5CDD505-2E9C-101B-9397-08002B2CF9AE}" pid="3" name="Classification">
    <vt:lpwstr> </vt:lpwstr>
  </property>
  <property fmtid="{D5CDD505-2E9C-101B-9397-08002B2CF9AE}" pid="4" name="Category">
    <vt:lpwstr>COM/PL/ORG</vt:lpwstr>
  </property>
  <property fmtid="{D5CDD505-2E9C-101B-9397-08002B2CF9AE}" pid="5" name="Part">
    <vt:lpwstr>1</vt:lpwstr>
  </property>
  <property fmtid="{D5CDD505-2E9C-101B-9397-08002B2CF9AE}" pid="6" name="Total parts">
    <vt:lpwstr>1</vt:lpwstr>
  </property>
  <property fmtid="{D5CDD505-2E9C-101B-9397-08002B2CF9AE}" pid="7" name="LWTemplateID">
    <vt:lpwstr>SJ-026</vt:lpwstr>
  </property>
  <property fmtid="{D5CDD505-2E9C-101B-9397-08002B2CF9AE}" pid="8" name="DQCStatus">
    <vt:lpwstr>Green (DQC version 03)</vt:lpwstr>
  </property>
</Properties>
</file>