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45233562CBEA4B2D91CB8055657F56E0" style="width:450.75pt;height:404.2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10314"/>
      </w:tblGrid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2"/>
              </w:rPr>
              <w:lastRenderedPageBreak/>
              <w:t>Обобщение</w:t>
            </w:r>
          </w:p>
        </w:tc>
      </w:tr>
      <w:t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 xml:space="preserve">Оценка на въздействието – Предложение за </w:t>
            </w:r>
            <w:r>
              <w:rPr>
                <w:rFonts w:ascii="Tahoma" w:hAnsi="Tahoma"/>
                <w:b/>
                <w:noProof/>
                <w:color w:val="FFFFFF" w:themeColor="background1"/>
                <w:sz w:val="20"/>
              </w:rPr>
              <w:t>решение на Европейския парламент и на Съвета</w:t>
            </w:r>
          </w:p>
          <w:p>
            <w:pPr>
              <w:spacing w:before="120" w:after="12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color w:val="FFFFFF" w:themeColor="background1"/>
                <w:sz w:val="20"/>
              </w:rPr>
              <w:t xml:space="preserve">относно участието на Европейския съюз в Партньорство за научни изследвания и иновации в Средиземноморския регион (PRIMA) 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А. Необходими са действия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Водоснабдяването и продоволствените системи в Средиземноморския регион се управляват по неустойчив начин. Това предизвикателство се изостря от изменението на климата и има важни въздействия надолу по веригата, включително социално и икономическо напрежение, нестабилност и външна миграция.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Една от основните причини за неустойчивото управление на водоснабдяването и продоволствените системи в Средиземноморския регион е липсата на набор от общи, новаторски решения, които са адаптирани към реалностите на региона и които могат лесно да се пренасят на територията му и  са преминали всички етапи на пилотен и демонстрационен проект на място.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Намирането на тези решения не е предстоящо, тъй като общото равнище на инвестициите в научни изследвания и иновации (НИИ) в Средиземноморския регион не е съизмеримо с мащаба на регионалното предизвикателство; равнищата на инвестициите се различават значително в отделните страни; финансирането не е добре фокусирано върху преодоляване на водния и продоволствения проблем; съответните заинтересовани лица, като например частният сектор, невинаги разполагат с достатъчно голям капацитет за НИИ; а усилията за сътрудничество в областта на НИИ между държавите – членки на Съюза и държавите от Южното и Източното Средиземноморие са твърде несъгласувани (уредени основно чрез двустранни споразумения), за да имат някакво значително въздействие.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постигне тази инициатива? 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Основната цел е да бъдат развити общи новаторски решения, които са преминали всички етапи на пилотен и демонстрационен проект, в областта на водоснабдяването и продоволствените системи, от които Средиземноморският регион спешно се нуждае, с цел те да бъдат направени ефикасни, икономически ефективни и устойчиви, като по този начин допринесат за разрешаването на проблеми на високо равнище в областта на храненето, здравето, благосъстоянието и миграцията.</w:t>
            </w:r>
          </w:p>
          <w:p>
            <w:pPr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Тази обща цел се изразява в следните четири специфични цели: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формулирането на стабилна, дългосрочна, обща стратегическа програма за НИИ в областта на водоснабдяването и продоволствените системи;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ориентирането на всички национални програми за НИИ към изпълнението на стратегическата програма за НИИ;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структурното участие на всички участници в НИИ (от публичния и частния сектор) в изпълнението на стратегическата програма за НИИ чрез обединяване на знания и финансови ресурси, за да се постигне необходимата критична маса;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Tahoma" w:eastAsia="Calibri" w:hAnsi="Tahoma" w:cs="Tahoma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укрепването на възможностите на всички привлечени участници за финансиране и реализиране на НИИ.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на действията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Инициативата е в пълно съответствие с новата рамка за партньорство с трети държави в рамките на европейската програма за миграцията, тъй като е насочена към някои от първопричините за миграцията; тя е разположена в пресечната точка между политиките в областта на научните изследвания, изменението на климата, околната среда и селското стопанство и е пример за нов модел на сътрудничество за развитие, подкрепен от новата рамка за партньорство, доколкото той включва частните инвеститори, използването на ограничените налични бюджетни ресурси с прилагане на ефекта на лоста и акцентира върху малките и средните предприятия и устойчивата инфраструктура.</w:t>
            </w:r>
          </w:p>
          <w:p>
            <w:pPr>
              <w:jc w:val="both"/>
              <w:rPr>
                <w:rFonts w:ascii="Tahoma" w:eastAsia="Calibri" w:hAnsi="Tahoma" w:cs="Tahoma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Само чрез действия на равнището на ЕС може да бъде постигната добре координирана и интегрирана програма, която да достигне мащаба, обхвата и критичната маса, необходими за изпълнението на специфичните и общите цели. Действията на равнището на ЕС се характеризират с голям капацитет за ефект на лоста, тъй като мобилизират значителни допълнителни публични и частни инвестиции. Те също така пораждат въздействия, които надхвърлят политиката и решенията в областта на НИИ, като по този начин подпомагат външните политики и усилията на ЕС за справяне с първопричините за миграцията. Участието на ЕС в PRIMA също така вероятно ще засили видимостта и глобалната отговорност на Европа, в духа на политиката на съседство на ЕС, която насърчава диференцирането и по-голямата взаимна ангажираност със съседните държави партньори.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политиките бяха разгледани? Има ли предпочитан избор или не?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bookmarkStart w:id="2" w:name="_Toc451955141"/>
            <w:bookmarkStart w:id="3" w:name="_Toc452824236"/>
            <w:r>
              <w:rPr>
                <w:rFonts w:ascii="Arial" w:hAnsi="Arial"/>
                <w:b/>
                <w:i/>
                <w:noProof/>
                <w:sz w:val="20"/>
              </w:rPr>
              <w:t xml:space="preserve">Вариант 0: Без промяна на политиката – Базов </w:t>
            </w:r>
            <w:bookmarkEnd w:id="2"/>
            <w:bookmarkEnd w:id="3"/>
            <w:r>
              <w:rPr>
                <w:rFonts w:ascii="Arial" w:hAnsi="Arial"/>
                <w:b/>
                <w:i/>
                <w:noProof/>
                <w:sz w:val="20"/>
              </w:rPr>
              <w:t xml:space="preserve">сценарий – </w:t>
            </w:r>
            <w:r>
              <w:rPr>
                <w:rFonts w:ascii="Arial" w:hAnsi="Arial"/>
                <w:noProof/>
                <w:sz w:val="20"/>
              </w:rPr>
              <w:t xml:space="preserve">Програма „Хоризонт 2020“ ще продължи да предоставя обща и </w:t>
            </w:r>
            <w:r>
              <w:rPr>
                <w:rFonts w:ascii="Arial" w:hAnsi="Arial"/>
                <w:i/>
                <w:noProof/>
                <w:sz w:val="20"/>
              </w:rPr>
              <w:t>ad hoc</w:t>
            </w:r>
            <w:r>
              <w:rPr>
                <w:rFonts w:ascii="Arial" w:hAnsi="Arial"/>
                <w:noProof/>
                <w:sz w:val="20"/>
              </w:rPr>
              <w:t xml:space="preserve"> подкрепа за проблеми, свързани с водните ресурси и продоволствието. Малко вероятно е да бъдат стартирани специални инициативи, чиято цел е интегрирането на средиземноморските системи за НИИ. Отделните действия обикновено продължават 3 – 4 години. Въздействието ще бъде ограничено. Този вариант не е предпочитаният.</w:t>
            </w:r>
          </w:p>
          <w:p>
            <w:pPr>
              <w:spacing w:before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t xml:space="preserve">Вариант 1: Съфинансиране на действие на ЕНП-NET – </w:t>
            </w:r>
            <w:r>
              <w:rPr>
                <w:rFonts w:ascii="Arial" w:hAnsi="Arial"/>
                <w:noProof/>
                <w:sz w:val="20"/>
              </w:rPr>
              <w:t>Основната дейност по програма „Хоризонт 2020“ е изпълнението на единна, съфинансирана съвместна покана (или серия от такива) за предложения за всяко действие, което се изразява във финансиране на транснационални научни изследвания и/или проекти за иновации. Отделните действия обикновено продължават 5 години. Това ще позволи да се обърне съществено внимание на измерението, свързано с иновациите, тъй като националните програми, които ще си сътрудничат и ще координират своите дейности, поставят акцент основно върху научноизследователските дейности на публичните научноизследователски организации. При вариант 1 не се очаква интегриране на националните програми за финансиране в обща програма за стратегически научни изследвания. Този вариант не е предпочитаният.</w:t>
            </w:r>
          </w:p>
          <w:p>
            <w:pPr>
              <w:spacing w:before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bookmarkStart w:id="4" w:name="_Toc451955143"/>
            <w:bookmarkStart w:id="5" w:name="_Toc452824238"/>
            <w:r>
              <w:rPr>
                <w:rFonts w:ascii="Arial" w:hAnsi="Arial"/>
                <w:b/>
                <w:i/>
                <w:noProof/>
                <w:sz w:val="20"/>
              </w:rPr>
              <w:t xml:space="preserve">Вариант 2: Съвместна програма PRIMA на основание член 185 от ДФЕС – </w:t>
            </w:r>
            <w:bookmarkEnd w:id="4"/>
            <w:bookmarkEnd w:id="5"/>
            <w:r>
              <w:rPr>
                <w:rFonts w:ascii="Arial" w:hAnsi="Arial"/>
                <w:noProof/>
                <w:sz w:val="20"/>
              </w:rPr>
              <w:t>Това позволява на ЕС да предвиди своето участие в научноизследователски и развойни програми, управлявани от няколко държави членки, включително участието си в структурите, създадени за изпълнението на тези програми. В член 26 от регламента за установяване на рамковата програма „Хоризонт 2020“ се посочват условията и критериите за установяване и предлагане на инициатива по член 185 от ДФЕС. Наред с други критерии, Комисията може да предлага инициативи по член 185 само в случай, че съществува необходимост от специална изпълнителна структура и когато е налице силен ангажимент от страна на участващите държави за интеграция на научно, управленско и финансово равнище</w:t>
            </w:r>
            <w:r>
              <w:rPr>
                <w:rFonts w:ascii="Arial" w:hAnsi="Arial"/>
                <w:b/>
                <w:i/>
                <w:noProof/>
                <w:sz w:val="20"/>
              </w:rPr>
              <w:t xml:space="preserve">. </w:t>
            </w:r>
            <w:r>
              <w:rPr>
                <w:rFonts w:ascii="Arial" w:hAnsi="Arial"/>
                <w:noProof/>
                <w:sz w:val="20"/>
              </w:rPr>
              <w:t>Този вариант обхваща разработването на всеобхватна стратегическа програма за научни изследвания и нейното цялостно изпълнение чрез многократни транснационални покани за представяне на предложения, отправени от няколко участващи държави и изпълнени чрез специална изпълнителна структура (СИС финансиращ орган). Това обикновено е дългосрочен ангажимент (10 години). ЕС ще предвиди финансова подкрепа, която съответства на националните инвестиции. Този вариант е най-добрият за постигането на конкретните и общите цели и за изпълнението на редица пилотни и демонстрационни проекти в стратегически важни области, свързани с водоснабдяването и продоволствените системи. При него се отчитат изцяло всички извлечени поуки по отношение на управлението на финансовия принос на Съюза, постигането на въздействия и т.н. от изпълнението на минали и текущи инициативи по член 185. Този вариант също така има за цел да гарантира добро финансово управление и да защитава финансовите интереси на Европейския съюз чрез подходящи предварителни проверки, финансово отчитане и последващ контрол.</w:t>
            </w:r>
          </w:p>
        </w:tc>
      </w:tr>
      <w:tr>
        <w:tc>
          <w:tcPr>
            <w:tcW w:w="10314" w:type="dxa"/>
            <w:shd w:val="clear" w:color="auto" w:fill="CCCCCC"/>
          </w:tcPr>
          <w:p>
            <w:pPr>
              <w:spacing w:before="60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този вариант?</w:t>
            </w:r>
          </w:p>
        </w:tc>
      </w:tr>
      <w:tr>
        <w:tc>
          <w:tcPr>
            <w:tcW w:w="1031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Онлайн консултациите със заинтересованите страни показват, че </w:t>
            </w:r>
            <w:r>
              <w:rPr>
                <w:rFonts w:ascii="Arial" w:hAnsi="Arial"/>
                <w:b/>
                <w:noProof/>
                <w:sz w:val="20"/>
              </w:rPr>
              <w:t xml:space="preserve">вариант 2 </w:t>
            </w:r>
            <w:r>
              <w:rPr>
                <w:rFonts w:ascii="Arial" w:hAnsi="Arial"/>
                <w:noProof/>
                <w:sz w:val="20"/>
              </w:rPr>
              <w:t>се оценява като оптимален вариант на политиката.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Според експертната група, както е посочено в нейния доклад, се счита, че </w:t>
            </w:r>
            <w:r>
              <w:rPr>
                <w:rFonts w:ascii="Arial" w:hAnsi="Arial"/>
                <w:b/>
                <w:noProof/>
                <w:sz w:val="20"/>
              </w:rPr>
              <w:t xml:space="preserve">вариант 2 </w:t>
            </w:r>
            <w:r>
              <w:rPr>
                <w:rFonts w:ascii="Arial" w:hAnsi="Arial"/>
                <w:noProof/>
                <w:sz w:val="20"/>
              </w:rPr>
              <w:t>представлява също така</w:t>
            </w:r>
            <w:r>
              <w:rPr>
                <w:rFonts w:ascii="Arial" w:hAnsi="Arial"/>
                <w:b/>
                <w:noProof/>
                <w:sz w:val="20"/>
              </w:rPr>
              <w:t xml:space="preserve"> </w:t>
            </w:r>
            <w:r>
              <w:rPr>
                <w:rFonts w:ascii="Arial" w:hAnsi="Arial"/>
                <w:noProof/>
                <w:sz w:val="20"/>
              </w:rPr>
              <w:t>най-благоприятния вариант на политиката.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От гледна точка на по-широката политика вариантът, на който ще се отдаде предпочитание, трябва да е съизмерим с важността и остротата на проблема, който трябва да бъде решен, с необходимостта към него да се подходи сериозно и без забавяне и с амбицията и ангажираността на участниците да отделят достатъчно ресурси и колективно внимание, за да се гарантира успешен резултат. От тази гледна точка, поради потенциално по-високото ниво на </w:t>
            </w:r>
            <w:r>
              <w:rPr>
                <w:rFonts w:ascii="Arial" w:hAnsi="Arial"/>
                <w:b/>
                <w:noProof/>
                <w:sz w:val="20"/>
              </w:rPr>
              <w:t>ефективност</w:t>
            </w:r>
            <w:r>
              <w:rPr>
                <w:rFonts w:ascii="Arial" w:hAnsi="Arial"/>
                <w:noProof/>
                <w:sz w:val="20"/>
              </w:rPr>
              <w:t xml:space="preserve"> за постигане на поставените цели, по-добрата </w:t>
            </w:r>
            <w:r>
              <w:rPr>
                <w:rFonts w:ascii="Arial" w:hAnsi="Arial"/>
                <w:b/>
                <w:noProof/>
                <w:sz w:val="20"/>
              </w:rPr>
              <w:t>ефикасност</w:t>
            </w:r>
            <w:r>
              <w:rPr>
                <w:rFonts w:ascii="Arial" w:hAnsi="Arial"/>
                <w:noProof/>
                <w:sz w:val="20"/>
              </w:rPr>
              <w:t xml:space="preserve"> на изпълнението, както и по-голямата </w:t>
            </w:r>
            <w:r>
              <w:rPr>
                <w:rFonts w:ascii="Arial" w:hAnsi="Arial"/>
                <w:b/>
                <w:noProof/>
                <w:sz w:val="20"/>
              </w:rPr>
              <w:t>съгласуваност</w:t>
            </w:r>
            <w:r>
              <w:rPr>
                <w:rFonts w:ascii="Arial" w:hAnsi="Arial"/>
                <w:noProof/>
                <w:sz w:val="20"/>
              </w:rPr>
              <w:t xml:space="preserve"> с други политики и програми, вариант 2 се явява най-подходящ, въпреки че не е лишен от редица рискове, които трябва да бъдат подобаващо ограничени.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предпочитания вариант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 (ако има такъв; в противен случай — от основните варианти)?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Чрез предпочитания вариант по член 185 ще се постигне бързото интегриране на националните програми и дейности за НИИ в Средиземноморския регион. Той ще гарантира ефикасното и ефективното предоставяне на общи новаторски, интегрирани решения, които са преминали всички етапи на пилотен и демонстрационен проект, за устойчиво управление на водоснабдяването и продоволствените системи. Той ще осигури по-добри възможности за малките и средните предприятия и други предприятия в секторите на водоснабдяването и снабдяването с храни в Средиземноморския регион. Този вариант ще окаже мащабни положителни въздействия върху околната среда; ще подобри начина на живот на земеделските стопани и ще доведе до осезаеми положителни икономически въздействия; ще подобри храненето и здравето на хората от Средиземноморския регион. Също така, той ще допринесе за подобряване на политическата стабилност и намаляване на вътрешната и външната миграция.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предпочитания вариант (ако има такъв; в противен случай — от основните варианти)</w:t>
            </w:r>
            <w:r>
              <w:rPr>
                <w:rFonts w:ascii="Tahoma" w:hAnsi="Tahoma"/>
                <w:noProof/>
                <w:sz w:val="20"/>
              </w:rPr>
              <w:t>?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Инициативата изисква инвестирането на 200 милиона евро от „Хоризонт 2020“ през 10-годишния срок на действие на съвместната програма PRIMA. Това финансово участие на ЕС съответства на подобна сума, предоставена от страна на участващите държави. Финансовото участие на ЕС и финансовото участие на участващите държави ще бъдат ясно разграничени по отношение на труда. Финансовото участие на ЕС ще се съсредоточи главно върху дейности за НИИ с по-високи равнища на технологична готовност под формата на подкрепа с необходимата критична маса за ограничен брой стратегически избрани пилотни и демонстрационни проекти. Националното финансово участие ще се съсредоточи върху дейности за НИИ с по-ниски равнища на технологична готовност, върху действия за мобилност и обучение, върху дейности за създаване на партньорски мрежи и др. Годишните работни планове ще осигурят съгласуваност между всички дейности и тяхната насоченост към постигането на оперативните, конкретните и общите цели.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 ще бъдат засегнати предприятията, МСП и микропредприятията? 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Инициативата ще предостави по-големи икономически възможности на предприятията, МСП и микропредприятията в Средиземноморския регион, по-специално на онези в секторите на водоснабдяването и снабдяването с храни. В Средиземноморския регион микропредприятията, малките и средните предприятия представляват основен двигател на икономиката и заетостта. На МСП в хранително-вкусовата промишленост се пада голям дял от общия брой МСП и те имат значителен потенциал за иновации. Според експертната група относно PRIMA половината от МСП в сектора на хранително-вкусовата промишленост ще бъдат в състояние да развиват новаторски дейности, позволяващи им да се включат в много по-голяма степен например във веригите на стойността в този сектор. 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съществени въздействия върху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>националните бюджети и администрации?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31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 рамките на инициатива участващите държави ще допринесат 200 милиона евро. Инициативата ще привлече пълноценното участие на заинтересовани страни от публичния сектор във всички участващи държави, включително министерства, агенции и други структури за финансиране в рамките на ЕС и държавите извън ЕС, които имат интерес към проблемите, пред които е изправен Средиземноморският регион в областта на водоснабдяването и продоволствените системи. Трансферът на знания и създаването на умения се считат за пряко следствие от изпълнението на вариант 2</w:t>
            </w:r>
            <w:r>
              <w:rPr>
                <w:rFonts w:ascii="Arial" w:hAnsi="Arial"/>
                <w:b/>
                <w:noProof/>
                <w:sz w:val="20"/>
              </w:rPr>
              <w:t xml:space="preserve">, </w:t>
            </w:r>
            <w:r>
              <w:rPr>
                <w:rFonts w:ascii="Arial" w:hAnsi="Arial"/>
                <w:noProof/>
                <w:sz w:val="20"/>
              </w:rPr>
              <w:t>тъй като той предполага създаването на нов и интегриран начин на действие спрямо Средиземноморския регион по отношение на НИИ.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съществени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Въздействието на варианта по член 185 е широкообхватно и включва въздействия върху НИИ, промишлеността, околната среда, селското стопанство, храненето, здравето, политиките и миграцията.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 случая на член 185 ефективността трябва да се оценява както на ниво програма (с акцент върху това дали са постигнати общите цели), така и на национално ниво (с акцент върху целите на отделните държави). Предвиждат се междинна и заключителна независима оценка. Изискванията по отношение на условията и данните за тези оценки трябва да бъдат уточнени в началото на инициативата по член 185.</w:t>
            </w:r>
          </w:p>
        </w:tc>
      </w:tr>
    </w:tbl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98445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Footer"/>
      <w:rPr>
        <w:lang w:val="en-G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65690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618"/>
    <w:multiLevelType w:val="hybridMultilevel"/>
    <w:tmpl w:val="82FA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56B9"/>
    <w:multiLevelType w:val="hybridMultilevel"/>
    <w:tmpl w:val="7DF8196C"/>
    <w:lvl w:ilvl="0" w:tplc="AA58798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2C07"/>
    <w:multiLevelType w:val="hybridMultilevel"/>
    <w:tmpl w:val="9E68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8F"/>
    <w:multiLevelType w:val="hybridMultilevel"/>
    <w:tmpl w:val="3D74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24EA2"/>
    <w:multiLevelType w:val="hybridMultilevel"/>
    <w:tmpl w:val="E6F6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6364F"/>
    <w:multiLevelType w:val="hybridMultilevel"/>
    <w:tmpl w:val="634844D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423355A3"/>
    <w:multiLevelType w:val="hybridMultilevel"/>
    <w:tmpl w:val="2402CCF4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4F8153DA"/>
    <w:multiLevelType w:val="hybridMultilevel"/>
    <w:tmpl w:val="5408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F4AE4"/>
    <w:multiLevelType w:val="hybridMultilevel"/>
    <w:tmpl w:val="867489CC"/>
    <w:lvl w:ilvl="0" w:tplc="AA58798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C0A86"/>
    <w:multiLevelType w:val="hybridMultilevel"/>
    <w:tmpl w:val="CDB2D99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55E322CC"/>
    <w:multiLevelType w:val="hybridMultilevel"/>
    <w:tmpl w:val="2A9C1D2C"/>
    <w:lvl w:ilvl="0" w:tplc="604CDE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12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466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A74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6D4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EAE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8C4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38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E87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52531"/>
    <w:multiLevelType w:val="multilevel"/>
    <w:tmpl w:val="F5F67C4A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0B5315B"/>
    <w:multiLevelType w:val="hybridMultilevel"/>
    <w:tmpl w:val="3BD85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C57E9"/>
    <w:multiLevelType w:val="hybridMultilevel"/>
    <w:tmpl w:val="C4FEC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CB4522"/>
    <w:multiLevelType w:val="hybridMultilevel"/>
    <w:tmpl w:val="F4DA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4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"/>
    <w:docVar w:name="LW_CORRIGENDUM" w:val="&lt;UNUSED&gt;"/>
    <w:docVar w:name="LW_COVERPAGE_GUID" w:val="45233562CBEA4B2D91CB8055657F56E0"/>
    <w:docVar w:name="LW_CROSSREFERENCE" w:val="{COM(2016) 662 final}_x000b_{SWD(2016) 332 final}"/>
    <w:docVar w:name="LW_DocType" w:val="NORMAL"/>
    <w:docVar w:name="LW_EMISSION" w:val="18.10.2016"/>
    <w:docVar w:name="LW_EMISSION_ISODATE" w:val="2016-10-18"/>
    <w:docVar w:name="LW_EMISSION_LOCATION" w:val="BRX"/>
    <w:docVar w:name="LW_EMISSION_PREFIX" w:val="Брюксел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SWD"/>
    <w:docVar w:name="LW_REF.INST.NEW_ADOPTED" w:val="final"/>
    <w:docVar w:name="LW_REF.INST.NEW_TEXT" w:val="(2016) 331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88?\u1077?\u1096?\u1077?\u1085?\u1080?\u1077? \u1085?\u1072? \u1045?\u1074?\u1088?\u1086?\u1087?\u1077?\u1081?\u1089?\u1082?\u1080?\u1103? \u1087?\u1072?\u1088?\u1083?\u1072?\u1084?\u1077?\u1085?\u1090? \u1080? \u1085?\u1072? \u1057?\u1098?\u1074?\u1077?\u1090?\u1072? \u1086?\u1090?\u1085?\u1086?\u1089?\u1085?\u1086? \u1091?\u1095?\u1072?\u1089?\u1090?\u1080?\u1077?\u1090?\u1086? \u1085?\u1072? \u1057?\u1098?\u1102?\u1079?\u1072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2?\u1081?\u1086?\u1085? (PRIMA), \u1086?\u1089?\u1098?\u1097?\u1077?\u1089?\u1090?\u1074?\u1103?\u1074?\u1072?\u1085?\u1086? \u1089?\u1098?\u1074?\u1084?\u1077?\u1089?\u1090?\u1085?\u1086? \u1086?\u1090? \u1085?\u1103?\u1082?\u1086?\u1083?\u1082?\u1086? \u1076?\u1098?\u1088?\u1078?\u1072?\u1074?\u1080? \u1095?\u1083?\u1077?\u1085?\u1082?\u108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BVI fnr,Footnote symbol,Footnote reference number,note TESI,Appel note de bas de p,Nota,SUPERS,Footnote number,EN Footnote Reference,-E Fußnotenzeichen,number Char Char,number,Ref,styl,styli"/>
    <w:basedOn w:val="DefaultParagraphFont"/>
    <w:uiPriority w:val="99"/>
    <w:qFormat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BVI fnr,Footnote symbol,Footnote reference number,note TESI,Appel note de bas de p,Nota,SUPERS,Footnote number,EN Footnote Reference,-E Fußnotenzeichen,number Char Char,number,Ref,styl,styli"/>
    <w:basedOn w:val="DefaultParagraphFont"/>
    <w:uiPriority w:val="99"/>
    <w:qFormat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FBD9-8D0F-4A21-95D7-4F5E323E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1817</Words>
  <Characters>11085</Characters>
  <Application>Microsoft Office Word</Application>
  <DocSecurity>0</DocSecurity>
  <Lines>160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2016-10-13T13:42:00Z</dcterms:created>
  <dcterms:modified xsi:type="dcterms:W3CDTF">2016-10-21T16:02:00Z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