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01ED5CC73D94E7C95FC2059D73C83F8" style="width:450.85pt;height:379.4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РЕШЕНИЕ НА КОМИСИЯТА</w:t>
      </w:r>
    </w:p>
    <w:p>
      <w:pPr>
        <w:pStyle w:val="Datedadoption"/>
        <w:rPr>
          <w:noProof/>
        </w:rPr>
      </w:pPr>
      <w:r>
        <w:t>от 16.1.2017 година</w:t>
      </w:r>
    </w:p>
    <w:p>
      <w:pPr>
        <w:pStyle w:val="Titreobjet"/>
        <w:rPr>
          <w:noProof/>
        </w:rPr>
      </w:pPr>
      <w:r>
        <w:rPr>
          <w:noProof/>
        </w:rPr>
        <w:t>за одобряване, от името на Европейския съюз, на изменението на таблица II, таблица ІІІ и таблица IV, буква б) от протокол № 2 към Споразумението между Европейската икономическа общност и Конфедерация Швейцария от 22 юли 1972  г. относно разпоредбите, приложими по отношение на преработени селскостопански продукти</w:t>
      </w:r>
    </w:p>
    <w:p>
      <w:pPr>
        <w:pStyle w:val="Institutionquiagit"/>
        <w:rPr>
          <w:noProof/>
        </w:rPr>
      </w:pPr>
      <w:r>
        <w:rPr>
          <w:noProof/>
        </w:rPr>
        <w:t>ЕВРОПЕЙСКАТА КОМИСИЯ,</w:t>
      </w:r>
    </w:p>
    <w:p>
      <w:pPr>
        <w:rPr>
          <w:noProof/>
        </w:rPr>
      </w:pPr>
      <w:r>
        <w:rPr>
          <w:noProof/>
        </w:rPr>
        <w:t>като взе предвид Договора за функционирането на Европейския съюз,</w:t>
      </w:r>
    </w:p>
    <w:p>
      <w:pPr>
        <w:rPr>
          <w:noProof/>
        </w:rPr>
      </w:pPr>
      <w:r>
        <w:rPr>
          <w:noProof/>
        </w:rPr>
        <w:t>като взе предвид Решение 2005/45/ЕО на Съвета от 22 декември 2004 г. относно сключването и временното прилагане на Споразумението между Европейската общност и Конфедерация Швейцария за изменение на Споразумението между Европейската икономическа общност и Конфедерация Швейцария от 22 юли 1972 г. относно разпоредбите, приложими по отношение на преработени селскостопански продукти</w:t>
      </w:r>
      <w:r>
        <w:rPr>
          <w:rStyle w:val="FootnoteReference"/>
          <w:noProof/>
        </w:rPr>
        <w:footnoteReference w:id="1"/>
      </w:r>
      <w:r>
        <w:rPr>
          <w:noProof/>
        </w:rPr>
        <w:t>, и по-специално член 2 от него,</w:t>
      </w:r>
    </w:p>
    <w:p>
      <w:pPr>
        <w:rPr>
          <w:noProof/>
        </w:rPr>
      </w:pPr>
      <w:r>
        <w:rPr>
          <w:noProof/>
        </w:rPr>
        <w:t>като има предвид, че:</w:t>
      </w:r>
    </w:p>
    <w:p>
      <w:pPr>
        <w:pStyle w:val="ManualConsidrant"/>
        <w:rPr>
          <w:noProof/>
          <w:szCs w:val="24"/>
        </w:rPr>
      </w:pPr>
      <w:r>
        <w:t>(1)</w:t>
      </w:r>
      <w:r>
        <w:tab/>
      </w:r>
      <w:r>
        <w:rPr>
          <w:noProof/>
        </w:rPr>
        <w:t>Споразумението между Европейската икономическа общност и Конфедерация Швейцария, подписано на 22 юли 1972 г.</w:t>
      </w:r>
      <w:r>
        <w:rPr>
          <w:rStyle w:val="FootnoteReference"/>
          <w:noProof/>
        </w:rPr>
        <w:footnoteReference w:id="2"/>
      </w:r>
      <w:r>
        <w:rPr>
          <w:noProof/>
        </w:rPr>
        <w:t xml:space="preserve"> (наричано по-долу „Споразумението“), бе изменено през 2004 г. със Споразумение между Европейската общност и Конфедерация Швейцария за изменение на Споразумението между Европейската икономическа общност и Конфедерация Швейцария от 22 юли 1972 година относно разпоредбите, приложими по отношение на преработени селскостопански продукти</w:t>
      </w:r>
      <w:r>
        <w:rPr>
          <w:rStyle w:val="FootnoteReference"/>
          <w:noProof/>
        </w:rPr>
        <w:footnoteReference w:id="3"/>
      </w:r>
      <w:r>
        <w:rPr>
          <w:noProof/>
        </w:rPr>
        <w:t>. Последното влезе в сила на 1 февруари 2005 г.</w:t>
      </w:r>
    </w:p>
    <w:p>
      <w:pPr>
        <w:pStyle w:val="ManualConsidrant"/>
        <w:rPr>
          <w:noProof/>
        </w:rPr>
      </w:pPr>
      <w:r>
        <w:t>(2)</w:t>
      </w:r>
      <w:r>
        <w:tab/>
      </w:r>
      <w:r>
        <w:rPr>
          <w:noProof/>
        </w:rPr>
        <w:t>Съвместният комитет, учреден по силата на член 29, параграф 1 от Споразумението, носи отговорността да администрира Споразумението и да осигурява нормалното му функциониране.</w:t>
      </w:r>
    </w:p>
    <w:p>
      <w:pPr>
        <w:pStyle w:val="ManualConsidrant"/>
        <w:rPr>
          <w:noProof/>
        </w:rPr>
      </w:pPr>
      <w:r>
        <w:t>(3)</w:t>
      </w:r>
      <w:r>
        <w:tab/>
      </w:r>
      <w:r>
        <w:rPr>
          <w:noProof/>
        </w:rPr>
        <w:t>По силата на член 7 от протокол № 2 към Споразумението Съвместният комитет може да реши да изменя таблиците, допълненията към таблиците и допълнението на протокола към Споразумението.</w:t>
      </w:r>
    </w:p>
    <w:p>
      <w:pPr>
        <w:pStyle w:val="ManualConsidrant"/>
        <w:rPr>
          <w:noProof/>
        </w:rPr>
      </w:pPr>
      <w:r>
        <w:t>(4)</w:t>
      </w:r>
      <w:r>
        <w:tab/>
      </w:r>
      <w:r>
        <w:rPr>
          <w:noProof/>
        </w:rPr>
        <w:t>В таблици I и II от протокол № 2 към Споразумението са изброени продуктите, за които се прилага посоченият протокол. Всички продукти от позиция по ХС 2202.90 попадат в приложното поле на протокол № 2, освен плодови сокове или зеленчукови сокове, разредени с вода или газирани, които са изключени по силата на разпоредбите в таблица ІІ. Поради различаващи се тълкувания на определението на плодови сокове или зеленчукови сокове, разредени с вода или газирани, е налице непоследователна практика за класифициране. Поради това Съвместният комитет предлага да се поясни описанието на тези продукти в таблица II.</w:t>
      </w:r>
    </w:p>
    <w:p>
      <w:pPr>
        <w:pStyle w:val="ManualConsidrant"/>
        <w:rPr>
          <w:noProof/>
        </w:rPr>
      </w:pPr>
      <w:r>
        <w:t>(5)</w:t>
      </w:r>
      <w:r>
        <w:tab/>
      </w:r>
      <w:r>
        <w:rPr>
          <w:noProof/>
        </w:rPr>
        <w:t>Действителните цени на вътрешните пазари на договарящите се страни по Споразумението по отношение на суровините, за които се прилагат мерки за ценова компенсация, се промениха. Поради това Съвместният комитет предлага да се заменят таблица III и таблица IV, буква б) от протокол № 2 към Споразумението.</w:t>
      </w:r>
    </w:p>
    <w:p>
      <w:pPr>
        <w:pStyle w:val="ManualConsidrant"/>
        <w:rPr>
          <w:noProof/>
        </w:rPr>
      </w:pPr>
      <w:r>
        <w:t>(6)</w:t>
      </w:r>
      <w:r>
        <w:tab/>
      </w:r>
      <w:r>
        <w:rPr>
          <w:noProof/>
        </w:rPr>
        <w:t>Позицията на Европейския съюз, която да бъде взета в рамките на Съвместния комитет по отношение на въпросното предложение, следва да се определи от Комисията в съответствие с член 2 от Решение 2005/45/ЕО на Съвета,</w:t>
      </w:r>
    </w:p>
    <w:p>
      <w:pPr>
        <w:pStyle w:val="Formuledadoption"/>
        <w:rPr>
          <w:noProof/>
        </w:rPr>
      </w:pPr>
      <w:r>
        <w:rPr>
          <w:noProof/>
        </w:rPr>
        <w:t xml:space="preserve">РЕШИ: </w:t>
      </w:r>
    </w:p>
    <w:p>
      <w:pPr>
        <w:pStyle w:val="Titrearticle"/>
        <w:rPr>
          <w:noProof/>
        </w:rPr>
      </w:pPr>
      <w:r>
        <w:rPr>
          <w:noProof/>
        </w:rPr>
        <w:t>Член 1</w:t>
      </w:r>
    </w:p>
    <w:p>
      <w:pPr>
        <w:rPr>
          <w:noProof/>
        </w:rPr>
      </w:pPr>
      <w:r>
        <w:rPr>
          <w:noProof/>
        </w:rPr>
        <w:t>Одобрява се от името на Европейския съюз изменението на таблица ІІ, таблица III и таблица IV, буква б) от протокол № 2 към Споразумението между Европейската икономическа общност и Конфедерация Швейцария от 22 юли 1972 г.</w:t>
      </w:r>
    </w:p>
    <w:p>
      <w:pPr>
        <w:rPr>
          <w:noProof/>
        </w:rPr>
      </w:pPr>
      <w:r>
        <w:rPr>
          <w:noProof/>
        </w:rPr>
        <w:t>Текстът на изменението на протокол № 2 към Споразумението се основава на приложението към настоящото решение.</w:t>
      </w:r>
    </w:p>
    <w:p>
      <w:pPr>
        <w:pStyle w:val="Titrearticle"/>
        <w:rPr>
          <w:noProof/>
        </w:rPr>
      </w:pPr>
      <w:r>
        <w:rPr>
          <w:noProof/>
        </w:rPr>
        <w:t>Член 2</w:t>
      </w:r>
    </w:p>
    <w:p>
      <w:pPr>
        <w:keepNext/>
        <w:keepLines/>
        <w:rPr>
          <w:noProof/>
        </w:rPr>
      </w:pPr>
      <w:r>
        <w:rPr>
          <w:noProof/>
        </w:rPr>
        <w:t xml:space="preserve">Решението на Съвместния комитет се публикува в </w:t>
      </w:r>
      <w:r>
        <w:rPr>
          <w:i/>
          <w:noProof/>
        </w:rPr>
        <w:t>Официален вестник на Европейския съюз</w:t>
      </w:r>
      <w:r>
        <w:rPr>
          <w:noProof/>
        </w:rPr>
        <w:t xml:space="preserve"> след приемането му.</w:t>
      </w:r>
    </w:p>
    <w:p>
      <w:pPr>
        <w:pStyle w:val="Fait"/>
        <w:rPr>
          <w:noProof/>
        </w:rPr>
      </w:pPr>
      <w:r>
        <w:rPr>
          <w:noProof/>
        </w:rPr>
        <w:t>Съставено в Брюксел на 16.1.2017 година.</w:t>
      </w:r>
    </w:p>
    <w:p>
      <w:pPr>
        <w:pStyle w:val="Institutionquisigne"/>
        <w:rPr>
          <w:noProof/>
        </w:rPr>
      </w:pPr>
      <w:r>
        <w:rPr>
          <w:noProof/>
        </w:rPr>
        <w:tab/>
        <w:t>За Комисията</w:t>
      </w:r>
    </w:p>
    <w:p>
      <w:pPr>
        <w:pStyle w:val="Personnequisigne"/>
        <w:rPr>
          <w:noProof/>
        </w:rPr>
      </w:pPr>
      <w:r>
        <w:rPr>
          <w:noProof/>
        </w:rPr>
        <w:tab/>
        <w:t>Председател</w:t>
      </w:r>
      <w:r>
        <w:rPr>
          <w:noProof/>
        </w:rPr>
        <w:br/>
      </w:r>
      <w:r>
        <w:rPr>
          <w:noProof/>
        </w:rPr>
        <w:tab/>
        <w:t>Jean-Claude JUNCKER</w:t>
      </w:r>
    </w:p>
    <w:sectPr>
      <w:footerReference w:type="default" r:id="rId11"/>
      <w:footerReference w:type="first" r:id="rId12"/>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23, 26.1.2005 г., стр. 17.</w:t>
      </w:r>
    </w:p>
  </w:footnote>
  <w:footnote w:id="2">
    <w:p>
      <w:pPr>
        <w:pStyle w:val="FootnoteText"/>
        <w:rPr>
          <w:lang w:val="pl-PL"/>
        </w:rPr>
      </w:pPr>
      <w:r>
        <w:rPr>
          <w:rStyle w:val="FootnoteReference"/>
        </w:rPr>
        <w:footnoteRef/>
      </w:r>
      <w:r>
        <w:tab/>
        <w:t>OВ L 300, 31.12.1972 г., стр. 189.</w:t>
      </w:r>
    </w:p>
  </w:footnote>
  <w:footnote w:id="3">
    <w:p>
      <w:pPr>
        <w:pStyle w:val="FootnoteText"/>
        <w:rPr>
          <w:lang w:val="pl-PL"/>
        </w:rPr>
      </w:pPr>
      <w:r>
        <w:rPr>
          <w:rStyle w:val="FootnoteReference"/>
        </w:rPr>
        <w:footnoteRef/>
      </w:r>
      <w:r>
        <w:tab/>
        <w:t>ОВ L 23, 26.1.2005 г., стр.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4E64D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40CA8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0C3234D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D9E4F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3464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100CD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584429C"/>
    <w:lvl w:ilvl="0">
      <w:start w:val="1"/>
      <w:numFmt w:val="decimal"/>
      <w:pStyle w:val="ListNumber"/>
      <w:lvlText w:val="%1."/>
      <w:lvlJc w:val="left"/>
      <w:pPr>
        <w:tabs>
          <w:tab w:val="num" w:pos="360"/>
        </w:tabs>
        <w:ind w:left="360" w:hanging="360"/>
      </w:pPr>
    </w:lvl>
  </w:abstractNum>
  <w:abstractNum w:abstractNumId="7">
    <w:nsid w:val="FFFFFF89"/>
    <w:multiLevelType w:val="singleLevel"/>
    <w:tmpl w:val="557E24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16 10:25:0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VERPAGE_GUID" w:val="E01ED5CC73D94E7C95FC2059D73C83F8"/>
    <w:docVar w:name="LW_CROSSREFERENCE" w:val="&lt;UNUSED&gt;"/>
    <w:docVar w:name="LW_DATE.ADOPT.CP" w:val="\u1086?\u1090? 16.1.2017 \u1075?\u1086?\u1076?\u1080?\u1085?\u1072?"/>
    <w:docVar w:name="LW_DATE.ADOPT.CP_DATEFORMAT" w:val="\u1086?\u1090? %DATE% \u1075?\u1086?\u1076?\u1080?\u1085?\u1072?"/>
    <w:docVar w:name="LW_DATE.ADOPT.CP_ISODATE" w:val="2017-01-16"/>
    <w:docVar w:name="LW_DocType" w:val="COM"/>
    <w:docVar w:name="LW_EMISSION" w:val="16.1.2017"/>
    <w:docVar w:name="LW_EMISSION_ISODATE" w:val="2017-01-16"/>
    <w:docVar w:name="LW_EMISSION_LOCATION" w:val="BRX"/>
    <w:docVar w:name="LW_EMISSION_PREFIX" w:val="Брюксел, "/>
    <w:docVar w:name="LW_EMISSION_SUFFIX" w:val=" \u1075?."/>
    <w:docVar w:name="LW_ID_DOCMODEL" w:val="SJ-030"/>
    <w:docVar w:name="LW_ID_DOCSIGNATURE" w:val="SJ-030"/>
    <w:docVar w:name="LW_ID_DOCSTRUCTURE" w:val="COM/AA"/>
    <w:docVar w:name="LW_ID_DOCTYPE" w:val="SJ-030"/>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
    <w:docVar w:name="LW_REF.INST.NEW_ADOPTED" w:val="final"/>
    <w:docVar w:name="LW_REF.INST.NEW_TEXT" w:val="(2017) 74"/>
    <w:docVar w:name="LW_REF.INTERNE" w:val="&lt;UNUSED&gt;"/>
    <w:docVar w:name="LW_SOUS.TITRE.OBJ.CP" w:val="&lt;UNUSED&gt;"/>
    <w:docVar w:name="LW_SUPERTITRE" w:val="&lt;UNUSED&gt;"/>
    <w:docVar w:name="LW_TITRE.OBJ.CP" w:val="\u1079?\u1072? \u1086?\u1076?\u1086?\u1073?\u1088?\u1103?\u1074?\u1072?\u1085?\u1077?, \u1086?\u1090? \u1080?\u1084?\u1077?\u1090?\u1086? \u1085?\u1072? \u1045?\u1074?\u1088?\u1086?\u1087?\u1077?\u1081?\u1089?\u1082?\u1080?\u1103? \u1089?\u1098?\u1102?\u1079?, \u1085?\u1072? \u1080?\u1079?\u1084?\u1077?\u1085?\u1077?\u1085?\u1080?\u1077?\u1090?\u1086? \u1085?\u1072? \u1090?\u1072?\u1073?\u1083?\u1080?\u1094?\u1072? II, \u1090?\u1072?\u1073?\u1083?\u1080?\u1094?\u1072? \u1030?\u1030?\u1030? \u1080? \u1090?\u1072?\u1073?\u1083?\u1080?\u1094?\u1072? IV, \u1073?\u1091?\u1082?\u1074?\u1072? \u1073?) \u1086?\u1090? \u1087?\u1088?\u1086?\u1090?\u1086?\u1082?\u1086?\u1083? \u8470? 2 \u1082?\u1098?\u1084? \u1057?\u1087?\u1086?\u1088?\u1072?\u1079?\u1091?\u1084?\u1077?\u1085?\u1080?\u1077?\u1090?\u1086? \u1084?\u1077?\u1078?\u1076?\u1091? \u1045?\u1074?\u1088?\u1086?\u1087?\u1077?\u1081?\u1089?\u1082?\u1072?\u1090?\u1072? \u1080?\u1082?\u1086?\u1085?\u1086?\u1084?\u1080?\u1095?\u1077?\u1089?\u1082?\u1072? \u1086?\u1073?\u1097?\u1085?\u1086?\u1089?\u1090? \u1080? \u1050?\u1086?\u1085?\u1092?\u1077?\u1076?\u1077?\u1088?\u1072?\u1094?\u1080?\u1103? \u1064?\u1074?\u1077?\u1081?\u1094?\u1072?\u1088?\u1080?\u1103? \u1086?\u1090? 22 \u1102?\u1083?\u1080? 1972  \u1075?. \u1086?\u1090?\u1085?\u1086?\u1089?\u1085?\u1086? \u1088?\u1072?\u1079?\u1087?\u1086?\u1088?\u1077?\u1076?\u1073?\u1080?\u1090?\u1077?, \u1087?\u1088?\u1080?\u1083?\u1086?\u1078?\u1080?\u1084?\u1080? \u1087?\u1086? \u1086?\u1090?\u1085?\u1086?\u1096?\u1077?\u1085?\u1080?\u1077? \u1085?\u1072? \u1087?\u1088?\u1077?\u1088?\u1072?\u1073?\u1086?\u1090?\u1077?\u1085?\u1080? \u1089?\u1077?\u1083?\u1089?\u1082?\u1086?\u1089?\u1090?\u1086?\u1087?\u1072?\u1085?\u1089?\u1082?\u1080? \u1087?\u1088?\u1086?\u1076?\u1091?\u1082?\u1090?\u1080?"/>
    <w:docVar w:name="LW_TYPE.DOC.CP" w:val="\u1056?\u1045?\u1064?\u1045?\u1053?\u1048?\u1045?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633009">
      <w:bodyDiv w:val="1"/>
      <w:marLeft w:val="0"/>
      <w:marRight w:val="0"/>
      <w:marTop w:val="0"/>
      <w:marBottom w:val="0"/>
      <w:divBdr>
        <w:top w:val="none" w:sz="0" w:space="0" w:color="auto"/>
        <w:left w:val="none" w:sz="0" w:space="0" w:color="auto"/>
        <w:bottom w:val="none" w:sz="0" w:space="0" w:color="auto"/>
        <w:right w:val="none" w:sz="0" w:space="0" w:color="auto"/>
      </w:divBdr>
    </w:div>
    <w:div w:id="1080910419">
      <w:bodyDiv w:val="1"/>
      <w:marLeft w:val="0"/>
      <w:marRight w:val="0"/>
      <w:marTop w:val="0"/>
      <w:marBottom w:val="0"/>
      <w:divBdr>
        <w:top w:val="none" w:sz="0" w:space="0" w:color="auto"/>
        <w:left w:val="none" w:sz="0" w:space="0" w:color="auto"/>
        <w:bottom w:val="none" w:sz="0" w:space="0" w:color="auto"/>
        <w:right w:val="none" w:sz="0" w:space="0" w:color="auto"/>
      </w:divBdr>
    </w:div>
    <w:div w:id="1633632252">
      <w:bodyDiv w:val="1"/>
      <w:marLeft w:val="0"/>
      <w:marRight w:val="0"/>
      <w:marTop w:val="0"/>
      <w:marBottom w:val="0"/>
      <w:divBdr>
        <w:top w:val="none" w:sz="0" w:space="0" w:color="auto"/>
        <w:left w:val="none" w:sz="0" w:space="0" w:color="auto"/>
        <w:bottom w:val="none" w:sz="0" w:space="0" w:color="auto"/>
        <w:right w:val="none" w:sz="0" w:space="0" w:color="auto"/>
      </w:divBdr>
    </w:div>
    <w:div w:id="1993828589">
      <w:bodyDiv w:val="1"/>
      <w:marLeft w:val="0"/>
      <w:marRight w:val="0"/>
      <w:marTop w:val="0"/>
      <w:marBottom w:val="0"/>
      <w:divBdr>
        <w:top w:val="none" w:sz="0" w:space="0" w:color="auto"/>
        <w:left w:val="none" w:sz="0" w:space="0" w:color="auto"/>
        <w:bottom w:val="none" w:sz="0" w:space="0" w:color="auto"/>
        <w:right w:val="none" w:sz="0" w:space="0" w:color="auto"/>
      </w:divBdr>
    </w:div>
    <w:div w:id="208117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61A60-1304-40AE-9199-026696D93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Pages>
  <Words>504</Words>
  <Characters>2925</Characters>
  <Application>Microsoft Office Word</Application>
  <DocSecurity>0</DocSecurity>
  <Lines>63</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2016-12-16T09:59:00Z</cp:lastPrinted>
  <dcterms:created xsi:type="dcterms:W3CDTF">2017-01-05T14:12:00Z</dcterms:created>
  <dcterms:modified xsi:type="dcterms:W3CDTF">2017-01-16T09:25:00Z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SJ-030</vt:lpwstr>
  </property>
  <property fmtid="{D5CDD505-2E9C-101B-9397-08002B2CF9AE}" pid="10" name="DQCStatus">
    <vt:lpwstr>Green (DQC version 03)</vt:lpwstr>
  </property>
</Properties>
</file>