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87348D6E55F74E62921E48BB80C4D7FB" style="width:450.75pt;height:41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</w:rPr>
        <w:t>ПРИЛОЖЕНИЕ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Проект на РЕШЕНИЕ № …/2017 НА СЪВМЕСТНИЯ КОМИТЕТ ЕС — ШВЕЙЦАРИЯ</w:t>
      </w:r>
      <w:r>
        <w:rPr>
          <w:noProof/>
          <w:u w:val="none"/>
        </w:rPr>
        <w:br/>
      </w:r>
      <w:r>
        <w:rPr>
          <w:noProof/>
          <w:u w:val="none"/>
        </w:rPr>
        <w:br/>
        <w:t>от  … 2017 г.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таблица ІІ, таблица III и таблица IV, буква б) от протокол № 2 към Споразумението между Европейската икономическа общност и Конфедерация Швейцария от 22 юли 1972 г. относно разпоредбите, приложими по отношение на преработени селскостопански продукти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КОМИТЕТ,</w:t>
      </w:r>
    </w:p>
    <w:p>
      <w:pPr>
        <w:rPr>
          <w:noProof/>
        </w:rPr>
      </w:pPr>
      <w:r>
        <w:rPr>
          <w:noProof/>
        </w:rPr>
        <w:t>като взе предвид Споразумението между Европейската икономическа общност и Конфедерация Швейцария, подписано в Брюксел на 22 юли 1972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(наричано по-нататък „Споразумението“), изменено със Споразумението между Европейската общност и Конфедерация Швейцария за изменение на Споразумението относно разпоредбите, приложими по отношение на преработени селскостопански продукти</w:t>
      </w:r>
      <w:r>
        <w:rPr>
          <w:rStyle w:val="FootnoteReference"/>
          <w:noProof/>
        </w:rPr>
        <w:footnoteReference w:id="2"/>
      </w:r>
      <w:r>
        <w:rPr>
          <w:noProof/>
        </w:rPr>
        <w:t>, подписано в Люксембург на 26 октомври 2004 г., и протокол № 2 към него, и по-специално член 7 от посочения протокол,</w:t>
      </w:r>
    </w:p>
    <w:p>
      <w:pPr>
        <w:rPr>
          <w:rFonts w:eastAsia="Times New Roman"/>
          <w:noProof/>
          <w:szCs w:val="24"/>
        </w:rPr>
      </w:pPr>
      <w:r>
        <w:rPr>
          <w:i/>
          <w:noProof/>
        </w:rPr>
        <w:t>като припомня</w:t>
      </w:r>
      <w:r>
        <w:rPr>
          <w:noProof/>
        </w:rPr>
        <w:t>, че преразгледаният протокол № 2 е сключен с цел подобряването на реципрочния достъп до пазара на преработени селскостопански продукти,</w:t>
      </w:r>
    </w:p>
    <w:p>
      <w:pPr>
        <w:rPr>
          <w:rFonts w:eastAsia="Calibri"/>
          <w:noProof/>
          <w:szCs w:val="20"/>
        </w:rPr>
      </w:pPr>
      <w:r>
        <w:rPr>
          <w:i/>
          <w:noProof/>
        </w:rPr>
        <w:t>като споменава</w:t>
      </w:r>
      <w:r>
        <w:rPr>
          <w:noProof/>
        </w:rPr>
        <w:t xml:space="preserve"> опасенията, изразени от ЕС на 61-ото заседание на Съвместния комитет на 3 декември 2015 г.,</w:t>
      </w:r>
    </w:p>
    <w:p>
      <w:pPr>
        <w:rPr>
          <w:rFonts w:eastAsia="Times New Roman"/>
          <w:i/>
          <w:noProof/>
          <w:szCs w:val="24"/>
        </w:rPr>
      </w:pPr>
      <w:r>
        <w:rPr>
          <w:i/>
          <w:noProof/>
        </w:rPr>
        <w:t>като счита</w:t>
      </w:r>
      <w:r>
        <w:rPr>
          <w:noProof/>
        </w:rPr>
        <w:t xml:space="preserve"> за целесъобразно да извърши техническа адаптация на установените основни стойности, изброени в таблица ІV, буква б) от протокол № 2, като увеличи отстъпката, приложима за разликите в референтните цени, с което изменя основните стойности от 15 на 18,5 %,</w:t>
      </w:r>
    </w:p>
    <w:p>
      <w:pPr>
        <w:rPr>
          <w:rFonts w:eastAsia="Times New Roman"/>
          <w:noProof/>
          <w:szCs w:val="24"/>
        </w:rPr>
      </w:pPr>
      <w:r>
        <w:rPr>
          <w:i/>
          <w:noProof/>
        </w:rPr>
        <w:t>като счита</w:t>
      </w:r>
      <w:r>
        <w:rPr>
          <w:noProof/>
        </w:rPr>
        <w:t>, че тази техническа адаптация представлява отговор на опасенията на ЕС във връзка със запазването на относителните преференциални маржове на договарящите страни, както са посочени в член 5, параграф 3 от протокол № 2, и отговаря на общата цел на Споразумението за хармонично развитие на търговията между договарящите страни,</w:t>
      </w:r>
    </w:p>
    <w:p>
      <w:pPr>
        <w:rPr>
          <w:rFonts w:eastAsia="Times New Roman"/>
          <w:noProof/>
          <w:szCs w:val="24"/>
        </w:rPr>
      </w:pPr>
      <w:r>
        <w:rPr>
          <w:i/>
          <w:noProof/>
        </w:rPr>
        <w:t>като отбелязва</w:t>
      </w:r>
      <w:r>
        <w:rPr>
          <w:noProof/>
        </w:rPr>
        <w:t>, че договарящите страни възнамеряват да продължат да спазват съответните си задължения по протокол № 2, по-специално най-малко веднъж годишно да изпълняват клаузата за преразглеждане, установена в член 5, параграфи 2 и 3, в съответствие с целите на протокола.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В таблици І и ІІ от протокол № 2 към Споразумението са изброени продуктите, за които се прилага посоченият протокол. Всички продукти от позиция по ХС 2202.90 попадат в обхвата на протокол № 2, с изключение на плодови сокове или зеленчукови сокове, разредени с вода или газирани. Поради различаващи се тълкувания на определението на плодови сокове или зеленчукови сокове, разредени с вода или газирани, е налице непоследователна практика за класифициране.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Поради това описанието на продуктите от позиция по ХС 2202.90, изключени от обхвата на протокола, следва да бъде пояснено в таблица ІІ.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За прилагането на протокол № 2 към Споразумението за договарящите се страни бяха определени вътрешни референтни цени.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Действителните цени на вътрешните пазари на договарящите се страни по Споразумението по отношение на суровините, за които се прилагат мерки за ценова компенсация, се промениха.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Поради това е необходимо да се актуализират съответно референтните цени и стойностите, посочени в таблица III и таблица IV, буква б) към протокол № 2,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Протокол № 2 към Споразумението се изменя, както следва:</w:t>
      </w:r>
    </w:p>
    <w:p>
      <w:pPr>
        <w:pStyle w:val="ManualNumPar1"/>
        <w:rPr>
          <w:noProof/>
        </w:rPr>
      </w:pPr>
      <w:r>
        <w:rPr>
          <w:noProof/>
        </w:rPr>
        <w:t xml:space="preserve">а) </w:t>
      </w:r>
      <w:r>
        <w:rPr>
          <w:noProof/>
        </w:rPr>
        <w:tab/>
        <w:t>таблица II се изменя, както е посочено в приложение I към настоящото решение;</w:t>
      </w:r>
    </w:p>
    <w:p>
      <w:pPr>
        <w:pStyle w:val="ManualNumPar1"/>
        <w:rPr>
          <w:noProof/>
        </w:rPr>
      </w:pPr>
      <w:r>
        <w:rPr>
          <w:noProof/>
        </w:rPr>
        <w:t>б)</w:t>
      </w:r>
      <w:r>
        <w:rPr>
          <w:noProof/>
        </w:rPr>
        <w:tab/>
        <w:t>таблица III се заменя с текста в приложение IІ към настоящото решение;</w:t>
      </w:r>
    </w:p>
    <w:p>
      <w:pPr>
        <w:pStyle w:val="ManualNumPar1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таблица IV буква б) се заменя с текста в приложение IIІ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на 1 март 2017 г. и се прилага от същата дата.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 март 2017 г.</w:t>
      </w:r>
    </w:p>
    <w:p>
      <w:pPr>
        <w:rPr>
          <w:noProof/>
        </w:rPr>
      </w:pPr>
      <w:r>
        <w:rPr>
          <w:noProof/>
        </w:rPr>
        <w:t xml:space="preserve">Съставено в </w:t>
      </w:r>
      <w:r>
        <w:rPr>
          <w:noProof/>
          <w:highlight w:val="yellow"/>
        </w:rPr>
        <w:t>xx</w:t>
      </w:r>
      <w:r>
        <w:rPr>
          <w:noProof/>
        </w:rPr>
        <w:t xml:space="preserve">, на </w:t>
      </w:r>
      <w:r>
        <w:rPr>
          <w:noProof/>
          <w:highlight w:val="yellow"/>
        </w:rPr>
        <w:t>…</w:t>
      </w:r>
      <w:r>
        <w:rPr>
          <w:noProof/>
        </w:rPr>
        <w:t xml:space="preserve"> 2017 г.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rFonts w:eastAsia="Times New Roman"/>
          <w:b/>
          <w:bCs/>
          <w:noProof/>
          <w:szCs w:val="24"/>
          <w:u w:val="single"/>
        </w:rPr>
      </w:pPr>
      <w:r>
        <w:rPr>
          <w:b/>
          <w:noProof/>
          <w:u w:val="single"/>
        </w:rPr>
        <w:t>ПРИЛОЖЕНИЕ I</w:t>
      </w:r>
      <w:r>
        <w:rPr>
          <w:rFonts w:eastAsia="Times New Roman"/>
          <w:b/>
          <w:bCs/>
          <w:noProof/>
          <w:szCs w:val="24"/>
          <w:u w:val="single"/>
        </w:rPr>
        <w:br/>
      </w:r>
    </w:p>
    <w:p>
      <w:pPr>
        <w:rPr>
          <w:noProof/>
        </w:rPr>
      </w:pPr>
      <w:r>
        <w:rPr>
          <w:noProof/>
        </w:rPr>
        <w:t>В таблица ІІ вписването за позиция по ХС № 2202 се заменя със следното вписване: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7861"/>
      </w:tblGrid>
      <w:t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„ 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</w:rPr>
              <w:t>Код по ХС</w:t>
            </w:r>
          </w:p>
        </w:tc>
        <w:tc>
          <w:tcPr>
            <w:tcW w:w="786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Описание</w:t>
            </w:r>
          </w:p>
        </w:tc>
      </w:tr>
      <w:tr>
        <w:tc>
          <w:tcPr>
            <w:tcW w:w="1428" w:type="dxa"/>
            <w:tcBorders>
              <w:bottom w:val="nil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2202</w:t>
            </w:r>
          </w:p>
        </w:tc>
        <w:tc>
          <w:tcPr>
            <w:tcW w:w="7861" w:type="dxa"/>
            <w:tcBorders>
              <w:bottom w:val="nil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Води, включително минералните води и газираните води, подсладени със захар или други подсладители или ароматизирани, други безалкохолни напитки, с изключение на плодовите и зеленчуковите сокове от позиция № 2009: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ind w:right="132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.10</w:t>
            </w:r>
          </w:p>
        </w:tc>
        <w:tc>
          <w:tcPr>
            <w:tcW w:w="7861" w:type="dxa"/>
            <w:tcBorders>
              <w:top w:val="nil"/>
              <w:bottom w:val="nil"/>
            </w:tcBorders>
          </w:tcPr>
          <w:p>
            <w:pPr>
              <w:tabs>
                <w:tab w:val="left" w:pos="132"/>
              </w:tabs>
              <w:ind w:left="132" w:hanging="13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Води, включително минералните води и газираните води, подсладени със захар или други подсладители или ароматизирани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ind w:right="132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.91</w:t>
            </w:r>
          </w:p>
        </w:tc>
        <w:tc>
          <w:tcPr>
            <w:tcW w:w="7861" w:type="dxa"/>
            <w:tcBorders>
              <w:top w:val="nil"/>
              <w:bottom w:val="nil"/>
            </w:tcBorders>
          </w:tcPr>
          <w:p>
            <w:pPr>
              <w:tabs>
                <w:tab w:val="left" w:pos="132"/>
              </w:tabs>
              <w:ind w:left="132" w:hanging="13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Безалкохолна бира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ind w:right="132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.99</w:t>
            </w:r>
          </w:p>
        </w:tc>
        <w:tc>
          <w:tcPr>
            <w:tcW w:w="7861" w:type="dxa"/>
            <w:tcBorders>
              <w:top w:val="nil"/>
              <w:bottom w:val="nil"/>
            </w:tcBorders>
          </w:tcPr>
          <w:p>
            <w:pPr>
              <w:tabs>
                <w:tab w:val="left" w:pos="132"/>
              </w:tabs>
              <w:ind w:left="132" w:hanging="13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Други:</w:t>
            </w:r>
          </w:p>
        </w:tc>
      </w:tr>
      <w:tr>
        <w:tc>
          <w:tcPr>
            <w:tcW w:w="1428" w:type="dxa"/>
            <w:tcBorders>
              <w:top w:val="nil"/>
            </w:tcBorders>
          </w:tcPr>
          <w:p>
            <w:pPr>
              <w:ind w:right="132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ex .99</w:t>
            </w:r>
          </w:p>
        </w:tc>
        <w:tc>
          <w:tcPr>
            <w:tcW w:w="7861" w:type="dxa"/>
            <w:tcBorders>
              <w:top w:val="nil"/>
            </w:tcBorders>
          </w:tcPr>
          <w:p>
            <w:pPr>
              <w:tabs>
                <w:tab w:val="left" w:pos="252"/>
              </w:tabs>
              <w:ind w:left="252" w:hanging="25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-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Различни от зеленчукови или плодови сокове от позиции № 2002 и 2009 и смеси от тях, газирани или разтворени с вода или с воден екстракт на чай, билки, кафе или мате, както и различни от съдържащи млечни съставки от позиции № 0401 и 0402“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rFonts w:eastAsia="Times New Roman"/>
          <w:bCs/>
          <w:noProof/>
          <w:szCs w:val="24"/>
        </w:rPr>
      </w:pPr>
      <w:r>
        <w:rPr>
          <w:b/>
          <w:noProof/>
          <w:u w:val="single"/>
        </w:rPr>
        <w:t>ПРИЛОЖЕНИЕ II</w:t>
      </w:r>
      <w:r>
        <w:rPr>
          <w:rFonts w:eastAsia="Times New Roman"/>
          <w:b/>
          <w:bCs/>
          <w:noProof/>
          <w:szCs w:val="24"/>
          <w:u w:val="single"/>
        </w:rPr>
        <w:br/>
      </w:r>
      <w:r>
        <w:rPr>
          <w:rFonts w:eastAsia="Times New Roman"/>
          <w:b/>
          <w:bCs/>
          <w:noProof/>
          <w:szCs w:val="24"/>
          <w:u w:val="single"/>
        </w:rPr>
        <w:br/>
      </w:r>
      <w:r>
        <w:rPr>
          <w:noProof/>
        </w:rPr>
        <w:t>„ТАБЛИЦА III</w:t>
      </w:r>
    </w:p>
    <w:p>
      <w:pPr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Вътрешни референтни цени на ЕС и Швейцария</w:t>
      </w:r>
    </w:p>
    <w:tbl>
      <w:tblPr>
        <w:tblW w:w="9180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725"/>
        <w:gridCol w:w="1725"/>
        <w:gridCol w:w="1725"/>
        <w:gridCol w:w="1725"/>
      </w:tblGrid>
      <w:tr>
        <w:trPr>
          <w:trHeight w:val="226"/>
        </w:trPr>
        <w:tc>
          <w:tcPr>
            <w:tcW w:w="228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Селскостопански суровини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Вътрешни референтни цени за Швейцария</w:t>
            </w:r>
          </w:p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CHF на 100 kg нетно тегло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Вътрешни референтни цени за ЕС</w:t>
            </w:r>
          </w:p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CHF на 100 kg нетно тегло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 1</w:t>
            </w:r>
          </w:p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Прилагана от страна на Швейцария разлика между референтните цени за Швейцария и за ЕС</w:t>
            </w:r>
          </w:p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CHF на 100 kg нетно тегло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3, параграф 3</w:t>
            </w:r>
          </w:p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Прилагана от страна на ЕС разлика между референтните цени за Швейцария и за ЕС </w:t>
            </w:r>
          </w:p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EUR на 100 kg нетно тегло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Мека пшеница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52,10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18,37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33,75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 xml:space="preserve">Твърда пшеница 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1,20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Ръж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42,75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16,35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26,40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Ечемик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Царевица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Брашно от мека пшеница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90,40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40,20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50,20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Пълномаслено мляко на прах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585,00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261,37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323,65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Обезмаслено мляко на прах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396,20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195,08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201,10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Масло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1010,90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368,10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642,80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Бяла захар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Яйца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38,00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Пресни картофи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43,25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17,66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25,60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Растителна мазнина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170,00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0,00“</w:t>
            </w:r>
          </w:p>
        </w:tc>
      </w:tr>
    </w:tbl>
    <w:p>
      <w:pPr>
        <w:rPr>
          <w:rFonts w:eastAsia="Times New Roman"/>
          <w:noProof/>
          <w:szCs w:val="24"/>
        </w:rPr>
        <w:sectPr>
          <w:footerReference w:type="default" r:id="rId16"/>
          <w:footerReference w:type="first" r:id="rId17"/>
          <w:pgSz w:w="11907" w:h="16839" w:code="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jc w:val="center"/>
        <w:rPr>
          <w:rFonts w:eastAsia="Times New Roman"/>
          <w:bCs/>
          <w:noProof/>
          <w:szCs w:val="24"/>
        </w:rPr>
      </w:pPr>
      <w:r>
        <w:rPr>
          <w:b/>
          <w:noProof/>
          <w:u w:val="single"/>
        </w:rPr>
        <w:t>ПРИЛОЖЕНИЕ IIІ</w:t>
      </w:r>
      <w:r>
        <w:rPr>
          <w:rFonts w:eastAsia="Times New Roman"/>
          <w:b/>
          <w:bCs/>
          <w:noProof/>
          <w:szCs w:val="24"/>
          <w:u w:val="single"/>
        </w:rPr>
        <w:br/>
      </w:r>
      <w:r>
        <w:rPr>
          <w:rFonts w:eastAsia="Times New Roman"/>
          <w:b/>
          <w:bCs/>
          <w:noProof/>
          <w:szCs w:val="24"/>
          <w:u w:val="single"/>
        </w:rPr>
        <w:br/>
      </w:r>
      <w:r>
        <w:rPr>
          <w:noProof/>
        </w:rPr>
        <w:t>ТАБЛИЦА IV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„б) Основните стойности за селскостопански суровини, които са взети предвид за изчисляването на селскостопанските компоненти:</w:t>
      </w:r>
    </w:p>
    <w:tbl>
      <w:tblPr>
        <w:tblW w:w="87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3240"/>
        <w:gridCol w:w="3240"/>
      </w:tblGrid>
      <w:tr>
        <w:trPr>
          <w:trHeight w:val="240"/>
          <w:jc w:val="center"/>
        </w:trPr>
        <w:tc>
          <w:tcPr>
            <w:tcW w:w="22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Селскостопански суровини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</w:rPr>
              <w:t xml:space="preserve">Прилагана от Швейцария основна стойност </w:t>
            </w:r>
            <w:r>
              <w:rPr>
                <w:rFonts w:eastAsia="Times New Roman"/>
                <w:noProof/>
                <w:snapToGrid w:val="0"/>
                <w:sz w:val="20"/>
                <w:szCs w:val="20"/>
              </w:rPr>
              <w:br/>
            </w:r>
            <w:r>
              <w:rPr>
                <w:noProof/>
                <w:snapToGrid w:val="0"/>
                <w:sz w:val="20"/>
              </w:rPr>
              <w:t>Член 3, параграф 2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</w:rPr>
              <w:t xml:space="preserve">Прилагана от ЕС основна стойност </w:t>
            </w:r>
            <w:r>
              <w:rPr>
                <w:rFonts w:eastAsia="Times New Roman"/>
                <w:noProof/>
                <w:snapToGrid w:val="0"/>
                <w:sz w:val="20"/>
                <w:szCs w:val="20"/>
              </w:rPr>
              <w:br/>
            </w:r>
            <w:r>
              <w:rPr>
                <w:noProof/>
                <w:snapToGrid w:val="0"/>
                <w:sz w:val="20"/>
              </w:rPr>
              <w:t>Член 4, параграф 2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CHF на 100 kg нетно тегло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EUR на 100 kg нетно тегло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Мека пшеница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27,20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Твърда пшеница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Ръж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20,95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Ечемик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Царевица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Брашно от мека пшеница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40,90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Пълномаслено мляко на прах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262,65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Обезмаслено мляко на прах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163,90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 xml:space="preserve">Масло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523,90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Бяла захар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Яйца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30,95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Пресни картофи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19,90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  <w:jc w:val="center"/>
        </w:trPr>
        <w:tc>
          <w:tcPr>
            <w:tcW w:w="227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Растителна мазнина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138,55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22"/>
                <w:szCs w:val="20"/>
              </w:rPr>
            </w:pPr>
            <w:r>
              <w:rPr>
                <w:noProof/>
                <w:sz w:val="22"/>
              </w:rPr>
              <w:t>0,00“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 300, 31.12.1972 г., стр. 189.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 23, 26.1.2005 г., стр. 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69816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A3E30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EBEBC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D2AD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D522F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6E244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5EC35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F8A0C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CO Switzerland">
    <w15:presenceInfo w15:providerId="None" w15:userId="SECO Switzerland"/>
  </w15:person>
  <w15:person w15:author="Isabelle Niederberger SECO">
    <w15:presenceInfo w15:providerId="None" w15:userId="Isabelle Niederberger SE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1-16 10:25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7348D6E55F74E62921E48BB80C4D7FB"/>
    <w:docVar w:name="LW_CROSSREFERENCE" w:val="&lt;UNUSED&gt;"/>
    <w:docVar w:name="LW_DocType" w:val="ANNEX"/>
    <w:docVar w:name="LW_EMISSION" w:val="16.1.2017"/>
    <w:docVar w:name="LW_EMISSION_ISODATE" w:val="2017-01-16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90?\u1072?\u1073?\u1083?\u1080?\u1094?\u1072? \u1030?\u1030?, \u1090?\u1072?\u1073?\u1083?\u1080?\u1094?\u1072? III \u1080? \u1090?\u1072?\u1073?\u1083?\u1080?\u1094?\u1072? IV, \u1073?\u1091?\u1082?\u1074?\u1072? \u1073?) \u1086?\u1090? \u1087?\u1088?\u1086?\u1090?\u1086?\u1082?\u1086?\u1083? \u8470?&lt;LWCR:NBS&gt;2 \u1082?\u1098?\u1084? \u1057?\u1087?\u1086?\u1088?\u1072?\u1079?\u1091?\u1084?\u1077?\u1085?\u1080?\u1077?\u1090?\u1086? \u1084?\u1077?\u1078?\u1076?\u1091? \u1045?\u1074?\u1088?\u1086?\u1087?\u1077?\u1081?\u1089?\u1082?\u1072?\u1090?\u1072? \u1080?\u1082?\u1086?\u1085?\u1086?\u1084?\u1080?\u1095?\u1077?\u1089?\u1082?\u1072? \u1086?\u1073?\u1097?\u1085?\u1086?\u1089?\u1090? \u1080? \u1050?\u1086?\u1085?\u1092?\u1077?\u1076?\u1077?\u1088?\u1072?\u1094?\u1080?\u1103? \u1064?\u1074?\u1077?\u1081?\u1094?\u1072?\u1088?\u1080?\u1103? \u1086?\u1090? 22 \u1102?\u1083?\u1080? 1972 \u1075?. \u1086?\u1090?\u1085?\u1086?\u1089?\u1085?\u1086? \u1088?\u1072?\u1079?\u1087?\u1086?\u1088?\u1077?\u1076?\u1073?\u1080?\u1090?\u1077?, \u1087?\u1088?\u1080?\u1083?\u1086?\u1078?\u1080?\u1084?\u1080? \u1087?\u1086? \u1086?\u1090?\u1085?\u1086?\u1096?\u1077?\u1085?\u1080?\u1077? \u1085?\u1072? \u1087?\u1088?\u1077?\u1088?\u1072?\u1073?\u1086?\u1090?\u1077?\u1085?\u1080? \u1089?\u1077?\u1083?\u1089?\u1082?\u1086?\u1089?\u1090?\u1086?\u1087?\u1072?\u1085?\u1089?\u1082?\u1080? \u1087?\u1088?\u1086?\u1076?\u1091?\u1082?\u1090?\u1080?"/>
    <w:docVar w:name="LW_OBJETACTEPRINCIPAL.CP" w:val="\u1079?\u1072? \u1080?\u1079?\u1084?\u1077?\u1085?\u1077?\u1085?\u1080?\u1077? \u1085?\u1072? \u1090?\u1072?\u1073?\u1083?\u1080?\u1094?\u1072? \u1030?\u1030?, \u1090?\u1072?\u1073?\u1083?\u1080?\u1094?\u1072? III \u1080? \u1090?\u1072?\u1073?\u1083?\u1080?\u1094?\u1072? IV, \u1073?\u1091?\u1082?\u1074?\u1072? \u1073?) \u1086?\u1090? \u1087?\u1088?\u1086?\u1090?\u1086?\u1082?\u1086?\u1083? \u8470? 2 \u1082?\u1098?\u1084? \u1057?\u1087?\u1086?\u1088?\u1072?\u1079?\u1091?\u1084?\u1077?\u1085?\u1080?\u1077?\u1090?\u1086? \u1084?\u1077?\u1078?\u1076?\u1091? \u1045?\u1074?\u1088?\u1086?\u1087?\u1077?\u1081?\u1089?\u1082?\u1072?\u1090?\u1072? \u1080?\u1082?\u1086?\u1085?\u1086?\u1084?\u1080?\u1095?\u1077?\u1089?\u1082?\u1072? \u1086?\u1073?\u1097?\u1085?\u1086?\u1089?\u1090? \u1080? \u1050?\u1086?\u1085?\u1092?\u1077?\u1076?\u1077?\u1088?\u1072?\u1094?\u1080?\u1103? \u1064?\u1074?\u1077?\u1081?\u1094?\u1072?\u1088?\u1080?\u1103? \u1086?\u1090? 22 \u1102?\u1083?\u1080? 1972 \u1075?. \u1086?\u1090?\u1085?\u1086?\u1089?\u1085?\u1086? \u1088?\u1072?\u1079?\u1087?\u1086?\u1088?\u1077?\u1076?\u1073?\u1080?\u1090?\u1077?, \u1087?\u1088?\u1080?\u1083?\u1086?\u1078?\u1080?\u1084?\u1080? \u1087?\u1086? \u1086?\u1090?\u1085?\u1086?\u1096?\u1077?\u1085?\u1080?\u1077? \u1085?\u1072? \u1087?\u1088?\u1077?\u1088?\u1072?\u1073?\u1086?\u1090?\u1077?\u1085?\u1080? \u1089?\u1077?\u1083?\u1089?\u1082?\u1086?\u1089?\u1090?\u1086?\u1087?\u1072?\u1085?\u1089?\u1082?\u1080? \u1087?\u1088?\u1086?\u1076?\u1091?\u1082?\u1090?\u1080?"/>
    <w:docVar w:name="LW_PART_NBR" w:val="1"/>
    <w:docVar w:name="LW_PART_NBR_TOTAL" w:val="1"/>
    <w:docVar w:name="LW_REF.INST.NEW" w:val="C"/>
    <w:docVar w:name="LW_REF.INST.NEW_ADOPTED" w:val="final"/>
    <w:docVar w:name="LW_REF.INST.NEW_TEXT" w:val="(2017) 7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96?\u1077?\u1085?\u1080?\u1077? \u1085?\u1072? \u1050?\u1086?\u1084?\u1080?\u1089?\u1080?\u1103?\u1090?\u1072?"/>
    <w:docVar w:name="LW_TYPEACTEPRINCIPAL.CP" w:val="\u1056?\u1077?\u1096?\u1077?\u1085?\u1080?\u1077? \u1085?\u1072? \u1050?\u1086?\u1084?\u1080?\u1089?\u1080?\u1103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Theme="minorEastAsia" w:hAnsi="Calibr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Theme="minorEastAsia" w:hAnsi="Calibr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B289-B400-4FC8-89B0-030DC890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961</Words>
  <Characters>5027</Characters>
  <Application>Microsoft Office Word</Application>
  <DocSecurity>0</DocSecurity>
  <Lines>264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2016-12-16T10:03:00Z</cp:lastPrinted>
  <dcterms:created xsi:type="dcterms:W3CDTF">2017-01-05T14:14:00Z</dcterms:created>
  <dcterms:modified xsi:type="dcterms:W3CDTF">2017-01-16T09:25:00Z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