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0FF7BB316244FEAAA75D28C728EB1FE" style="width:450.35pt;height:41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rPr>
        <w:lastRenderedPageBreak/>
        <w:t>ANNEXE</w:t>
      </w:r>
      <w:r>
        <w:rPr>
          <w:noProof/>
        </w:rPr>
        <w:br/>
      </w:r>
      <w:r>
        <w:rPr>
          <w:noProof/>
        </w:rPr>
        <w:br/>
      </w:r>
      <w:r>
        <w:rPr>
          <w:noProof/>
          <w:u w:val="none"/>
        </w:rPr>
        <w:t>PROJET DE DÉCISION Nº .../2017 DU COMITÉ MIXTE UE-SUISSE</w:t>
      </w:r>
      <w:r>
        <w:rPr>
          <w:noProof/>
          <w:u w:val="none"/>
        </w:rPr>
        <w:br/>
      </w:r>
      <w:r>
        <w:rPr>
          <w:noProof/>
          <w:u w:val="none"/>
        </w:rPr>
        <w:br/>
        <w:t>du … 2017</w:t>
      </w:r>
      <w:r>
        <w:rPr>
          <w:noProof/>
          <w:u w:val="none"/>
        </w:rPr>
        <w:br/>
      </w:r>
      <w:r>
        <w:rPr>
          <w:noProof/>
          <w:u w:val="none"/>
        </w:rPr>
        <w:br/>
        <w:t>modifiant les tableaux II, III et IV b) du protocole nº 2 de l’accord entre la Communauté économique européenne et la Confédération suisse du 22 juillet 1972 pour ce qui concerne les dispositions applicables aux produits agricoles transformés</w:t>
      </w:r>
    </w:p>
    <w:p>
      <w:pPr>
        <w:pStyle w:val="Institutionquiagit"/>
        <w:rPr>
          <w:noProof/>
        </w:rPr>
      </w:pPr>
      <w:r>
        <w:rPr>
          <w:noProof/>
        </w:rPr>
        <w:t>LE COMITÉ MIXTE,</w:t>
      </w:r>
    </w:p>
    <w:p>
      <w:pPr>
        <w:rPr>
          <w:noProof/>
        </w:rPr>
      </w:pPr>
      <w:r>
        <w:rPr>
          <w:noProof/>
        </w:rPr>
        <w:t>vu l’accord entre la Communauté économique européenne et la Confédération suisse signé à Bruxelles le 22 juillet 1972</w:t>
      </w:r>
      <w:r>
        <w:rPr>
          <w:rStyle w:val="FootnoteReference"/>
          <w:noProof/>
        </w:rPr>
        <w:footnoteReference w:id="1"/>
      </w:r>
      <w:r>
        <w:rPr>
          <w:noProof/>
        </w:rPr>
        <w:t xml:space="preserve"> (ci-après dénommé l’«accord»), tel que modifié par l’accord entre la Communauté européenne et la Confédération suisse modifiant l’accord pour ce qui concerne les dispositions applicables aux produits agricoles transformés</w:t>
      </w:r>
      <w:r>
        <w:rPr>
          <w:rStyle w:val="FootnoteReference"/>
          <w:noProof/>
        </w:rPr>
        <w:footnoteReference w:id="2"/>
      </w:r>
      <w:r>
        <w:rPr>
          <w:noProof/>
        </w:rPr>
        <w:t>, signé à Luxembourg le 26 octobre 2004, ainsi que son protocole nº 2, et notamment l’article 7 dudit protocole,</w:t>
      </w:r>
    </w:p>
    <w:p>
      <w:pPr>
        <w:rPr>
          <w:rFonts w:eastAsia="Times New Roman"/>
          <w:noProof/>
          <w:szCs w:val="24"/>
        </w:rPr>
      </w:pPr>
      <w:r>
        <w:rPr>
          <w:i/>
          <w:noProof/>
        </w:rPr>
        <w:t xml:space="preserve">Rappelant </w:t>
      </w:r>
      <w:r>
        <w:rPr>
          <w:noProof/>
        </w:rPr>
        <w:t>que le protocole nº 2 révisé a été conclu avec l’objectif d’améliorer l’accès réciproque au marché pour les produits agricoles transformés,</w:t>
      </w:r>
    </w:p>
    <w:p>
      <w:pPr>
        <w:rPr>
          <w:rFonts w:eastAsia="Calibri"/>
          <w:noProof/>
          <w:szCs w:val="20"/>
        </w:rPr>
      </w:pPr>
      <w:r>
        <w:rPr>
          <w:i/>
          <w:noProof/>
        </w:rPr>
        <w:t>Faisant référence</w:t>
      </w:r>
      <w:r>
        <w:rPr>
          <w:noProof/>
        </w:rPr>
        <w:t xml:space="preserve"> aux préoccupations exprimées par l’Union européenne lors de la 61</w:t>
      </w:r>
      <w:r>
        <w:rPr>
          <w:noProof/>
          <w:vertAlign w:val="superscript"/>
        </w:rPr>
        <w:t>e</w:t>
      </w:r>
      <w:r>
        <w:rPr>
          <w:noProof/>
        </w:rPr>
        <w:t xml:space="preserve"> réunion du comité mixte le 3 décembre 2015,</w:t>
      </w:r>
    </w:p>
    <w:p>
      <w:pPr>
        <w:rPr>
          <w:rFonts w:eastAsia="Times New Roman"/>
          <w:i/>
          <w:noProof/>
          <w:szCs w:val="24"/>
        </w:rPr>
      </w:pPr>
      <w:r>
        <w:rPr>
          <w:i/>
          <w:noProof/>
        </w:rPr>
        <w:t>Considérant</w:t>
      </w:r>
      <w:r>
        <w:rPr>
          <w:noProof/>
        </w:rPr>
        <w:t xml:space="preserve"> qu’il y a lieu de procéder à un ajustement technique concernant la fixation des montants de base figurant au tableau IV b) du protocole nº 2, en augmentant de 15 à 18,5 pour cent la remise appliquée aux différences des prix de référence pour fixer les montants de base,</w:t>
      </w:r>
    </w:p>
    <w:p>
      <w:pPr>
        <w:rPr>
          <w:rFonts w:eastAsia="Times New Roman"/>
          <w:noProof/>
          <w:szCs w:val="24"/>
        </w:rPr>
      </w:pPr>
      <w:r>
        <w:rPr>
          <w:i/>
          <w:noProof/>
        </w:rPr>
        <w:t>Considérant</w:t>
      </w:r>
      <w:r>
        <w:rPr>
          <w:noProof/>
        </w:rPr>
        <w:t xml:space="preserve"> que cet ajustement technique apporte une solution aux préoccupations de l’UE concernant la préservation des marges préférentielles relatives des parties contractantes, telles que prévues à l’article 5, paragraphe 3, du protocole nº 2 et est conforme à l’objectif général de l’accord, à savoir développer de façon harmonieuse les échanges commerciaux entre les parties contractantes,</w:t>
      </w:r>
    </w:p>
    <w:p>
      <w:pPr>
        <w:rPr>
          <w:rFonts w:eastAsia="Times New Roman"/>
          <w:noProof/>
          <w:szCs w:val="24"/>
        </w:rPr>
      </w:pPr>
      <w:r>
        <w:rPr>
          <w:i/>
          <w:noProof/>
        </w:rPr>
        <w:t>Notant</w:t>
      </w:r>
      <w:r>
        <w:rPr>
          <w:noProof/>
        </w:rPr>
        <w:t xml:space="preserve"> que les parties contractantes ont l’intention de continuer à respecter leurs obligations respectives au titre du protocole nº 2, notamment pour la mise en œuvre de la clause de réexamen prévue aux paragraphes 2 et 3 de l’article 5 au moins une fois par an, conformément aux objectifs du protocole,</w:t>
      </w:r>
    </w:p>
    <w:p>
      <w:pPr>
        <w:rPr>
          <w:noProof/>
        </w:rPr>
      </w:pPr>
      <w:r>
        <w:rPr>
          <w:noProof/>
        </w:rPr>
        <w:t>considérant ce qui suit:</w:t>
      </w:r>
    </w:p>
    <w:p>
      <w:pPr>
        <w:pStyle w:val="ManualConsidrant"/>
        <w:rPr>
          <w:noProof/>
        </w:rPr>
      </w:pPr>
      <w:r>
        <w:rPr>
          <w:noProof/>
        </w:rPr>
        <w:t>(1)</w:t>
      </w:r>
      <w:r>
        <w:rPr>
          <w:noProof/>
        </w:rPr>
        <w:tab/>
        <w:t>Les tableaux I et II du protocole nº 2 de l’accord contiennent la liste des produits auxquels ce protocole s’applique. Tous les produits de la position 2202.90 du SH entrent dans le champ d’application du protocole nº 2, excepté les jus de fruits ou jus de légumes dilués avec de l’eau ou gazéifiés. Des interprétations divergentes de la définition des jus de fruits ou jus de légumes dilués avec de l’eau ou gazéifiés ont conduit à un manque de cohérence dans les pratiques de classement.</w:t>
      </w:r>
    </w:p>
    <w:p>
      <w:pPr>
        <w:pStyle w:val="ManualConsidrant"/>
        <w:rPr>
          <w:noProof/>
        </w:rPr>
      </w:pPr>
      <w:r>
        <w:rPr>
          <w:noProof/>
        </w:rPr>
        <w:lastRenderedPageBreak/>
        <w:t>(2)</w:t>
      </w:r>
      <w:r>
        <w:rPr>
          <w:noProof/>
        </w:rPr>
        <w:tab/>
        <w:t>La description des produits de la position 2202.90 du SH exclus du champ d’application du protocole devrait donc être clarifiée dans le tableau II.</w:t>
      </w:r>
    </w:p>
    <w:p>
      <w:pPr>
        <w:pStyle w:val="ManualConsidrant"/>
        <w:rPr>
          <w:noProof/>
        </w:rPr>
      </w:pPr>
      <w:r>
        <w:rPr>
          <w:noProof/>
        </w:rPr>
        <w:t>(3)</w:t>
      </w:r>
      <w:r>
        <w:rPr>
          <w:noProof/>
        </w:rPr>
        <w:tab/>
        <w:t>Aux fins de la mise en œuvre du protocole nº 2 de l’accord, des prix de référence intérieurs ont été fixés pour les parties contractantes.</w:t>
      </w:r>
    </w:p>
    <w:p>
      <w:pPr>
        <w:pStyle w:val="ManualConsidrant"/>
        <w:rPr>
          <w:noProof/>
        </w:rPr>
      </w:pPr>
      <w:r>
        <w:rPr>
          <w:noProof/>
        </w:rPr>
        <w:t>(4)</w:t>
      </w:r>
      <w:r>
        <w:rPr>
          <w:noProof/>
        </w:rPr>
        <w:tab/>
        <w:t>Les prix réels ont évolué sur les marchés intérieurs des parties contractantes en ce qui concerne les matières premières pour lesquelles des mesures de compensation des prix sont appliquées.</w:t>
      </w:r>
    </w:p>
    <w:p>
      <w:pPr>
        <w:pStyle w:val="ManualConsidrant"/>
        <w:rPr>
          <w:noProof/>
        </w:rPr>
      </w:pPr>
      <w:r>
        <w:rPr>
          <w:noProof/>
        </w:rPr>
        <w:t>(5)</w:t>
      </w:r>
      <w:r>
        <w:rPr>
          <w:noProof/>
        </w:rPr>
        <w:tab/>
        <w:t>Il est par conséquent nécessaire de mettre à jour les prix de référence et les montants figurant dans les tableaux III et IV b) du protocole nº 2,</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Le protocole nº 2 de l’accord est modifié comme suit:</w:t>
      </w:r>
    </w:p>
    <w:p>
      <w:pPr>
        <w:pStyle w:val="ManualNumPar1"/>
        <w:rPr>
          <w:noProof/>
        </w:rPr>
      </w:pPr>
      <w:r>
        <w:rPr>
          <w:noProof/>
        </w:rPr>
        <w:t>a)</w:t>
      </w:r>
      <w:r>
        <w:rPr>
          <w:noProof/>
        </w:rPr>
        <w:tab/>
        <w:t>le tableau II est modifié conformément à l’annexe I de la présente décision;</w:t>
      </w:r>
    </w:p>
    <w:p>
      <w:pPr>
        <w:pStyle w:val="ManualNumPar1"/>
        <w:rPr>
          <w:noProof/>
        </w:rPr>
      </w:pPr>
      <w:r>
        <w:rPr>
          <w:noProof/>
        </w:rPr>
        <w:t>b)</w:t>
      </w:r>
      <w:r>
        <w:rPr>
          <w:noProof/>
        </w:rPr>
        <w:tab/>
        <w:t>le tableau III est remplacé par le texte figurant à l’annexe II de la présente décision;</w:t>
      </w:r>
    </w:p>
    <w:p>
      <w:pPr>
        <w:pStyle w:val="ManualNumPar1"/>
        <w:rPr>
          <w:noProof/>
        </w:rPr>
      </w:pPr>
      <w:r>
        <w:rPr>
          <w:noProof/>
        </w:rPr>
        <w:t>c)</w:t>
      </w:r>
      <w:r>
        <w:rPr>
          <w:noProof/>
        </w:rPr>
        <w:tab/>
        <w:t>dans le tableau IV, le point b) est remplacé par le texte figurant à l’annexe III de la présente décision.</w:t>
      </w:r>
    </w:p>
    <w:p>
      <w:pPr>
        <w:pStyle w:val="Titrearticle"/>
        <w:rPr>
          <w:noProof/>
        </w:rPr>
      </w:pPr>
      <w:r>
        <w:rPr>
          <w:noProof/>
        </w:rPr>
        <w:t>Article 2</w:t>
      </w:r>
    </w:p>
    <w:p>
      <w:pPr>
        <w:rPr>
          <w:noProof/>
        </w:rPr>
      </w:pPr>
      <w:r>
        <w:rPr>
          <w:noProof/>
        </w:rPr>
        <w:t>La présente décision entre en vigueur le 1</w:t>
      </w:r>
      <w:r>
        <w:rPr>
          <w:noProof/>
          <w:vertAlign w:val="superscript"/>
        </w:rPr>
        <w:t>er </w:t>
      </w:r>
      <w:r>
        <w:rPr>
          <w:noProof/>
        </w:rPr>
        <w:t>mars 2017 et s’applique à partir de cette date.</w:t>
      </w:r>
    </w:p>
    <w:p>
      <w:pPr>
        <w:rPr>
          <w:noProof/>
        </w:rPr>
      </w:pPr>
      <w:r>
        <w:rPr>
          <w:noProof/>
        </w:rPr>
        <w:t>La présente décision est publiée au Journal officiel de l’Union européenne le 1</w:t>
      </w:r>
      <w:r>
        <w:rPr>
          <w:noProof/>
          <w:vertAlign w:val="superscript"/>
        </w:rPr>
        <w:t>er</w:t>
      </w:r>
      <w:r>
        <w:rPr>
          <w:noProof/>
        </w:rPr>
        <w:t> mars 2017.</w:t>
      </w:r>
    </w:p>
    <w:p>
      <w:pPr>
        <w:rPr>
          <w:noProof/>
        </w:rPr>
      </w:pPr>
      <w:r>
        <w:rPr>
          <w:noProof/>
        </w:rPr>
        <w:t xml:space="preserve">Fait à </w:t>
      </w:r>
      <w:r>
        <w:rPr>
          <w:noProof/>
          <w:highlight w:val="yellow"/>
        </w:rPr>
        <w:t>xx</w:t>
      </w:r>
      <w:r>
        <w:rPr>
          <w:noProof/>
        </w:rPr>
        <w:t xml:space="preserve">, le </w:t>
      </w:r>
      <w:r>
        <w:rPr>
          <w:noProof/>
          <w:highlight w:val="yellow"/>
        </w:rPr>
        <w:t>…</w:t>
      </w:r>
      <w:r>
        <w:rPr>
          <w:noProof/>
        </w:rPr>
        <w:t xml:space="preserve"> 2017,</w:t>
      </w:r>
    </w:p>
    <w:p>
      <w:pPr>
        <w:pStyle w:val="Institutionquisigne"/>
        <w:rPr>
          <w:noProof/>
        </w:rPr>
      </w:pPr>
      <w:r>
        <w:rPr>
          <w:noProof/>
        </w:rPr>
        <w:tab/>
        <w:t>Par le comité mixte</w:t>
      </w:r>
    </w:p>
    <w:p>
      <w:pPr>
        <w:pStyle w:val="Personnequisigne"/>
        <w:rPr>
          <w:noProof/>
        </w:rPr>
      </w:pPr>
      <w:r>
        <w:rPr>
          <w:noProof/>
        </w:rPr>
        <w:tab/>
        <w:t>Le président</w:t>
      </w:r>
    </w:p>
    <w:p>
      <w:pPr>
        <w:rPr>
          <w:noProof/>
        </w:rPr>
      </w:pPr>
      <w:r>
        <w:rPr>
          <w:noProof/>
        </w:rPr>
        <w:br w:type="page"/>
      </w:r>
    </w:p>
    <w:p>
      <w:pPr>
        <w:jc w:val="center"/>
        <w:rPr>
          <w:rFonts w:eastAsia="Times New Roman"/>
          <w:b/>
          <w:bCs/>
          <w:noProof/>
          <w:szCs w:val="24"/>
          <w:u w:val="single"/>
        </w:rPr>
      </w:pPr>
      <w:r>
        <w:rPr>
          <w:b/>
          <w:noProof/>
          <w:u w:val="single"/>
        </w:rPr>
        <w:lastRenderedPageBreak/>
        <w:t>ANNEXE I</w:t>
      </w:r>
      <w:r>
        <w:rPr>
          <w:rFonts w:eastAsia="Times New Roman"/>
          <w:b/>
          <w:bCs/>
          <w:noProof/>
          <w:szCs w:val="24"/>
          <w:u w:val="single"/>
        </w:rPr>
        <w:br/>
      </w:r>
    </w:p>
    <w:p>
      <w:pPr>
        <w:rPr>
          <w:noProof/>
        </w:rPr>
      </w:pPr>
      <w:r>
        <w:rPr>
          <w:noProof/>
        </w:rPr>
        <w:t>Dans le tableau II, le texte relatif à la position SH 2202 est remplacé par le texte suivant: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428"/>
        <w:gridCol w:w="7861"/>
      </w:tblGrid>
      <w:tr>
        <w:tc>
          <w:tcPr>
            <w:tcW w:w="1428" w:type="dxa"/>
            <w:tcBorders>
              <w:bottom w:val="single" w:sz="4" w:space="0" w:color="auto"/>
            </w:tcBorders>
            <w:vAlign w:val="center"/>
          </w:tcPr>
          <w:p>
            <w:pPr>
              <w:jc w:val="center"/>
              <w:rPr>
                <w:noProof/>
                <w:sz w:val="20"/>
                <w:szCs w:val="20"/>
              </w:rPr>
            </w:pPr>
            <w:r>
              <w:rPr>
                <w:noProof/>
                <w:sz w:val="20"/>
              </w:rPr>
              <w:t xml:space="preserve">«SH </w:t>
            </w:r>
            <w:r>
              <w:rPr>
                <w:noProof/>
                <w:sz w:val="20"/>
                <w:szCs w:val="20"/>
              </w:rPr>
              <w:br/>
            </w:r>
            <w:r>
              <w:rPr>
                <w:noProof/>
                <w:sz w:val="20"/>
              </w:rPr>
              <w:t>Nº de position</w:t>
            </w:r>
          </w:p>
        </w:tc>
        <w:tc>
          <w:tcPr>
            <w:tcW w:w="7861" w:type="dxa"/>
            <w:tcBorders>
              <w:bottom w:val="single" w:sz="4" w:space="0" w:color="auto"/>
            </w:tcBorders>
            <w:vAlign w:val="center"/>
          </w:tcPr>
          <w:p>
            <w:pPr>
              <w:jc w:val="center"/>
              <w:rPr>
                <w:noProof/>
                <w:sz w:val="20"/>
                <w:szCs w:val="20"/>
              </w:rPr>
            </w:pPr>
            <w:r>
              <w:rPr>
                <w:noProof/>
                <w:sz w:val="20"/>
              </w:rPr>
              <w:t xml:space="preserve">Description des marchandises </w:t>
            </w:r>
          </w:p>
        </w:tc>
      </w:tr>
      <w:tr>
        <w:tc>
          <w:tcPr>
            <w:tcW w:w="1428" w:type="dxa"/>
            <w:tcBorders>
              <w:bottom w:val="nil"/>
            </w:tcBorders>
          </w:tcPr>
          <w:p>
            <w:pPr>
              <w:rPr>
                <w:noProof/>
                <w:sz w:val="20"/>
                <w:szCs w:val="20"/>
              </w:rPr>
            </w:pPr>
            <w:r>
              <w:rPr>
                <w:noProof/>
                <w:sz w:val="20"/>
              </w:rPr>
              <w:t>2202</w:t>
            </w:r>
          </w:p>
        </w:tc>
        <w:tc>
          <w:tcPr>
            <w:tcW w:w="7861" w:type="dxa"/>
            <w:tcBorders>
              <w:bottom w:val="nil"/>
            </w:tcBorders>
          </w:tcPr>
          <w:p>
            <w:pPr>
              <w:rPr>
                <w:noProof/>
                <w:sz w:val="20"/>
                <w:szCs w:val="20"/>
              </w:rPr>
            </w:pPr>
            <w:r>
              <w:rPr>
                <w:noProof/>
                <w:sz w:val="20"/>
              </w:rPr>
              <w:t>Eaux, y compris les eaux minérales et les eaux gazéifiées, additionnées de sucre ou d’autres édulcorants ou aromatisées, et autres boissons non alcooliques, à l’exclusion des jus de fruits ou de légumes du nº 2009:</w:t>
            </w:r>
          </w:p>
        </w:tc>
      </w:tr>
      <w:tr>
        <w:tc>
          <w:tcPr>
            <w:tcW w:w="1428" w:type="dxa"/>
            <w:tcBorders>
              <w:top w:val="nil"/>
              <w:bottom w:val="nil"/>
            </w:tcBorders>
          </w:tcPr>
          <w:p>
            <w:pPr>
              <w:ind w:right="132"/>
              <w:jc w:val="right"/>
              <w:rPr>
                <w:noProof/>
                <w:sz w:val="20"/>
                <w:szCs w:val="20"/>
              </w:rPr>
            </w:pPr>
            <w:r>
              <w:rPr>
                <w:noProof/>
                <w:sz w:val="20"/>
              </w:rPr>
              <w:t>.10</w:t>
            </w:r>
          </w:p>
        </w:tc>
        <w:tc>
          <w:tcPr>
            <w:tcW w:w="7861" w:type="dxa"/>
            <w:tcBorders>
              <w:top w:val="nil"/>
              <w:bottom w:val="nil"/>
            </w:tcBorders>
          </w:tcPr>
          <w:p>
            <w:pPr>
              <w:tabs>
                <w:tab w:val="left" w:pos="132"/>
              </w:tabs>
              <w:ind w:left="132" w:hanging="132"/>
              <w:rPr>
                <w:noProof/>
                <w:sz w:val="20"/>
                <w:szCs w:val="20"/>
              </w:rPr>
            </w:pPr>
            <w:r>
              <w:rPr>
                <w:noProof/>
                <w:sz w:val="20"/>
              </w:rPr>
              <w:t>-</w:t>
            </w:r>
            <w:r>
              <w:rPr>
                <w:noProof/>
              </w:rPr>
              <w:tab/>
            </w:r>
            <w:r>
              <w:rPr>
                <w:noProof/>
                <w:sz w:val="20"/>
              </w:rPr>
              <w:t>Eaux, y compris les eaux minérales et les eaux gazéifiées, additionnées de sucre ou d’autres édulcorants ou aromatisées</w:t>
            </w:r>
          </w:p>
        </w:tc>
      </w:tr>
      <w:tr>
        <w:tc>
          <w:tcPr>
            <w:tcW w:w="1428" w:type="dxa"/>
            <w:tcBorders>
              <w:top w:val="nil"/>
              <w:bottom w:val="nil"/>
            </w:tcBorders>
          </w:tcPr>
          <w:p>
            <w:pPr>
              <w:ind w:right="132"/>
              <w:jc w:val="right"/>
              <w:rPr>
                <w:noProof/>
                <w:sz w:val="20"/>
                <w:szCs w:val="20"/>
              </w:rPr>
            </w:pPr>
            <w:r>
              <w:rPr>
                <w:noProof/>
                <w:sz w:val="20"/>
              </w:rPr>
              <w:t>.91</w:t>
            </w:r>
          </w:p>
        </w:tc>
        <w:tc>
          <w:tcPr>
            <w:tcW w:w="7861" w:type="dxa"/>
            <w:tcBorders>
              <w:top w:val="nil"/>
              <w:bottom w:val="nil"/>
            </w:tcBorders>
          </w:tcPr>
          <w:p>
            <w:pPr>
              <w:tabs>
                <w:tab w:val="left" w:pos="132"/>
              </w:tabs>
              <w:ind w:left="132" w:hanging="132"/>
              <w:rPr>
                <w:noProof/>
                <w:sz w:val="20"/>
                <w:szCs w:val="20"/>
              </w:rPr>
            </w:pPr>
            <w:r>
              <w:rPr>
                <w:noProof/>
                <w:sz w:val="20"/>
              </w:rPr>
              <w:t>- Bières sans alcool</w:t>
            </w:r>
          </w:p>
        </w:tc>
      </w:tr>
      <w:tr>
        <w:tc>
          <w:tcPr>
            <w:tcW w:w="1428" w:type="dxa"/>
            <w:tcBorders>
              <w:top w:val="nil"/>
              <w:bottom w:val="nil"/>
            </w:tcBorders>
          </w:tcPr>
          <w:p>
            <w:pPr>
              <w:ind w:right="132"/>
              <w:jc w:val="right"/>
              <w:rPr>
                <w:noProof/>
                <w:sz w:val="20"/>
                <w:szCs w:val="20"/>
              </w:rPr>
            </w:pPr>
            <w:r>
              <w:rPr>
                <w:noProof/>
                <w:sz w:val="20"/>
              </w:rPr>
              <w:t>.99</w:t>
            </w:r>
          </w:p>
        </w:tc>
        <w:tc>
          <w:tcPr>
            <w:tcW w:w="7861" w:type="dxa"/>
            <w:tcBorders>
              <w:top w:val="nil"/>
              <w:bottom w:val="nil"/>
            </w:tcBorders>
          </w:tcPr>
          <w:p>
            <w:pPr>
              <w:tabs>
                <w:tab w:val="left" w:pos="132"/>
              </w:tabs>
              <w:ind w:left="132" w:hanging="132"/>
              <w:rPr>
                <w:noProof/>
                <w:sz w:val="20"/>
                <w:szCs w:val="20"/>
              </w:rPr>
            </w:pPr>
            <w:r>
              <w:rPr>
                <w:noProof/>
                <w:sz w:val="20"/>
              </w:rPr>
              <w:t>-</w:t>
            </w:r>
            <w:r>
              <w:rPr>
                <w:noProof/>
              </w:rPr>
              <w:tab/>
            </w:r>
            <w:r>
              <w:rPr>
                <w:noProof/>
                <w:sz w:val="20"/>
              </w:rPr>
              <w:t>autres:</w:t>
            </w:r>
          </w:p>
        </w:tc>
      </w:tr>
      <w:tr>
        <w:tc>
          <w:tcPr>
            <w:tcW w:w="1428" w:type="dxa"/>
            <w:tcBorders>
              <w:top w:val="nil"/>
            </w:tcBorders>
          </w:tcPr>
          <w:p>
            <w:pPr>
              <w:ind w:right="132"/>
              <w:jc w:val="right"/>
              <w:rPr>
                <w:noProof/>
                <w:sz w:val="20"/>
                <w:szCs w:val="20"/>
              </w:rPr>
            </w:pPr>
            <w:r>
              <w:rPr>
                <w:noProof/>
                <w:sz w:val="20"/>
              </w:rPr>
              <w:t>ex .99</w:t>
            </w:r>
          </w:p>
        </w:tc>
        <w:tc>
          <w:tcPr>
            <w:tcW w:w="7861" w:type="dxa"/>
            <w:tcBorders>
              <w:top w:val="nil"/>
            </w:tcBorders>
          </w:tcPr>
          <w:p>
            <w:pPr>
              <w:tabs>
                <w:tab w:val="left" w:pos="252"/>
              </w:tabs>
              <w:ind w:left="252" w:hanging="252"/>
              <w:rPr>
                <w:noProof/>
                <w:sz w:val="20"/>
                <w:szCs w:val="20"/>
              </w:rPr>
            </w:pPr>
            <w:r>
              <w:rPr>
                <w:noProof/>
                <w:sz w:val="20"/>
              </w:rPr>
              <w:t>- -</w:t>
            </w:r>
            <w:r>
              <w:rPr>
                <w:noProof/>
              </w:rPr>
              <w:tab/>
            </w:r>
            <w:r>
              <w:rPr>
                <w:noProof/>
                <w:sz w:val="20"/>
              </w:rPr>
              <w:t>autres que jus de fruits ou jus de légumes des n</w:t>
            </w:r>
            <w:r>
              <w:rPr>
                <w:noProof/>
                <w:sz w:val="20"/>
                <w:vertAlign w:val="superscript"/>
              </w:rPr>
              <w:t>os</w:t>
            </w:r>
            <w:r>
              <w:rPr>
                <w:noProof/>
                <w:sz w:val="20"/>
              </w:rPr>
              <w:t> 2002 et 2009 et leurs mélanges, gazéifiés ou dilués avec de l’eau ou des extraits aqueux de thé, d’herbes, de café ou de maté et autres que contenant des composants laitiers des n</w:t>
            </w:r>
            <w:r>
              <w:rPr>
                <w:noProof/>
                <w:sz w:val="20"/>
                <w:vertAlign w:val="superscript"/>
              </w:rPr>
              <w:t>os</w:t>
            </w:r>
            <w:r>
              <w:rPr>
                <w:noProof/>
                <w:sz w:val="20"/>
              </w:rPr>
              <w:t> 0401 et 0402»</w:t>
            </w:r>
          </w:p>
        </w:tc>
      </w:tr>
    </w:tbl>
    <w:p>
      <w:pPr>
        <w:rPr>
          <w:noProof/>
        </w:rPr>
      </w:pPr>
    </w:p>
    <w:p>
      <w:pPr>
        <w:rPr>
          <w:noProof/>
        </w:rPr>
      </w:pPr>
      <w:r>
        <w:rPr>
          <w:noProof/>
        </w:rPr>
        <w:br w:type="page"/>
      </w:r>
    </w:p>
    <w:p>
      <w:pPr>
        <w:jc w:val="center"/>
        <w:rPr>
          <w:rFonts w:eastAsia="Times New Roman"/>
          <w:bCs/>
          <w:noProof/>
          <w:szCs w:val="24"/>
        </w:rPr>
      </w:pPr>
      <w:r>
        <w:rPr>
          <w:b/>
          <w:noProof/>
          <w:u w:val="single"/>
        </w:rPr>
        <w:lastRenderedPageBreak/>
        <w:t>ANNEXE II</w:t>
      </w:r>
      <w:r>
        <w:rPr>
          <w:rFonts w:eastAsia="Times New Roman"/>
          <w:b/>
          <w:bCs/>
          <w:noProof/>
          <w:szCs w:val="24"/>
          <w:u w:val="single"/>
        </w:rPr>
        <w:br/>
      </w:r>
      <w:r>
        <w:rPr>
          <w:rFonts w:eastAsia="Times New Roman"/>
          <w:b/>
          <w:bCs/>
          <w:noProof/>
          <w:szCs w:val="24"/>
          <w:u w:val="single"/>
        </w:rPr>
        <w:br/>
      </w:r>
      <w:r>
        <w:rPr>
          <w:noProof/>
        </w:rPr>
        <w:t>«TABLEAU III</w:t>
      </w:r>
    </w:p>
    <w:p>
      <w:pPr>
        <w:jc w:val="center"/>
        <w:rPr>
          <w:rFonts w:eastAsia="Times New Roman"/>
          <w:b/>
          <w:noProof/>
          <w:szCs w:val="24"/>
        </w:rPr>
      </w:pPr>
      <w:r>
        <w:rPr>
          <w:b/>
          <w:noProof/>
        </w:rPr>
        <w:t>Prix de référence intérieurs UE et suisses</w:t>
      </w:r>
    </w:p>
    <w:tbl>
      <w:tblPr>
        <w:tblW w:w="9180" w:type="dxa"/>
        <w:tblInd w:w="-60" w:type="dxa"/>
        <w:tblLayout w:type="fixed"/>
        <w:tblCellMar>
          <w:left w:w="0" w:type="dxa"/>
          <w:right w:w="0" w:type="dxa"/>
        </w:tblCellMar>
        <w:tblLook w:val="0000" w:firstRow="0" w:lastRow="0" w:firstColumn="0" w:lastColumn="0" w:noHBand="0" w:noVBand="0"/>
      </w:tblPr>
      <w:tblGrid>
        <w:gridCol w:w="2280"/>
        <w:gridCol w:w="1725"/>
        <w:gridCol w:w="1725"/>
        <w:gridCol w:w="1725"/>
        <w:gridCol w:w="1725"/>
      </w:tblGrid>
      <w:tr>
        <w:trPr>
          <w:trHeight w:val="226"/>
        </w:trPr>
        <w:tc>
          <w:tcPr>
            <w:tcW w:w="2280" w:type="dxa"/>
            <w:tcBorders>
              <w:top w:val="single" w:sz="8" w:space="0" w:color="auto"/>
              <w:left w:val="nil"/>
              <w:right w:val="single" w:sz="8" w:space="0" w:color="auto"/>
            </w:tcBorders>
            <w:vAlign w:val="center"/>
          </w:tcPr>
          <w:p>
            <w:pPr>
              <w:jc w:val="center"/>
              <w:rPr>
                <w:rFonts w:eastAsia="Times New Roman"/>
                <w:noProof/>
                <w:sz w:val="20"/>
                <w:szCs w:val="20"/>
              </w:rPr>
            </w:pPr>
            <w:r>
              <w:rPr>
                <w:noProof/>
                <w:sz w:val="20"/>
              </w:rPr>
              <w:t>Matière première agricole</w:t>
            </w:r>
          </w:p>
        </w:tc>
        <w:tc>
          <w:tcPr>
            <w:tcW w:w="1725" w:type="dxa"/>
            <w:tcBorders>
              <w:top w:val="single" w:sz="8" w:space="0" w:color="auto"/>
              <w:left w:val="nil"/>
              <w:right w:val="single" w:sz="8" w:space="0" w:color="auto"/>
            </w:tcBorders>
            <w:vAlign w:val="center"/>
          </w:tcPr>
          <w:p>
            <w:pPr>
              <w:jc w:val="center"/>
              <w:rPr>
                <w:rFonts w:eastAsia="Times New Roman"/>
                <w:noProof/>
                <w:sz w:val="20"/>
                <w:szCs w:val="20"/>
              </w:rPr>
            </w:pPr>
            <w:r>
              <w:rPr>
                <w:noProof/>
                <w:sz w:val="20"/>
              </w:rPr>
              <w:t>Prix de référence intérieur suisse</w:t>
            </w:r>
          </w:p>
          <w:p>
            <w:pPr>
              <w:jc w:val="center"/>
              <w:rPr>
                <w:rFonts w:eastAsia="Times New Roman"/>
                <w:noProof/>
                <w:sz w:val="20"/>
                <w:szCs w:val="20"/>
              </w:rPr>
            </w:pPr>
            <w:r>
              <w:rPr>
                <w:noProof/>
                <w:sz w:val="20"/>
              </w:rPr>
              <w:t>CHF par 100 kg net</w:t>
            </w:r>
          </w:p>
        </w:tc>
        <w:tc>
          <w:tcPr>
            <w:tcW w:w="1725" w:type="dxa"/>
            <w:tcBorders>
              <w:top w:val="single" w:sz="8" w:space="0" w:color="auto"/>
              <w:left w:val="nil"/>
              <w:right w:val="single" w:sz="8" w:space="0" w:color="auto"/>
            </w:tcBorders>
            <w:vAlign w:val="center"/>
          </w:tcPr>
          <w:p>
            <w:pPr>
              <w:jc w:val="center"/>
              <w:rPr>
                <w:rFonts w:eastAsia="Times New Roman"/>
                <w:noProof/>
                <w:sz w:val="20"/>
                <w:szCs w:val="20"/>
              </w:rPr>
            </w:pPr>
            <w:r>
              <w:rPr>
                <w:noProof/>
                <w:sz w:val="20"/>
              </w:rPr>
              <w:t>Prix de référence intérieur UE</w:t>
            </w:r>
          </w:p>
          <w:p>
            <w:pPr>
              <w:jc w:val="center"/>
              <w:rPr>
                <w:rFonts w:eastAsia="Times New Roman"/>
                <w:noProof/>
                <w:sz w:val="20"/>
                <w:szCs w:val="20"/>
              </w:rPr>
            </w:pPr>
            <w:r>
              <w:rPr>
                <w:noProof/>
                <w:sz w:val="20"/>
              </w:rPr>
              <w:t>CHF par 100 kg net</w:t>
            </w:r>
          </w:p>
        </w:tc>
        <w:tc>
          <w:tcPr>
            <w:tcW w:w="1725" w:type="dxa"/>
            <w:tcBorders>
              <w:top w:val="single" w:sz="8" w:space="0" w:color="auto"/>
              <w:left w:val="nil"/>
              <w:right w:val="single" w:sz="8" w:space="0" w:color="auto"/>
            </w:tcBorders>
            <w:shd w:val="clear" w:color="auto" w:fill="auto"/>
            <w:vAlign w:val="center"/>
          </w:tcPr>
          <w:p>
            <w:pPr>
              <w:jc w:val="center"/>
              <w:rPr>
                <w:rFonts w:eastAsia="Times New Roman"/>
                <w:noProof/>
                <w:sz w:val="20"/>
                <w:szCs w:val="20"/>
              </w:rPr>
            </w:pPr>
            <w:r>
              <w:rPr>
                <w:noProof/>
                <w:sz w:val="20"/>
              </w:rPr>
              <w:t>Article 4, paragraphe 1</w:t>
            </w:r>
          </w:p>
          <w:p>
            <w:pPr>
              <w:jc w:val="center"/>
              <w:rPr>
                <w:rFonts w:eastAsia="Times New Roman"/>
                <w:noProof/>
                <w:sz w:val="20"/>
                <w:szCs w:val="20"/>
              </w:rPr>
            </w:pPr>
            <w:r>
              <w:rPr>
                <w:noProof/>
                <w:sz w:val="20"/>
              </w:rPr>
              <w:t xml:space="preserve">Appliqué du côté suisse Différence prix de référence </w:t>
            </w:r>
            <w:r>
              <w:rPr>
                <w:rFonts w:eastAsia="Times New Roman"/>
                <w:noProof/>
                <w:sz w:val="20"/>
                <w:szCs w:val="20"/>
              </w:rPr>
              <w:br/>
            </w:r>
            <w:r>
              <w:rPr>
                <w:noProof/>
                <w:sz w:val="20"/>
              </w:rPr>
              <w:t>Suisse/UE</w:t>
            </w:r>
          </w:p>
          <w:p>
            <w:pPr>
              <w:jc w:val="center"/>
              <w:rPr>
                <w:rFonts w:eastAsia="Times New Roman"/>
                <w:noProof/>
                <w:sz w:val="20"/>
                <w:szCs w:val="20"/>
              </w:rPr>
            </w:pPr>
            <w:r>
              <w:rPr>
                <w:noProof/>
                <w:sz w:val="20"/>
              </w:rPr>
              <w:t>CHF par 100 kg net</w:t>
            </w:r>
          </w:p>
        </w:tc>
        <w:tc>
          <w:tcPr>
            <w:tcW w:w="1725" w:type="dxa"/>
            <w:tcBorders>
              <w:top w:val="single" w:sz="8" w:space="0" w:color="auto"/>
              <w:left w:val="nil"/>
            </w:tcBorders>
            <w:vAlign w:val="center"/>
          </w:tcPr>
          <w:p>
            <w:pPr>
              <w:jc w:val="center"/>
              <w:rPr>
                <w:rFonts w:eastAsia="Times New Roman"/>
                <w:noProof/>
                <w:sz w:val="20"/>
                <w:szCs w:val="20"/>
              </w:rPr>
            </w:pPr>
            <w:r>
              <w:rPr>
                <w:noProof/>
                <w:sz w:val="20"/>
              </w:rPr>
              <w:t>Article 3, paragraphe 3</w:t>
            </w:r>
          </w:p>
          <w:p>
            <w:pPr>
              <w:jc w:val="center"/>
              <w:rPr>
                <w:rFonts w:eastAsia="Times New Roman"/>
                <w:noProof/>
                <w:sz w:val="20"/>
                <w:szCs w:val="20"/>
              </w:rPr>
            </w:pPr>
            <w:r>
              <w:rPr>
                <w:noProof/>
                <w:sz w:val="20"/>
              </w:rPr>
              <w:t xml:space="preserve">Appliqué du côté UE Différence prix de référence </w:t>
            </w:r>
            <w:r>
              <w:rPr>
                <w:rFonts w:eastAsia="Times New Roman"/>
                <w:noProof/>
                <w:sz w:val="20"/>
                <w:szCs w:val="20"/>
              </w:rPr>
              <w:br/>
            </w:r>
            <w:r>
              <w:rPr>
                <w:noProof/>
                <w:sz w:val="20"/>
              </w:rPr>
              <w:t>Suisse/UE</w:t>
            </w:r>
          </w:p>
          <w:p>
            <w:pPr>
              <w:jc w:val="center"/>
              <w:rPr>
                <w:rFonts w:eastAsia="Times New Roman"/>
                <w:noProof/>
                <w:sz w:val="20"/>
                <w:szCs w:val="20"/>
              </w:rPr>
            </w:pPr>
            <w:r>
              <w:rPr>
                <w:noProof/>
                <w:sz w:val="20"/>
              </w:rPr>
              <w:t>EUR par 100 kg net</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rPr>
            </w:pPr>
            <w:r>
              <w:rPr>
                <w:noProof/>
                <w:sz w:val="22"/>
              </w:rPr>
              <w:t>Blé tendre</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52,10</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18,37</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rPr>
            </w:pPr>
            <w:r>
              <w:rPr>
                <w:noProof/>
                <w:sz w:val="22"/>
              </w:rPr>
              <w:t>33,75</w:t>
            </w:r>
          </w:p>
        </w:tc>
        <w:tc>
          <w:tcPr>
            <w:tcW w:w="1725" w:type="dxa"/>
            <w:tcBorders>
              <w:top w:val="single" w:sz="8" w:space="0" w:color="auto"/>
              <w:left w:val="nil"/>
              <w:bottom w:val="single" w:sz="8" w:space="0" w:color="auto"/>
            </w:tcBorders>
          </w:tcPr>
          <w:p>
            <w:pPr>
              <w:jc w:val="center"/>
              <w:rPr>
                <w:rFonts w:eastAsia="Times New Roman"/>
                <w:noProof/>
                <w:sz w:val="22"/>
                <w:szCs w:val="20"/>
              </w:rPr>
            </w:pPr>
            <w:r>
              <w:rPr>
                <w:noProof/>
                <w:sz w:val="22"/>
              </w:rPr>
              <w:t>0,00</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rPr>
            </w:pPr>
            <w:r>
              <w:rPr>
                <w:noProof/>
                <w:sz w:val="22"/>
              </w:rPr>
              <w:t xml:space="preserve">Blé dur </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rPr>
            </w:pPr>
            <w:r>
              <w:rPr>
                <w:noProof/>
                <w:sz w:val="22"/>
              </w:rPr>
              <w:t>1,20</w:t>
            </w:r>
          </w:p>
        </w:tc>
        <w:tc>
          <w:tcPr>
            <w:tcW w:w="1725" w:type="dxa"/>
            <w:tcBorders>
              <w:top w:val="single" w:sz="8" w:space="0" w:color="auto"/>
              <w:left w:val="nil"/>
              <w:bottom w:val="single" w:sz="8" w:space="0" w:color="auto"/>
            </w:tcBorders>
          </w:tcPr>
          <w:p>
            <w:pPr>
              <w:jc w:val="center"/>
              <w:rPr>
                <w:rFonts w:eastAsia="Times New Roman"/>
                <w:noProof/>
                <w:sz w:val="22"/>
                <w:szCs w:val="20"/>
              </w:rPr>
            </w:pPr>
            <w:r>
              <w:rPr>
                <w:noProof/>
                <w:sz w:val="22"/>
              </w:rPr>
              <w:t>0,00</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rPr>
            </w:pPr>
            <w:r>
              <w:rPr>
                <w:noProof/>
                <w:sz w:val="22"/>
              </w:rPr>
              <w:t>Seigle</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42,75</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16,35</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rPr>
            </w:pPr>
            <w:r>
              <w:rPr>
                <w:noProof/>
                <w:sz w:val="22"/>
              </w:rPr>
              <w:t>26,40</w:t>
            </w:r>
          </w:p>
        </w:tc>
        <w:tc>
          <w:tcPr>
            <w:tcW w:w="1725" w:type="dxa"/>
            <w:tcBorders>
              <w:top w:val="single" w:sz="8" w:space="0" w:color="auto"/>
              <w:left w:val="nil"/>
              <w:bottom w:val="single" w:sz="8" w:space="0" w:color="auto"/>
            </w:tcBorders>
          </w:tcPr>
          <w:p>
            <w:pPr>
              <w:jc w:val="center"/>
              <w:rPr>
                <w:rFonts w:eastAsia="Times New Roman"/>
                <w:noProof/>
                <w:sz w:val="22"/>
                <w:szCs w:val="20"/>
              </w:rPr>
            </w:pPr>
            <w:r>
              <w:rPr>
                <w:noProof/>
                <w:sz w:val="22"/>
              </w:rPr>
              <w:t>0,00</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rPr>
            </w:pPr>
            <w:r>
              <w:rPr>
                <w:noProof/>
                <w:sz w:val="22"/>
              </w:rPr>
              <w:t>Orge</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rPr>
            </w:pPr>
            <w:r>
              <w:rPr>
                <w:noProof/>
                <w:sz w:val="22"/>
              </w:rPr>
              <w:t>-</w:t>
            </w:r>
          </w:p>
        </w:tc>
        <w:tc>
          <w:tcPr>
            <w:tcW w:w="1725" w:type="dxa"/>
            <w:tcBorders>
              <w:top w:val="single" w:sz="8" w:space="0" w:color="auto"/>
              <w:left w:val="nil"/>
              <w:bottom w:val="single" w:sz="8" w:space="0" w:color="auto"/>
            </w:tcBorders>
          </w:tcPr>
          <w:p>
            <w:pPr>
              <w:jc w:val="center"/>
              <w:rPr>
                <w:rFonts w:eastAsia="Times New Roman"/>
                <w:noProof/>
                <w:sz w:val="22"/>
                <w:szCs w:val="20"/>
              </w:rPr>
            </w:pPr>
            <w:r>
              <w:rPr>
                <w:noProof/>
                <w:sz w:val="22"/>
              </w:rPr>
              <w:t>-</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rPr>
            </w:pPr>
            <w:r>
              <w:rPr>
                <w:noProof/>
                <w:sz w:val="22"/>
              </w:rPr>
              <w:t>Maïs</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rPr>
            </w:pPr>
            <w:r>
              <w:rPr>
                <w:noProof/>
                <w:sz w:val="22"/>
              </w:rPr>
              <w:t>-</w:t>
            </w:r>
          </w:p>
        </w:tc>
        <w:tc>
          <w:tcPr>
            <w:tcW w:w="1725" w:type="dxa"/>
            <w:tcBorders>
              <w:top w:val="single" w:sz="8" w:space="0" w:color="auto"/>
              <w:left w:val="nil"/>
              <w:bottom w:val="single" w:sz="8" w:space="0" w:color="auto"/>
            </w:tcBorders>
          </w:tcPr>
          <w:p>
            <w:pPr>
              <w:jc w:val="center"/>
              <w:rPr>
                <w:rFonts w:eastAsia="Times New Roman"/>
                <w:noProof/>
                <w:sz w:val="22"/>
                <w:szCs w:val="20"/>
              </w:rPr>
            </w:pPr>
            <w:r>
              <w:rPr>
                <w:noProof/>
                <w:sz w:val="22"/>
              </w:rPr>
              <w:t>-</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rPr>
            </w:pPr>
            <w:r>
              <w:rPr>
                <w:noProof/>
                <w:sz w:val="22"/>
              </w:rPr>
              <w:t>Farine de blé tendre</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90,40</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40,20</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rPr>
            </w:pPr>
            <w:r>
              <w:rPr>
                <w:noProof/>
                <w:sz w:val="22"/>
              </w:rPr>
              <w:t>50,20</w:t>
            </w:r>
          </w:p>
        </w:tc>
        <w:tc>
          <w:tcPr>
            <w:tcW w:w="1725" w:type="dxa"/>
            <w:tcBorders>
              <w:top w:val="single" w:sz="8" w:space="0" w:color="auto"/>
              <w:left w:val="nil"/>
              <w:bottom w:val="single" w:sz="8" w:space="0" w:color="auto"/>
            </w:tcBorders>
          </w:tcPr>
          <w:p>
            <w:pPr>
              <w:jc w:val="center"/>
              <w:rPr>
                <w:rFonts w:eastAsia="Times New Roman"/>
                <w:noProof/>
                <w:sz w:val="22"/>
                <w:szCs w:val="20"/>
              </w:rPr>
            </w:pPr>
            <w:r>
              <w:rPr>
                <w:noProof/>
                <w:sz w:val="22"/>
              </w:rPr>
              <w:t>0,00</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rPr>
            </w:pPr>
            <w:r>
              <w:rPr>
                <w:noProof/>
                <w:sz w:val="22"/>
              </w:rPr>
              <w:t>Lait entier en poudre</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585,00</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261,37</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rPr>
            </w:pPr>
            <w:r>
              <w:rPr>
                <w:noProof/>
                <w:sz w:val="22"/>
              </w:rPr>
              <w:t>323,65</w:t>
            </w:r>
          </w:p>
        </w:tc>
        <w:tc>
          <w:tcPr>
            <w:tcW w:w="1725" w:type="dxa"/>
            <w:tcBorders>
              <w:top w:val="single" w:sz="8" w:space="0" w:color="auto"/>
              <w:left w:val="nil"/>
              <w:bottom w:val="single" w:sz="8" w:space="0" w:color="auto"/>
            </w:tcBorders>
          </w:tcPr>
          <w:p>
            <w:pPr>
              <w:jc w:val="center"/>
              <w:rPr>
                <w:rFonts w:eastAsia="Times New Roman"/>
                <w:noProof/>
                <w:sz w:val="22"/>
                <w:szCs w:val="20"/>
              </w:rPr>
            </w:pPr>
            <w:r>
              <w:rPr>
                <w:noProof/>
                <w:sz w:val="22"/>
              </w:rPr>
              <w:t>0,00</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rPr>
            </w:pPr>
            <w:r>
              <w:rPr>
                <w:noProof/>
                <w:sz w:val="22"/>
              </w:rPr>
              <w:t>Lait écrémé en poudre</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396,20</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195,08</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rPr>
            </w:pPr>
            <w:r>
              <w:rPr>
                <w:noProof/>
                <w:sz w:val="22"/>
              </w:rPr>
              <w:t>201,10</w:t>
            </w:r>
          </w:p>
        </w:tc>
        <w:tc>
          <w:tcPr>
            <w:tcW w:w="1725" w:type="dxa"/>
            <w:tcBorders>
              <w:top w:val="single" w:sz="8" w:space="0" w:color="auto"/>
              <w:left w:val="nil"/>
              <w:bottom w:val="single" w:sz="8" w:space="0" w:color="auto"/>
            </w:tcBorders>
          </w:tcPr>
          <w:p>
            <w:pPr>
              <w:jc w:val="center"/>
              <w:rPr>
                <w:rFonts w:eastAsia="Times New Roman"/>
                <w:noProof/>
                <w:sz w:val="22"/>
                <w:szCs w:val="20"/>
              </w:rPr>
            </w:pPr>
            <w:r>
              <w:rPr>
                <w:noProof/>
                <w:sz w:val="22"/>
              </w:rPr>
              <w:t>0,00</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rPr>
            </w:pPr>
            <w:r>
              <w:rPr>
                <w:noProof/>
                <w:sz w:val="22"/>
              </w:rPr>
              <w:t>Beurre</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1 010,90</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368,10</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rPr>
            </w:pPr>
            <w:r>
              <w:rPr>
                <w:noProof/>
                <w:sz w:val="22"/>
              </w:rPr>
              <w:t>642,80</w:t>
            </w:r>
          </w:p>
        </w:tc>
        <w:tc>
          <w:tcPr>
            <w:tcW w:w="1725" w:type="dxa"/>
            <w:tcBorders>
              <w:top w:val="single" w:sz="8" w:space="0" w:color="auto"/>
              <w:left w:val="nil"/>
              <w:bottom w:val="single" w:sz="8" w:space="0" w:color="auto"/>
            </w:tcBorders>
          </w:tcPr>
          <w:p>
            <w:pPr>
              <w:jc w:val="center"/>
              <w:rPr>
                <w:rFonts w:eastAsia="Times New Roman"/>
                <w:noProof/>
                <w:sz w:val="22"/>
                <w:szCs w:val="20"/>
              </w:rPr>
            </w:pPr>
            <w:r>
              <w:rPr>
                <w:noProof/>
                <w:sz w:val="22"/>
              </w:rPr>
              <w:t>0,00</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rPr>
            </w:pPr>
            <w:r>
              <w:rPr>
                <w:noProof/>
                <w:sz w:val="22"/>
              </w:rPr>
              <w:t>Sucre blanc</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rPr>
            </w:pPr>
            <w:r>
              <w:rPr>
                <w:noProof/>
                <w:sz w:val="22"/>
              </w:rPr>
              <w:t>-</w:t>
            </w:r>
          </w:p>
        </w:tc>
        <w:tc>
          <w:tcPr>
            <w:tcW w:w="1725" w:type="dxa"/>
            <w:tcBorders>
              <w:top w:val="single" w:sz="8" w:space="0" w:color="auto"/>
              <w:left w:val="nil"/>
              <w:bottom w:val="single" w:sz="8" w:space="0" w:color="auto"/>
            </w:tcBorders>
          </w:tcPr>
          <w:p>
            <w:pPr>
              <w:jc w:val="center"/>
              <w:rPr>
                <w:rFonts w:eastAsia="Times New Roman"/>
                <w:noProof/>
                <w:sz w:val="22"/>
                <w:szCs w:val="20"/>
              </w:rPr>
            </w:pPr>
            <w:r>
              <w:rPr>
                <w:noProof/>
                <w:sz w:val="22"/>
              </w:rPr>
              <w:t>-</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rPr>
            </w:pPr>
            <w:r>
              <w:rPr>
                <w:noProof/>
                <w:sz w:val="22"/>
              </w:rPr>
              <w:t>Œufs</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rPr>
            </w:pPr>
            <w:r>
              <w:rPr>
                <w:noProof/>
                <w:sz w:val="22"/>
              </w:rPr>
              <w:t>38,00</w:t>
            </w:r>
          </w:p>
        </w:tc>
        <w:tc>
          <w:tcPr>
            <w:tcW w:w="1725" w:type="dxa"/>
            <w:tcBorders>
              <w:top w:val="single" w:sz="8" w:space="0" w:color="auto"/>
              <w:left w:val="nil"/>
              <w:bottom w:val="single" w:sz="8" w:space="0" w:color="auto"/>
            </w:tcBorders>
          </w:tcPr>
          <w:p>
            <w:pPr>
              <w:jc w:val="center"/>
              <w:rPr>
                <w:rFonts w:eastAsia="Times New Roman"/>
                <w:noProof/>
                <w:sz w:val="22"/>
                <w:szCs w:val="20"/>
              </w:rPr>
            </w:pPr>
            <w:r>
              <w:rPr>
                <w:noProof/>
                <w:sz w:val="22"/>
              </w:rPr>
              <w:t>0,00</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rPr>
            </w:pPr>
            <w:r>
              <w:rPr>
                <w:noProof/>
                <w:sz w:val="22"/>
              </w:rPr>
              <w:t>Pommes de terre fraîches</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43,25</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17,66</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rPr>
            </w:pPr>
            <w:r>
              <w:rPr>
                <w:noProof/>
                <w:sz w:val="22"/>
              </w:rPr>
              <w:t>25,60</w:t>
            </w:r>
          </w:p>
        </w:tc>
        <w:tc>
          <w:tcPr>
            <w:tcW w:w="1725" w:type="dxa"/>
            <w:tcBorders>
              <w:top w:val="single" w:sz="8" w:space="0" w:color="auto"/>
              <w:left w:val="nil"/>
              <w:bottom w:val="single" w:sz="8" w:space="0" w:color="auto"/>
            </w:tcBorders>
          </w:tcPr>
          <w:p>
            <w:pPr>
              <w:jc w:val="center"/>
              <w:rPr>
                <w:rFonts w:eastAsia="Times New Roman"/>
                <w:noProof/>
                <w:sz w:val="22"/>
                <w:szCs w:val="20"/>
              </w:rPr>
            </w:pPr>
            <w:r>
              <w:rPr>
                <w:noProof/>
                <w:sz w:val="22"/>
              </w:rPr>
              <w:t>0,00</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rPr>
            </w:pPr>
            <w:r>
              <w:rPr>
                <w:noProof/>
                <w:sz w:val="22"/>
              </w:rPr>
              <w:t>Graisse végétale</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rPr>
            </w:pPr>
            <w:r>
              <w:rPr>
                <w:noProof/>
                <w:sz w:val="22"/>
              </w:rPr>
              <w:t>-</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rPr>
            </w:pPr>
            <w:r>
              <w:rPr>
                <w:noProof/>
                <w:sz w:val="22"/>
              </w:rPr>
              <w:t>170,00</w:t>
            </w:r>
          </w:p>
        </w:tc>
        <w:tc>
          <w:tcPr>
            <w:tcW w:w="1725" w:type="dxa"/>
            <w:tcBorders>
              <w:top w:val="single" w:sz="8" w:space="0" w:color="auto"/>
              <w:left w:val="nil"/>
              <w:bottom w:val="single" w:sz="8" w:space="0" w:color="auto"/>
            </w:tcBorders>
          </w:tcPr>
          <w:p>
            <w:pPr>
              <w:jc w:val="center"/>
              <w:rPr>
                <w:rFonts w:eastAsia="Times New Roman"/>
                <w:noProof/>
                <w:sz w:val="22"/>
                <w:szCs w:val="20"/>
              </w:rPr>
            </w:pPr>
            <w:r>
              <w:rPr>
                <w:noProof/>
                <w:sz w:val="22"/>
              </w:rPr>
              <w:t>0,00»</w:t>
            </w:r>
          </w:p>
        </w:tc>
      </w:tr>
    </w:tbl>
    <w:p>
      <w:pPr>
        <w:rPr>
          <w:rFonts w:eastAsia="Times New Roman"/>
          <w:noProof/>
          <w:szCs w:val="24"/>
        </w:rPr>
        <w:sectPr>
          <w:footerReference w:type="default" r:id="rId16"/>
          <w:footerReference w:type="first" r:id="rId17"/>
          <w:pgSz w:w="11907" w:h="16839" w:code="9"/>
          <w:pgMar w:top="1134" w:right="1417" w:bottom="1134" w:left="1417" w:header="709" w:footer="709" w:gutter="0"/>
          <w:cols w:space="708"/>
          <w:docGrid w:linePitch="360"/>
        </w:sectPr>
      </w:pPr>
    </w:p>
    <w:p>
      <w:pPr>
        <w:jc w:val="center"/>
        <w:rPr>
          <w:rFonts w:eastAsia="Times New Roman"/>
          <w:bCs/>
          <w:noProof/>
          <w:szCs w:val="24"/>
        </w:rPr>
      </w:pPr>
      <w:r>
        <w:rPr>
          <w:b/>
          <w:noProof/>
          <w:u w:val="single"/>
        </w:rPr>
        <w:lastRenderedPageBreak/>
        <w:t>ANNEXE III</w:t>
      </w:r>
      <w:r>
        <w:rPr>
          <w:rFonts w:eastAsia="Times New Roman"/>
          <w:b/>
          <w:bCs/>
          <w:noProof/>
          <w:szCs w:val="24"/>
          <w:u w:val="single"/>
        </w:rPr>
        <w:br/>
      </w:r>
      <w:r>
        <w:rPr>
          <w:rFonts w:eastAsia="Times New Roman"/>
          <w:b/>
          <w:bCs/>
          <w:noProof/>
          <w:szCs w:val="24"/>
          <w:u w:val="single"/>
        </w:rPr>
        <w:br/>
      </w:r>
      <w:r>
        <w:rPr>
          <w:noProof/>
        </w:rPr>
        <w:t>TABLEAU IV</w:t>
      </w:r>
    </w:p>
    <w:p>
      <w:pPr>
        <w:rPr>
          <w:rFonts w:eastAsia="Times New Roman"/>
          <w:noProof/>
          <w:szCs w:val="24"/>
        </w:rPr>
      </w:pPr>
      <w:r>
        <w:rPr>
          <w:noProof/>
        </w:rPr>
        <w:t>«b) Montants de base des matières premières agricoles pris en compte pour le calcul des éléments agricoles:</w:t>
      </w:r>
    </w:p>
    <w:tbl>
      <w:tblPr>
        <w:tblW w:w="8757" w:type="dxa"/>
        <w:jc w:val="center"/>
        <w:tblLayout w:type="fixed"/>
        <w:tblCellMar>
          <w:left w:w="0" w:type="dxa"/>
          <w:right w:w="0" w:type="dxa"/>
        </w:tblCellMar>
        <w:tblLook w:val="0000" w:firstRow="0" w:lastRow="0" w:firstColumn="0" w:lastColumn="0" w:noHBand="0" w:noVBand="0"/>
      </w:tblPr>
      <w:tblGrid>
        <w:gridCol w:w="2277"/>
        <w:gridCol w:w="3240"/>
        <w:gridCol w:w="3240"/>
      </w:tblGrid>
      <w:tr>
        <w:trPr>
          <w:trHeight w:val="240"/>
          <w:jc w:val="center"/>
        </w:trPr>
        <w:tc>
          <w:tcPr>
            <w:tcW w:w="2277" w:type="dxa"/>
            <w:vMerge w:val="restart"/>
            <w:tcBorders>
              <w:top w:val="single" w:sz="8" w:space="0" w:color="auto"/>
              <w:right w:val="single" w:sz="8" w:space="0" w:color="auto"/>
            </w:tcBorders>
            <w:vAlign w:val="center"/>
          </w:tcPr>
          <w:p>
            <w:pPr>
              <w:jc w:val="center"/>
              <w:rPr>
                <w:rFonts w:eastAsia="Times New Roman"/>
                <w:noProof/>
                <w:sz w:val="20"/>
                <w:szCs w:val="20"/>
              </w:rPr>
            </w:pPr>
            <w:r>
              <w:rPr>
                <w:noProof/>
                <w:sz w:val="20"/>
              </w:rPr>
              <w:t>Matière première agricole</w:t>
            </w:r>
          </w:p>
        </w:tc>
        <w:tc>
          <w:tcPr>
            <w:tcW w:w="3240" w:type="dxa"/>
            <w:tcBorders>
              <w:top w:val="single" w:sz="8" w:space="0" w:color="auto"/>
              <w:left w:val="nil"/>
              <w:bottom w:val="single" w:sz="8" w:space="0" w:color="auto"/>
              <w:right w:val="single" w:sz="8" w:space="0" w:color="auto"/>
            </w:tcBorders>
            <w:vAlign w:val="center"/>
          </w:tcPr>
          <w:p>
            <w:pPr>
              <w:jc w:val="center"/>
              <w:rPr>
                <w:rFonts w:eastAsia="Times New Roman"/>
                <w:noProof/>
                <w:sz w:val="20"/>
                <w:szCs w:val="20"/>
              </w:rPr>
            </w:pPr>
            <w:r>
              <w:rPr>
                <w:noProof/>
                <w:snapToGrid w:val="0"/>
                <w:sz w:val="20"/>
              </w:rPr>
              <w:t xml:space="preserve">Montant de base appliqué du côté suisse </w:t>
            </w:r>
            <w:r>
              <w:rPr>
                <w:rFonts w:eastAsia="Times New Roman"/>
                <w:noProof/>
                <w:snapToGrid w:val="0"/>
                <w:sz w:val="20"/>
                <w:szCs w:val="20"/>
              </w:rPr>
              <w:br/>
            </w:r>
            <w:r>
              <w:rPr>
                <w:noProof/>
                <w:snapToGrid w:val="0"/>
                <w:sz w:val="20"/>
              </w:rPr>
              <w:t>Article 3, paragraphe 2</w:t>
            </w:r>
          </w:p>
        </w:tc>
        <w:tc>
          <w:tcPr>
            <w:tcW w:w="3240" w:type="dxa"/>
            <w:tcBorders>
              <w:top w:val="single" w:sz="8" w:space="0" w:color="auto"/>
              <w:left w:val="nil"/>
              <w:bottom w:val="single" w:sz="8" w:space="0" w:color="auto"/>
            </w:tcBorders>
            <w:vAlign w:val="center"/>
          </w:tcPr>
          <w:p>
            <w:pPr>
              <w:jc w:val="center"/>
              <w:rPr>
                <w:rFonts w:eastAsia="Times New Roman"/>
                <w:noProof/>
                <w:snapToGrid w:val="0"/>
                <w:sz w:val="20"/>
                <w:szCs w:val="20"/>
              </w:rPr>
            </w:pPr>
            <w:r>
              <w:rPr>
                <w:noProof/>
                <w:snapToGrid w:val="0"/>
                <w:sz w:val="20"/>
              </w:rPr>
              <w:t xml:space="preserve">Montant de base appliqué du côté UE </w:t>
            </w:r>
            <w:r>
              <w:rPr>
                <w:rFonts w:eastAsia="Times New Roman"/>
                <w:noProof/>
                <w:snapToGrid w:val="0"/>
                <w:sz w:val="20"/>
                <w:szCs w:val="20"/>
              </w:rPr>
              <w:br/>
            </w:r>
            <w:r>
              <w:rPr>
                <w:noProof/>
                <w:snapToGrid w:val="0"/>
                <w:sz w:val="20"/>
              </w:rPr>
              <w:t>Article 4, paragraphe 2</w:t>
            </w:r>
          </w:p>
        </w:tc>
      </w:tr>
      <w:tr>
        <w:trPr>
          <w:trHeight w:val="240"/>
          <w:jc w:val="center"/>
        </w:trPr>
        <w:tc>
          <w:tcPr>
            <w:tcW w:w="2277" w:type="dxa"/>
            <w:vMerge/>
            <w:tcBorders>
              <w:bottom w:val="single" w:sz="8" w:space="0" w:color="auto"/>
              <w:right w:val="single" w:sz="8" w:space="0" w:color="auto"/>
            </w:tcBorders>
            <w:vAlign w:val="center"/>
          </w:tcPr>
          <w:p>
            <w:pPr>
              <w:jc w:val="center"/>
              <w:rPr>
                <w:rFonts w:eastAsia="Times New Roman"/>
                <w:noProof/>
                <w:sz w:val="20"/>
                <w:szCs w:val="20"/>
              </w:rPr>
            </w:pPr>
          </w:p>
        </w:tc>
        <w:tc>
          <w:tcPr>
            <w:tcW w:w="3240" w:type="dxa"/>
            <w:tcBorders>
              <w:top w:val="nil"/>
              <w:left w:val="nil"/>
              <w:bottom w:val="single" w:sz="8" w:space="0" w:color="auto"/>
              <w:right w:val="single" w:sz="8" w:space="0" w:color="auto"/>
            </w:tcBorders>
            <w:vAlign w:val="center"/>
          </w:tcPr>
          <w:p>
            <w:pPr>
              <w:jc w:val="center"/>
              <w:rPr>
                <w:rFonts w:eastAsia="Times New Roman"/>
                <w:noProof/>
                <w:sz w:val="20"/>
                <w:szCs w:val="20"/>
              </w:rPr>
            </w:pPr>
            <w:r>
              <w:rPr>
                <w:noProof/>
                <w:sz w:val="20"/>
              </w:rPr>
              <w:t>CHF par 100 kg net</w:t>
            </w:r>
          </w:p>
        </w:tc>
        <w:tc>
          <w:tcPr>
            <w:tcW w:w="3240" w:type="dxa"/>
            <w:tcBorders>
              <w:top w:val="nil"/>
              <w:left w:val="nil"/>
              <w:bottom w:val="single" w:sz="8" w:space="0" w:color="auto"/>
            </w:tcBorders>
            <w:vAlign w:val="center"/>
          </w:tcPr>
          <w:p>
            <w:pPr>
              <w:jc w:val="center"/>
              <w:rPr>
                <w:rFonts w:eastAsia="Times New Roman"/>
                <w:noProof/>
                <w:sz w:val="20"/>
                <w:szCs w:val="20"/>
              </w:rPr>
            </w:pPr>
            <w:r>
              <w:rPr>
                <w:noProof/>
                <w:sz w:val="20"/>
              </w:rPr>
              <w:t>EUR par 100 kg net</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rPr>
            </w:pPr>
            <w:r>
              <w:rPr>
                <w:noProof/>
                <w:sz w:val="22"/>
              </w:rPr>
              <w:t>Blé tendre</w:t>
            </w:r>
          </w:p>
        </w:tc>
        <w:tc>
          <w:tcPr>
            <w:tcW w:w="3240" w:type="dxa"/>
            <w:tcBorders>
              <w:top w:val="nil"/>
              <w:left w:val="nil"/>
              <w:bottom w:val="single" w:sz="8" w:space="0" w:color="auto"/>
              <w:right w:val="single" w:sz="8" w:space="0" w:color="auto"/>
            </w:tcBorders>
          </w:tcPr>
          <w:p>
            <w:pPr>
              <w:jc w:val="center"/>
              <w:rPr>
                <w:rFonts w:eastAsia="Times New Roman"/>
                <w:noProof/>
                <w:sz w:val="22"/>
                <w:szCs w:val="20"/>
              </w:rPr>
            </w:pPr>
            <w:r>
              <w:rPr>
                <w:noProof/>
                <w:sz w:val="22"/>
              </w:rPr>
              <w:t>27,20</w:t>
            </w:r>
          </w:p>
        </w:tc>
        <w:tc>
          <w:tcPr>
            <w:tcW w:w="3240" w:type="dxa"/>
            <w:tcBorders>
              <w:top w:val="nil"/>
              <w:left w:val="nil"/>
              <w:bottom w:val="single" w:sz="8" w:space="0" w:color="auto"/>
            </w:tcBorders>
          </w:tcPr>
          <w:p>
            <w:pPr>
              <w:jc w:val="center"/>
              <w:rPr>
                <w:rFonts w:eastAsia="Times New Roman"/>
                <w:noProof/>
                <w:sz w:val="22"/>
                <w:szCs w:val="20"/>
              </w:rPr>
            </w:pPr>
            <w:r>
              <w:rPr>
                <w:noProof/>
                <w:sz w:val="22"/>
              </w:rPr>
              <w:t>0,00</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rPr>
            </w:pPr>
            <w:r>
              <w:rPr>
                <w:noProof/>
                <w:sz w:val="22"/>
              </w:rPr>
              <w:t>Blé dur</w:t>
            </w:r>
          </w:p>
        </w:tc>
        <w:tc>
          <w:tcPr>
            <w:tcW w:w="3240" w:type="dxa"/>
            <w:tcBorders>
              <w:top w:val="nil"/>
              <w:left w:val="nil"/>
              <w:bottom w:val="single" w:sz="8" w:space="0" w:color="auto"/>
              <w:right w:val="single" w:sz="8" w:space="0" w:color="auto"/>
            </w:tcBorders>
          </w:tcPr>
          <w:p>
            <w:pPr>
              <w:jc w:val="center"/>
              <w:rPr>
                <w:rFonts w:eastAsia="Times New Roman"/>
                <w:noProof/>
                <w:sz w:val="22"/>
                <w:szCs w:val="20"/>
              </w:rPr>
            </w:pPr>
            <w:r>
              <w:rPr>
                <w:noProof/>
                <w:sz w:val="22"/>
              </w:rPr>
              <w:t>1,00</w:t>
            </w:r>
          </w:p>
        </w:tc>
        <w:tc>
          <w:tcPr>
            <w:tcW w:w="3240" w:type="dxa"/>
            <w:tcBorders>
              <w:top w:val="nil"/>
              <w:left w:val="nil"/>
              <w:bottom w:val="single" w:sz="8" w:space="0" w:color="auto"/>
            </w:tcBorders>
          </w:tcPr>
          <w:p>
            <w:pPr>
              <w:jc w:val="center"/>
              <w:rPr>
                <w:rFonts w:eastAsia="Times New Roman"/>
                <w:noProof/>
                <w:sz w:val="22"/>
                <w:szCs w:val="20"/>
              </w:rPr>
            </w:pPr>
            <w:r>
              <w:rPr>
                <w:noProof/>
                <w:sz w:val="22"/>
              </w:rPr>
              <w:t>0,00</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rPr>
            </w:pPr>
            <w:r>
              <w:rPr>
                <w:noProof/>
                <w:sz w:val="22"/>
              </w:rPr>
              <w:t>Seigle</w:t>
            </w:r>
          </w:p>
        </w:tc>
        <w:tc>
          <w:tcPr>
            <w:tcW w:w="3240" w:type="dxa"/>
            <w:tcBorders>
              <w:top w:val="nil"/>
              <w:left w:val="nil"/>
              <w:bottom w:val="single" w:sz="8" w:space="0" w:color="auto"/>
              <w:right w:val="single" w:sz="8" w:space="0" w:color="auto"/>
            </w:tcBorders>
          </w:tcPr>
          <w:p>
            <w:pPr>
              <w:jc w:val="center"/>
              <w:rPr>
                <w:rFonts w:eastAsia="Times New Roman"/>
                <w:noProof/>
                <w:sz w:val="22"/>
                <w:szCs w:val="20"/>
              </w:rPr>
            </w:pPr>
            <w:r>
              <w:rPr>
                <w:noProof/>
                <w:sz w:val="22"/>
              </w:rPr>
              <w:t>20,95</w:t>
            </w:r>
          </w:p>
        </w:tc>
        <w:tc>
          <w:tcPr>
            <w:tcW w:w="3240" w:type="dxa"/>
            <w:tcBorders>
              <w:top w:val="nil"/>
              <w:left w:val="nil"/>
              <w:bottom w:val="single" w:sz="8" w:space="0" w:color="auto"/>
            </w:tcBorders>
          </w:tcPr>
          <w:p>
            <w:pPr>
              <w:jc w:val="center"/>
              <w:rPr>
                <w:rFonts w:eastAsia="Times New Roman"/>
                <w:noProof/>
                <w:sz w:val="22"/>
                <w:szCs w:val="20"/>
              </w:rPr>
            </w:pPr>
            <w:r>
              <w:rPr>
                <w:noProof/>
                <w:sz w:val="22"/>
              </w:rPr>
              <w:t>0,00</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rPr>
            </w:pPr>
            <w:r>
              <w:rPr>
                <w:noProof/>
                <w:sz w:val="22"/>
              </w:rPr>
              <w:t>Orge</w:t>
            </w:r>
          </w:p>
        </w:tc>
        <w:tc>
          <w:tcPr>
            <w:tcW w:w="3240" w:type="dxa"/>
            <w:tcBorders>
              <w:top w:val="nil"/>
              <w:left w:val="nil"/>
              <w:bottom w:val="single" w:sz="8" w:space="0" w:color="auto"/>
              <w:right w:val="single" w:sz="8" w:space="0" w:color="auto"/>
            </w:tcBorders>
          </w:tcPr>
          <w:p>
            <w:pPr>
              <w:jc w:val="center"/>
              <w:rPr>
                <w:rFonts w:eastAsia="Times New Roman"/>
                <w:noProof/>
                <w:sz w:val="22"/>
                <w:szCs w:val="20"/>
              </w:rPr>
            </w:pPr>
            <w:r>
              <w:rPr>
                <w:noProof/>
                <w:sz w:val="22"/>
              </w:rPr>
              <w:t>-</w:t>
            </w:r>
          </w:p>
        </w:tc>
        <w:tc>
          <w:tcPr>
            <w:tcW w:w="3240" w:type="dxa"/>
            <w:tcBorders>
              <w:top w:val="nil"/>
              <w:left w:val="nil"/>
              <w:bottom w:val="single" w:sz="8" w:space="0" w:color="auto"/>
            </w:tcBorders>
          </w:tcPr>
          <w:p>
            <w:pPr>
              <w:jc w:val="center"/>
              <w:rPr>
                <w:rFonts w:eastAsia="Times New Roman"/>
                <w:noProof/>
                <w:sz w:val="22"/>
                <w:szCs w:val="20"/>
              </w:rPr>
            </w:pPr>
            <w:r>
              <w:rPr>
                <w:noProof/>
                <w:sz w:val="22"/>
              </w:rPr>
              <w:t>-</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rPr>
            </w:pPr>
            <w:r>
              <w:rPr>
                <w:noProof/>
                <w:sz w:val="22"/>
              </w:rPr>
              <w:t>Maïs</w:t>
            </w:r>
          </w:p>
        </w:tc>
        <w:tc>
          <w:tcPr>
            <w:tcW w:w="3240" w:type="dxa"/>
            <w:tcBorders>
              <w:top w:val="nil"/>
              <w:left w:val="nil"/>
              <w:bottom w:val="single" w:sz="8" w:space="0" w:color="auto"/>
              <w:right w:val="single" w:sz="8" w:space="0" w:color="auto"/>
            </w:tcBorders>
          </w:tcPr>
          <w:p>
            <w:pPr>
              <w:jc w:val="center"/>
              <w:rPr>
                <w:rFonts w:eastAsia="Times New Roman"/>
                <w:noProof/>
                <w:sz w:val="22"/>
                <w:szCs w:val="20"/>
              </w:rPr>
            </w:pPr>
            <w:r>
              <w:rPr>
                <w:noProof/>
                <w:sz w:val="22"/>
              </w:rPr>
              <w:t>-</w:t>
            </w:r>
          </w:p>
        </w:tc>
        <w:tc>
          <w:tcPr>
            <w:tcW w:w="3240" w:type="dxa"/>
            <w:tcBorders>
              <w:top w:val="nil"/>
              <w:left w:val="nil"/>
              <w:bottom w:val="single" w:sz="8" w:space="0" w:color="auto"/>
            </w:tcBorders>
          </w:tcPr>
          <w:p>
            <w:pPr>
              <w:jc w:val="center"/>
              <w:rPr>
                <w:rFonts w:eastAsia="Times New Roman"/>
                <w:noProof/>
                <w:sz w:val="22"/>
                <w:szCs w:val="20"/>
              </w:rPr>
            </w:pPr>
            <w:r>
              <w:rPr>
                <w:noProof/>
                <w:sz w:val="22"/>
              </w:rPr>
              <w:t>-</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rPr>
            </w:pPr>
            <w:r>
              <w:rPr>
                <w:noProof/>
                <w:sz w:val="22"/>
              </w:rPr>
              <w:t>Farine de blé tendre</w:t>
            </w:r>
          </w:p>
        </w:tc>
        <w:tc>
          <w:tcPr>
            <w:tcW w:w="3240" w:type="dxa"/>
            <w:tcBorders>
              <w:top w:val="nil"/>
              <w:left w:val="nil"/>
              <w:bottom w:val="single" w:sz="8" w:space="0" w:color="auto"/>
              <w:right w:val="single" w:sz="8" w:space="0" w:color="auto"/>
            </w:tcBorders>
          </w:tcPr>
          <w:p>
            <w:pPr>
              <w:jc w:val="center"/>
              <w:rPr>
                <w:rFonts w:eastAsia="Times New Roman"/>
                <w:noProof/>
                <w:sz w:val="22"/>
                <w:szCs w:val="20"/>
              </w:rPr>
            </w:pPr>
            <w:r>
              <w:rPr>
                <w:noProof/>
                <w:sz w:val="22"/>
              </w:rPr>
              <w:t>40,90</w:t>
            </w:r>
          </w:p>
        </w:tc>
        <w:tc>
          <w:tcPr>
            <w:tcW w:w="3240" w:type="dxa"/>
            <w:tcBorders>
              <w:top w:val="nil"/>
              <w:left w:val="nil"/>
              <w:bottom w:val="single" w:sz="8" w:space="0" w:color="auto"/>
            </w:tcBorders>
          </w:tcPr>
          <w:p>
            <w:pPr>
              <w:jc w:val="center"/>
              <w:rPr>
                <w:rFonts w:eastAsia="Times New Roman"/>
                <w:noProof/>
                <w:sz w:val="22"/>
                <w:szCs w:val="20"/>
              </w:rPr>
            </w:pPr>
            <w:r>
              <w:rPr>
                <w:noProof/>
                <w:sz w:val="22"/>
              </w:rPr>
              <w:t>0,00</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rPr>
            </w:pPr>
            <w:r>
              <w:rPr>
                <w:noProof/>
                <w:sz w:val="22"/>
              </w:rPr>
              <w:t>Lait entier en poudre</w:t>
            </w:r>
          </w:p>
        </w:tc>
        <w:tc>
          <w:tcPr>
            <w:tcW w:w="3240" w:type="dxa"/>
            <w:tcBorders>
              <w:top w:val="nil"/>
              <w:left w:val="nil"/>
              <w:bottom w:val="single" w:sz="8" w:space="0" w:color="auto"/>
              <w:right w:val="single" w:sz="8" w:space="0" w:color="auto"/>
            </w:tcBorders>
          </w:tcPr>
          <w:p>
            <w:pPr>
              <w:jc w:val="center"/>
              <w:rPr>
                <w:rFonts w:eastAsia="Times New Roman"/>
                <w:noProof/>
                <w:sz w:val="22"/>
                <w:szCs w:val="20"/>
              </w:rPr>
            </w:pPr>
            <w:r>
              <w:rPr>
                <w:noProof/>
                <w:sz w:val="22"/>
              </w:rPr>
              <w:t>262,65</w:t>
            </w:r>
          </w:p>
        </w:tc>
        <w:tc>
          <w:tcPr>
            <w:tcW w:w="3240" w:type="dxa"/>
            <w:tcBorders>
              <w:top w:val="nil"/>
              <w:left w:val="nil"/>
              <w:bottom w:val="single" w:sz="8" w:space="0" w:color="auto"/>
            </w:tcBorders>
          </w:tcPr>
          <w:p>
            <w:pPr>
              <w:jc w:val="center"/>
              <w:rPr>
                <w:rFonts w:eastAsia="Times New Roman"/>
                <w:noProof/>
                <w:sz w:val="22"/>
                <w:szCs w:val="20"/>
              </w:rPr>
            </w:pPr>
            <w:r>
              <w:rPr>
                <w:noProof/>
                <w:sz w:val="22"/>
              </w:rPr>
              <w:t>0,00</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rPr>
            </w:pPr>
            <w:r>
              <w:rPr>
                <w:noProof/>
                <w:sz w:val="22"/>
              </w:rPr>
              <w:t>Lait écrémé en poudre</w:t>
            </w:r>
          </w:p>
        </w:tc>
        <w:tc>
          <w:tcPr>
            <w:tcW w:w="3240" w:type="dxa"/>
            <w:tcBorders>
              <w:top w:val="nil"/>
              <w:left w:val="nil"/>
              <w:bottom w:val="single" w:sz="8" w:space="0" w:color="auto"/>
              <w:right w:val="single" w:sz="8" w:space="0" w:color="auto"/>
            </w:tcBorders>
          </w:tcPr>
          <w:p>
            <w:pPr>
              <w:jc w:val="center"/>
              <w:rPr>
                <w:rFonts w:eastAsia="Times New Roman"/>
                <w:noProof/>
                <w:sz w:val="22"/>
                <w:szCs w:val="20"/>
              </w:rPr>
            </w:pPr>
            <w:r>
              <w:rPr>
                <w:noProof/>
                <w:sz w:val="22"/>
              </w:rPr>
              <w:t>163,90</w:t>
            </w:r>
          </w:p>
        </w:tc>
        <w:tc>
          <w:tcPr>
            <w:tcW w:w="3240" w:type="dxa"/>
            <w:tcBorders>
              <w:top w:val="nil"/>
              <w:left w:val="nil"/>
              <w:bottom w:val="single" w:sz="8" w:space="0" w:color="auto"/>
            </w:tcBorders>
          </w:tcPr>
          <w:p>
            <w:pPr>
              <w:jc w:val="center"/>
              <w:rPr>
                <w:rFonts w:eastAsia="Times New Roman"/>
                <w:noProof/>
                <w:sz w:val="22"/>
                <w:szCs w:val="20"/>
              </w:rPr>
            </w:pPr>
            <w:r>
              <w:rPr>
                <w:noProof/>
                <w:sz w:val="22"/>
              </w:rPr>
              <w:t>0,00</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rPr>
            </w:pPr>
            <w:r>
              <w:rPr>
                <w:noProof/>
                <w:sz w:val="22"/>
              </w:rPr>
              <w:t xml:space="preserve">Beurre </w:t>
            </w:r>
          </w:p>
        </w:tc>
        <w:tc>
          <w:tcPr>
            <w:tcW w:w="3240" w:type="dxa"/>
            <w:tcBorders>
              <w:top w:val="nil"/>
              <w:left w:val="nil"/>
              <w:bottom w:val="single" w:sz="8" w:space="0" w:color="auto"/>
              <w:right w:val="single" w:sz="8" w:space="0" w:color="auto"/>
            </w:tcBorders>
          </w:tcPr>
          <w:p>
            <w:pPr>
              <w:jc w:val="center"/>
              <w:rPr>
                <w:rFonts w:eastAsia="Times New Roman"/>
                <w:noProof/>
                <w:sz w:val="22"/>
                <w:szCs w:val="20"/>
              </w:rPr>
            </w:pPr>
            <w:r>
              <w:rPr>
                <w:noProof/>
                <w:sz w:val="22"/>
              </w:rPr>
              <w:t>523,90</w:t>
            </w:r>
          </w:p>
        </w:tc>
        <w:tc>
          <w:tcPr>
            <w:tcW w:w="3240" w:type="dxa"/>
            <w:tcBorders>
              <w:top w:val="nil"/>
              <w:left w:val="nil"/>
              <w:bottom w:val="single" w:sz="8" w:space="0" w:color="auto"/>
            </w:tcBorders>
          </w:tcPr>
          <w:p>
            <w:pPr>
              <w:jc w:val="center"/>
              <w:rPr>
                <w:rFonts w:eastAsia="Times New Roman"/>
                <w:noProof/>
                <w:sz w:val="22"/>
                <w:szCs w:val="20"/>
              </w:rPr>
            </w:pPr>
            <w:r>
              <w:rPr>
                <w:noProof/>
                <w:sz w:val="22"/>
              </w:rPr>
              <w:t>0,00</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rPr>
            </w:pPr>
            <w:r>
              <w:rPr>
                <w:noProof/>
                <w:sz w:val="22"/>
              </w:rPr>
              <w:t>Sucre blanc</w:t>
            </w:r>
          </w:p>
        </w:tc>
        <w:tc>
          <w:tcPr>
            <w:tcW w:w="3240" w:type="dxa"/>
            <w:tcBorders>
              <w:top w:val="nil"/>
              <w:left w:val="nil"/>
              <w:bottom w:val="single" w:sz="8" w:space="0" w:color="auto"/>
              <w:right w:val="single" w:sz="8" w:space="0" w:color="auto"/>
            </w:tcBorders>
          </w:tcPr>
          <w:p>
            <w:pPr>
              <w:jc w:val="center"/>
              <w:rPr>
                <w:rFonts w:eastAsia="Times New Roman"/>
                <w:noProof/>
                <w:sz w:val="22"/>
                <w:szCs w:val="20"/>
              </w:rPr>
            </w:pPr>
            <w:r>
              <w:rPr>
                <w:noProof/>
                <w:sz w:val="22"/>
              </w:rPr>
              <w:t>-</w:t>
            </w:r>
          </w:p>
        </w:tc>
        <w:tc>
          <w:tcPr>
            <w:tcW w:w="3240" w:type="dxa"/>
            <w:tcBorders>
              <w:top w:val="nil"/>
              <w:left w:val="nil"/>
              <w:bottom w:val="single" w:sz="8" w:space="0" w:color="auto"/>
            </w:tcBorders>
          </w:tcPr>
          <w:p>
            <w:pPr>
              <w:jc w:val="center"/>
              <w:rPr>
                <w:rFonts w:eastAsia="Times New Roman"/>
                <w:noProof/>
                <w:sz w:val="22"/>
                <w:szCs w:val="20"/>
              </w:rPr>
            </w:pPr>
            <w:r>
              <w:rPr>
                <w:noProof/>
                <w:sz w:val="22"/>
              </w:rPr>
              <w:t>-</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rPr>
            </w:pPr>
            <w:r>
              <w:rPr>
                <w:noProof/>
                <w:sz w:val="22"/>
              </w:rPr>
              <w:t>Œufs</w:t>
            </w:r>
          </w:p>
        </w:tc>
        <w:tc>
          <w:tcPr>
            <w:tcW w:w="3240" w:type="dxa"/>
            <w:tcBorders>
              <w:top w:val="nil"/>
              <w:left w:val="nil"/>
              <w:bottom w:val="single" w:sz="8" w:space="0" w:color="auto"/>
              <w:right w:val="single" w:sz="8" w:space="0" w:color="auto"/>
            </w:tcBorders>
          </w:tcPr>
          <w:p>
            <w:pPr>
              <w:jc w:val="center"/>
              <w:rPr>
                <w:rFonts w:eastAsia="Times New Roman"/>
                <w:noProof/>
                <w:sz w:val="22"/>
                <w:szCs w:val="20"/>
              </w:rPr>
            </w:pPr>
            <w:r>
              <w:rPr>
                <w:noProof/>
                <w:sz w:val="22"/>
              </w:rPr>
              <w:t>30,95</w:t>
            </w:r>
          </w:p>
        </w:tc>
        <w:tc>
          <w:tcPr>
            <w:tcW w:w="3240" w:type="dxa"/>
            <w:tcBorders>
              <w:top w:val="nil"/>
              <w:left w:val="nil"/>
              <w:bottom w:val="single" w:sz="8" w:space="0" w:color="auto"/>
            </w:tcBorders>
          </w:tcPr>
          <w:p>
            <w:pPr>
              <w:jc w:val="center"/>
              <w:rPr>
                <w:rFonts w:eastAsia="Times New Roman"/>
                <w:noProof/>
                <w:sz w:val="22"/>
                <w:szCs w:val="20"/>
              </w:rPr>
            </w:pPr>
            <w:r>
              <w:rPr>
                <w:noProof/>
                <w:sz w:val="22"/>
              </w:rPr>
              <w:t>0,00</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rPr>
            </w:pPr>
            <w:r>
              <w:rPr>
                <w:noProof/>
                <w:sz w:val="22"/>
              </w:rPr>
              <w:t>Pommes de terre fraîches</w:t>
            </w:r>
          </w:p>
        </w:tc>
        <w:tc>
          <w:tcPr>
            <w:tcW w:w="3240" w:type="dxa"/>
            <w:tcBorders>
              <w:top w:val="nil"/>
              <w:left w:val="nil"/>
              <w:bottom w:val="single" w:sz="8" w:space="0" w:color="auto"/>
              <w:right w:val="single" w:sz="8" w:space="0" w:color="auto"/>
            </w:tcBorders>
          </w:tcPr>
          <w:p>
            <w:pPr>
              <w:jc w:val="center"/>
              <w:rPr>
                <w:rFonts w:eastAsia="Times New Roman"/>
                <w:noProof/>
                <w:sz w:val="22"/>
                <w:szCs w:val="20"/>
              </w:rPr>
            </w:pPr>
            <w:r>
              <w:rPr>
                <w:noProof/>
                <w:sz w:val="22"/>
              </w:rPr>
              <w:t>19,90</w:t>
            </w:r>
          </w:p>
        </w:tc>
        <w:tc>
          <w:tcPr>
            <w:tcW w:w="3240" w:type="dxa"/>
            <w:tcBorders>
              <w:top w:val="nil"/>
              <w:left w:val="nil"/>
              <w:bottom w:val="single" w:sz="8" w:space="0" w:color="auto"/>
            </w:tcBorders>
          </w:tcPr>
          <w:p>
            <w:pPr>
              <w:jc w:val="center"/>
              <w:rPr>
                <w:rFonts w:eastAsia="Times New Roman"/>
                <w:noProof/>
                <w:sz w:val="22"/>
                <w:szCs w:val="20"/>
              </w:rPr>
            </w:pPr>
            <w:r>
              <w:rPr>
                <w:noProof/>
                <w:sz w:val="22"/>
              </w:rPr>
              <w:t>0,00</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rPr>
            </w:pPr>
            <w:r>
              <w:rPr>
                <w:noProof/>
                <w:sz w:val="22"/>
              </w:rPr>
              <w:t>Graisse végétale</w:t>
            </w:r>
          </w:p>
        </w:tc>
        <w:tc>
          <w:tcPr>
            <w:tcW w:w="3240" w:type="dxa"/>
            <w:tcBorders>
              <w:top w:val="nil"/>
              <w:left w:val="nil"/>
              <w:bottom w:val="single" w:sz="8" w:space="0" w:color="auto"/>
              <w:right w:val="single" w:sz="8" w:space="0" w:color="auto"/>
            </w:tcBorders>
          </w:tcPr>
          <w:p>
            <w:pPr>
              <w:jc w:val="center"/>
              <w:rPr>
                <w:rFonts w:eastAsia="Times New Roman"/>
                <w:noProof/>
                <w:sz w:val="22"/>
                <w:szCs w:val="20"/>
              </w:rPr>
            </w:pPr>
            <w:r>
              <w:rPr>
                <w:noProof/>
                <w:sz w:val="22"/>
              </w:rPr>
              <w:t>138,55</w:t>
            </w:r>
          </w:p>
        </w:tc>
        <w:tc>
          <w:tcPr>
            <w:tcW w:w="3240" w:type="dxa"/>
            <w:tcBorders>
              <w:top w:val="nil"/>
              <w:left w:val="nil"/>
              <w:bottom w:val="single" w:sz="8" w:space="0" w:color="auto"/>
            </w:tcBorders>
          </w:tcPr>
          <w:p>
            <w:pPr>
              <w:jc w:val="center"/>
              <w:rPr>
                <w:rFonts w:eastAsia="Times New Roman"/>
                <w:noProof/>
                <w:sz w:val="22"/>
                <w:szCs w:val="20"/>
              </w:rPr>
            </w:pPr>
            <w:r>
              <w:rPr>
                <w:noProof/>
                <w:sz w:val="22"/>
              </w:rPr>
              <w:t>0,00»</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300 du 31.12.1972, p. 189.</w:t>
      </w:r>
    </w:p>
  </w:footnote>
  <w:footnote w:id="2">
    <w:p>
      <w:pPr>
        <w:pStyle w:val="FootnoteText"/>
      </w:pPr>
      <w:r>
        <w:rPr>
          <w:rStyle w:val="FootnoteReference"/>
        </w:rPr>
        <w:footnoteRef/>
      </w:r>
      <w:r>
        <w:tab/>
        <w:t>JO L 23 du 26.1.2005, p.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98161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A3E30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BEBC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D2AD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D522F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6E244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5EC35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F8A0C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O Switzerland">
    <w15:presenceInfo w15:providerId="None" w15:userId="SECO Switzerland"/>
  </w15:person>
  <w15:person w15:author="Isabelle Niederberger SECO">
    <w15:presenceInfo w15:providerId="None" w15:userId="Isabelle Niederberger S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fullPage" w:percent="70"/>
  <w:displayBackgroundShape/>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16 10:25: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
    <w:docVar w:name="LW_ACCOMPAGNANT.CP" w:val="à la "/>
    <w:docVar w:name="LW_ANNEX_NBR_FIRST" w:val="1"/>
    <w:docVar w:name="LW_ANNEX_NBR_LAST" w:val="1"/>
    <w:docVar w:name="LW_CONFIDENCE" w:val=" "/>
    <w:docVar w:name="LW_CONST_RESTREINT_UE" w:val="RESTREINT UE"/>
    <w:docVar w:name="LW_CORRIGENDUM" w:val="&lt;UNUSED&gt;"/>
    <w:docVar w:name="LW_COVERPAGE_GUID" w:val="50FF7BB316244FEAAA75D28C728EB1FE"/>
    <w:docVar w:name="LW_CROSSREFERENCE" w:val="&lt;UNUSED&gt;"/>
    <w:docVar w:name="LW_DocType" w:val="ANNEX"/>
    <w:docVar w:name="LW_EMISSION" w:val="16.1.2017"/>
    <w:docVar w:name="LW_EMISSION_ISODATE" w:val="2017-01-16"/>
    <w:docVar w:name="LW_EMISSION_LOCATION" w:val="BRX"/>
    <w:docVar w:name="LW_EMISSION_PREFIX" w:val="Bruxelles, le "/>
    <w:docVar w:name="LW_EMISSION_SUFFIX" w:val=" "/>
    <w:docVar w:name="LW_ID_DOCSTRUCTURE" w:val="COM/ANNEX"/>
    <w:docVar w:name="LW_ID_DOCTYPE" w:val="SG-068"/>
    <w:docVar w:name="LW_LANGUE" w:val="FR"/>
    <w:docVar w:name="LW_MARKING" w:val="&lt;UNUSED&gt;"/>
    <w:docVar w:name="LW_NOM.INST" w:val="COMMISSION EUROPÉENNE"/>
    <w:docVar w:name="LW_NOM.INST_JOINTDOC" w:val="&lt;EMPTY&gt;"/>
    <w:docVar w:name="LW_OBJETACTEPRINCIPAL" w:val="approuvant, au nom de l\u8217?Union européenne, la modification des tableaux&lt;LWCR:NBS&gt;II, III et IV&lt;LWCR:NBS&gt;b) du protocole nº&lt;LWCR:NBS&gt;2 de l\u8217?accord entre la Communauté économique européenne et la Confédération suisse du 22&lt;LWCR:NBS&gt;juillet 1972 pour ce qui concerne les dispositions applicables aux produits agricoles transformés"/>
    <w:docVar w:name="LW_OBJETACTEPRINCIPAL.CP" w:val="approuvant, au nom de l\u8217?Union européenne, la modification des tableaux II, III et IV b) du protocole nº 2 de l\u8217?accord entre la Communauté économique européenne et la Confédération suisse du 22 juillet 1972 pour ce qui concerne les dispositions applicables aux produits agricoles transformés"/>
    <w:docVar w:name="LW_PART_NBR" w:val="1"/>
    <w:docVar w:name="LW_PART_NBR_TOTAL" w:val="1"/>
    <w:docVar w:name="LW_REF.INST.NEW" w:val="C"/>
    <w:docVar w:name="LW_REF.INST.NEW_ADOPTED" w:val="final"/>
    <w:docVar w:name="LW_REF.INST.NEW_TEXT" w:val="(2017) 74"/>
    <w:docVar w:name="LW_REF.INTERNE" w:val="&lt;UNUSED&gt;"/>
    <w:docVar w:name="LW_SUPERTITRE" w:val="&lt;UNUSED&gt;"/>
    <w:docVar w:name="LW_TITRE.OBJ.CP" w:val="&lt;UNUSED&gt;"/>
    <w:docVar w:name="LW_TYPE.DOC" w:val="ANNEXE"/>
    <w:docVar w:name="LW_TYPE.DOC.CP" w:val="ANNEXE"/>
    <w:docVar w:name="LW_TYPEACTEPRINCIPAL" w:val="décision de la Commission"/>
    <w:docVar w:name="LW_TYPEACTEPRINCIPAL.CP" w:val="décision de la Commis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0"/>
      <w:ind w:left="720"/>
      <w:jc w:val="left"/>
    </w:pPr>
    <w:rPr>
      <w:rFonts w:ascii="Calibri" w:eastAsiaTheme="minorEastAsia" w:hAnsi="Calibr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0"/>
      <w:ind w:left="720"/>
      <w:jc w:val="left"/>
    </w:pPr>
    <w:rPr>
      <w:rFonts w:ascii="Calibri" w:eastAsiaTheme="minorEastAsia" w:hAnsi="Calibr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796126">
      <w:bodyDiv w:val="1"/>
      <w:marLeft w:val="0"/>
      <w:marRight w:val="0"/>
      <w:marTop w:val="0"/>
      <w:marBottom w:val="0"/>
      <w:divBdr>
        <w:top w:val="none" w:sz="0" w:space="0" w:color="auto"/>
        <w:left w:val="none" w:sz="0" w:space="0" w:color="auto"/>
        <w:bottom w:val="none" w:sz="0" w:space="0" w:color="auto"/>
        <w:right w:val="none" w:sz="0" w:space="0" w:color="auto"/>
      </w:divBdr>
    </w:div>
    <w:div w:id="21145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A66F-5B50-413B-8D66-8BA82C73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1050</Words>
  <Characters>5073</Characters>
  <Application>Microsoft Office Word</Application>
  <DocSecurity>0</DocSecurity>
  <Lines>241</Lines>
  <Paragraphs>197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2016-12-16T10:03:00Z</cp:lastPrinted>
  <dcterms:created xsi:type="dcterms:W3CDTF">2017-01-06T08:52:00Z</dcterms:created>
  <dcterms:modified xsi:type="dcterms:W3CDTF">2017-01-16T09:25:00Z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Green (DQC version 03)</vt:lpwstr>
  </property>
</Properties>
</file>