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159FFECD49C942729BDB0DF19A05EAB9" style="width:450.35pt;height:438.1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Annexetitre"/>
        <w:rPr>
          <w:noProof/>
          <w:u w:val="none"/>
        </w:rPr>
      </w:pPr>
      <w:bookmarkStart w:id="0" w:name="_GoBack"/>
      <w:bookmarkEnd w:id="0"/>
      <w:r>
        <w:rPr>
          <w:noProof/>
          <w:u w:val="none"/>
        </w:rPr>
        <w:lastRenderedPageBreak/>
        <w:t>ПРИЛОЖЕНИЕ</w:t>
      </w:r>
    </w:p>
    <w:p>
      <w:pPr>
        <w:rPr>
          <w:noProof/>
        </w:rPr>
      </w:pPr>
      <w:r>
        <w:rPr>
          <w:noProof/>
        </w:rPr>
        <w:t xml:space="preserve">В приложение III, част А към Директива 2004/37/ЕО се добавят следните вписвания: </w:t>
      </w:r>
    </w:p>
    <w:p>
      <w:pPr>
        <w:rPr>
          <w:rFonts w:eastAsia="Times New Roman"/>
          <w:noProof/>
          <w:szCs w:val="24"/>
        </w:rPr>
      </w:pPr>
    </w:p>
    <w:tbl>
      <w:tblPr>
        <w:tblW w:w="10611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"/>
        <w:gridCol w:w="713"/>
        <w:gridCol w:w="2390"/>
        <w:gridCol w:w="924"/>
        <w:gridCol w:w="713"/>
        <w:gridCol w:w="958"/>
        <w:gridCol w:w="864"/>
        <w:gridCol w:w="19"/>
        <w:gridCol w:w="722"/>
        <w:gridCol w:w="14"/>
        <w:gridCol w:w="650"/>
        <w:gridCol w:w="1913"/>
      </w:tblGrid>
      <w:tr>
        <w:trPr>
          <w:trHeight w:val="1294"/>
          <w:tblHeader/>
        </w:trPr>
        <w:tc>
          <w:tcPr>
            <w:tcW w:w="750" w:type="dxa"/>
            <w:vMerge w:val="restart"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 xml:space="preserve">CAS № </w:t>
            </w:r>
            <w:r>
              <w:rPr>
                <w:noProof/>
              </w:rPr>
              <w:t>(</w:t>
            </w:r>
            <w:r>
              <w:rPr>
                <w:rStyle w:val="FootnoteReference"/>
                <w:noProof/>
              </w:rPr>
              <w:footnoteReference w:id="1"/>
            </w:r>
            <w:r>
              <w:rPr>
                <w:noProof/>
              </w:rPr>
              <w:t>)</w:t>
            </w:r>
          </w:p>
        </w:tc>
        <w:tc>
          <w:tcPr>
            <w:tcW w:w="743" w:type="dxa"/>
            <w:vMerge w:val="restart"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 xml:space="preserve">ЕО № </w:t>
            </w:r>
            <w:r>
              <w:rPr>
                <w:noProof/>
              </w:rPr>
              <w:t>(</w:t>
            </w:r>
            <w:r>
              <w:rPr>
                <w:rStyle w:val="FootnoteReference"/>
                <w:noProof/>
              </w:rPr>
              <w:footnoteReference w:id="2"/>
            </w:r>
            <w:r>
              <w:rPr>
                <w:noProof/>
              </w:rPr>
              <w:t>)</w:t>
            </w:r>
          </w:p>
        </w:tc>
        <w:tc>
          <w:tcPr>
            <w:tcW w:w="2083" w:type="dxa"/>
            <w:vMerge w:val="restart"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НАИМЕНОВАНИЕ НА АГЕНТА</w:t>
            </w:r>
          </w:p>
        </w:tc>
        <w:tc>
          <w:tcPr>
            <w:tcW w:w="4965" w:type="dxa"/>
            <w:gridSpan w:val="8"/>
          </w:tcPr>
          <w:p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ГРАНИЧНИ СТОЙНОСТИ</w:t>
            </w:r>
          </w:p>
          <w:p>
            <w:pPr>
              <w:jc w:val="center"/>
              <w:rPr>
                <w:rFonts w:eastAsia="Times New Roman"/>
                <w:noProof/>
                <w:szCs w:val="24"/>
              </w:rPr>
            </w:pPr>
          </w:p>
          <w:p>
            <w:pPr>
              <w:jc w:val="center"/>
              <w:rPr>
                <w:rFonts w:eastAsia="Times New Roman"/>
                <w:noProof/>
                <w:szCs w:val="24"/>
              </w:rPr>
            </w:pPr>
          </w:p>
          <w:p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>
            <w:pPr>
              <w:spacing w:before="0" w:after="200" w:line="276" w:lineRule="auto"/>
              <w:jc w:val="left"/>
              <w:rPr>
                <w:b/>
                <w:noProof/>
              </w:rPr>
            </w:pPr>
            <w:r>
              <w:rPr>
                <w:b/>
                <w:noProof/>
              </w:rPr>
              <w:t>ПРЕХОДНИ МЕРКИ</w:t>
            </w:r>
          </w:p>
        </w:tc>
      </w:tr>
      <w:tr>
        <w:trPr>
          <w:trHeight w:val="683"/>
          <w:tblHeader/>
        </w:trPr>
        <w:tc>
          <w:tcPr>
            <w:tcW w:w="750" w:type="dxa"/>
            <w:vMerge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</w:p>
        </w:tc>
        <w:tc>
          <w:tcPr>
            <w:tcW w:w="743" w:type="dxa"/>
            <w:vMerge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</w:p>
        </w:tc>
        <w:tc>
          <w:tcPr>
            <w:tcW w:w="2083" w:type="dxa"/>
            <w:vMerge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</w:p>
        </w:tc>
        <w:tc>
          <w:tcPr>
            <w:tcW w:w="2677" w:type="dxa"/>
            <w:gridSpan w:val="3"/>
          </w:tcPr>
          <w:p>
            <w:pPr>
              <w:rPr>
                <w:rFonts w:eastAsia="Calibri"/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 xml:space="preserve">8 часа </w:t>
            </w:r>
            <w:r>
              <w:rPr>
                <w:noProof/>
                <w:color w:val="000000"/>
                <w:sz w:val="20"/>
              </w:rPr>
              <w:t>(</w:t>
            </w:r>
            <w:r>
              <w:rPr>
                <w:rStyle w:val="FootnoteReference"/>
                <w:noProof/>
              </w:rPr>
              <w:footnoteReference w:id="3"/>
            </w:r>
            <w:r>
              <w:rPr>
                <w:noProof/>
                <w:color w:val="000000"/>
                <w:sz w:val="20"/>
              </w:rPr>
              <w:t>)</w:t>
            </w:r>
          </w:p>
          <w:p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</w:p>
        </w:tc>
        <w:tc>
          <w:tcPr>
            <w:tcW w:w="2288" w:type="dxa"/>
            <w:gridSpan w:val="5"/>
          </w:tcPr>
          <w:p>
            <w:pPr>
              <w:spacing w:before="0" w:after="200" w:line="276" w:lineRule="auto"/>
              <w:jc w:val="left"/>
              <w:rPr>
                <w:rFonts w:eastAsia="Times New Roman"/>
                <w:b/>
                <w:noProof/>
                <w:szCs w:val="24"/>
              </w:rPr>
            </w:pPr>
          </w:p>
          <w:p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  <w:color w:val="000000"/>
                <w:sz w:val="20"/>
              </w:rPr>
              <w:t xml:space="preserve">краткосрочна </w:t>
            </w:r>
            <w:r>
              <w:rPr>
                <w:noProof/>
                <w:color w:val="000000"/>
                <w:sz w:val="20"/>
              </w:rPr>
              <w:t>(</w:t>
            </w:r>
            <w:r>
              <w:rPr>
                <w:rStyle w:val="FootnoteReference"/>
                <w:noProof/>
              </w:rPr>
              <w:footnoteReference w:id="4"/>
            </w:r>
            <w:r>
              <w:rPr>
                <w:noProof/>
                <w:color w:val="000000"/>
                <w:sz w:val="20"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>
            <w:pPr>
              <w:spacing w:before="0" w:after="200" w:line="276" w:lineRule="auto"/>
              <w:jc w:val="left"/>
              <w:rPr>
                <w:noProof/>
              </w:rPr>
            </w:pPr>
          </w:p>
        </w:tc>
      </w:tr>
      <w:tr>
        <w:trPr>
          <w:trHeight w:val="137"/>
          <w:tblHeader/>
        </w:trPr>
        <w:tc>
          <w:tcPr>
            <w:tcW w:w="750" w:type="dxa"/>
            <w:vMerge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</w:p>
        </w:tc>
        <w:tc>
          <w:tcPr>
            <w:tcW w:w="743" w:type="dxa"/>
            <w:vMerge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</w:p>
        </w:tc>
        <w:tc>
          <w:tcPr>
            <w:tcW w:w="2083" w:type="dxa"/>
            <w:vMerge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</w:p>
        </w:tc>
        <w:tc>
          <w:tcPr>
            <w:tcW w:w="945" w:type="dxa"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mg/m</w:t>
            </w:r>
            <w:r>
              <w:rPr>
                <w:b/>
                <w:noProof/>
                <w:vertAlign w:val="superscript"/>
              </w:rPr>
              <w:t xml:space="preserve">3 </w:t>
            </w:r>
            <w:r>
              <w:rPr>
                <w:noProof/>
              </w:rPr>
              <w:t>(</w:t>
            </w:r>
            <w:r>
              <w:rPr>
                <w:rStyle w:val="FootnoteReference"/>
                <w:noProof/>
              </w:rPr>
              <w:footnoteReference w:id="5"/>
            </w:r>
            <w:r>
              <w:rPr>
                <w:noProof/>
              </w:rPr>
              <w:t>)</w:t>
            </w:r>
          </w:p>
        </w:tc>
        <w:tc>
          <w:tcPr>
            <w:tcW w:w="729" w:type="dxa"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 xml:space="preserve">ppm </w:t>
            </w:r>
            <w:r>
              <w:rPr>
                <w:noProof/>
              </w:rPr>
              <w:t>(</w:t>
            </w:r>
            <w:r>
              <w:rPr>
                <w:rStyle w:val="FootnoteReference"/>
                <w:noProof/>
              </w:rPr>
              <w:footnoteReference w:id="6"/>
            </w:r>
            <w:r>
              <w:rPr>
                <w:noProof/>
              </w:rPr>
              <w:t>)</w:t>
            </w:r>
          </w:p>
        </w:tc>
        <w:tc>
          <w:tcPr>
            <w:tcW w:w="1003" w:type="dxa"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f/ml</w:t>
            </w:r>
            <w:r>
              <w:rPr>
                <w:noProof/>
              </w:rPr>
              <w:t>(</w:t>
            </w:r>
            <w:r>
              <w:rPr>
                <w:rStyle w:val="FootnoteReference"/>
                <w:noProof/>
              </w:rPr>
              <w:footnoteReference w:id="7"/>
            </w:r>
            <w:r>
              <w:rPr>
                <w:noProof/>
              </w:rPr>
              <w:t>)</w:t>
            </w:r>
          </w:p>
        </w:tc>
        <w:tc>
          <w:tcPr>
            <w:tcW w:w="883" w:type="dxa"/>
            <w:gridSpan w:val="2"/>
          </w:tcPr>
          <w:p>
            <w:pPr>
              <w:spacing w:before="0" w:after="200" w:line="276" w:lineRule="auto"/>
              <w:jc w:val="left"/>
              <w:rPr>
                <w:noProof/>
              </w:rPr>
            </w:pPr>
            <w:r>
              <w:rPr>
                <w:b/>
                <w:noProof/>
              </w:rPr>
              <w:t>mg/m</w:t>
            </w:r>
            <w:r>
              <w:rPr>
                <w:b/>
                <w:noProof/>
                <w:vertAlign w:val="superscript"/>
              </w:rPr>
              <w:t>3</w:t>
            </w:r>
          </w:p>
        </w:tc>
        <w:tc>
          <w:tcPr>
            <w:tcW w:w="724" w:type="dxa"/>
          </w:tcPr>
          <w:p>
            <w:pPr>
              <w:spacing w:before="0" w:after="200" w:line="276" w:lineRule="auto"/>
              <w:jc w:val="left"/>
              <w:rPr>
                <w:noProof/>
              </w:rPr>
            </w:pPr>
            <w:r>
              <w:rPr>
                <w:b/>
                <w:noProof/>
              </w:rPr>
              <w:t>ppm</w:t>
            </w:r>
          </w:p>
        </w:tc>
        <w:tc>
          <w:tcPr>
            <w:tcW w:w="681" w:type="dxa"/>
            <w:gridSpan w:val="2"/>
          </w:tcPr>
          <w:p>
            <w:pPr>
              <w:spacing w:before="0" w:after="200" w:line="276" w:lineRule="auto"/>
              <w:jc w:val="left"/>
              <w:rPr>
                <w:noProof/>
              </w:rPr>
            </w:pPr>
            <w:r>
              <w:rPr>
                <w:b/>
                <w:noProof/>
              </w:rPr>
              <w:t>f/ml</w:t>
            </w:r>
          </w:p>
        </w:tc>
        <w:tc>
          <w:tcPr>
            <w:tcW w:w="2070" w:type="dxa"/>
            <w:shd w:val="clear" w:color="auto" w:fill="auto"/>
          </w:tcPr>
          <w:p>
            <w:pPr>
              <w:spacing w:before="0" w:after="200" w:line="276" w:lineRule="auto"/>
              <w:jc w:val="left"/>
              <w:rPr>
                <w:noProof/>
              </w:rPr>
            </w:pPr>
          </w:p>
        </w:tc>
      </w:tr>
      <w:tr>
        <w:trPr>
          <w:trHeight w:val="640"/>
        </w:trPr>
        <w:tc>
          <w:tcPr>
            <w:tcW w:w="750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79-01-6</w:t>
            </w:r>
          </w:p>
        </w:tc>
        <w:tc>
          <w:tcPr>
            <w:tcW w:w="743" w:type="dxa"/>
          </w:tcPr>
          <w:p>
            <w:pPr>
              <w:jc w:val="left"/>
              <w:rPr>
                <w:rFonts w:eastAsia="Times New Roman"/>
                <w:noProof/>
                <w:szCs w:val="24"/>
                <w:highlight w:val="yellow"/>
              </w:rPr>
            </w:pPr>
            <w:r>
              <w:rPr>
                <w:noProof/>
              </w:rPr>
              <w:t>201-167-4</w:t>
            </w:r>
          </w:p>
        </w:tc>
        <w:tc>
          <w:tcPr>
            <w:tcW w:w="2083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Трихлороетилен</w:t>
            </w:r>
          </w:p>
          <w:p>
            <w:pPr>
              <w:jc w:val="left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945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54,7</w:t>
            </w:r>
          </w:p>
        </w:tc>
        <w:tc>
          <w:tcPr>
            <w:tcW w:w="729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</w:t>
            </w:r>
          </w:p>
        </w:tc>
        <w:tc>
          <w:tcPr>
            <w:tcW w:w="1003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883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164,1</w:t>
            </w:r>
          </w:p>
        </w:tc>
        <w:tc>
          <w:tcPr>
            <w:tcW w:w="724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30</w:t>
            </w:r>
          </w:p>
        </w:tc>
        <w:tc>
          <w:tcPr>
            <w:tcW w:w="681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2070" w:type="dxa"/>
            <w:shd w:val="clear" w:color="auto" w:fill="auto"/>
          </w:tcPr>
          <w:p>
            <w:pPr>
              <w:spacing w:before="0" w:after="200" w:line="276" w:lineRule="auto"/>
              <w:jc w:val="left"/>
              <w:rPr>
                <w:noProof/>
              </w:rPr>
            </w:pPr>
          </w:p>
        </w:tc>
      </w:tr>
      <w:tr>
        <w:trPr>
          <w:trHeight w:val="458"/>
        </w:trPr>
        <w:tc>
          <w:tcPr>
            <w:tcW w:w="750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101-77-9</w:t>
            </w:r>
          </w:p>
        </w:tc>
        <w:tc>
          <w:tcPr>
            <w:tcW w:w="743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202-974-4</w:t>
            </w:r>
          </w:p>
        </w:tc>
        <w:tc>
          <w:tcPr>
            <w:tcW w:w="2083" w:type="dxa"/>
          </w:tcPr>
          <w:p>
            <w:pPr>
              <w:jc w:val="left"/>
              <w:rPr>
                <w:rFonts w:eastAsia="Times New Roman"/>
                <w:noProof/>
                <w:szCs w:val="24"/>
                <w:highlight w:val="yellow"/>
              </w:rPr>
            </w:pPr>
            <w:r>
              <w:rPr>
                <w:noProof/>
              </w:rPr>
              <w:t>4,4′-метилендианилин</w:t>
            </w:r>
          </w:p>
        </w:tc>
        <w:tc>
          <w:tcPr>
            <w:tcW w:w="945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0,08</w:t>
            </w:r>
          </w:p>
        </w:tc>
        <w:tc>
          <w:tcPr>
            <w:tcW w:w="729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1003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883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724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681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2070" w:type="dxa"/>
            <w:shd w:val="clear" w:color="auto" w:fill="auto"/>
          </w:tcPr>
          <w:p>
            <w:pPr>
              <w:spacing w:before="0" w:after="200" w:line="276" w:lineRule="auto"/>
              <w:jc w:val="left"/>
              <w:rPr>
                <w:noProof/>
              </w:rPr>
            </w:pPr>
          </w:p>
        </w:tc>
      </w:tr>
      <w:tr>
        <w:trPr>
          <w:trHeight w:val="882"/>
        </w:trPr>
        <w:tc>
          <w:tcPr>
            <w:tcW w:w="750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106-89-8</w:t>
            </w:r>
          </w:p>
        </w:tc>
        <w:tc>
          <w:tcPr>
            <w:tcW w:w="743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203-439-8</w:t>
            </w:r>
          </w:p>
        </w:tc>
        <w:tc>
          <w:tcPr>
            <w:tcW w:w="2083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Епихлорхидрин</w:t>
            </w:r>
          </w:p>
        </w:tc>
        <w:tc>
          <w:tcPr>
            <w:tcW w:w="945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 xml:space="preserve">1,9 </w:t>
            </w:r>
          </w:p>
        </w:tc>
        <w:tc>
          <w:tcPr>
            <w:tcW w:w="729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1003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883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724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681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2070" w:type="dxa"/>
            <w:shd w:val="clear" w:color="auto" w:fill="auto"/>
          </w:tcPr>
          <w:p>
            <w:pPr>
              <w:spacing w:before="0" w:after="200" w:line="276" w:lineRule="auto"/>
              <w:jc w:val="left"/>
              <w:rPr>
                <w:noProof/>
              </w:rPr>
            </w:pPr>
          </w:p>
        </w:tc>
      </w:tr>
      <w:tr>
        <w:trPr>
          <w:trHeight w:val="344"/>
        </w:trPr>
        <w:tc>
          <w:tcPr>
            <w:tcW w:w="750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106-93-4</w:t>
            </w:r>
          </w:p>
        </w:tc>
        <w:tc>
          <w:tcPr>
            <w:tcW w:w="743" w:type="dxa"/>
          </w:tcPr>
          <w:p>
            <w:pPr>
              <w:jc w:val="left"/>
              <w:rPr>
                <w:rFonts w:eastAsia="Times New Roman"/>
                <w:noProof/>
                <w:szCs w:val="24"/>
                <w:highlight w:val="yellow"/>
              </w:rPr>
            </w:pPr>
            <w:r>
              <w:rPr>
                <w:noProof/>
              </w:rPr>
              <w:t>203-444-5</w:t>
            </w:r>
          </w:p>
        </w:tc>
        <w:tc>
          <w:tcPr>
            <w:tcW w:w="2083" w:type="dxa"/>
          </w:tcPr>
          <w:p>
            <w:pPr>
              <w:jc w:val="left"/>
              <w:rPr>
                <w:rFonts w:eastAsia="Times New Roman"/>
                <w:noProof/>
                <w:szCs w:val="24"/>
                <w:highlight w:val="yellow"/>
              </w:rPr>
            </w:pPr>
            <w:r>
              <w:rPr>
                <w:noProof/>
              </w:rPr>
              <w:t>Етилен дибромид</w:t>
            </w:r>
          </w:p>
        </w:tc>
        <w:tc>
          <w:tcPr>
            <w:tcW w:w="945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 xml:space="preserve">0,8 </w:t>
            </w:r>
          </w:p>
        </w:tc>
        <w:tc>
          <w:tcPr>
            <w:tcW w:w="729" w:type="dxa"/>
          </w:tcPr>
          <w:p>
            <w:pPr>
              <w:jc w:val="left"/>
              <w:rPr>
                <w:rFonts w:eastAsia="Times New Roman"/>
                <w:noProof/>
                <w:szCs w:val="24"/>
                <w:highlight w:val="yellow"/>
              </w:rPr>
            </w:pPr>
            <w:r>
              <w:rPr>
                <w:noProof/>
              </w:rPr>
              <w:t>0,1</w:t>
            </w:r>
          </w:p>
        </w:tc>
        <w:tc>
          <w:tcPr>
            <w:tcW w:w="1003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883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724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681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2070" w:type="dxa"/>
            <w:shd w:val="clear" w:color="auto" w:fill="auto"/>
          </w:tcPr>
          <w:p>
            <w:pPr>
              <w:spacing w:before="0" w:after="200" w:line="276" w:lineRule="auto"/>
              <w:jc w:val="left"/>
              <w:rPr>
                <w:noProof/>
              </w:rPr>
            </w:pPr>
          </w:p>
        </w:tc>
      </w:tr>
      <w:tr>
        <w:trPr>
          <w:trHeight w:val="498"/>
        </w:trPr>
        <w:tc>
          <w:tcPr>
            <w:tcW w:w="750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107-06-2</w:t>
            </w:r>
          </w:p>
        </w:tc>
        <w:tc>
          <w:tcPr>
            <w:tcW w:w="743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203-458-1</w:t>
            </w:r>
          </w:p>
        </w:tc>
        <w:tc>
          <w:tcPr>
            <w:tcW w:w="2083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Етиленов дихлорид</w:t>
            </w:r>
          </w:p>
        </w:tc>
        <w:tc>
          <w:tcPr>
            <w:tcW w:w="945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 xml:space="preserve">8,2 </w:t>
            </w:r>
          </w:p>
        </w:tc>
        <w:tc>
          <w:tcPr>
            <w:tcW w:w="729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</w:t>
            </w:r>
          </w:p>
        </w:tc>
        <w:tc>
          <w:tcPr>
            <w:tcW w:w="1003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864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757" w:type="dxa"/>
            <w:gridSpan w:val="3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667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2070" w:type="dxa"/>
            <w:shd w:val="clear" w:color="auto" w:fill="auto"/>
          </w:tcPr>
          <w:p>
            <w:pPr>
              <w:spacing w:before="0" w:after="200" w:line="276" w:lineRule="auto"/>
              <w:jc w:val="left"/>
              <w:rPr>
                <w:noProof/>
              </w:rPr>
            </w:pPr>
          </w:p>
        </w:tc>
      </w:tr>
    </w:tbl>
    <w:p>
      <w:pPr>
        <w:rPr>
          <w:b/>
          <w:noProof/>
        </w:rPr>
      </w:pPr>
    </w:p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 xml:space="preserve">Колоната „Забележки“ в част А на приложение III към Директива 2004/37/ЕО и забележките, съдържащи се в тази колона, се прехвърлят в част Б на приложение III към Директива 2004/37/ЕО. </w:t>
      </w:r>
    </w:p>
    <w:p>
      <w:pPr>
        <w:rPr>
          <w:noProof/>
        </w:rPr>
      </w:pPr>
      <w:r>
        <w:rPr>
          <w:noProof/>
        </w:rPr>
        <w:t xml:space="preserve">В приложение III, част Б към Директива 2004/37/ЕО се добавят следните вписвания: </w:t>
      </w:r>
    </w:p>
    <w:p>
      <w:pPr>
        <w:pStyle w:val="Text1"/>
        <w:ind w:left="0"/>
        <w:rPr>
          <w:noProof/>
        </w:rPr>
      </w:pP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275"/>
        <w:gridCol w:w="2694"/>
        <w:gridCol w:w="1701"/>
      </w:tblGrid>
      <w:tr>
        <w:trPr>
          <w:trHeight w:val="509"/>
          <w:tblHeader/>
        </w:trPr>
        <w:tc>
          <w:tcPr>
            <w:tcW w:w="1101" w:type="dxa"/>
            <w:vMerge w:val="restart"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 xml:space="preserve">CAS № </w:t>
            </w:r>
            <w:r>
              <w:rPr>
                <w:noProof/>
              </w:rPr>
              <w:t>(</w:t>
            </w:r>
            <w:r>
              <w:rPr>
                <w:rStyle w:val="FootnoteReference"/>
                <w:noProof/>
              </w:rPr>
              <w:footnoteReference w:id="8"/>
            </w:r>
            <w:r>
              <w:rPr>
                <w:noProof/>
              </w:rPr>
              <w:t>)</w:t>
            </w:r>
          </w:p>
        </w:tc>
        <w:tc>
          <w:tcPr>
            <w:tcW w:w="1275" w:type="dxa"/>
            <w:vMerge w:val="restart"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 xml:space="preserve">ЕО № </w:t>
            </w:r>
            <w:r>
              <w:rPr>
                <w:noProof/>
              </w:rPr>
              <w:t>(</w:t>
            </w:r>
            <w:r>
              <w:rPr>
                <w:rStyle w:val="FootnoteReference"/>
                <w:noProof/>
              </w:rPr>
              <w:footnoteReference w:id="9"/>
            </w:r>
            <w:r>
              <w:rPr>
                <w:noProof/>
              </w:rPr>
              <w:t>)</w:t>
            </w:r>
          </w:p>
        </w:tc>
        <w:tc>
          <w:tcPr>
            <w:tcW w:w="2694" w:type="dxa"/>
            <w:vMerge w:val="restart"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НАИМЕНОВАНИЕ НА АГЕНТА</w:t>
            </w:r>
          </w:p>
        </w:tc>
        <w:tc>
          <w:tcPr>
            <w:tcW w:w="1701" w:type="dxa"/>
            <w:vMerge w:val="restart"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Забележки</w:t>
            </w:r>
            <w:r>
              <w:rPr>
                <w:noProof/>
              </w:rPr>
              <w:t>(</w:t>
            </w:r>
            <w:r>
              <w:rPr>
                <w:rStyle w:val="FootnoteReference"/>
                <w:noProof/>
              </w:rPr>
              <w:footnoteReference w:id="10"/>
            </w:r>
            <w:r>
              <w:rPr>
                <w:noProof/>
              </w:rPr>
              <w:t>)</w:t>
            </w:r>
          </w:p>
        </w:tc>
      </w:tr>
      <w:tr>
        <w:trPr>
          <w:trHeight w:val="525"/>
          <w:tblHeader/>
        </w:trPr>
        <w:tc>
          <w:tcPr>
            <w:tcW w:w="1101" w:type="dxa"/>
            <w:vMerge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</w:p>
        </w:tc>
        <w:tc>
          <w:tcPr>
            <w:tcW w:w="1275" w:type="dxa"/>
            <w:vMerge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</w:p>
        </w:tc>
        <w:tc>
          <w:tcPr>
            <w:tcW w:w="2694" w:type="dxa"/>
            <w:vMerge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</w:p>
        </w:tc>
        <w:tc>
          <w:tcPr>
            <w:tcW w:w="1701" w:type="dxa"/>
            <w:vMerge/>
          </w:tcPr>
          <w:p>
            <w:pPr>
              <w:rPr>
                <w:rFonts w:eastAsia="Times New Roman"/>
                <w:b/>
                <w:noProof/>
                <w:szCs w:val="24"/>
              </w:rPr>
            </w:pPr>
          </w:p>
        </w:tc>
      </w:tr>
      <w:tr>
        <w:trPr>
          <w:trHeight w:val="2091"/>
        </w:trPr>
        <w:tc>
          <w:tcPr>
            <w:tcW w:w="11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1275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2694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Смеси на многопръстенни ароматни въглеводороди, съдържащи бензо[</w:t>
            </w:r>
            <w:r>
              <w:rPr>
                <w:i/>
                <w:noProof/>
              </w:rPr>
              <w:t>a</w:t>
            </w:r>
            <w:r>
              <w:rPr>
                <w:noProof/>
              </w:rPr>
              <w:t>]пирен, които са канцерогени по смисъла на Директивата</w:t>
            </w:r>
          </w:p>
        </w:tc>
        <w:tc>
          <w:tcPr>
            <w:tcW w:w="17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 xml:space="preserve">кожа </w:t>
            </w:r>
          </w:p>
        </w:tc>
      </w:tr>
      <w:tr>
        <w:trPr>
          <w:trHeight w:val="2016"/>
        </w:trPr>
        <w:tc>
          <w:tcPr>
            <w:tcW w:w="11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1275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  <w:tc>
          <w:tcPr>
            <w:tcW w:w="2694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Масла, които са били използвани в двигатели за вътрешно горене за смазване и охлаждане на движещите се части в двигателя.</w:t>
            </w:r>
          </w:p>
        </w:tc>
        <w:tc>
          <w:tcPr>
            <w:tcW w:w="17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кожа</w:t>
            </w:r>
          </w:p>
        </w:tc>
      </w:tr>
      <w:tr>
        <w:trPr>
          <w:trHeight w:val="660"/>
        </w:trPr>
        <w:tc>
          <w:tcPr>
            <w:tcW w:w="11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71-43-2</w:t>
            </w:r>
          </w:p>
        </w:tc>
        <w:tc>
          <w:tcPr>
            <w:tcW w:w="1275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200-753-7</w:t>
            </w:r>
          </w:p>
        </w:tc>
        <w:tc>
          <w:tcPr>
            <w:tcW w:w="2694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 xml:space="preserve">Бензен </w:t>
            </w:r>
          </w:p>
        </w:tc>
        <w:tc>
          <w:tcPr>
            <w:tcW w:w="17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кожа</w:t>
            </w:r>
          </w:p>
        </w:tc>
      </w:tr>
      <w:tr>
        <w:trPr>
          <w:trHeight w:val="363"/>
        </w:trPr>
        <w:tc>
          <w:tcPr>
            <w:tcW w:w="1101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79-01-6</w:t>
            </w:r>
          </w:p>
        </w:tc>
        <w:tc>
          <w:tcPr>
            <w:tcW w:w="1275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201-167-4</w:t>
            </w:r>
          </w:p>
        </w:tc>
        <w:tc>
          <w:tcPr>
            <w:tcW w:w="2694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Трихлороетилен</w:t>
            </w:r>
          </w:p>
        </w:tc>
        <w:tc>
          <w:tcPr>
            <w:tcW w:w="17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кожа</w:t>
            </w:r>
          </w:p>
        </w:tc>
      </w:tr>
      <w:tr>
        <w:trPr>
          <w:trHeight w:val="315"/>
        </w:trPr>
        <w:tc>
          <w:tcPr>
            <w:tcW w:w="11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101-77-9</w:t>
            </w:r>
          </w:p>
        </w:tc>
        <w:tc>
          <w:tcPr>
            <w:tcW w:w="1275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202-974-4</w:t>
            </w:r>
          </w:p>
        </w:tc>
        <w:tc>
          <w:tcPr>
            <w:tcW w:w="2694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4,4′-метилендианилин</w:t>
            </w:r>
          </w:p>
        </w:tc>
        <w:tc>
          <w:tcPr>
            <w:tcW w:w="17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кожа</w:t>
            </w:r>
          </w:p>
        </w:tc>
      </w:tr>
      <w:tr>
        <w:trPr>
          <w:trHeight w:val="810"/>
        </w:trPr>
        <w:tc>
          <w:tcPr>
            <w:tcW w:w="11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106-89-8</w:t>
            </w:r>
          </w:p>
        </w:tc>
        <w:tc>
          <w:tcPr>
            <w:tcW w:w="1275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203-439-8</w:t>
            </w:r>
          </w:p>
        </w:tc>
        <w:tc>
          <w:tcPr>
            <w:tcW w:w="2694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Епихлорхидрин</w:t>
            </w:r>
          </w:p>
        </w:tc>
        <w:tc>
          <w:tcPr>
            <w:tcW w:w="17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кожа</w:t>
            </w:r>
          </w:p>
        </w:tc>
      </w:tr>
      <w:tr>
        <w:trPr>
          <w:trHeight w:val="483"/>
        </w:trPr>
        <w:tc>
          <w:tcPr>
            <w:tcW w:w="11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106-93-4</w:t>
            </w:r>
          </w:p>
        </w:tc>
        <w:tc>
          <w:tcPr>
            <w:tcW w:w="1275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203-444-5</w:t>
            </w:r>
          </w:p>
        </w:tc>
        <w:tc>
          <w:tcPr>
            <w:tcW w:w="2694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Етилен дибромид</w:t>
            </w:r>
          </w:p>
        </w:tc>
        <w:tc>
          <w:tcPr>
            <w:tcW w:w="17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кожа</w:t>
            </w:r>
          </w:p>
        </w:tc>
      </w:tr>
      <w:tr>
        <w:trPr>
          <w:trHeight w:val="435"/>
        </w:trPr>
        <w:tc>
          <w:tcPr>
            <w:tcW w:w="11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107-06-2</w:t>
            </w:r>
          </w:p>
        </w:tc>
        <w:tc>
          <w:tcPr>
            <w:tcW w:w="1275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203-458-1</w:t>
            </w:r>
          </w:p>
        </w:tc>
        <w:tc>
          <w:tcPr>
            <w:tcW w:w="2694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Етиленов дихлорид</w:t>
            </w:r>
          </w:p>
        </w:tc>
        <w:tc>
          <w:tcPr>
            <w:tcW w:w="1701" w:type="dxa"/>
          </w:tcPr>
          <w:p>
            <w:pPr>
              <w:jc w:val="left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кожа</w:t>
            </w:r>
          </w:p>
        </w:tc>
      </w:tr>
    </w:tbl>
    <w:p>
      <w:pPr>
        <w:rPr>
          <w:noProof/>
        </w:rPr>
      </w:pPr>
    </w:p>
    <w:sectPr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ind w:left="357" w:hanging="357"/>
        <w:rPr>
          <w:lang w:val="en-US"/>
        </w:rPr>
      </w:pPr>
      <w:r>
        <w:rPr>
          <w:rStyle w:val="FootnoteReference"/>
        </w:rPr>
        <w:footnoteRef/>
      </w:r>
      <w:r>
        <w:tab/>
        <w:t>CAS №: Номер в регистъра на CAS (Служба за химични индекси).</w:t>
      </w:r>
    </w:p>
  </w:footnote>
  <w:footnote w:id="2">
    <w:p>
      <w:pPr>
        <w:pStyle w:val="FootnoteText"/>
        <w:ind w:left="357" w:hanging="357"/>
        <w:rPr>
          <w:lang w:val="en-US"/>
        </w:rPr>
      </w:pPr>
      <w:r>
        <w:rPr>
          <w:rStyle w:val="FootnoteReference"/>
        </w:rPr>
        <w:footnoteRef/>
      </w:r>
      <w:r>
        <w:tab/>
        <w:t>ЕО №, т.е. EINECS, ELINCS или NLP, е официалният номер на веществото в рамките на Европейския съюз, както е определено в част 1, раздел 1.1.1.2 от приложение VI към Регламент (ЕО) № 1272/2008.</w:t>
      </w:r>
    </w:p>
  </w:footnote>
  <w:footnote w:id="3">
    <w:p>
      <w:pPr>
        <w:pStyle w:val="FootnoteText"/>
        <w:ind w:left="357" w:hanging="357"/>
      </w:pPr>
      <w:r>
        <w:rPr>
          <w:rStyle w:val="FootnoteReference"/>
        </w:rPr>
        <w:footnoteRef/>
      </w:r>
      <w:r>
        <w:tab/>
        <w:t>Измерена или изчислена претеглена във времето средна стойност (TWA) за референтен период от осем часа.</w:t>
      </w:r>
    </w:p>
  </w:footnote>
  <w:footnote w:id="4">
    <w:p>
      <w:pPr>
        <w:pStyle w:val="FootnoteText"/>
        <w:ind w:left="357" w:hanging="357"/>
      </w:pPr>
      <w:r>
        <w:rPr>
          <w:rStyle w:val="FootnoteReference"/>
        </w:rPr>
        <w:footnoteRef/>
      </w:r>
      <w:r>
        <w:tab/>
        <w:t>Краткосрочна гранична стойност на експозиция (STEL). Гранична стойност, над която не трябва да има експозиция и която се отнася за 15-минутен период, освен ако е посочено друго.</w:t>
      </w:r>
    </w:p>
  </w:footnote>
  <w:footnote w:id="5">
    <w:p>
      <w:pPr>
        <w:pStyle w:val="FootnoteText"/>
        <w:ind w:left="357" w:hanging="357"/>
      </w:pPr>
      <w:r>
        <w:rPr>
          <w:rStyle w:val="FootnoteReference"/>
        </w:rPr>
        <w:footnoteRef/>
      </w:r>
      <w:r>
        <w:tab/>
        <w:t>mg/m</w:t>
      </w:r>
      <w:r>
        <w:rPr>
          <w:vertAlign w:val="superscript"/>
        </w:rPr>
        <w:t>3</w:t>
      </w:r>
      <w:r>
        <w:t xml:space="preserve"> = милиграма на кубичен метър въздух при температура 20 °C и 101,3 kРа (760 mm живачен стълб).</w:t>
      </w:r>
    </w:p>
  </w:footnote>
  <w:footnote w:id="6">
    <w:p>
      <w:pPr>
        <w:pStyle w:val="FootnoteText"/>
        <w:ind w:left="357" w:hanging="357"/>
      </w:pPr>
      <w:r>
        <w:rPr>
          <w:rStyle w:val="FootnoteReference"/>
        </w:rPr>
        <w:footnoteRef/>
      </w:r>
      <w:r>
        <w:tab/>
        <w:t>ppm = части на милион в обем във въздуха (ml/m</w:t>
      </w:r>
      <w:r>
        <w:rPr>
          <w:vertAlign w:val="superscript"/>
        </w:rPr>
        <w:t>3</w:t>
      </w:r>
      <w:r>
        <w:t>).</w:t>
      </w:r>
    </w:p>
  </w:footnote>
  <w:footnote w:id="7">
    <w:p>
      <w:pPr>
        <w:pStyle w:val="FootnoteText"/>
        <w:ind w:left="357" w:hanging="357"/>
      </w:pPr>
      <w:r>
        <w:rPr>
          <w:rStyle w:val="FootnoteReference"/>
        </w:rPr>
        <w:footnoteRef/>
      </w:r>
      <w:r>
        <w:tab/>
        <w:t>f/ml = влакна на милилитър.</w:t>
      </w:r>
    </w:p>
  </w:footnote>
  <w:footnote w:id="8">
    <w:p>
      <w:pPr>
        <w:pStyle w:val="FootnoteText"/>
        <w:ind w:left="357" w:hanging="357"/>
      </w:pPr>
      <w:r>
        <w:rPr>
          <w:rStyle w:val="FootnoteReference"/>
        </w:rPr>
        <w:footnoteRef/>
      </w:r>
      <w:r>
        <w:tab/>
        <w:t>CAS №: Номер в регистъра на CAS (Служба за химични индекси).</w:t>
      </w:r>
    </w:p>
  </w:footnote>
  <w:footnote w:id="9">
    <w:p>
      <w:pPr>
        <w:pStyle w:val="FootnoteText"/>
        <w:ind w:left="357" w:hanging="357"/>
      </w:pPr>
      <w:r>
        <w:rPr>
          <w:rStyle w:val="FootnoteReference"/>
        </w:rPr>
        <w:footnoteRef/>
      </w:r>
      <w:r>
        <w:tab/>
        <w:t>ЕО №, т.е. EINECS, ELINCS или NLP, е официалният номер на веществото в рамките на Европейския съюз, както е определено в част 1, раздел 1.1.1.2 от приложение VI към Регламент (ЕО) № 1272/2008.</w:t>
      </w:r>
    </w:p>
  </w:footnote>
  <w:footnote w:id="10">
    <w:p>
      <w:pPr>
        <w:pStyle w:val="FootnoteText"/>
        <w:ind w:left="357" w:hanging="357"/>
      </w:pPr>
      <w:r>
        <w:rPr>
          <w:rStyle w:val="FootnoteReference"/>
        </w:rPr>
        <w:footnoteRef/>
      </w:r>
      <w:r>
        <w:tab/>
        <w:t xml:space="preserve">Възможно е да допринесе в значителна степен за общото натрупване в тялото чрез кожна експозиция.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8C6AD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DA8022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16A7FD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CE3C630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F0601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CA410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BEC9B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7BA608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 w:numId="37">
    <w:abstractNumId w:val="18"/>
  </w:num>
  <w:num w:numId="38">
    <w:abstractNumId w:val="12"/>
  </w:num>
  <w:num w:numId="39">
    <w:abstractNumId w:val="20"/>
  </w:num>
  <w:num w:numId="40">
    <w:abstractNumId w:val="11"/>
  </w:num>
  <w:num w:numId="41">
    <w:abstractNumId w:val="13"/>
  </w:num>
  <w:num w:numId="42">
    <w:abstractNumId w:val="9"/>
  </w:num>
  <w:num w:numId="43">
    <w:abstractNumId w:val="19"/>
  </w:num>
  <w:num w:numId="44">
    <w:abstractNumId w:val="8"/>
  </w:num>
  <w:num w:numId="45">
    <w:abstractNumId w:val="14"/>
  </w:num>
  <w:num w:numId="46">
    <w:abstractNumId w:val="16"/>
  </w:num>
  <w:num w:numId="47">
    <w:abstractNumId w:val="17"/>
  </w:num>
  <w:num w:numId="48">
    <w:abstractNumId w:val="10"/>
  </w:num>
  <w:num w:numId="49">
    <w:abstractNumId w:val="15"/>
  </w:num>
  <w:num w:numId="50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7-01-17 10:05:59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11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FigNum" w:val="1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159FFECD49C942729BDB0DF19A05EAB9"/>
    <w:docVar w:name="LW_CROSSREFERENCE" w:val="{SWD(2017) 7 final}_x000b_{SWD(2017) 8 final}"/>
    <w:docVar w:name="LW_DocType" w:val="ANNEX"/>
    <w:docVar w:name="LW_EMISSION" w:val="10.1.2017"/>
    <w:docVar w:name="LW_EMISSION_ISODATE" w:val="2017-01-10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79?\u1072? \u1080?\u1079?\u1084?\u1077?\u1085?\u1077?\u1085?\u1080?\u1077? \u1085?\u1072? \u1044?\u1080?\u1088?\u1077?\u1082?\u1090?\u1080?\u1074?\u1072? 2004/37/\u1045?\u1054? \u1086?\u1090?\u1085?\u1086?\u1089?\u1085?\u1086? \u1079?\u1072?\u1097?\u1080?\u1090?\u1072?\u1090?\u1072? \u1085?\u1072? \u1088?\u1072?\u1073?\u1086?\u1090?\u1085?\u1080?\u1094?\u1080?\u1090?\u1077? \u1086?\u1090? \u1088?\u1080?\u1089?\u1082?\u1086?\u1074?\u1077?, \u1089?\u1074?\u1098?\u1088?\u1079?\u1072?\u1085?\u1080? \u1089? \u1077?\u1082?\u1089?\u1087?\u1086?\u1079?\u1080?\u1094?\u1080?\u1103?\u1090?\u1072? \u1085?\u1072? \u1082?\u1072?\u1085?\u1094?\u1077?\u1088?\u1086?\u1075?\u1077?\u1085?\u1080? \u1080?\u1083?\u1080? \u1084?\u1091?\u1090?\u1072?\u1075?\u1077?\u1085?\u1080? \u1087?\u1086? \u1074?\u1088?\u1077?\u1084?\u1077? \u1085?\u1072? \u1088?\u1072?\u1073?\u1086?\u1090?\u1072?"/>
    <w:docVar w:name="LW_OBJETACTEPRINCIPAL.CP" w:val="\u1079?\u1072? \u1080?\u1079?\u1084?\u1077?\u1085?\u1077?\u1085?\u1080?\u1077? \u1085?\u1072? \u1044?\u1080?\u1088?\u1077?\u1082?\u1090?\u1080?\u1074?\u1072? 2004/37/\u1045?\u1054? \u1086?\u1090?\u1085?\u1086?\u1089?\u1085?\u1086? \u1079?\u1072?\u1097?\u1080?\u1090?\u1072?\u1090?\u1072? \u1085?\u1072? \u1088?\u1072?\u1073?\u1086?\u1090?\u1085?\u1080?\u1094?\u1080?\u1090?\u1077? \u1086?\u1090? \u1088?\u1080?\u1089?\u1082?\u1086?\u1074?\u1077?, \u1089?\u1074?\u1098?\u1088?\u1079?\u1072?\u1085?\u1080? \u1089? \u1077?\u1082?\u1089?\u1087?\u1086?\u1079?\u1080?\u1094?\u1080?\u1103?\u1090?\u1072? \u1085?\u1072? \u1082?\u1072?\u1085?\u1094?\u1077?\u1088?\u1086?\u1075?\u1077?\u1085?\u1080? \u1080?\u1083?\u1080? \u1084?\u1091?\u1090?\u1072?\u1075?\u1077?\u1085?\u1080? \u1087?\u1086? \u1074?\u1088?\u1077?\u1084?\u1077? \u1085?\u1072? \u1088?\u1072?\u1073?\u1086?\u1090?\u1072?"/>
    <w:docVar w:name="LW_PART_NBR" w:val="1"/>
    <w:docVar w:name="LW_PART_NBR_TOTAL" w:val="1"/>
    <w:docVar w:name="LW_REF.INST.NEW" w:val="COM"/>
    <w:docVar w:name="LW_REF.INST.NEW_ADOPTED" w:val="final"/>
    <w:docVar w:name="LW_REF.INST.NEW_TEXT" w:val="(2017) 11"/>
    <w:docVar w:name="LW_REF.INTERNE" w:val="&lt;UNUSED&gt;"/>
    <w:docVar w:name="LW_SUPERTITRE" w:val="&lt;UNUSED&gt;"/>
    <w:docVar w:name="LW_TITRE.OBJ.CP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5?\u1088?\u1077?\u1076?\u1083?\u1086?\u1078?\u1077?\u1085?\u1080?\u1077? \u1079?\u1072? _x000b_\u1044?\u1048?\u1056?\u1045?\u1050?\u1058?\u1048?\u1042?\u1040? \u1053?\u1040? \u1045?\u1042?\u1056?\u1054?\u1055?\u1045?\u1049?\u1057?\u1050?\u1048?\u1071? \u1055?\u1040?\u1056?\u1051?\u1040?\u1052?\u1045?\u1053?\u1058? \u1048? \u1053?\u1040? \u1057?\u1066?\u1042?\u1045?\u1058?\u1040?"/>
    <w:docVar w:name="LW_TYPEACTEPRINCIPAL.CP" w:val="\u1055?\u1088?\u1077?\u1076?\u1083?\u1086?\u1078?\u1077?\u1085?\u1080?\u1077? \u1079?\u1072? _x000b_\u1044?\u1048?\u1056?\u1045?\u1050?\u1058?\u1048?\u1042?\u1040? \u1053?\u1040? \u1045?\u1042?\u1056?\u1054?\u1055?\u1045?\u1049?\u1057?\u1050?\u1048?\u1071? \u1055?\u1040?\u1056?\u1051?\u1040?\u1052?\u1045?\u1053?\u1058? \u1048? \u1053?\u1040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tabs>
        <w:tab w:val="clear" w:pos="643"/>
        <w:tab w:val="num" w:pos="360"/>
      </w:tabs>
      <w:ind w:left="0"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tabs>
        <w:tab w:val="clear" w:pos="643"/>
        <w:tab w:val="num" w:pos="360"/>
      </w:tabs>
      <w:ind w:left="0"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1319-109E-4696-8E01-03D1C179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4</Pages>
  <Words>220</Words>
  <Characters>1144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SUBHAN Marie Olga (EMPL)</dc:creator>
  <cp:lastModifiedBy>DIGIT/A3</cp:lastModifiedBy>
  <cp:revision>8</cp:revision>
  <cp:lastPrinted>2017-01-03T12:08:00Z</cp:lastPrinted>
  <dcterms:created xsi:type="dcterms:W3CDTF">2017-01-13T13:11:00Z</dcterms:created>
  <dcterms:modified xsi:type="dcterms:W3CDTF">2017-01-17T09:05:00Z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