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A3BFA9F2E424001B5F53A4AE4FE1658" style="width:450.8pt;height:451.9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ANNEXE</w:t>
      </w:r>
    </w:p>
    <w:p>
      <w:pPr>
        <w:rPr>
          <w:noProof/>
        </w:rPr>
      </w:pPr>
      <w:r>
        <w:rPr>
          <w:noProof/>
        </w:rPr>
        <w:t xml:space="preserve">À l’annexe III, partie A, de la directive 2004/37/CE, les lignes suivantes sont ajoutées: </w:t>
      </w:r>
    </w:p>
    <w:p>
      <w:pPr>
        <w:rPr>
          <w:rFonts w:eastAsia="Times New Roman"/>
          <w:noProof/>
          <w:szCs w:val="24"/>
        </w:rPr>
      </w:pPr>
    </w:p>
    <w:tbl>
      <w:tblPr>
        <w:tblW w:w="10611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056"/>
        <w:gridCol w:w="2190"/>
        <w:gridCol w:w="883"/>
        <w:gridCol w:w="683"/>
        <w:gridCol w:w="870"/>
        <w:gridCol w:w="864"/>
        <w:gridCol w:w="19"/>
        <w:gridCol w:w="683"/>
        <w:gridCol w:w="13"/>
        <w:gridCol w:w="617"/>
        <w:gridCol w:w="2030"/>
      </w:tblGrid>
      <w:tr>
        <w:trPr>
          <w:trHeight w:val="1294"/>
          <w:tblHeader/>
        </w:trPr>
        <w:tc>
          <w:tcPr>
            <w:tcW w:w="750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Numéro CAS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1"/>
            </w:r>
            <w:r>
              <w:rPr>
                <w:noProof/>
              </w:rPr>
              <w:t>)</w:t>
            </w:r>
          </w:p>
        </w:tc>
        <w:tc>
          <w:tcPr>
            <w:tcW w:w="743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Numéro CE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2"/>
            </w:r>
            <w:r>
              <w:rPr>
                <w:noProof/>
              </w:rPr>
              <w:t>)</w:t>
            </w:r>
          </w:p>
        </w:tc>
        <w:tc>
          <w:tcPr>
            <w:tcW w:w="2083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DÉNOMINATION</w:t>
            </w:r>
          </w:p>
        </w:tc>
        <w:tc>
          <w:tcPr>
            <w:tcW w:w="4965" w:type="dxa"/>
            <w:gridSpan w:val="8"/>
          </w:tcPr>
          <w:p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VALEURS LIMITES</w:t>
            </w:r>
          </w:p>
          <w:p>
            <w:pPr>
              <w:jc w:val="center"/>
              <w:rPr>
                <w:rFonts w:eastAsia="Times New Roman"/>
                <w:noProof/>
                <w:szCs w:val="24"/>
              </w:rPr>
            </w:pPr>
          </w:p>
          <w:p>
            <w:pPr>
              <w:jc w:val="center"/>
              <w:rPr>
                <w:rFonts w:eastAsia="Times New Roman"/>
                <w:noProof/>
                <w:szCs w:val="24"/>
              </w:rPr>
            </w:pPr>
          </w:p>
          <w:p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MESURES TRANSITOIRES</w:t>
            </w:r>
          </w:p>
        </w:tc>
      </w:tr>
      <w:tr>
        <w:trPr>
          <w:trHeight w:val="683"/>
          <w:tblHeader/>
        </w:trPr>
        <w:tc>
          <w:tcPr>
            <w:tcW w:w="750" w:type="dxa"/>
            <w:vMerge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743" w:type="dxa"/>
            <w:vMerge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2083" w:type="dxa"/>
            <w:vMerge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2677" w:type="dxa"/>
            <w:gridSpan w:val="3"/>
          </w:tcPr>
          <w:p>
            <w:pPr>
              <w:rPr>
                <w:rFonts w:eastAsia="Calibri"/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 xml:space="preserve">8 heures </w:t>
            </w:r>
            <w:r>
              <w:rPr>
                <w:noProof/>
                <w:color w:val="000000"/>
                <w:sz w:val="20"/>
              </w:rPr>
              <w:t>(</w:t>
            </w:r>
            <w:r>
              <w:rPr>
                <w:rStyle w:val="FootnoteReference"/>
                <w:noProof/>
              </w:rPr>
              <w:footnoteReference w:id="3"/>
            </w:r>
            <w:r>
              <w:rPr>
                <w:noProof/>
                <w:color w:val="000000"/>
                <w:sz w:val="20"/>
              </w:rPr>
              <w:t>)</w:t>
            </w:r>
          </w:p>
          <w:p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2288" w:type="dxa"/>
            <w:gridSpan w:val="5"/>
          </w:tcPr>
          <w:p>
            <w:pPr>
              <w:spacing w:before="0" w:after="200" w:line="276" w:lineRule="auto"/>
              <w:jc w:val="left"/>
              <w:rPr>
                <w:rFonts w:eastAsia="Times New Roman"/>
                <w:b/>
                <w:noProof/>
                <w:szCs w:val="24"/>
              </w:rPr>
            </w:pPr>
          </w:p>
          <w:p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  <w:color w:val="000000"/>
                <w:sz w:val="20"/>
              </w:rPr>
              <w:t>Courte durée</w:t>
            </w:r>
            <w:r>
              <w:rPr>
                <w:noProof/>
                <w:color w:val="000000"/>
                <w:sz w:val="20"/>
              </w:rPr>
              <w:t>(</w:t>
            </w:r>
            <w:r>
              <w:rPr>
                <w:rStyle w:val="FootnoteReference"/>
                <w:noProof/>
              </w:rPr>
              <w:footnoteReference w:id="4"/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rPr>
          <w:trHeight w:val="137"/>
          <w:tblHeader/>
        </w:trPr>
        <w:tc>
          <w:tcPr>
            <w:tcW w:w="750" w:type="dxa"/>
            <w:vMerge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743" w:type="dxa"/>
            <w:vMerge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2083" w:type="dxa"/>
            <w:vMerge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945" w:type="dxa"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mg/m</w:t>
            </w:r>
            <w:r>
              <w:rPr>
                <w:b/>
                <w:noProof/>
                <w:vertAlign w:val="superscript"/>
              </w:rPr>
              <w:t xml:space="preserve">3 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5"/>
            </w:r>
            <w:r>
              <w:rPr>
                <w:noProof/>
              </w:rPr>
              <w:t>)</w:t>
            </w:r>
          </w:p>
        </w:tc>
        <w:tc>
          <w:tcPr>
            <w:tcW w:w="729" w:type="dxa"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ppm 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6"/>
            </w:r>
            <w:r>
              <w:rPr>
                <w:noProof/>
              </w:rPr>
              <w:t>)</w:t>
            </w:r>
          </w:p>
        </w:tc>
        <w:tc>
          <w:tcPr>
            <w:tcW w:w="1003" w:type="dxa"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f/ml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7"/>
            </w:r>
            <w:r>
              <w:rPr>
                <w:noProof/>
              </w:rPr>
              <w:t>)</w:t>
            </w:r>
          </w:p>
        </w:tc>
        <w:tc>
          <w:tcPr>
            <w:tcW w:w="883" w:type="dxa"/>
            <w:gridSpan w:val="2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b/>
                <w:noProof/>
              </w:rPr>
              <w:t>mg/m</w:t>
            </w:r>
            <w:r>
              <w:rPr>
                <w:b/>
                <w:noProof/>
                <w:vertAlign w:val="superscript"/>
              </w:rPr>
              <w:t xml:space="preserve">3 </w:t>
            </w:r>
          </w:p>
        </w:tc>
        <w:tc>
          <w:tcPr>
            <w:tcW w:w="724" w:type="dxa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b/>
                <w:noProof/>
              </w:rPr>
              <w:t>ppm</w:t>
            </w:r>
          </w:p>
        </w:tc>
        <w:tc>
          <w:tcPr>
            <w:tcW w:w="681" w:type="dxa"/>
            <w:gridSpan w:val="2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  <w:r>
              <w:rPr>
                <w:b/>
                <w:noProof/>
              </w:rPr>
              <w:t>f/ml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rPr>
          <w:trHeight w:val="640"/>
        </w:trPr>
        <w:tc>
          <w:tcPr>
            <w:tcW w:w="750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79-01-6</w:t>
            </w:r>
          </w:p>
        </w:tc>
        <w:tc>
          <w:tcPr>
            <w:tcW w:w="743" w:type="dxa"/>
          </w:tcPr>
          <w:p>
            <w:pPr>
              <w:jc w:val="left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201-167-4</w:t>
            </w:r>
          </w:p>
        </w:tc>
        <w:tc>
          <w:tcPr>
            <w:tcW w:w="208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Trichloroéthylène</w:t>
            </w:r>
          </w:p>
          <w:p>
            <w:pPr>
              <w:jc w:val="left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54,7</w:t>
            </w:r>
          </w:p>
        </w:tc>
        <w:tc>
          <w:tcPr>
            <w:tcW w:w="729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</w:t>
            </w:r>
          </w:p>
        </w:tc>
        <w:tc>
          <w:tcPr>
            <w:tcW w:w="100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883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164,1</w:t>
            </w:r>
          </w:p>
        </w:tc>
        <w:tc>
          <w:tcPr>
            <w:tcW w:w="724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30</w:t>
            </w:r>
          </w:p>
        </w:tc>
        <w:tc>
          <w:tcPr>
            <w:tcW w:w="681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rPr>
          <w:trHeight w:val="458"/>
        </w:trPr>
        <w:tc>
          <w:tcPr>
            <w:tcW w:w="75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101-77-9</w:t>
            </w:r>
          </w:p>
        </w:tc>
        <w:tc>
          <w:tcPr>
            <w:tcW w:w="74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202-974-4</w:t>
            </w:r>
          </w:p>
        </w:tc>
        <w:tc>
          <w:tcPr>
            <w:tcW w:w="2083" w:type="dxa"/>
          </w:tcPr>
          <w:p>
            <w:pPr>
              <w:jc w:val="left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4,4′-Méthylènedianiline</w:t>
            </w:r>
          </w:p>
        </w:tc>
        <w:tc>
          <w:tcPr>
            <w:tcW w:w="945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0,08</w:t>
            </w:r>
          </w:p>
        </w:tc>
        <w:tc>
          <w:tcPr>
            <w:tcW w:w="729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100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883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724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681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rPr>
          <w:trHeight w:val="882"/>
        </w:trPr>
        <w:tc>
          <w:tcPr>
            <w:tcW w:w="75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106-89-8</w:t>
            </w:r>
          </w:p>
        </w:tc>
        <w:tc>
          <w:tcPr>
            <w:tcW w:w="74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203-439-8</w:t>
            </w:r>
          </w:p>
        </w:tc>
        <w:tc>
          <w:tcPr>
            <w:tcW w:w="208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Épichlorhydrine</w:t>
            </w:r>
          </w:p>
        </w:tc>
        <w:tc>
          <w:tcPr>
            <w:tcW w:w="945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1,9 </w:t>
            </w:r>
          </w:p>
        </w:tc>
        <w:tc>
          <w:tcPr>
            <w:tcW w:w="729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100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883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724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681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rPr>
          <w:trHeight w:val="344"/>
        </w:trPr>
        <w:tc>
          <w:tcPr>
            <w:tcW w:w="75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106-93-4</w:t>
            </w:r>
          </w:p>
        </w:tc>
        <w:tc>
          <w:tcPr>
            <w:tcW w:w="743" w:type="dxa"/>
          </w:tcPr>
          <w:p>
            <w:pPr>
              <w:jc w:val="left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203-444-5</w:t>
            </w:r>
          </w:p>
        </w:tc>
        <w:tc>
          <w:tcPr>
            <w:tcW w:w="2083" w:type="dxa"/>
          </w:tcPr>
          <w:p>
            <w:pPr>
              <w:jc w:val="left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Dibromure d’éthylène</w:t>
            </w:r>
          </w:p>
        </w:tc>
        <w:tc>
          <w:tcPr>
            <w:tcW w:w="945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0,8 </w:t>
            </w:r>
          </w:p>
        </w:tc>
        <w:tc>
          <w:tcPr>
            <w:tcW w:w="729" w:type="dxa"/>
          </w:tcPr>
          <w:p>
            <w:pPr>
              <w:jc w:val="left"/>
              <w:rPr>
                <w:rFonts w:eastAsia="Times New Roman"/>
                <w:noProof/>
                <w:szCs w:val="24"/>
                <w:highlight w:val="yellow"/>
              </w:rPr>
            </w:pPr>
            <w:r>
              <w:rPr>
                <w:noProof/>
              </w:rPr>
              <w:t>0,1</w:t>
            </w:r>
          </w:p>
        </w:tc>
        <w:tc>
          <w:tcPr>
            <w:tcW w:w="100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883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724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681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  <w:tr>
        <w:trPr>
          <w:trHeight w:val="498"/>
        </w:trPr>
        <w:tc>
          <w:tcPr>
            <w:tcW w:w="75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107-06-2</w:t>
            </w:r>
          </w:p>
        </w:tc>
        <w:tc>
          <w:tcPr>
            <w:tcW w:w="74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203-458-1</w:t>
            </w:r>
          </w:p>
        </w:tc>
        <w:tc>
          <w:tcPr>
            <w:tcW w:w="208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Dichlorure d’éthylène</w:t>
            </w:r>
          </w:p>
        </w:tc>
        <w:tc>
          <w:tcPr>
            <w:tcW w:w="945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8,2 </w:t>
            </w:r>
          </w:p>
        </w:tc>
        <w:tc>
          <w:tcPr>
            <w:tcW w:w="729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100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864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757" w:type="dxa"/>
            <w:gridSpan w:val="3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667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before="0" w:after="200" w:line="276" w:lineRule="auto"/>
              <w:jc w:val="left"/>
              <w:rPr>
                <w:noProof/>
              </w:rPr>
            </w:pPr>
          </w:p>
        </w:tc>
      </w:tr>
    </w:tbl>
    <w:p>
      <w:pPr>
        <w:rPr>
          <w:b/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La colonne «Observations» et les observations qu’elle contient sont transférées de la partie A de l’annexe III de la directive 2004/37/CE à la partie B de ladite annexe. </w:t>
      </w:r>
    </w:p>
    <w:p>
      <w:pPr>
        <w:rPr>
          <w:noProof/>
        </w:rPr>
      </w:pPr>
      <w:r>
        <w:rPr>
          <w:noProof/>
        </w:rPr>
        <w:t xml:space="preserve">À l’annexe III, partie B, de la directive 2004/37/CE, les lignes suivantes sont ajoutées: </w:t>
      </w:r>
    </w:p>
    <w:p>
      <w:pPr>
        <w:pStyle w:val="Text1"/>
        <w:ind w:left="0"/>
        <w:rPr>
          <w:noProof/>
        </w:rPr>
      </w:pPr>
    </w:p>
    <w:tbl>
      <w:tblPr>
        <w:tblW w:w="6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"/>
        <w:gridCol w:w="1064"/>
        <w:gridCol w:w="2193"/>
        <w:gridCol w:w="1896"/>
      </w:tblGrid>
      <w:tr>
        <w:trPr>
          <w:trHeight w:val="509"/>
          <w:tblHeader/>
        </w:trPr>
        <w:tc>
          <w:tcPr>
            <w:tcW w:w="1173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Numéro CAS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8"/>
            </w:r>
            <w:r>
              <w:rPr>
                <w:noProof/>
              </w:rPr>
              <w:t>)</w:t>
            </w:r>
          </w:p>
        </w:tc>
        <w:tc>
          <w:tcPr>
            <w:tcW w:w="1315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Numéro CE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9"/>
            </w:r>
            <w:r>
              <w:rPr>
                <w:noProof/>
              </w:rPr>
              <w:t>)</w:t>
            </w:r>
          </w:p>
        </w:tc>
        <w:tc>
          <w:tcPr>
            <w:tcW w:w="2294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DÉNOMINATION</w:t>
            </w:r>
          </w:p>
        </w:tc>
        <w:tc>
          <w:tcPr>
            <w:tcW w:w="1430" w:type="dxa"/>
            <w:vMerge w:val="restart"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Observations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10"/>
            </w:r>
            <w:r>
              <w:rPr>
                <w:noProof/>
              </w:rPr>
              <w:t>)</w:t>
            </w:r>
          </w:p>
        </w:tc>
      </w:tr>
      <w:tr>
        <w:trPr>
          <w:trHeight w:val="525"/>
          <w:tblHeader/>
        </w:trPr>
        <w:tc>
          <w:tcPr>
            <w:tcW w:w="1173" w:type="dxa"/>
            <w:vMerge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1315" w:type="dxa"/>
            <w:vMerge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2294" w:type="dxa"/>
            <w:vMerge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</w:p>
        </w:tc>
        <w:tc>
          <w:tcPr>
            <w:tcW w:w="1430" w:type="dxa"/>
            <w:vMerge/>
          </w:tcPr>
          <w:p>
            <w:pPr>
              <w:rPr>
                <w:rFonts w:eastAsia="Times New Roman"/>
                <w:b/>
                <w:noProof/>
                <w:szCs w:val="24"/>
              </w:rPr>
            </w:pPr>
          </w:p>
        </w:tc>
      </w:tr>
      <w:tr>
        <w:trPr>
          <w:trHeight w:val="2091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Mélanges d’hydrocarbures aromatiques polycycliques contenant du benzo[</w:t>
            </w:r>
            <w:r>
              <w:rPr>
                <w:i/>
                <w:noProof/>
              </w:rPr>
              <w:t>a</w:t>
            </w:r>
            <w:r>
              <w:rPr>
                <w:noProof/>
              </w:rPr>
              <w:t>]pyrène qui sont cancérigènes au sens de la directive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Peau </w:t>
            </w:r>
          </w:p>
        </w:tc>
      </w:tr>
      <w:tr>
        <w:trPr>
          <w:trHeight w:val="2016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_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Huiles qui ont été auparavant utilisées dans des moteurs à combustion interne pour lubrifier et refroidir les pièces mobiles du moteur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Peau</w:t>
            </w:r>
          </w:p>
        </w:tc>
      </w:tr>
      <w:tr>
        <w:trPr>
          <w:trHeight w:val="660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71-43-2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200-753-7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Benzène 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Peau</w:t>
            </w:r>
          </w:p>
        </w:tc>
      </w:tr>
      <w:tr>
        <w:trPr>
          <w:trHeight w:val="363"/>
        </w:trPr>
        <w:tc>
          <w:tcPr>
            <w:tcW w:w="117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79-01-6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201-167-4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Trichloroéthylène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Peau</w:t>
            </w:r>
          </w:p>
        </w:tc>
      </w:tr>
      <w:tr>
        <w:trPr>
          <w:trHeight w:val="315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101-77-9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202-974-4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4,4′-Méthylènedianiline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Peau</w:t>
            </w:r>
          </w:p>
        </w:tc>
      </w:tr>
      <w:tr>
        <w:trPr>
          <w:trHeight w:val="810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106-89-8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203-439-8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Épichlorhydrine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Peau</w:t>
            </w:r>
          </w:p>
        </w:tc>
      </w:tr>
      <w:tr>
        <w:trPr>
          <w:trHeight w:val="483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106-93-4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203-444-5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Dibromure d’éthylène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Peau</w:t>
            </w:r>
          </w:p>
        </w:tc>
      </w:tr>
      <w:tr>
        <w:trPr>
          <w:trHeight w:val="435"/>
        </w:trPr>
        <w:tc>
          <w:tcPr>
            <w:tcW w:w="1173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107-06-2</w:t>
            </w:r>
          </w:p>
        </w:tc>
        <w:tc>
          <w:tcPr>
            <w:tcW w:w="1315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203-458-1</w:t>
            </w:r>
          </w:p>
        </w:tc>
        <w:tc>
          <w:tcPr>
            <w:tcW w:w="2294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Dichlorure d’éthylène</w:t>
            </w:r>
          </w:p>
        </w:tc>
        <w:tc>
          <w:tcPr>
            <w:tcW w:w="1430" w:type="dxa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Peau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>Le numéro CAS est le numéro de registre du «Chemical Abstracts Service» (service des résumés analytiques de chimie).</w:t>
      </w:r>
    </w:p>
  </w:footnote>
  <w:footnote w:id="2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>Le numéro CE, à savoir EINECS, ELINCS ou NLP, est le numéro officiel de la substance dans l’Union européenne aux termes de l’annexe VI, partie 1, point 1.1.1.2, du règlement (CE) nº 1272/2008.</w:t>
      </w:r>
    </w:p>
  </w:footnote>
  <w:footnote w:id="3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>Mesurées ou calculées par rapport à une période de référence de huit heures en moyenne pondérée dans le temps.</w:t>
      </w:r>
    </w:p>
  </w:footnote>
  <w:footnote w:id="4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>Limite d’exposition de courte durée: valeur limite que l’exposition ne devrait pas dépasser et qui se rapporte à une période de 15 minutes, sauf indication contraire.</w:t>
      </w:r>
    </w:p>
  </w:footnote>
  <w:footnote w:id="5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>mg/m</w:t>
      </w:r>
      <w:r>
        <w:rPr>
          <w:vertAlign w:val="superscript"/>
        </w:rPr>
        <w:t>3</w:t>
      </w:r>
      <w:r>
        <w:t xml:space="preserve"> = milligrammes par mètre cube d’air à 20 °C et 101,3 kPa (760 mm de pression de mercure).</w:t>
      </w:r>
    </w:p>
  </w:footnote>
  <w:footnote w:id="6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>ppm = parties par million en volume dans l’air (ml/m</w:t>
      </w:r>
      <w:r>
        <w:rPr>
          <w:vertAlign w:val="superscript"/>
        </w:rPr>
        <w:t>3</w:t>
      </w:r>
      <w:r>
        <w:t>).</w:t>
      </w:r>
    </w:p>
  </w:footnote>
  <w:footnote w:id="7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>f/ml = fibres par millilitre.</w:t>
      </w:r>
    </w:p>
  </w:footnote>
  <w:footnote w:id="8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>Le numéro CAS est le numéro de registre du «Chemical Abstracts Service» (service des résumés analytiques de chimie).</w:t>
      </w:r>
    </w:p>
  </w:footnote>
  <w:footnote w:id="9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>Le numéro CE, à savoir EINECS, ELINCS ou NLP, est le numéro officiel de la substance dans l’Union européenne aux termes de l’annexe VI, partie 1, point 1.1.1.2, du règlement (CE) nº 1272/2008.</w:t>
      </w:r>
    </w:p>
  </w:footnote>
  <w:footnote w:id="10">
    <w:p>
      <w:pPr>
        <w:pStyle w:val="FootnoteText"/>
        <w:ind w:left="357" w:hanging="357"/>
      </w:pPr>
      <w:r>
        <w:rPr>
          <w:rStyle w:val="FootnoteReference"/>
        </w:rPr>
        <w:footnoteRef/>
      </w:r>
      <w:r>
        <w:tab/>
        <w:t xml:space="preserve">Une pénétration cutanée importante contribuant à la charge corporelle globale est possible.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8C6AD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A8022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16A7F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E3C63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0601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CA410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BEC9B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BA608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1-09 17:21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FigNum" w:val="1"/>
    <w:docVar w:name="LW_ACCOMPAGNANT" w:val="à la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A3BFA9F2E424001B5F53A4AE4FE1658"/>
    <w:docVar w:name="LW_CROSSREFERENCE" w:val="{SWD(2017) 7 final}_x000b_{SWD(2017) 8 final}"/>
    <w:docVar w:name="LW_DocType" w:val="ANNEX"/>
    <w:docVar w:name="LW_EMISSION" w:val="10.1.2017"/>
    <w:docVar w:name="LW_EMISSION_ISODATE" w:val="2017-01-10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portant modification de la directive 2004/37/CE concernant la protection des travailleurs contre les risques liés à l\u8217?exposition à des agents cancérigènes ou mutagènes au travail"/>
    <w:docVar w:name="LW_OBJETACTEPRINCIPAL.CP" w:val="portant modification de la directive 2004/37/CE concernant la protection des travailleurs contre les risques liés à l\u8217?exposition à des agents cancérigènes ou mutagènes au travail"/>
    <w:docVar w:name="LW_PART_NBR" w:val="1"/>
    <w:docVar w:name="LW_PART_NBR_TOTAL" w:val="1"/>
    <w:docVar w:name="LW_REF.INST.NEW" w:val="COM"/>
    <w:docVar w:name="LW_REF.INST.NEW_ADOPTED" w:val="final"/>
    <w:docVar w:name="LW_REF.INST.NEW_TEXT" w:val="(2017) 11"/>
    <w:docVar w:name="LW_REF.INTERNE" w:val="&lt;UNUSED&gt;"/>
    <w:docVar w:name="LW_SUPERTITRE" w:val="&lt;UNUSED&gt;"/>
    <w:docVar w:name="LW_TITRE.OBJ.CP" w:val="&lt;UNUSED&gt;"/>
    <w:docVar w:name="LW_TYPE.DOC" w:val="ANNEXE"/>
    <w:docVar w:name="LW_TYPE.DOC.CP" w:val="ANNEXE"/>
    <w:docVar w:name="LW_TYPEACTEPRINCIPAL" w:val="proposition de_x000b_DIRECTIVE DU PARLEMENT EUROPÉEN ET DU CONSEIL_x000b_"/>
    <w:docVar w:name="LW_TYPEACTEPRINCIPAL.CP" w:val="proposition de_x000b_DIRECTIVE DU PARLEMENT EUROPÉEN ET D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EC3E-0D44-458B-B5CB-DBDCFEF2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218</Words>
  <Characters>1209</Characters>
  <Application>Microsoft Office Word</Application>
  <DocSecurity>0</DocSecurity>
  <Lines>201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SUBHAN Marie Olga (EMPL)</dc:creator>
  <cp:lastModifiedBy>DIGIT/A3</cp:lastModifiedBy>
  <cp:revision>8</cp:revision>
  <cp:lastPrinted>2017-01-03T12:08:00Z</cp:lastPrinted>
  <dcterms:created xsi:type="dcterms:W3CDTF">2017-01-09T14:17:00Z</dcterms:created>
  <dcterms:modified xsi:type="dcterms:W3CDTF">2017-01-09T16:21:00Z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