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C9" w:rsidRDefault="00394B9F">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989BBB60F144950B2523B913DE6589C" style="width:450.75pt;height:334.5pt">
            <v:imagedata r:id="rId9" o:title=""/>
          </v:shape>
        </w:pict>
      </w:r>
    </w:p>
    <w:bookmarkEnd w:id="0"/>
    <w:p w:rsidR="00D64FC9" w:rsidRDefault="00D64FC9">
      <w:pPr>
        <w:rPr>
          <w:noProof/>
          <w:lang w:val="en-GB"/>
        </w:rPr>
        <w:sectPr w:rsidR="00D64FC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D64FC9" w:rsidRDefault="00D64FC9">
      <w:pPr>
        <w:pStyle w:val="Pagedecouverture"/>
        <w:rPr>
          <w:noProof/>
          <w:lang w:val="en-GB"/>
        </w:rPr>
      </w:pPr>
    </w:p>
    <w:p w:rsidR="00D64FC9" w:rsidRDefault="00394B9F">
      <w:pPr>
        <w:pStyle w:val="Heading1"/>
        <w:jc w:val="center"/>
        <w:rPr>
          <w:smallCaps w:val="0"/>
          <w:noProof/>
          <w:lang w:val="en-GB"/>
        </w:rPr>
      </w:pPr>
      <w:r>
        <w:rPr>
          <w:smallCaps w:val="0"/>
          <w:noProof/>
          <w:lang w:val="en-GB"/>
        </w:rPr>
        <w:t>Report from the Commission to the European Parliament and the Council</w:t>
      </w:r>
    </w:p>
    <w:p w:rsidR="00D64FC9" w:rsidRDefault="00394B9F">
      <w:pPr>
        <w:pStyle w:val="Heading1"/>
        <w:jc w:val="center"/>
        <w:rPr>
          <w:smallCaps w:val="0"/>
          <w:noProof/>
          <w:lang w:val="en-GB"/>
        </w:rPr>
      </w:pPr>
      <w:r>
        <w:rPr>
          <w:smallCaps w:val="0"/>
          <w:noProof/>
          <w:lang w:val="en-GB"/>
        </w:rPr>
        <w:t>assessing Member States’ monitoring programmes under the Marine Strategy Framework Directive (2008/56/EC)</w:t>
      </w:r>
    </w:p>
    <w:p w:rsidR="00D64FC9" w:rsidRDefault="00D64FC9">
      <w:pPr>
        <w:pStyle w:val="CorpsA"/>
        <w:jc w:val="center"/>
        <w:rPr>
          <w:rFonts w:eastAsia="Times New Roman"/>
          <w:b/>
          <w:bCs/>
          <w:noProof/>
          <w:lang w:val="en-GB"/>
        </w:rPr>
      </w:pPr>
    </w:p>
    <w:p w:rsidR="00D64FC9" w:rsidRDefault="00394B9F">
      <w:pPr>
        <w:pStyle w:val="Heading1"/>
        <w:rPr>
          <w:noProof/>
          <w:lang w:val="en-GB"/>
        </w:rPr>
      </w:pPr>
      <w:r>
        <w:rPr>
          <w:noProof/>
          <w:lang w:val="en-GB"/>
        </w:rPr>
        <w:t xml:space="preserve">1. Introduction </w:t>
      </w:r>
    </w:p>
    <w:p w:rsidR="00D64FC9" w:rsidRDefault="00394B9F">
      <w:pPr>
        <w:pStyle w:val="CorpsA"/>
        <w:rPr>
          <w:noProof/>
          <w:lang w:val="en-GB"/>
        </w:rPr>
      </w:pPr>
      <w:r>
        <w:rPr>
          <w:noProof/>
          <w:lang w:val="en-GB"/>
        </w:rPr>
        <w:t>The EU Marine Strategy Framework Directive</w:t>
      </w:r>
      <w:r>
        <w:rPr>
          <w:rStyle w:val="FootnoteReference"/>
          <w:noProof/>
        </w:rPr>
        <w:footnoteReference w:id="2"/>
      </w:r>
      <w:r>
        <w:rPr>
          <w:noProof/>
          <w:lang w:val="en-GB"/>
        </w:rPr>
        <w:t xml:space="preserve"> (MSFD) provides a framework in which Member States must take the necessary measures to achieve or maintain 'good environmental status' in all of the EU’s marine waters by 2020. Achieving this objective means that the EU’s seas are clean, healthy and produ</w:t>
      </w:r>
      <w:r>
        <w:rPr>
          <w:noProof/>
          <w:lang w:val="en-GB"/>
        </w:rPr>
        <w:t>ctive and the use of the marine environment is sustainable. The MSFD includes eleven qualitative "descriptors"</w:t>
      </w:r>
      <w:r>
        <w:rPr>
          <w:rStyle w:val="FootnoteReference"/>
          <w:noProof/>
        </w:rPr>
        <w:footnoteReference w:id="3"/>
      </w:r>
      <w:r>
        <w:rPr>
          <w:noProof/>
          <w:lang w:val="en-GB"/>
        </w:rPr>
        <w:t xml:space="preserve"> describing</w:t>
      </w:r>
      <w:r>
        <w:rPr>
          <w:noProof/>
          <w:lang w:val="en"/>
        </w:rPr>
        <w:t xml:space="preserve"> what the environment should look like when good environmental status has been achieved. </w:t>
      </w:r>
      <w:r>
        <w:rPr>
          <w:noProof/>
          <w:lang w:val="en-GB"/>
        </w:rPr>
        <w:t>Commission Decision 2010/477/EU on criteria a</w:t>
      </w:r>
      <w:r>
        <w:rPr>
          <w:noProof/>
          <w:lang w:val="en-GB"/>
        </w:rPr>
        <w:t>nd methodological standards on good environmental status of marine waters</w:t>
      </w:r>
      <w:r>
        <w:rPr>
          <w:rStyle w:val="FootnoteReference"/>
          <w:noProof/>
          <w:lang w:val="en-GB"/>
        </w:rPr>
        <w:footnoteReference w:id="4"/>
      </w:r>
      <w:r>
        <w:rPr>
          <w:noProof/>
          <w:lang w:val="en-GB"/>
        </w:rPr>
        <w:t xml:space="preserve"> guides Member States on how this objective is to be achieved. </w:t>
      </w:r>
    </w:p>
    <w:p w:rsidR="00D64FC9" w:rsidRDefault="00394B9F">
      <w:pPr>
        <w:pStyle w:val="CorpsA"/>
        <w:rPr>
          <w:noProof/>
          <w:lang w:val="en-GB"/>
        </w:rPr>
      </w:pPr>
      <w:r>
        <w:rPr>
          <w:noProof/>
          <w:lang w:val="en-GB"/>
        </w:rPr>
        <w:t xml:space="preserve">In practice, Member States are required to develop and implement marine strategies. These include: </w:t>
      </w:r>
    </w:p>
    <w:p w:rsidR="00D64FC9" w:rsidRDefault="00394B9F">
      <w:pPr>
        <w:pStyle w:val="MBT"/>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sz w:val="24"/>
          <w:lang w:val="en-GB"/>
        </w:rPr>
      </w:pPr>
      <w:r>
        <w:rPr>
          <w:noProof/>
          <w:sz w:val="24"/>
          <w:lang w:val="en-GB"/>
        </w:rPr>
        <w:t>an initial assessm</w:t>
      </w:r>
      <w:r>
        <w:rPr>
          <w:noProof/>
          <w:sz w:val="24"/>
          <w:lang w:val="en-GB"/>
        </w:rPr>
        <w:t>ent of their marine waters,</w:t>
      </w:r>
    </w:p>
    <w:p w:rsidR="00D64FC9" w:rsidRDefault="00394B9F">
      <w:pPr>
        <w:pStyle w:val="MBT"/>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sz w:val="24"/>
          <w:lang w:val="en-GB"/>
        </w:rPr>
      </w:pPr>
      <w:r>
        <w:rPr>
          <w:noProof/>
          <w:sz w:val="24"/>
          <w:lang w:val="en-GB"/>
        </w:rPr>
        <w:t>the determination of the good environmental status of their marine waters,</w:t>
      </w:r>
    </w:p>
    <w:p w:rsidR="00D64FC9" w:rsidRDefault="00394B9F">
      <w:pPr>
        <w:pStyle w:val="MBT"/>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sz w:val="24"/>
          <w:lang w:val="en-GB"/>
        </w:rPr>
      </w:pPr>
      <w:r>
        <w:rPr>
          <w:noProof/>
          <w:sz w:val="24"/>
          <w:lang w:val="en-GB"/>
        </w:rPr>
        <w:t>the setting of environmental targets,</w:t>
      </w:r>
    </w:p>
    <w:p w:rsidR="00D64FC9" w:rsidRDefault="00394B9F">
      <w:pPr>
        <w:pStyle w:val="MBT"/>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sz w:val="24"/>
          <w:lang w:val="en-GB"/>
        </w:rPr>
      </w:pPr>
      <w:r>
        <w:rPr>
          <w:noProof/>
          <w:sz w:val="24"/>
          <w:lang w:val="en-GB"/>
        </w:rPr>
        <w:t xml:space="preserve">the establishment and implementation of coordinated monitoring programmes, and </w:t>
      </w:r>
    </w:p>
    <w:p w:rsidR="00D64FC9" w:rsidRDefault="00394B9F">
      <w:pPr>
        <w:pStyle w:val="MBT"/>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sz w:val="24"/>
          <w:lang w:val="en-GB"/>
        </w:rPr>
      </w:pPr>
      <w:r>
        <w:rPr>
          <w:noProof/>
          <w:sz w:val="24"/>
          <w:lang w:val="en-GB"/>
        </w:rPr>
        <w:t>the identification of measures or a</w:t>
      </w:r>
      <w:r>
        <w:rPr>
          <w:noProof/>
          <w:sz w:val="24"/>
          <w:lang w:val="en-GB"/>
        </w:rPr>
        <w:t xml:space="preserve">ctions that need to be taken in order to achieve or maintain good environmental status. </w:t>
      </w:r>
    </w:p>
    <w:p w:rsidR="00D64FC9" w:rsidRDefault="00394B9F">
      <w:pPr>
        <w:pStyle w:val="CorpsA"/>
        <w:rPr>
          <w:noProof/>
          <w:lang w:val="en-GB"/>
        </w:rPr>
      </w:pPr>
      <w:r>
        <w:rPr>
          <w:noProof/>
          <w:lang w:val="en-GB"/>
        </w:rPr>
        <w:t>The Commission has to assess whether these different elements meet the requirements of the Directive for each Member State. When necessary, the Commission can also ask</w:t>
      </w:r>
      <w:r>
        <w:rPr>
          <w:noProof/>
          <w:lang w:val="en-GB"/>
        </w:rPr>
        <w:t xml:space="preserve"> for additional information and provide guidance on any changes needed.</w:t>
      </w:r>
    </w:p>
    <w:p w:rsidR="00D64FC9" w:rsidRDefault="00394B9F">
      <w:pPr>
        <w:pStyle w:val="CorpsA"/>
        <w:rPr>
          <w:noProof/>
          <w:lang w:val="en-GB"/>
        </w:rPr>
      </w:pPr>
      <w:r>
        <w:rPr>
          <w:noProof/>
          <w:lang w:val="en-GB"/>
        </w:rPr>
        <w:t>Member States reported in 2012 after the first implementation phase covering the initial assessment, the determination of good environmental status and the identification of environmen</w:t>
      </w:r>
      <w:r>
        <w:rPr>
          <w:noProof/>
          <w:lang w:val="en-GB"/>
        </w:rPr>
        <w:t>tal targets. The Commission published an assessment</w:t>
      </w:r>
      <w:r>
        <w:rPr>
          <w:rStyle w:val="FootnoteReference"/>
          <w:noProof/>
        </w:rPr>
        <w:footnoteReference w:id="5"/>
      </w:r>
      <w:r>
        <w:rPr>
          <w:noProof/>
          <w:lang w:val="en-GB"/>
        </w:rPr>
        <w:t xml:space="preserve"> of these elements, concluding that Member States showed limited ambition in setting environmental targets. This assessment also highlighted a lack of coherence and consistency in implementation across ma</w:t>
      </w:r>
      <w:r>
        <w:rPr>
          <w:noProof/>
          <w:lang w:val="en-GB"/>
        </w:rPr>
        <w:t>rine sub-regions a</w:t>
      </w:r>
      <w:bookmarkStart w:id="1" w:name="_GoBack"/>
      <w:bookmarkEnd w:id="1"/>
      <w:r>
        <w:rPr>
          <w:noProof/>
          <w:lang w:val="en-GB"/>
        </w:rPr>
        <w:t>nd marine regions.</w:t>
      </w:r>
    </w:p>
    <w:p w:rsidR="00D64FC9" w:rsidRDefault="00394B9F">
      <w:pPr>
        <w:pStyle w:val="CorpsA"/>
        <w:rPr>
          <w:noProof/>
          <w:lang w:val="en-GB"/>
        </w:rPr>
      </w:pPr>
      <w:r>
        <w:rPr>
          <w:noProof/>
          <w:lang w:val="en-GB"/>
        </w:rPr>
        <w:lastRenderedPageBreak/>
        <w:t>In the next stage of implementation, Member States were required to establish and implement monitoring programmes by July 2014</w:t>
      </w:r>
      <w:r>
        <w:rPr>
          <w:rStyle w:val="FootnoteReference"/>
          <w:noProof/>
          <w:lang w:val="en-GB"/>
        </w:rPr>
        <w:footnoteReference w:id="6"/>
      </w:r>
      <w:r>
        <w:rPr>
          <w:noProof/>
          <w:lang w:val="en-GB"/>
        </w:rPr>
        <w:t xml:space="preserve"> and to notify them to the Commission within three months of their establishment. The monito</w:t>
      </w:r>
      <w:r>
        <w:rPr>
          <w:noProof/>
          <w:lang w:val="en-GB"/>
        </w:rPr>
        <w:t>ring programmes aim to assess the environmental status of marine waters and progress towards the achievement of environmental targets.</w:t>
      </w:r>
    </w:p>
    <w:p w:rsidR="00D64FC9" w:rsidRDefault="00394B9F">
      <w:pPr>
        <w:pStyle w:val="CorpsA"/>
        <w:rPr>
          <w:noProof/>
          <w:lang w:val="en-GB"/>
        </w:rPr>
      </w:pPr>
      <w:r>
        <w:rPr>
          <w:noProof/>
          <w:lang w:val="en-GB"/>
        </w:rPr>
        <w:t>Twenty Member States</w:t>
      </w:r>
      <w:r>
        <w:rPr>
          <w:rStyle w:val="FootnoteReference"/>
          <w:noProof/>
        </w:rPr>
        <w:footnoteReference w:id="7"/>
      </w:r>
      <w:r>
        <w:rPr>
          <w:noProof/>
          <w:lang w:val="en-GB"/>
        </w:rPr>
        <w:t xml:space="preserve"> reported their monitoring programmes to the Commission in time</w:t>
      </w:r>
      <w:r>
        <w:rPr>
          <w:rStyle w:val="FootnoteReference"/>
          <w:noProof/>
          <w:lang w:val="en-GB"/>
        </w:rPr>
        <w:footnoteReference w:id="8"/>
      </w:r>
      <w:r>
        <w:rPr>
          <w:noProof/>
          <w:lang w:val="en-GB"/>
        </w:rPr>
        <w:t xml:space="preserve"> for this evaluation: Belgium, Bulga</w:t>
      </w:r>
      <w:r>
        <w:rPr>
          <w:noProof/>
          <w:lang w:val="en-GB"/>
        </w:rPr>
        <w:t>ria, Denmark, Estonia, Germany, Ireland, Spain, France, Croatia, Italy, Cyprus, Latvia, Lithuania, Netherlands, Portugal, Romania, Slovenia, Finland, Sweden and the United Kingdom.</w:t>
      </w:r>
      <w:r>
        <w:rPr>
          <w:rStyle w:val="FootnoteReference"/>
          <w:noProof/>
        </w:rPr>
        <w:footnoteReference w:id="9"/>
      </w:r>
      <w:r>
        <w:rPr>
          <w:noProof/>
          <w:lang w:val="en-GB"/>
        </w:rPr>
        <w:t xml:space="preserve"> Three Member States (Malta, Greece and Poland) had not yet submitted their</w:t>
      </w:r>
      <w:r>
        <w:rPr>
          <w:noProof/>
          <w:lang w:val="en-GB"/>
        </w:rPr>
        <w:t xml:space="preserve"> reports.</w:t>
      </w:r>
      <w:r>
        <w:rPr>
          <w:rStyle w:val="FootnoteReference"/>
          <w:noProof/>
        </w:rPr>
        <w:footnoteReference w:id="10"/>
      </w:r>
      <w:r>
        <w:rPr>
          <w:noProof/>
          <w:lang w:val="en-GB"/>
        </w:rPr>
        <w:t xml:space="preserve"> </w:t>
      </w:r>
    </w:p>
    <w:p w:rsidR="00D64FC9" w:rsidRDefault="00394B9F">
      <w:pPr>
        <w:pStyle w:val="CorpsA"/>
        <w:rPr>
          <w:noProof/>
          <w:lang w:val="en-GB"/>
        </w:rPr>
      </w:pPr>
      <w:r>
        <w:rPr>
          <w:noProof/>
          <w:lang w:val="en-GB"/>
        </w:rPr>
        <w:t>This report complements the 2014 Commission report and aims to set out Member States’ progress towards more consistent and coherent implementation of the MSFD in order to achieve good environmental status in the EU's marine waters by 2020.</w:t>
      </w:r>
    </w:p>
    <w:p w:rsidR="00D64FC9" w:rsidRDefault="00394B9F">
      <w:pPr>
        <w:pStyle w:val="CorpsA"/>
        <w:rPr>
          <w:noProof/>
          <w:lang w:val="en-GB"/>
        </w:rPr>
      </w:pPr>
      <w:r>
        <w:rPr>
          <w:noProof/>
          <w:lang w:val="en-GB"/>
        </w:rPr>
        <w:t xml:space="preserve">The </w:t>
      </w:r>
      <w:r>
        <w:rPr>
          <w:noProof/>
          <w:lang w:val="en-GB"/>
        </w:rPr>
        <w:t xml:space="preserve">Commission presents its assessment of the monitoring programmes submitted by the Member States listed above. The report assesses the consistency and appropriateness of each Member State’s monitoring programme, as well as looking at regional coherence. The </w:t>
      </w:r>
      <w:r>
        <w:rPr>
          <w:noProof/>
          <w:lang w:val="en-GB"/>
        </w:rPr>
        <w:t>report also provides guidance on any changes the Commission considers necessary.</w:t>
      </w:r>
    </w:p>
    <w:p w:rsidR="00D64FC9" w:rsidRDefault="00394B9F">
      <w:pPr>
        <w:pStyle w:val="CorpsA"/>
        <w:rPr>
          <w:noProof/>
          <w:lang w:val="en-GB"/>
        </w:rPr>
      </w:pPr>
      <w:r>
        <w:rPr>
          <w:noProof/>
          <w:lang w:val="en-GB"/>
        </w:rPr>
        <w:t>The first part of the report analyses Member States’ monitoring programmes in relation to their determination of good environmental status and associated environmental targets</w:t>
      </w:r>
      <w:r>
        <w:rPr>
          <w:noProof/>
          <w:lang w:val="en-GB"/>
        </w:rPr>
        <w:t>. The second part considers further steps on monitoring to be taken at national and EU level to achieve and maintain good environmental status of the EU’s marine waters by 2020.</w:t>
      </w:r>
    </w:p>
    <w:p w:rsidR="00D64FC9" w:rsidRDefault="00394B9F">
      <w:pPr>
        <w:pStyle w:val="CorpsA"/>
        <w:rPr>
          <w:noProof/>
          <w:lang w:val="en-GB"/>
        </w:rPr>
      </w:pPr>
      <w:r>
        <w:rPr>
          <w:noProof/>
          <w:lang w:val="en-GB"/>
        </w:rPr>
        <w:t>The accompanying staff working document</w:t>
      </w:r>
      <w:r>
        <w:rPr>
          <w:rStyle w:val="FootnoteReference"/>
          <w:noProof/>
          <w:lang w:val="en-GB"/>
        </w:rPr>
        <w:footnoteReference w:id="11"/>
      </w:r>
      <w:r>
        <w:rPr>
          <w:noProof/>
          <w:lang w:val="en-GB"/>
        </w:rPr>
        <w:t xml:space="preserve"> to this report contains a detailed an</w:t>
      </w:r>
      <w:r>
        <w:rPr>
          <w:noProof/>
          <w:lang w:val="en-GB"/>
        </w:rPr>
        <w:t>alysis of each Member State’s monitoring programme in light of the eleven qualitative descriptors in the MSFD, as well as providing specific guidance to each Member State.</w:t>
      </w:r>
    </w:p>
    <w:p w:rsidR="00D64FC9" w:rsidRDefault="00394B9F">
      <w:pPr>
        <w:pStyle w:val="CorpsA"/>
        <w:rPr>
          <w:noProof/>
          <w:lang w:val="en-GB"/>
        </w:rPr>
      </w:pPr>
      <w:r>
        <w:rPr>
          <w:noProof/>
          <w:lang w:val="en-GB"/>
        </w:rPr>
        <w:t>The accompanying staff working document also includes an assessment of some elements</w:t>
      </w:r>
      <w:r>
        <w:rPr>
          <w:noProof/>
          <w:lang w:val="en-GB"/>
        </w:rPr>
        <w:t xml:space="preserve"> reported under the first implementation phase of the MSFD for those Member States having reported late –  Bulgaria, Croatia, Malta, the Macaronesia sub-region of Portugal (Azores and Madeira) and the Western Mediterranean sub-region for the United Kingdom</w:t>
      </w:r>
      <w:r>
        <w:rPr>
          <w:noProof/>
          <w:lang w:val="en-GB"/>
        </w:rPr>
        <w:t xml:space="preserve"> (the waters surrounding Gibraltar).</w:t>
      </w:r>
      <w:r>
        <w:rPr>
          <w:rStyle w:val="FootnoteReference"/>
          <w:noProof/>
        </w:rPr>
        <w:footnoteReference w:id="12"/>
      </w:r>
    </w:p>
    <w:p w:rsidR="00D64FC9" w:rsidRDefault="00D64FC9">
      <w:pPr>
        <w:pStyle w:val="Heading1"/>
        <w:rPr>
          <w:noProof/>
          <w:lang w:val="en-GB"/>
        </w:rPr>
      </w:pPr>
    </w:p>
    <w:p w:rsidR="00D64FC9" w:rsidRDefault="00394B9F">
      <w:pPr>
        <w:pStyle w:val="Heading1"/>
        <w:rPr>
          <w:rFonts w:eastAsia="Times New Roman"/>
          <w:noProof/>
          <w:lang w:val="en-GB"/>
        </w:rPr>
      </w:pPr>
      <w:r>
        <w:rPr>
          <w:noProof/>
          <w:lang w:val="en-GB"/>
        </w:rPr>
        <w:t>2. Main findings</w:t>
      </w:r>
    </w:p>
    <w:p w:rsidR="00D64FC9" w:rsidRDefault="00394B9F">
      <w:pPr>
        <w:pStyle w:val="CorpsA"/>
        <w:rPr>
          <w:rFonts w:eastAsia="Times New Roman"/>
          <w:noProof/>
          <w:lang w:val="en-GB"/>
        </w:rPr>
      </w:pPr>
      <w:r>
        <w:rPr>
          <w:noProof/>
          <w:lang w:val="en-GB"/>
        </w:rPr>
        <w:t>In order to assess if Member State monitoring programmes constitute an appropriate framework to meet the requirements of the MSFD, the programmes were assessed by considering their purpose, spatial sc</w:t>
      </w:r>
      <w:r>
        <w:rPr>
          <w:noProof/>
          <w:lang w:val="en-GB"/>
        </w:rPr>
        <w:t xml:space="preserve">ope, coverage of descriptor categories and environmental targets, implementation timeline, adequacy in relation to the obligations of the MSFD and other relevant legislation, and regional coherence. </w:t>
      </w:r>
    </w:p>
    <w:p w:rsidR="00D64FC9" w:rsidRDefault="00394B9F">
      <w:pPr>
        <w:pStyle w:val="CorpsA"/>
        <w:rPr>
          <w:noProof/>
          <w:lang w:val="en-GB"/>
        </w:rPr>
      </w:pPr>
      <w:r>
        <w:rPr>
          <w:bCs/>
          <w:noProof/>
          <w:lang w:val="en-GB"/>
        </w:rPr>
        <w:t>The twenty Member States reported o</w:t>
      </w:r>
      <w:r>
        <w:rPr>
          <w:noProof/>
          <w:lang w:val="en-GB"/>
        </w:rPr>
        <w:t>ver 200</w:t>
      </w:r>
      <w:r>
        <w:rPr>
          <w:bCs/>
          <w:noProof/>
          <w:lang w:val="en-GB"/>
        </w:rPr>
        <w:t xml:space="preserve"> monitoring pr</w:t>
      </w:r>
      <w:r>
        <w:rPr>
          <w:bCs/>
          <w:noProof/>
          <w:lang w:val="en-GB"/>
        </w:rPr>
        <w:t>ogrammes, including nearly 1 000 sub-programmes.</w:t>
      </w:r>
    </w:p>
    <w:p w:rsidR="00D64FC9" w:rsidRDefault="00394B9F">
      <w:pPr>
        <w:pStyle w:val="CorpsA"/>
        <w:rPr>
          <w:rFonts w:eastAsia="Times New Roman"/>
          <w:b/>
          <w:noProof/>
          <w:lang w:val="en-GB"/>
        </w:rPr>
      </w:pPr>
      <w:r>
        <w:rPr>
          <w:rFonts w:eastAsia="Times New Roman"/>
          <w:b/>
          <w:noProof/>
          <w:lang w:val="en-GB"/>
        </w:rPr>
        <w:t>Purpose</w:t>
      </w:r>
    </w:p>
    <w:p w:rsidR="00D64FC9" w:rsidRDefault="00394B9F">
      <w:pPr>
        <w:pStyle w:val="CorpsA"/>
        <w:rPr>
          <w:noProof/>
          <w:lang w:val="en-GB"/>
        </w:rPr>
      </w:pPr>
      <w:r>
        <w:rPr>
          <w:noProof/>
          <w:lang w:val="en-GB"/>
        </w:rPr>
        <w:t>As shown in Figure 1 the majority of monitoring activities (73 %) are focused on assessing the environmental state of Member States’ marine waters and impact</w:t>
      </w:r>
      <w:r>
        <w:rPr>
          <w:noProof/>
        </w:rPr>
        <w:t>s from human activities</w:t>
      </w:r>
      <w:r>
        <w:rPr>
          <w:noProof/>
          <w:lang w:val="en-GB"/>
        </w:rPr>
        <w:t>. 41 % of activitie</w:t>
      </w:r>
      <w:r>
        <w:rPr>
          <w:noProof/>
          <w:lang w:val="en-GB"/>
        </w:rPr>
        <w:t>s are related to monitoring pressures from human activity (e.g. presence of suspended particulate matter in the water column decreasing water transparency or nutrient enrichment causing eutrophication; or marine litter accumulated on beaches), 19 % focus o</w:t>
      </w:r>
      <w:r>
        <w:rPr>
          <w:noProof/>
          <w:lang w:val="en-GB"/>
        </w:rPr>
        <w:t>n human activities causing the pressure (e.g. dredging activities in ports, or agricultural activities and urban waste water discharges, or inappropriate solid waste management), while only 12 % focus on the effectiveness of measures to mitigate these pres</w:t>
      </w:r>
      <w:r>
        <w:rPr>
          <w:noProof/>
          <w:lang w:val="en-GB"/>
        </w:rPr>
        <w:t>sures and their impact (e.g. effects of measures to reduce nutrient loss, or to improve solid waste management). This lack of emphasis on assessing measures can be partly explained by the fact that Member States were not required to have their measures ope</w:t>
      </w:r>
      <w:r>
        <w:rPr>
          <w:noProof/>
          <w:lang w:val="en-GB"/>
        </w:rPr>
        <w:t xml:space="preserve">rational before the end of 2016 (Article 5(2) of the MSFD). </w:t>
      </w:r>
    </w:p>
    <w:p w:rsidR="00D64FC9" w:rsidRDefault="00394B9F">
      <w:pPr>
        <w:pStyle w:val="CorpsA"/>
        <w:rPr>
          <w:noProof/>
        </w:rPr>
      </w:pPr>
      <w:r>
        <w:rPr>
          <w:noProof/>
        </w:rPr>
        <w:t>As there is overlap between programmes and their function, the sum of the different monitoring activities is greater than 100 %.</w:t>
      </w:r>
    </w:p>
    <w:p w:rsidR="00D64FC9" w:rsidRDefault="00D64FC9">
      <w:pPr>
        <w:pStyle w:val="CorpsA"/>
        <w:rPr>
          <w:rFonts w:ascii="Calibri" w:eastAsia="Calibri" w:hAnsi="Calibri" w:cs="Calibri"/>
          <w:b/>
          <w:bCs/>
          <w:noProof/>
          <w:lang w:val="en-GB"/>
        </w:rPr>
      </w:pPr>
    </w:p>
    <w:p w:rsidR="00D64FC9" w:rsidRDefault="00394B9F">
      <w:pPr>
        <w:pStyle w:val="FootnoteText"/>
        <w:spacing w:after="200"/>
        <w:jc w:val="center"/>
        <w:rPr>
          <w:noProof/>
          <w:sz w:val="24"/>
          <w:szCs w:val="24"/>
          <w:lang w:val="en-GB"/>
        </w:rPr>
      </w:pPr>
      <w:r>
        <w:rPr>
          <w:noProof/>
          <w:lang w:val="en-GB"/>
        </w:rPr>
        <w:drawing>
          <wp:inline distT="0" distB="0" distL="0" distR="0">
            <wp:extent cx="4114800" cy="38113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21227" cy="3817308"/>
                    </a:xfrm>
                    <a:prstGeom prst="rect">
                      <a:avLst/>
                    </a:prstGeom>
                    <a:noFill/>
                    <a:ln>
                      <a:noFill/>
                    </a:ln>
                  </pic:spPr>
                </pic:pic>
              </a:graphicData>
            </a:graphic>
          </wp:inline>
        </w:drawing>
      </w:r>
    </w:p>
    <w:p w:rsidR="00D64FC9" w:rsidRDefault="00394B9F">
      <w:pPr>
        <w:pStyle w:val="FootnoteText"/>
        <w:spacing w:after="200"/>
        <w:rPr>
          <w:b/>
          <w:bCs/>
          <w:noProof/>
          <w:lang w:val="en-GB"/>
        </w:rPr>
      </w:pPr>
      <w:r>
        <w:rPr>
          <w:b/>
          <w:bCs/>
          <w:noProof/>
          <w:lang w:val="en-GB"/>
        </w:rPr>
        <w:t>Figure 1: Purpose of monitoring of Member States</w:t>
      </w:r>
      <w:r>
        <w:rPr>
          <w:rStyle w:val="FootnoteReference"/>
          <w:noProof/>
        </w:rPr>
        <w:footnoteReference w:id="13"/>
      </w:r>
    </w:p>
    <w:p w:rsidR="00D64FC9" w:rsidRDefault="00394B9F">
      <w:pPr>
        <w:pStyle w:val="CorpsA"/>
        <w:rPr>
          <w:noProof/>
          <w:lang w:val="en-GB"/>
        </w:rPr>
      </w:pPr>
      <w:r>
        <w:rPr>
          <w:noProof/>
          <w:lang w:val="en-GB"/>
        </w:rPr>
        <w:t xml:space="preserve">The </w:t>
      </w:r>
      <w:r>
        <w:rPr>
          <w:noProof/>
          <w:lang w:val="en-GB"/>
        </w:rPr>
        <w:t>monitoring of biodiversity (Descriptors 1, 4 and 6) accounts for 41 % of the effort.</w:t>
      </w:r>
      <w:r>
        <w:rPr>
          <w:rStyle w:val="FootnoteReference"/>
          <w:noProof/>
          <w:lang w:val="en-GB"/>
        </w:rPr>
        <w:footnoteReference w:id="14"/>
      </w:r>
      <w:r>
        <w:rPr>
          <w:noProof/>
          <w:lang w:val="en-GB"/>
        </w:rPr>
        <w:t xml:space="preserve"> The focus on biodiversity could be explained by the work already being done on monitoring to implement other EU legislation, such as the Birds Directive,</w:t>
      </w:r>
      <w:r>
        <w:rPr>
          <w:rStyle w:val="FootnoteReference"/>
          <w:noProof/>
        </w:rPr>
        <w:footnoteReference w:id="15"/>
      </w:r>
      <w:r>
        <w:rPr>
          <w:noProof/>
          <w:lang w:val="en-GB"/>
        </w:rPr>
        <w:t xml:space="preserve"> the Habitats Di</w:t>
      </w:r>
      <w:r>
        <w:rPr>
          <w:noProof/>
          <w:lang w:val="en-GB"/>
        </w:rPr>
        <w:t>rective,</w:t>
      </w:r>
      <w:r>
        <w:rPr>
          <w:rStyle w:val="FootnoteReference"/>
          <w:noProof/>
        </w:rPr>
        <w:footnoteReference w:id="16"/>
      </w:r>
      <w:r>
        <w:rPr>
          <w:noProof/>
          <w:lang w:val="en-GB"/>
        </w:rPr>
        <w:t xml:space="preserve"> the Water Framework Directive,</w:t>
      </w:r>
      <w:r>
        <w:rPr>
          <w:rStyle w:val="FootnoteReference"/>
          <w:noProof/>
        </w:rPr>
        <w:footnoteReference w:id="17"/>
      </w:r>
      <w:r>
        <w:rPr>
          <w:noProof/>
          <w:lang w:val="en-GB"/>
        </w:rPr>
        <w:t xml:space="preserve"> the Bathing Water Directive,</w:t>
      </w:r>
      <w:r>
        <w:rPr>
          <w:rStyle w:val="FootnoteReference"/>
          <w:noProof/>
        </w:rPr>
        <w:footnoteReference w:id="18"/>
      </w:r>
      <w:r>
        <w:rPr>
          <w:noProof/>
          <w:lang w:val="en-GB"/>
        </w:rPr>
        <w:t xml:space="preserve"> the Nitrates Directive</w:t>
      </w:r>
      <w:r>
        <w:rPr>
          <w:rStyle w:val="FootnoteReference"/>
          <w:noProof/>
        </w:rPr>
        <w:footnoteReference w:id="19"/>
      </w:r>
      <w:r>
        <w:rPr>
          <w:noProof/>
          <w:lang w:val="en-GB"/>
        </w:rPr>
        <w:t xml:space="preserve"> and the Common Fisheries Policy Regulation.</w:t>
      </w:r>
      <w:r>
        <w:rPr>
          <w:rStyle w:val="FootnoteReference"/>
          <w:noProof/>
          <w:lang w:val="en-GB"/>
        </w:rPr>
        <w:footnoteReference w:id="20"/>
      </w:r>
      <w:r>
        <w:rPr>
          <w:noProof/>
          <w:lang w:val="en-GB"/>
        </w:rPr>
        <w:t xml:space="preserve"> These include monitoring requirements directly linked with the MSFD descriptors. For instance, under the Birds Dire</w:t>
      </w:r>
      <w:r>
        <w:rPr>
          <w:noProof/>
          <w:lang w:val="en-GB"/>
        </w:rPr>
        <w:t>ctive, Member States have to take into account trends and variations in populations of wild bird species that benefit from special conservation measures. Member States' monitoring of the population, size and abundance of sea birds therefore serve requireme</w:t>
      </w:r>
      <w:r>
        <w:rPr>
          <w:noProof/>
          <w:lang w:val="en-GB"/>
        </w:rPr>
        <w:t>nts stemming from both the Birds Directive and MSFD.</w:t>
      </w:r>
    </w:p>
    <w:p w:rsidR="00D64FC9" w:rsidRDefault="00394B9F">
      <w:pPr>
        <w:pStyle w:val="CorpsA"/>
        <w:rPr>
          <w:noProof/>
          <w:lang w:val="en-GB"/>
        </w:rPr>
      </w:pPr>
      <w:r>
        <w:rPr>
          <w:noProof/>
          <w:lang w:val="en-GB"/>
        </w:rPr>
        <w:t>59 % of the monitoring activities are linked with the remaining eight descriptors, with relatively limited monitoring of energy including underwater noise</w:t>
      </w:r>
      <w:r>
        <w:rPr>
          <w:rStyle w:val="FootnoteReference"/>
          <w:noProof/>
        </w:rPr>
        <w:footnoteReference w:id="21"/>
      </w:r>
      <w:r>
        <w:rPr>
          <w:noProof/>
          <w:lang w:val="en-GB"/>
        </w:rPr>
        <w:t xml:space="preserve"> and contaminants in seafood (Descriptors 11 and</w:t>
      </w:r>
      <w:r>
        <w:rPr>
          <w:noProof/>
          <w:lang w:val="en-GB"/>
        </w:rPr>
        <w:t xml:space="preserve"> 9) (4 % each), non-indigenous species (Descriptor 2) (5 %), and marine litter and hydrographic changes (Descriptors 10 and 7) (6 % each). Contaminants in waters (Descriptor 8), eutrophication </w:t>
      </w:r>
      <w:r>
        <w:rPr>
          <w:noProof/>
        </w:rPr>
        <w:t xml:space="preserve">(Descriptor 5) </w:t>
      </w:r>
      <w:r>
        <w:rPr>
          <w:noProof/>
          <w:lang w:val="en-GB"/>
        </w:rPr>
        <w:t>and commercial fish (Descriptor 3) are better co</w:t>
      </w:r>
      <w:r>
        <w:rPr>
          <w:noProof/>
          <w:lang w:val="en-GB"/>
        </w:rPr>
        <w:t>vered (13 %, 11 % and 9 % respectively of the monitoring efforts).</w:t>
      </w:r>
    </w:p>
    <w:p w:rsidR="00D64FC9" w:rsidRDefault="00D64FC9">
      <w:pPr>
        <w:pStyle w:val="CorpsA"/>
        <w:rPr>
          <w:rFonts w:eastAsia="Times New Roman"/>
          <w:noProof/>
          <w:lang w:val="en-GB"/>
        </w:rPr>
      </w:pPr>
    </w:p>
    <w:p w:rsidR="00D64FC9" w:rsidRDefault="00394B9F">
      <w:pPr>
        <w:pStyle w:val="Heading2"/>
        <w:rPr>
          <w:rFonts w:eastAsia="Times New Roman"/>
          <w:noProof/>
          <w:lang w:val="en-GB"/>
        </w:rPr>
      </w:pPr>
      <w:r>
        <w:rPr>
          <w:noProof/>
          <w:lang w:val="en-GB"/>
        </w:rPr>
        <w:t>Spatial scope</w:t>
      </w:r>
    </w:p>
    <w:p w:rsidR="00D64FC9" w:rsidRDefault="00394B9F">
      <w:pPr>
        <w:pStyle w:val="CorpsA"/>
        <w:rPr>
          <w:noProof/>
          <w:lang w:val="en-GB"/>
        </w:rPr>
      </w:pPr>
      <w:r>
        <w:rPr>
          <w:noProof/>
          <w:lang w:val="en-GB"/>
        </w:rPr>
        <w:t xml:space="preserve">Member States have reported on the spatial distribution of their monitoring programmes, using the following geographic zones: </w:t>
      </w:r>
    </w:p>
    <w:p w:rsidR="00D64FC9" w:rsidRDefault="00394B9F">
      <w:pPr>
        <w:pStyle w:val="CorpsA"/>
        <w:numPr>
          <w:ilvl w:val="0"/>
          <w:numId w:val="7"/>
        </w:numPr>
        <w:rPr>
          <w:noProof/>
          <w:lang w:val="en-GB"/>
        </w:rPr>
      </w:pPr>
      <w:r>
        <w:rPr>
          <w:noProof/>
          <w:lang w:val="en-GB"/>
        </w:rPr>
        <w:t>terrestrial (land-based),</w:t>
      </w:r>
    </w:p>
    <w:p w:rsidR="00D64FC9" w:rsidRDefault="00394B9F">
      <w:pPr>
        <w:pStyle w:val="CorpsA"/>
        <w:numPr>
          <w:ilvl w:val="0"/>
          <w:numId w:val="7"/>
        </w:numPr>
        <w:rPr>
          <w:noProof/>
          <w:lang w:val="en-GB"/>
        </w:rPr>
      </w:pPr>
      <w:r>
        <w:rPr>
          <w:noProof/>
          <w:lang w:val="en-GB"/>
        </w:rPr>
        <w:t xml:space="preserve">transitional waters, </w:t>
      </w:r>
      <w:r>
        <w:rPr>
          <w:rStyle w:val="FootnoteReference"/>
          <w:noProof/>
        </w:rPr>
        <w:footnoteReference w:id="22"/>
      </w:r>
    </w:p>
    <w:p w:rsidR="00D64FC9" w:rsidRDefault="00394B9F">
      <w:pPr>
        <w:pStyle w:val="CorpsA"/>
        <w:numPr>
          <w:ilvl w:val="0"/>
          <w:numId w:val="7"/>
        </w:numPr>
        <w:rPr>
          <w:noProof/>
          <w:lang w:val="en-GB"/>
        </w:rPr>
      </w:pPr>
      <w:r>
        <w:rPr>
          <w:noProof/>
          <w:lang w:val="en-GB"/>
        </w:rPr>
        <w:t xml:space="preserve">coastal waters, </w:t>
      </w:r>
    </w:p>
    <w:p w:rsidR="00D64FC9" w:rsidRDefault="00394B9F">
      <w:pPr>
        <w:pStyle w:val="CorpsA"/>
        <w:numPr>
          <w:ilvl w:val="0"/>
          <w:numId w:val="7"/>
        </w:numPr>
        <w:rPr>
          <w:noProof/>
          <w:lang w:val="en-GB"/>
        </w:rPr>
      </w:pPr>
      <w:r>
        <w:rPr>
          <w:noProof/>
          <w:lang w:val="en-GB"/>
        </w:rPr>
        <w:t xml:space="preserve">territorial waters, </w:t>
      </w:r>
    </w:p>
    <w:p w:rsidR="00D64FC9" w:rsidRDefault="00394B9F">
      <w:pPr>
        <w:pStyle w:val="CorpsA"/>
        <w:numPr>
          <w:ilvl w:val="0"/>
          <w:numId w:val="7"/>
        </w:numPr>
        <w:rPr>
          <w:noProof/>
          <w:lang w:val="en-GB"/>
        </w:rPr>
      </w:pPr>
      <w:r>
        <w:rPr>
          <w:noProof/>
          <w:lang w:val="en-GB"/>
        </w:rPr>
        <w:t>the Exclusive Economic Zone (EEZ),</w:t>
      </w:r>
      <w:r>
        <w:rPr>
          <w:rStyle w:val="FootnoteReference"/>
          <w:noProof/>
        </w:rPr>
        <w:footnoteReference w:id="23"/>
      </w:r>
      <w:r>
        <w:rPr>
          <w:noProof/>
          <w:lang w:val="en-GB"/>
        </w:rPr>
        <w:t xml:space="preserve"> </w:t>
      </w:r>
    </w:p>
    <w:p w:rsidR="00D64FC9" w:rsidRDefault="00394B9F">
      <w:pPr>
        <w:pStyle w:val="CorpsA"/>
        <w:numPr>
          <w:ilvl w:val="0"/>
          <w:numId w:val="7"/>
        </w:numPr>
        <w:rPr>
          <w:noProof/>
          <w:lang w:val="en-GB"/>
        </w:rPr>
      </w:pPr>
      <w:r>
        <w:rPr>
          <w:noProof/>
          <w:lang w:val="en-GB"/>
        </w:rPr>
        <w:t>the continental shelf area beyond the EEZ,</w:t>
      </w:r>
      <w:r>
        <w:rPr>
          <w:rStyle w:val="FootnoteReference"/>
          <w:noProof/>
          <w:lang w:val="en-GB"/>
        </w:rPr>
        <w:footnoteReference w:id="24"/>
      </w:r>
      <w:r>
        <w:rPr>
          <w:noProof/>
          <w:lang w:val="en-GB"/>
        </w:rPr>
        <w:t xml:space="preserve"> and </w:t>
      </w:r>
    </w:p>
    <w:p w:rsidR="00D64FC9" w:rsidRDefault="00394B9F">
      <w:pPr>
        <w:pStyle w:val="CorpsA"/>
        <w:ind w:left="720"/>
        <w:rPr>
          <w:noProof/>
          <w:lang w:val="en-GB"/>
        </w:rPr>
      </w:pPr>
      <w:r>
        <w:rPr>
          <w:noProof/>
          <w:lang w:val="en-GB"/>
        </w:rPr>
        <w:t>beyond Member States marine waters.</w:t>
      </w:r>
    </w:p>
    <w:p w:rsidR="00D64FC9" w:rsidRDefault="00394B9F">
      <w:pPr>
        <w:pStyle w:val="CorpsA"/>
        <w:rPr>
          <w:noProof/>
          <w:lang w:val="en-GB"/>
        </w:rPr>
      </w:pPr>
      <w:r>
        <w:rPr>
          <w:noProof/>
          <w:lang w:val="en-GB"/>
        </w:rPr>
        <w:t xml:space="preserve">As shown in Figure 2, the highest proportion (68 %) of Member State monitoring takes place in </w:t>
      </w:r>
      <w:r>
        <w:rPr>
          <w:noProof/>
          <w:lang w:val="en-GB"/>
        </w:rPr>
        <w:t>coastal waters, while a high proportion also occurs in territorial waters (57 %) and in the EEZ (51 %). The lowest proportion (6 %) takes place in continental waters beyond the EEZ.</w:t>
      </w:r>
    </w:p>
    <w:p w:rsidR="00D64FC9" w:rsidRDefault="00394B9F">
      <w:pPr>
        <w:pStyle w:val="CorpsA"/>
        <w:rPr>
          <w:rFonts w:eastAsia="Times New Roman"/>
          <w:noProof/>
          <w:lang w:val="en-GB"/>
        </w:rPr>
      </w:pPr>
      <w:r>
        <w:rPr>
          <w:noProof/>
          <w:lang w:val="en-GB"/>
        </w:rPr>
        <w:t>As explained above, Member States have generally linked their monitoring p</w:t>
      </w:r>
      <w:r>
        <w:rPr>
          <w:noProof/>
          <w:lang w:val="en-GB"/>
        </w:rPr>
        <w:t>rogrammes to existing programmes required under other EU legislation, which could explain the prevalence of monitoring in coastal waters. Monitoring programmes beyond Member States’ territorial waters are limited. This may be explained by a number of facto</w:t>
      </w:r>
      <w:r>
        <w:rPr>
          <w:noProof/>
          <w:lang w:val="en-GB"/>
        </w:rPr>
        <w:t>rs, such as the cost of such monitoring and the need to focus on key pressures and impacts, which occur closer to shore.</w:t>
      </w:r>
    </w:p>
    <w:p w:rsidR="00D64FC9" w:rsidRDefault="00394B9F">
      <w:pPr>
        <w:pStyle w:val="CorpsA"/>
        <w:jc w:val="center"/>
        <w:rPr>
          <w:noProof/>
          <w:lang w:val="en-GB"/>
        </w:rPr>
      </w:pPr>
      <w:r>
        <w:rPr>
          <w:noProof/>
          <w:lang w:val="en-GB"/>
        </w:rPr>
        <w:br/>
      </w:r>
      <w:r>
        <w:rPr>
          <w:noProof/>
          <w:lang w:val="en-GB"/>
        </w:rPr>
        <w:drawing>
          <wp:inline distT="0" distB="0" distL="0" distR="0">
            <wp:extent cx="4269180" cy="3598982"/>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7183" cy="3605728"/>
                    </a:xfrm>
                    <a:prstGeom prst="rect">
                      <a:avLst/>
                    </a:prstGeom>
                    <a:noFill/>
                    <a:ln>
                      <a:noFill/>
                    </a:ln>
                  </pic:spPr>
                </pic:pic>
              </a:graphicData>
            </a:graphic>
          </wp:inline>
        </w:drawing>
      </w:r>
    </w:p>
    <w:p w:rsidR="00D64FC9" w:rsidRDefault="00394B9F">
      <w:pPr>
        <w:pStyle w:val="Caption"/>
        <w:rPr>
          <w:noProof/>
          <w:lang w:val="en-GB"/>
        </w:rPr>
      </w:pPr>
      <w:r>
        <w:rPr>
          <w:rFonts w:eastAsia="Arial Unicode MS" w:hAnsi="Arial Unicode MS" w:cs="Arial Unicode MS"/>
          <w:noProof/>
          <w:lang w:val="en-GB"/>
        </w:rPr>
        <w:t>Figure 2: Spatial scope of monitoring of Member States</w:t>
      </w:r>
      <w:r>
        <w:rPr>
          <w:rStyle w:val="FootnoteReference"/>
          <w:rFonts w:eastAsia="Arial Unicode MS" w:hAnsi="Arial Unicode MS" w:cs="Arial Unicode MS"/>
          <w:b w:val="0"/>
          <w:bCs w:val="0"/>
          <w:noProof/>
          <w:sz w:val="16"/>
          <w:szCs w:val="16"/>
          <w:lang w:val="en-GB"/>
        </w:rPr>
        <w:footnoteReference w:id="25"/>
      </w:r>
    </w:p>
    <w:p w:rsidR="00D64FC9" w:rsidRDefault="00D64FC9">
      <w:pPr>
        <w:pStyle w:val="Heading2"/>
        <w:rPr>
          <w:b w:val="0"/>
          <w:noProof/>
          <w:sz w:val="22"/>
          <w:szCs w:val="22"/>
          <w:lang w:val="en-GB"/>
        </w:rPr>
      </w:pPr>
    </w:p>
    <w:p w:rsidR="00D64FC9" w:rsidRDefault="00394B9F">
      <w:pPr>
        <w:pStyle w:val="Heading2"/>
        <w:rPr>
          <w:rFonts w:eastAsia="Times New Roman"/>
          <w:noProof/>
          <w:lang w:val="en-GB"/>
        </w:rPr>
      </w:pPr>
      <w:r>
        <w:rPr>
          <w:noProof/>
          <w:lang w:val="en-GB"/>
        </w:rPr>
        <w:t xml:space="preserve">Implementation timeline </w:t>
      </w:r>
    </w:p>
    <w:p w:rsidR="00D64FC9" w:rsidRDefault="00394B9F">
      <w:pPr>
        <w:pStyle w:val="CorpsA"/>
        <w:rPr>
          <w:noProof/>
          <w:lang w:val="en-GB"/>
        </w:rPr>
      </w:pPr>
      <w:r>
        <w:rPr>
          <w:noProof/>
          <w:lang w:val="en-GB"/>
        </w:rPr>
        <w:t xml:space="preserve">Member States were required to develop and </w:t>
      </w:r>
      <w:r>
        <w:rPr>
          <w:noProof/>
          <w:lang w:val="en-GB"/>
        </w:rPr>
        <w:t>implement their monitoring programmes by 15 July 2014. Figure 3 shows the proportion, by descriptor category, of monitoring programmes expected to be in place by 2014, 2018, 2020 and after 2020.</w:t>
      </w:r>
      <w:r>
        <w:rPr>
          <w:noProof/>
        </w:rPr>
        <w:t xml:space="preserve"> In 2014, the descriptors most monitored by Member States were</w:t>
      </w:r>
      <w:r>
        <w:rPr>
          <w:noProof/>
        </w:rPr>
        <w:t xml:space="preserve"> contaminants in seafood (Descriptor 9), commercial fish (Descriptor 3) and eutrophication (Descriptor 5).</w:t>
      </w:r>
      <w:r>
        <w:rPr>
          <w:noProof/>
          <w:lang w:val="en-GB"/>
        </w:rPr>
        <w:t xml:space="preserve"> By 2020, based on Member States’ self-assessment, the monitoring programmes for eutrophication (Descriptor 5), </w:t>
      </w:r>
      <w:r>
        <w:rPr>
          <w:noProof/>
        </w:rPr>
        <w:t>mammals, reptiles, fish and cephalopod</w:t>
      </w:r>
      <w:r>
        <w:rPr>
          <w:noProof/>
        </w:rPr>
        <w:t xml:space="preserve">s (Descriptors 1 and 4) </w:t>
      </w:r>
      <w:r>
        <w:rPr>
          <w:noProof/>
          <w:lang w:val="en-GB"/>
        </w:rPr>
        <w:t xml:space="preserve">and contaminants (Descriptor 8) will be in place. For commercial fish (Descriptor 3), hydrographical changes </w:t>
      </w:r>
      <w:r>
        <w:rPr>
          <w:noProof/>
        </w:rPr>
        <w:t>(Descriptor 7</w:t>
      </w:r>
      <w:r>
        <w:rPr>
          <w:noProof/>
          <w:lang w:val="en-GB"/>
        </w:rPr>
        <w:t>), marine litter (</w:t>
      </w:r>
      <w:r>
        <w:rPr>
          <w:noProof/>
        </w:rPr>
        <w:t>Descriptor 10</w:t>
      </w:r>
      <w:r>
        <w:rPr>
          <w:noProof/>
          <w:lang w:val="en-GB"/>
        </w:rPr>
        <w:t xml:space="preserve">) and seabed and </w:t>
      </w:r>
      <w:r>
        <w:rPr>
          <w:noProof/>
        </w:rPr>
        <w:t>water column</w:t>
      </w:r>
      <w:r>
        <w:rPr>
          <w:noProof/>
          <w:lang w:val="en-GB"/>
        </w:rPr>
        <w:t xml:space="preserve"> habitats (Descriptors 1, 4 and 6), nearly 90% of </w:t>
      </w:r>
      <w:r>
        <w:rPr>
          <w:noProof/>
          <w:lang w:val="en-GB"/>
        </w:rPr>
        <w:t xml:space="preserve">the monitoring programmes are expected to be in place by 2020.  </w:t>
      </w:r>
    </w:p>
    <w:p w:rsidR="00D64FC9" w:rsidRDefault="00394B9F">
      <w:pPr>
        <w:pStyle w:val="CorpsA"/>
        <w:jc w:val="center"/>
        <w:rPr>
          <w:noProof/>
          <w:lang w:val="en-GB"/>
        </w:rPr>
      </w:pPr>
      <w:r>
        <w:rPr>
          <w:noProof/>
          <w:lang w:val="en-GB"/>
        </w:rPr>
        <w:drawing>
          <wp:inline distT="0" distB="0" distL="0" distR="0">
            <wp:extent cx="5539839" cy="4471895"/>
            <wp:effectExtent l="0" t="0" r="381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35713" cy="4468564"/>
                    </a:xfrm>
                    <a:prstGeom prst="rect">
                      <a:avLst/>
                    </a:prstGeom>
                    <a:noFill/>
                    <a:ln>
                      <a:noFill/>
                    </a:ln>
                  </pic:spPr>
                </pic:pic>
              </a:graphicData>
            </a:graphic>
          </wp:inline>
        </w:drawing>
      </w:r>
    </w:p>
    <w:p w:rsidR="00D64FC9" w:rsidRDefault="00394B9F">
      <w:pPr>
        <w:pStyle w:val="CorpsA"/>
        <w:rPr>
          <w:b/>
          <w:bCs/>
          <w:noProof/>
          <w:sz w:val="18"/>
          <w:szCs w:val="18"/>
          <w:lang w:val="en-GB"/>
        </w:rPr>
      </w:pPr>
      <w:r>
        <w:rPr>
          <w:b/>
          <w:bCs/>
          <w:noProof/>
          <w:sz w:val="18"/>
          <w:szCs w:val="18"/>
          <w:lang w:val="en-GB"/>
        </w:rPr>
        <w:t>Figure 3: Date by when Member States expect their monitoring programmes, per descriptor category, to be in place to cover their good environmental status needs</w:t>
      </w:r>
      <w:r>
        <w:rPr>
          <w:rStyle w:val="FootnoteReference"/>
          <w:noProof/>
          <w:sz w:val="18"/>
          <w:szCs w:val="18"/>
        </w:rPr>
        <w:footnoteReference w:id="26"/>
      </w:r>
      <w:r>
        <w:rPr>
          <w:rStyle w:val="FootnoteReference"/>
          <w:bCs/>
          <w:noProof/>
          <w:sz w:val="18"/>
          <w:szCs w:val="18"/>
          <w:lang w:val="en-GB"/>
        </w:rPr>
        <w:footnoteReference w:id="27"/>
      </w:r>
    </w:p>
    <w:p w:rsidR="00D64FC9" w:rsidRDefault="00394B9F">
      <w:pPr>
        <w:pStyle w:val="CorpsA"/>
        <w:rPr>
          <w:noProof/>
          <w:lang w:val="en-GB"/>
        </w:rPr>
      </w:pPr>
      <w:r>
        <w:rPr>
          <w:noProof/>
          <w:lang w:val="en-GB"/>
        </w:rPr>
        <w:t>Monitoring programmes for n</w:t>
      </w:r>
      <w:r>
        <w:rPr>
          <w:noProof/>
          <w:lang w:val="en-GB"/>
        </w:rPr>
        <w:t>on-indigenous species (Descriptor 2) and underwater noise (Descriptor 11) will require a clear acceleration to ensure proper coverage given the MSFD deadlines for the update of marine strategies by 2018, and achieving good environmental status by 2020. Add</w:t>
      </w:r>
      <w:r>
        <w:rPr>
          <w:noProof/>
          <w:lang w:val="en-GB"/>
        </w:rPr>
        <w:t>itional effort is also needed for the biodiversity descriptors (Descriptors 1, 4 and 6) and in particular for those not covered by existing legislation.</w:t>
      </w:r>
    </w:p>
    <w:p w:rsidR="00D64FC9" w:rsidRDefault="00394B9F">
      <w:pPr>
        <w:pStyle w:val="CorpsA"/>
        <w:rPr>
          <w:rFonts w:eastAsia="Times New Roman"/>
          <w:noProof/>
          <w:lang w:val="en-GB"/>
        </w:rPr>
      </w:pPr>
      <w:r>
        <w:rPr>
          <w:noProof/>
          <w:lang w:val="en-GB"/>
        </w:rPr>
        <w:drawing>
          <wp:inline distT="0" distB="0" distL="0" distR="0">
            <wp:extent cx="5644966" cy="497646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44720" cy="4976252"/>
                    </a:xfrm>
                    <a:prstGeom prst="rect">
                      <a:avLst/>
                    </a:prstGeom>
                    <a:noFill/>
                    <a:ln>
                      <a:noFill/>
                    </a:ln>
                  </pic:spPr>
                </pic:pic>
              </a:graphicData>
            </a:graphic>
          </wp:inline>
        </w:drawing>
      </w:r>
    </w:p>
    <w:p w:rsidR="00D64FC9" w:rsidRDefault="00394B9F">
      <w:pPr>
        <w:pStyle w:val="CorpsA"/>
        <w:rPr>
          <w:rFonts w:eastAsia="Times New Roman"/>
          <w:b/>
          <w:bCs/>
          <w:noProof/>
          <w:sz w:val="18"/>
          <w:szCs w:val="18"/>
          <w:lang w:val="en-GB"/>
        </w:rPr>
      </w:pPr>
      <w:r>
        <w:rPr>
          <w:b/>
          <w:bCs/>
          <w:noProof/>
          <w:sz w:val="18"/>
          <w:szCs w:val="18"/>
          <w:lang w:val="en-GB"/>
        </w:rPr>
        <w:t>Figure 4: Date by when Member States expect their monitoring programmes to be in place to cover their</w:t>
      </w:r>
      <w:r>
        <w:rPr>
          <w:b/>
          <w:bCs/>
          <w:noProof/>
          <w:sz w:val="18"/>
          <w:szCs w:val="18"/>
          <w:lang w:val="en-GB"/>
        </w:rPr>
        <w:t xml:space="preserve"> good environmental status needs.</w:t>
      </w:r>
    </w:p>
    <w:p w:rsidR="00D64FC9" w:rsidRDefault="00394B9F">
      <w:pPr>
        <w:pStyle w:val="CorpsA"/>
        <w:rPr>
          <w:rFonts w:eastAsia="Times New Roman"/>
          <w:noProof/>
          <w:lang w:val="en-GB"/>
        </w:rPr>
      </w:pPr>
      <w:r>
        <w:rPr>
          <w:noProof/>
          <w:lang w:val="en-GB"/>
        </w:rPr>
        <w:t xml:space="preserve">Figure 4 shows the proportion, by Member State, of monitoring programmes expected to be in place to assess progress towards good environmental status by 2014, 2018, 2020 and after 2020. </w:t>
      </w:r>
    </w:p>
    <w:p w:rsidR="00D64FC9" w:rsidRDefault="00394B9F">
      <w:pPr>
        <w:pStyle w:val="CorpsA"/>
        <w:rPr>
          <w:noProof/>
          <w:lang w:val="en-GB"/>
        </w:rPr>
      </w:pPr>
      <w:r>
        <w:rPr>
          <w:noProof/>
          <w:lang w:val="en-GB"/>
        </w:rPr>
        <w:t>Five Member States reported their m</w:t>
      </w:r>
      <w:r>
        <w:rPr>
          <w:noProof/>
          <w:lang w:val="en-GB"/>
        </w:rPr>
        <w:t xml:space="preserve">onitoring programmes were in place for most categories of descriptors as of 2014. Four Member States had no monitoring programmes in place in 2014. Overall, the monitoring programmes were only partially adequate by July 2014, the date at which they should </w:t>
      </w:r>
      <w:r>
        <w:rPr>
          <w:noProof/>
          <w:lang w:val="en-GB"/>
        </w:rPr>
        <w:t>have been created and implemented in accordance with Article 5(2)(a)(iv) of the MSFD. As a consequence, Member States will have significant gaps in the data available for assessing progress towards good environmental status and environmental targets as req</w:t>
      </w:r>
      <w:r>
        <w:rPr>
          <w:noProof/>
          <w:lang w:val="en-GB"/>
        </w:rPr>
        <w:t>uired for the 2018 assessment.</w:t>
      </w:r>
    </w:p>
    <w:p w:rsidR="00D64FC9" w:rsidRDefault="00394B9F">
      <w:pPr>
        <w:pStyle w:val="CorpsA"/>
        <w:rPr>
          <w:noProof/>
          <w:lang w:val="en-GB"/>
        </w:rPr>
      </w:pPr>
      <w:r>
        <w:rPr>
          <w:noProof/>
          <w:lang w:val="en-GB"/>
        </w:rPr>
        <w:t>According to Member States' reports, the situation is expected to improve progressively over time: by 2018, nine Member States are expected to have a full (or nearly full) coverage of the descriptor categories and by 2020 a t</w:t>
      </w:r>
      <w:r>
        <w:rPr>
          <w:noProof/>
          <w:lang w:val="en-GB"/>
        </w:rPr>
        <w:t>otal of fifteen Member States will have their programmes in place. Overall, Member States have for the most part identified 2020 as the point by which most of their monitoring programmes will be fully in place. This is reassuring only insofar as it means t</w:t>
      </w:r>
      <w:r>
        <w:rPr>
          <w:noProof/>
          <w:lang w:val="en-GB"/>
        </w:rPr>
        <w:t>hat MSFD monitoring is expected to be fully operational by that date.</w:t>
      </w:r>
    </w:p>
    <w:p w:rsidR="00D64FC9" w:rsidRDefault="00394B9F">
      <w:pPr>
        <w:pStyle w:val="CorpsA"/>
        <w:rPr>
          <w:rFonts w:eastAsia="Times New Roman"/>
          <w:noProof/>
          <w:lang w:val="en-GB"/>
        </w:rPr>
      </w:pPr>
      <w:r>
        <w:rPr>
          <w:noProof/>
          <w:lang w:val="en-GB"/>
        </w:rPr>
        <w:t xml:space="preserve">Nevertheless, five Member States have either not reported on their intentions or have announced that their monitoring programmes will not be fully in place even after 2020 – the year by </w:t>
      </w:r>
      <w:r>
        <w:rPr>
          <w:noProof/>
          <w:lang w:val="en-GB"/>
        </w:rPr>
        <w:t>when Member States are required to achieve good environmental status.</w:t>
      </w:r>
    </w:p>
    <w:p w:rsidR="00D64FC9" w:rsidRDefault="00394B9F">
      <w:pPr>
        <w:pStyle w:val="CorpsA"/>
        <w:rPr>
          <w:noProof/>
          <w:lang w:val="en-GB"/>
        </w:rPr>
      </w:pPr>
      <w:r>
        <w:rPr>
          <w:noProof/>
          <w:lang w:val="en-GB"/>
        </w:rPr>
        <w:t>Similar observations can be made for the coverage of environmental targets by Member States’ monitoring programmes,</w:t>
      </w:r>
      <w:r>
        <w:rPr>
          <w:rStyle w:val="FootnoteReference"/>
          <w:noProof/>
          <w:lang w:val="en-GB"/>
        </w:rPr>
        <w:footnoteReference w:id="28"/>
      </w:r>
      <w:r>
        <w:rPr>
          <w:noProof/>
          <w:lang w:val="en-GB"/>
        </w:rPr>
        <w:t xml:space="preserve"> although the timelines reported indicate that Member States generally expect that monitoring needs will be adequately covered before 2020 – see Figure 5. </w:t>
      </w:r>
    </w:p>
    <w:p w:rsidR="00D64FC9" w:rsidRDefault="00394B9F">
      <w:pPr>
        <w:pStyle w:val="CorpsA"/>
        <w:jc w:val="center"/>
        <w:rPr>
          <w:b/>
          <w:bCs/>
          <w:noProof/>
          <w:sz w:val="18"/>
          <w:szCs w:val="18"/>
          <w:lang w:val="en-GB"/>
        </w:rPr>
      </w:pPr>
      <w:r>
        <w:rPr>
          <w:noProof/>
          <w:lang w:val="en-GB"/>
        </w:rPr>
        <w:drawing>
          <wp:inline distT="0" distB="0" distL="0" distR="0">
            <wp:extent cx="5731510" cy="4515108"/>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4515108"/>
                    </a:xfrm>
                    <a:prstGeom prst="rect">
                      <a:avLst/>
                    </a:prstGeom>
                    <a:noFill/>
                    <a:ln>
                      <a:noFill/>
                    </a:ln>
                  </pic:spPr>
                </pic:pic>
              </a:graphicData>
            </a:graphic>
          </wp:inline>
        </w:drawing>
      </w:r>
    </w:p>
    <w:p w:rsidR="00D64FC9" w:rsidRDefault="00394B9F">
      <w:pPr>
        <w:pStyle w:val="CorpsA"/>
        <w:jc w:val="left"/>
        <w:rPr>
          <w:rFonts w:eastAsia="Times New Roman"/>
          <w:b/>
          <w:bCs/>
          <w:noProof/>
          <w:sz w:val="18"/>
          <w:szCs w:val="18"/>
          <w:lang w:val="en-GB"/>
        </w:rPr>
      </w:pPr>
      <w:r>
        <w:rPr>
          <w:b/>
          <w:bCs/>
          <w:noProof/>
          <w:sz w:val="18"/>
          <w:szCs w:val="18"/>
          <w:lang w:val="en-GB"/>
        </w:rPr>
        <w:t xml:space="preserve">Figure 5: Date by when Member States expect their monitoring programmes for environmental targets </w:t>
      </w:r>
      <w:r>
        <w:rPr>
          <w:b/>
          <w:bCs/>
          <w:noProof/>
          <w:sz w:val="18"/>
          <w:szCs w:val="18"/>
          <w:lang w:val="en-GB"/>
        </w:rPr>
        <w:t>to be in place</w:t>
      </w:r>
    </w:p>
    <w:p w:rsidR="00D64FC9" w:rsidRDefault="00394B9F">
      <w:pPr>
        <w:pStyle w:val="CorpsA"/>
        <w:rPr>
          <w:noProof/>
          <w:lang w:val="en-GB"/>
        </w:rPr>
      </w:pPr>
      <w:r>
        <w:rPr>
          <w:noProof/>
          <w:lang w:val="en-GB"/>
        </w:rPr>
        <w:t>Twelve Member States are expected to have monitoring activities in place to measure the environmental targets they have defined. Ireland plans to cover all targets but will only do so after 2020, by when good environmental status should have</w:t>
      </w:r>
      <w:r>
        <w:rPr>
          <w:noProof/>
          <w:lang w:val="en-GB"/>
        </w:rPr>
        <w:t xml:space="preserve"> already been achieved. The other seven Member States do not plan to monitor part of the targets they have defined.  </w:t>
      </w:r>
    </w:p>
    <w:p w:rsidR="00D64FC9" w:rsidRDefault="00394B9F">
      <w:pPr>
        <w:pStyle w:val="CorpsA"/>
        <w:rPr>
          <w:noProof/>
          <w:lang w:val="en-GB"/>
        </w:rPr>
      </w:pPr>
      <w:r>
        <w:rPr>
          <w:noProof/>
          <w:lang w:val="en-GB"/>
        </w:rPr>
        <w:t>As explained above, targets related to commercial fish and shellfish species (Descriptor 3), eutrophication (Descriptor 5) and contaminant</w:t>
      </w:r>
      <w:r>
        <w:rPr>
          <w:noProof/>
          <w:lang w:val="en-GB"/>
        </w:rPr>
        <w:t>s in seafood (Descriptor 9) will benefit from the monitoring programmes set up under other EU legislation. Most of them are either already covered or likely to be covered by 2018.</w:t>
      </w:r>
    </w:p>
    <w:p w:rsidR="00D64FC9" w:rsidRDefault="00394B9F">
      <w:pPr>
        <w:pStyle w:val="CorpsA"/>
        <w:pBdr>
          <w:top w:val="none" w:sz="0" w:space="0" w:color="auto"/>
          <w:left w:val="none" w:sz="0" w:space="0" w:color="auto"/>
          <w:bottom w:val="none" w:sz="0" w:space="0" w:color="auto"/>
          <w:right w:val="none" w:sz="0" w:space="0" w:color="auto"/>
          <w:between w:val="none" w:sz="0" w:space="0" w:color="auto"/>
          <w:bar w:val="none" w:sz="0" w:color="auto"/>
        </w:pBdr>
        <w:rPr>
          <w:noProof/>
          <w:lang w:val="en-GB"/>
        </w:rPr>
      </w:pPr>
      <w:r>
        <w:rPr>
          <w:noProof/>
          <w:lang w:val="en-GB"/>
        </w:rPr>
        <w:t>Additional work is needed in order to ensure Member States collect the neces</w:t>
      </w:r>
      <w:r>
        <w:rPr>
          <w:noProof/>
          <w:lang w:val="en-GB"/>
        </w:rPr>
        <w:t>sary data to assess progress towards good environmental status and targets. Member States are expected to report on these in 2018, especially for those descriptors where progress has not been sufficient such as non-indigenous species (Descriptor 2), marine</w:t>
      </w:r>
      <w:r>
        <w:rPr>
          <w:noProof/>
          <w:lang w:val="en-GB"/>
        </w:rPr>
        <w:t xml:space="preserve"> litter (Descriptor 10), underwater noise (Descriptor 11) and biodiversity descriptors (Descriptors 1, 4 and 6) not covered by existing legislation.</w:t>
      </w:r>
    </w:p>
    <w:p w:rsidR="00D64FC9" w:rsidRDefault="00D64FC9">
      <w:pPr>
        <w:pStyle w:val="CorpsA"/>
        <w:pBdr>
          <w:top w:val="none" w:sz="0" w:space="0" w:color="auto"/>
          <w:left w:val="none" w:sz="0" w:space="0" w:color="auto"/>
          <w:bottom w:val="none" w:sz="0" w:space="0" w:color="auto"/>
          <w:right w:val="none" w:sz="0" w:space="0" w:color="auto"/>
          <w:between w:val="none" w:sz="0" w:space="0" w:color="auto"/>
          <w:bar w:val="none" w:sz="0" w:color="auto"/>
        </w:pBdr>
        <w:rPr>
          <w:noProof/>
          <w:lang w:val="en-GB"/>
        </w:rPr>
      </w:pPr>
    </w:p>
    <w:p w:rsidR="00D64FC9" w:rsidRDefault="00394B9F">
      <w:pPr>
        <w:pStyle w:val="Heading2"/>
        <w:rPr>
          <w:noProof/>
          <w:lang w:val="en-GB"/>
        </w:rPr>
      </w:pPr>
      <w:r>
        <w:rPr>
          <w:rFonts w:eastAsia="Times New Roman"/>
          <w:noProof/>
          <w:lang w:val="en-GB"/>
        </w:rPr>
        <w:t>Coverage and overall appropriateness</w:t>
      </w:r>
    </w:p>
    <w:p w:rsidR="00D64FC9" w:rsidRDefault="00394B9F">
      <w:pPr>
        <w:pStyle w:val="CorpsA"/>
        <w:rPr>
          <w:noProof/>
          <w:color w:val="auto"/>
          <w:lang w:val="en-GB"/>
        </w:rPr>
      </w:pPr>
      <w:r>
        <w:rPr>
          <w:noProof/>
          <w:lang w:val="en-GB"/>
        </w:rPr>
        <w:t>The adequacy of Member States’ monitoring programmes in relation to t</w:t>
      </w:r>
      <w:r>
        <w:rPr>
          <w:noProof/>
          <w:lang w:val="en-GB"/>
        </w:rPr>
        <w:t>he requirements of the MSFD was assessed. Detailed findings on each Member State’s monitoring programme are available in the accompanying staff working document</w:t>
      </w:r>
      <w:r>
        <w:rPr>
          <w:noProof/>
          <w:color w:val="auto"/>
          <w:lang w:val="en-GB"/>
        </w:rPr>
        <w:t xml:space="preserve">. This technical assessment has been made on the basis of the main components of Member States’ </w:t>
      </w:r>
      <w:r>
        <w:rPr>
          <w:noProof/>
          <w:color w:val="auto"/>
          <w:lang w:val="en-GB"/>
        </w:rPr>
        <w:t xml:space="preserve">monitoring programmes, in particular the aspects and the parameters monitored, the frequency and the spatial scope. </w:t>
      </w:r>
    </w:p>
    <w:p w:rsidR="00D64FC9" w:rsidRDefault="00394B9F">
      <w:pPr>
        <w:pStyle w:val="CorpsA"/>
        <w:rPr>
          <w:noProof/>
          <w:color w:val="auto"/>
          <w:lang w:val="en-GB"/>
        </w:rPr>
      </w:pPr>
      <w:r>
        <w:rPr>
          <w:noProof/>
          <w:color w:val="auto"/>
          <w:lang w:val="en-GB"/>
        </w:rPr>
        <w:t>The results show Member States’ monitoring programmes to be either ‘appropriate’, ‘mostly appropriate’, or ‘partially appropriate’ in meeti</w:t>
      </w:r>
      <w:r>
        <w:rPr>
          <w:noProof/>
          <w:color w:val="auto"/>
          <w:lang w:val="en-GB"/>
        </w:rPr>
        <w:t xml:space="preserve">ng the requirements of the MSFD in terms of assessing environmental status. </w:t>
      </w:r>
    </w:p>
    <w:p w:rsidR="00D64FC9" w:rsidRDefault="00394B9F">
      <w:pPr>
        <w:pStyle w:val="CorpsA"/>
        <w:rPr>
          <w:noProof/>
          <w:color w:val="auto"/>
          <w:u w:val="single"/>
          <w:lang w:val="en-GB"/>
        </w:rPr>
      </w:pPr>
      <w:r>
        <w:rPr>
          <w:noProof/>
          <w:color w:val="auto"/>
          <w:lang w:val="en-GB"/>
        </w:rPr>
        <w:t>The combined contribution of each Member State's monitoring programme to each descriptor category is shown in Figure 6. The information presented in this figure was used to assess</w:t>
      </w:r>
      <w:r>
        <w:rPr>
          <w:noProof/>
          <w:color w:val="auto"/>
          <w:lang w:val="en-GB"/>
        </w:rPr>
        <w:t xml:space="preserve"> the number of descriptor categories that are considered to be covered (or not) by each Member State. On that basis, conclusions are drawn on whether the Member State's monitoring programme is considered to be mostly, partially or not appropriate (Figure 7</w:t>
      </w:r>
      <w:r>
        <w:rPr>
          <w:noProof/>
          <w:color w:val="auto"/>
          <w:lang w:val="en-GB"/>
        </w:rPr>
        <w:t xml:space="preserve">). </w:t>
      </w:r>
    </w:p>
    <w:p w:rsidR="00D64FC9" w:rsidRDefault="00394B9F">
      <w:pPr>
        <w:pStyle w:val="Heading2"/>
        <w:rPr>
          <w:noProof/>
          <w:sz w:val="18"/>
          <w:szCs w:val="18"/>
          <w:lang w:val="en-GB"/>
        </w:rPr>
      </w:pPr>
      <w:r>
        <w:rPr>
          <w:noProof/>
          <w:lang w:val="en-GB"/>
        </w:rPr>
        <w:drawing>
          <wp:inline distT="0" distB="0" distL="0" distR="0">
            <wp:extent cx="5348976" cy="4557672"/>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48976" cy="4557672"/>
                    </a:xfrm>
                    <a:prstGeom prst="rect">
                      <a:avLst/>
                    </a:prstGeom>
                    <a:noFill/>
                    <a:ln>
                      <a:noFill/>
                    </a:ln>
                  </pic:spPr>
                </pic:pic>
              </a:graphicData>
            </a:graphic>
          </wp:inline>
        </w:drawing>
      </w:r>
    </w:p>
    <w:p w:rsidR="00D64FC9" w:rsidRDefault="00394B9F">
      <w:pPr>
        <w:pStyle w:val="Heading2"/>
        <w:rPr>
          <w:noProof/>
          <w:sz w:val="18"/>
          <w:szCs w:val="18"/>
          <w:lang w:val="en-GB"/>
        </w:rPr>
      </w:pPr>
      <w:r>
        <w:rPr>
          <w:noProof/>
          <w:sz w:val="18"/>
          <w:szCs w:val="18"/>
          <w:lang w:val="en-GB"/>
        </w:rPr>
        <w:t>Figure 6: Coverage of good environmental status by MSFD monitoring programmes based on technical assessment</w:t>
      </w:r>
    </w:p>
    <w:p w:rsidR="00D64FC9" w:rsidRDefault="00394B9F">
      <w:pPr>
        <w:pStyle w:val="CorpsA"/>
        <w:rPr>
          <w:b/>
          <w:noProof/>
          <w:lang w:val="en-GB"/>
        </w:rPr>
      </w:pPr>
      <w:r>
        <w:rPr>
          <w:noProof/>
          <w:lang w:val="en-GB"/>
        </w:rPr>
        <w:t>The shortcomings identified in the 2014 Commission report in terms of lack of consistency and comparability in applying Decision 2010/477/EU a</w:t>
      </w:r>
      <w:r>
        <w:rPr>
          <w:noProof/>
          <w:lang w:val="en-GB"/>
        </w:rPr>
        <w:t>mongst Member States is confirmed in this assessment. Therefore only an indicative comparative assessment was possible in the context of this report.</w:t>
      </w:r>
    </w:p>
    <w:p w:rsidR="00D64FC9" w:rsidRDefault="00394B9F">
      <w:pPr>
        <w:pStyle w:val="CorpsA"/>
        <w:rPr>
          <w:noProof/>
          <w:lang w:val="en-GB"/>
        </w:rPr>
      </w:pPr>
      <w:r>
        <w:rPr>
          <w:noProof/>
          <w:lang w:val="en-GB"/>
        </w:rPr>
        <w:t>Most Member States have identified gaps in their programmes and are aware of the key areas that need furth</w:t>
      </w:r>
      <w:r>
        <w:rPr>
          <w:noProof/>
          <w:lang w:val="en-GB"/>
        </w:rPr>
        <w:t xml:space="preserve">er work. Gaps have generally been noted in monitoring methodologies and methodological standards (e.g. for seabed habitats and water column habitats and contaminants), lack of monitoring data and knowledge (e.g. for non- indigenous species (Descriptor 2), </w:t>
      </w:r>
      <w:r>
        <w:rPr>
          <w:noProof/>
          <w:lang w:val="en-GB"/>
        </w:rPr>
        <w:t xml:space="preserve">hydrographical changes (Descriptor 7), marine litter (Descriptor 10) and underwater noise (Descriptor 11)). </w:t>
      </w:r>
    </w:p>
    <w:p w:rsidR="00D64FC9" w:rsidRDefault="00394B9F">
      <w:pPr>
        <w:pStyle w:val="CorpsA"/>
        <w:rPr>
          <w:noProof/>
          <w:lang w:val="en-GB"/>
        </w:rPr>
      </w:pPr>
      <w:r>
        <w:rPr>
          <w:noProof/>
          <w:lang w:val="en-GB"/>
        </w:rPr>
        <w:t xml:space="preserve">Some pressures and impacts will only be monitored effectively once a regional approach is in place, given their inherent transboundary nature (for </w:t>
      </w:r>
      <w:r>
        <w:rPr>
          <w:noProof/>
          <w:lang w:val="en-GB"/>
        </w:rPr>
        <w:t>instance those related to mobile species, non-indigenous species and underwater noise).</w:t>
      </w:r>
    </w:p>
    <w:p w:rsidR="00D64FC9" w:rsidRDefault="00394B9F">
      <w:pPr>
        <w:pStyle w:val="CorpsA"/>
        <w:rPr>
          <w:noProof/>
          <w:lang w:val="en-GB"/>
        </w:rPr>
      </w:pPr>
      <w:r>
        <w:rPr>
          <w:noProof/>
          <w:lang w:val="en-GB"/>
        </w:rPr>
        <w:drawing>
          <wp:inline distT="0" distB="0" distL="0" distR="0">
            <wp:extent cx="5269692" cy="3963821"/>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67480" cy="3962157"/>
                    </a:xfrm>
                    <a:prstGeom prst="rect">
                      <a:avLst/>
                    </a:prstGeom>
                    <a:noFill/>
                    <a:ln>
                      <a:noFill/>
                    </a:ln>
                  </pic:spPr>
                </pic:pic>
              </a:graphicData>
            </a:graphic>
          </wp:inline>
        </w:drawing>
      </w:r>
    </w:p>
    <w:p w:rsidR="00D64FC9" w:rsidRDefault="00394B9F">
      <w:pPr>
        <w:pStyle w:val="Heading2"/>
        <w:rPr>
          <w:noProof/>
          <w:sz w:val="18"/>
          <w:szCs w:val="18"/>
          <w:lang w:val="en-GB"/>
        </w:rPr>
      </w:pPr>
      <w:r>
        <w:rPr>
          <w:noProof/>
          <w:sz w:val="18"/>
          <w:szCs w:val="18"/>
          <w:lang w:val="en-GB"/>
        </w:rPr>
        <w:t>Figure 7: Coverage of good environmental status by MSFD monitoring programmes based on technical assessment</w:t>
      </w:r>
    </w:p>
    <w:p w:rsidR="00D64FC9" w:rsidRDefault="00394B9F">
      <w:pPr>
        <w:pStyle w:val="CorpsA"/>
        <w:rPr>
          <w:noProof/>
          <w:lang w:val="en-GB"/>
        </w:rPr>
      </w:pPr>
      <w:r>
        <w:rPr>
          <w:noProof/>
          <w:lang w:val="en-GB"/>
        </w:rPr>
        <w:t xml:space="preserve">Overall, on the basis of the technical assessment, the </w:t>
      </w:r>
      <w:r>
        <w:rPr>
          <w:noProof/>
          <w:lang w:val="en-GB"/>
        </w:rPr>
        <w:t>Commission considers that none of the Member States' monitoring programmes are fully appropriate and meet the requirements of the MSFD, in particular on monitoring progress towards achievement of good environmental status. Four Member States’ monitoring pr</w:t>
      </w:r>
      <w:r>
        <w:rPr>
          <w:noProof/>
          <w:lang w:val="en-GB"/>
        </w:rPr>
        <w:t>ogrammes could be considered as mostly appropriate, thirteen others as partially appropriate and three Member States’ monitoring programmes are not appropriate.</w:t>
      </w:r>
    </w:p>
    <w:p w:rsidR="00D64FC9" w:rsidRDefault="00394B9F">
      <w:pPr>
        <w:pStyle w:val="CorpsA"/>
        <w:rPr>
          <w:noProof/>
          <w:lang w:val="en-GB"/>
        </w:rPr>
      </w:pPr>
      <w:r>
        <w:rPr>
          <w:noProof/>
          <w:lang w:val="en-GB"/>
        </w:rPr>
        <mc:AlternateContent>
          <mc:Choice Requires="wps">
            <w:drawing>
              <wp:anchor distT="0" distB="0" distL="114300" distR="114300" simplePos="0" relativeHeight="251659264" behindDoc="0" locked="0" layoutInCell="1" allowOverlap="1">
                <wp:simplePos x="0" y="0"/>
                <wp:positionH relativeFrom="column">
                  <wp:posOffset>315595</wp:posOffset>
                </wp:positionH>
                <wp:positionV relativeFrom="paragraph">
                  <wp:posOffset>3612031</wp:posOffset>
                </wp:positionV>
                <wp:extent cx="1353185" cy="21907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219075"/>
                        </a:xfrm>
                        <a:prstGeom prst="rect">
                          <a:avLst/>
                        </a:prstGeom>
                        <a:solidFill>
                          <a:srgbClr val="FFFFFF"/>
                        </a:solidFill>
                        <a:ln w="9525">
                          <a:noFill/>
                          <a:miter lim="800000"/>
                          <a:headEnd/>
                          <a:tailEnd/>
                        </a:ln>
                      </wps:spPr>
                      <wps:txbx>
                        <w:txbxContent>
                          <w:p w:rsidR="00D64FC9" w:rsidRDefault="00394B9F">
                            <w:pPr>
                              <w:rPr>
                                <w:rFonts w:asciiTheme="minorHAnsi" w:hAnsiTheme="minorHAnsi"/>
                                <w:sz w:val="14"/>
                              </w:rPr>
                            </w:pPr>
                            <w:r>
                              <w:rPr>
                                <w:rFonts w:asciiTheme="minorHAnsi" w:hAnsiTheme="minorHAnsi"/>
                                <w:sz w:val="14"/>
                              </w:rPr>
                              <w:t>Monitoring: not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85pt;margin-top:284.4pt;width:106.5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" stroked="f">
                <v:textbox>
                  <w:txbxContent>
                    <w:p>
                      <w:pPr>
                        <w:rPr>
                          <w:rFonts w:asciiTheme="minorHAnsi" w:hAnsiTheme="minorHAnsi"/>
                          <w:sz w:val="14"/>
                        </w:rPr>
                      </w:pPr>
                      <w:r>
                        <w:rPr>
                          <w:rFonts w:asciiTheme="minorHAnsi" w:hAnsiTheme="minorHAnsi"/>
                          <w:sz w:val="14"/>
                        </w:rPr>
                        <w:t>Monitoring: not appropriate</w:t>
                      </w:r>
                    </w:p>
                  </w:txbxContent>
                </v:textbox>
              </v:shape>
            </w:pict>
          </mc:Fallback>
        </mc:AlternateContent>
      </w:r>
    </w:p>
    <w:p w:rsidR="00D64FC9" w:rsidRDefault="00394B9F">
      <w:pPr>
        <w:pStyle w:val="Heading2"/>
        <w:rPr>
          <w:rFonts w:eastAsia="Times New Roman"/>
          <w:noProof/>
          <w:lang w:val="en-GB"/>
        </w:rPr>
      </w:pPr>
      <w:r>
        <w:rPr>
          <w:noProof/>
          <w:lang w:val="en-GB"/>
        </w:rPr>
        <w:t>Consistency with other EU legislation</w:t>
      </w:r>
    </w:p>
    <w:p w:rsidR="00D64FC9" w:rsidRDefault="00394B9F">
      <w:pPr>
        <w:pStyle w:val="CorpsA"/>
        <w:rPr>
          <w:noProof/>
          <w:lang w:val="en-GB"/>
        </w:rPr>
      </w:pPr>
      <w:r>
        <w:rPr>
          <w:noProof/>
          <w:lang w:val="en-GB"/>
        </w:rPr>
        <w:t>Most Member States have b</w:t>
      </w:r>
      <w:r>
        <w:rPr>
          <w:noProof/>
          <w:lang w:val="en-GB"/>
        </w:rPr>
        <w:t>ased their monitoring programmes on existing monitoring undertaken under other EU legislation or through their respective Regional Sea Conventions. The Water Framework Directive, the Habitats Directive and the Common Fisheries Policy Regulation are the pie</w:t>
      </w:r>
      <w:r>
        <w:rPr>
          <w:noProof/>
          <w:lang w:val="en-GB"/>
        </w:rPr>
        <w:t xml:space="preserve">ces of EU legislation most commonly linked to the MSFD monitoring programmes. In that sense, it can be considered that monitoring programmes are generally consistent with other relevant legal obligations. </w:t>
      </w:r>
    </w:p>
    <w:p w:rsidR="00D64FC9" w:rsidRDefault="00394B9F">
      <w:pPr>
        <w:pStyle w:val="CorpsA"/>
        <w:rPr>
          <w:noProof/>
          <w:lang w:val="en-GB"/>
        </w:rPr>
      </w:pPr>
      <w:r>
        <w:rPr>
          <w:noProof/>
          <w:lang w:val="en-GB"/>
        </w:rPr>
        <w:t>Marine litter (Descriptor 10) and underwater noise</w:t>
      </w:r>
      <w:r>
        <w:rPr>
          <w:noProof/>
          <w:lang w:val="en-GB"/>
        </w:rPr>
        <w:t xml:space="preserve"> (Descriptor 11) monitoring programmes are the only monitoring programmes that are being put in place exclusively because of the MSFD.</w:t>
      </w:r>
    </w:p>
    <w:p w:rsidR="00D64FC9" w:rsidRDefault="00394B9F">
      <w:pPr>
        <w:pBdr>
          <w:top w:val="single" w:sz="4" w:space="1" w:color="auto"/>
          <w:left w:val="single" w:sz="4" w:space="0" w:color="auto"/>
          <w:bottom w:val="single" w:sz="4" w:space="1" w:color="auto"/>
          <w:right w:val="single" w:sz="4" w:space="1" w:color="auto"/>
        </w:pBdr>
        <w:jc w:val="both"/>
        <w:rPr>
          <w:b/>
          <w:noProof/>
        </w:rPr>
      </w:pPr>
      <w:r>
        <w:rPr>
          <w:b/>
          <w:noProof/>
        </w:rPr>
        <w:t>Focus: Monitoring programme for marine litter</w:t>
      </w:r>
    </w:p>
    <w:p w:rsidR="00D64FC9" w:rsidRDefault="00D64FC9">
      <w:pPr>
        <w:pBdr>
          <w:top w:val="single" w:sz="4" w:space="1" w:color="auto"/>
          <w:left w:val="single" w:sz="4" w:space="0" w:color="auto"/>
          <w:bottom w:val="single" w:sz="4" w:space="1" w:color="auto"/>
          <w:right w:val="single" w:sz="4" w:space="1" w:color="auto"/>
        </w:pBdr>
        <w:jc w:val="both"/>
        <w:rPr>
          <w:noProof/>
        </w:rPr>
      </w:pPr>
    </w:p>
    <w:p w:rsidR="00D64FC9" w:rsidRDefault="00394B9F">
      <w:pPr>
        <w:pBdr>
          <w:top w:val="single" w:sz="4" w:space="1" w:color="auto"/>
          <w:left w:val="single" w:sz="4" w:space="0" w:color="auto"/>
          <w:bottom w:val="single" w:sz="4" w:space="1" w:color="auto"/>
          <w:right w:val="single" w:sz="4" w:space="1" w:color="auto"/>
        </w:pBdr>
        <w:jc w:val="both"/>
        <w:rPr>
          <w:noProof/>
        </w:rPr>
      </w:pPr>
      <w:r>
        <w:rPr>
          <w:noProof/>
        </w:rPr>
        <w:t>Almost all reporting Member States have developed programmes to monitor ma</w:t>
      </w:r>
      <w:r>
        <w:rPr>
          <w:noProof/>
        </w:rPr>
        <w:t xml:space="preserve">rine litter, which is encouraging. </w:t>
      </w:r>
    </w:p>
    <w:p w:rsidR="00D64FC9" w:rsidRDefault="00D64FC9">
      <w:pPr>
        <w:pBdr>
          <w:top w:val="single" w:sz="4" w:space="1" w:color="auto"/>
          <w:left w:val="single" w:sz="4" w:space="0" w:color="auto"/>
          <w:bottom w:val="single" w:sz="4" w:space="1" w:color="auto"/>
          <w:right w:val="single" w:sz="4" w:space="1" w:color="auto"/>
        </w:pBdr>
        <w:jc w:val="both"/>
        <w:rPr>
          <w:noProof/>
        </w:rPr>
      </w:pPr>
    </w:p>
    <w:p w:rsidR="00D64FC9" w:rsidRDefault="00394B9F">
      <w:pPr>
        <w:pBdr>
          <w:top w:val="single" w:sz="4" w:space="1" w:color="auto"/>
          <w:left w:val="single" w:sz="4" w:space="0" w:color="auto"/>
          <w:bottom w:val="single" w:sz="4" w:space="1" w:color="auto"/>
          <w:right w:val="single" w:sz="4" w:space="1" w:color="auto"/>
        </w:pBdr>
        <w:jc w:val="both"/>
        <w:rPr>
          <w:noProof/>
        </w:rPr>
      </w:pPr>
      <w:r>
        <w:rPr>
          <w:noProof/>
        </w:rPr>
        <w:t xml:space="preserve">There is appropriate spatial coverage and frequency of monitoring litter on the beach. In the North-East Atlantic Ocean, </w:t>
      </w:r>
      <w:r>
        <w:rPr>
          <w:noProof/>
          <w:lang w:val="en-GB"/>
        </w:rPr>
        <w:t xml:space="preserve">ingested </w:t>
      </w:r>
      <w:r>
        <w:rPr>
          <w:noProof/>
        </w:rPr>
        <w:t xml:space="preserve">litter is also monitored systematically in seabird </w:t>
      </w:r>
      <w:r>
        <w:rPr>
          <w:noProof/>
          <w:lang w:val="en-GB"/>
        </w:rPr>
        <w:t>strandings</w:t>
      </w:r>
      <w:r>
        <w:rPr>
          <w:noProof/>
        </w:rPr>
        <w:t>. A satisfactory degree of c</w:t>
      </w:r>
      <w:r>
        <w:rPr>
          <w:noProof/>
        </w:rPr>
        <w:t>onsistency in monitoring programmes is found in most marine regions, and links to international and regional standards are clear. Most Member States refer to the monitoring guidance developed by the MSFD Technical Group on Marine Litter, which provides the</w:t>
      </w:r>
      <w:r>
        <w:rPr>
          <w:noProof/>
        </w:rPr>
        <w:t xml:space="preserve"> necessary </w:t>
      </w:r>
      <w:r>
        <w:rPr>
          <w:noProof/>
          <w:lang w:val="en-GB"/>
        </w:rPr>
        <w:t>harmonisation</w:t>
      </w:r>
      <w:r>
        <w:rPr>
          <w:noProof/>
        </w:rPr>
        <w:t>.</w:t>
      </w:r>
    </w:p>
    <w:p w:rsidR="00D64FC9" w:rsidRDefault="00D64FC9">
      <w:pPr>
        <w:pBdr>
          <w:top w:val="single" w:sz="4" w:space="1" w:color="auto"/>
          <w:left w:val="single" w:sz="4" w:space="0" w:color="auto"/>
          <w:bottom w:val="single" w:sz="4" w:space="1" w:color="auto"/>
          <w:right w:val="single" w:sz="4" w:space="1" w:color="auto"/>
        </w:pBdr>
        <w:jc w:val="both"/>
        <w:rPr>
          <w:noProof/>
        </w:rPr>
      </w:pPr>
    </w:p>
    <w:p w:rsidR="00D64FC9" w:rsidRDefault="00394B9F">
      <w:pPr>
        <w:pBdr>
          <w:top w:val="single" w:sz="4" w:space="1" w:color="auto"/>
          <w:left w:val="single" w:sz="4" w:space="0" w:color="auto"/>
          <w:bottom w:val="single" w:sz="4" w:space="1" w:color="auto"/>
          <w:right w:val="single" w:sz="4" w:space="1" w:color="auto"/>
        </w:pBdr>
        <w:jc w:val="both"/>
        <w:rPr>
          <w:noProof/>
        </w:rPr>
      </w:pPr>
      <w:r>
        <w:rPr>
          <w:noProof/>
        </w:rPr>
        <w:t>Nevertheless, there are several areas</w:t>
      </w:r>
      <w:r>
        <w:rPr>
          <w:rStyle w:val="FootnoteReference"/>
          <w:noProof/>
        </w:rPr>
        <w:footnoteReference w:id="29"/>
      </w:r>
      <w:r>
        <w:rPr>
          <w:noProof/>
        </w:rPr>
        <w:t xml:space="preserve"> that need urgent improvement. For instance, litter monitoring in the seabed and water surface and monitoring of micro-litter is far from adequate. There is no systematic and comparable monit</w:t>
      </w:r>
      <w:r>
        <w:rPr>
          <w:noProof/>
        </w:rPr>
        <w:t xml:space="preserve">oring of the impact of litter on marine animals and nature. Localisation and the extent of human activities generating marine litter are often not covered by the monitoring programmes in place. </w:t>
      </w:r>
    </w:p>
    <w:p w:rsidR="00D64FC9" w:rsidRDefault="00D64FC9">
      <w:pPr>
        <w:pBdr>
          <w:top w:val="single" w:sz="4" w:space="1" w:color="auto"/>
          <w:left w:val="single" w:sz="4" w:space="0" w:color="auto"/>
          <w:bottom w:val="single" w:sz="4" w:space="1" w:color="auto"/>
          <w:right w:val="single" w:sz="4" w:space="1" w:color="auto"/>
        </w:pBdr>
        <w:jc w:val="both"/>
        <w:rPr>
          <w:noProof/>
        </w:rPr>
      </w:pPr>
    </w:p>
    <w:p w:rsidR="00D64FC9" w:rsidRDefault="00394B9F">
      <w:pPr>
        <w:pBdr>
          <w:top w:val="single" w:sz="4" w:space="1" w:color="auto"/>
          <w:left w:val="single" w:sz="4" w:space="0" w:color="auto"/>
          <w:bottom w:val="single" w:sz="4" w:space="1" w:color="auto"/>
          <w:right w:val="single" w:sz="4" w:space="1" w:color="auto"/>
        </w:pBdr>
        <w:jc w:val="both"/>
        <w:rPr>
          <w:noProof/>
        </w:rPr>
      </w:pPr>
      <w:r>
        <w:rPr>
          <w:noProof/>
        </w:rPr>
        <w:t>Last but not least, there are no agreed baselines or thresho</w:t>
      </w:r>
      <w:r>
        <w:rPr>
          <w:noProof/>
        </w:rPr>
        <w:t>lds for litter and micro-litter, which makes the monitoring of progress towards good environmental status difficult. This will also affect the EU's ability to meet internal (7</w:t>
      </w:r>
      <w:r>
        <w:rPr>
          <w:noProof/>
          <w:vertAlign w:val="superscript"/>
        </w:rPr>
        <w:t>th</w:t>
      </w:r>
      <w:r>
        <w:rPr>
          <w:noProof/>
        </w:rPr>
        <w:t xml:space="preserve"> Environment Action Programme to 2020, Circular Economy action plan</w:t>
      </w:r>
      <w:r>
        <w:rPr>
          <w:rStyle w:val="FootnoteReference"/>
          <w:noProof/>
        </w:rPr>
        <w:footnoteReference w:id="30"/>
      </w:r>
      <w:r>
        <w:rPr>
          <w:noProof/>
        </w:rPr>
        <w:t>) and inter</w:t>
      </w:r>
      <w:r>
        <w:rPr>
          <w:noProof/>
        </w:rPr>
        <w:t>national commitments.</w:t>
      </w:r>
      <w:r>
        <w:rPr>
          <w:rStyle w:val="FootnoteReference"/>
          <w:noProof/>
        </w:rPr>
        <w:footnoteReference w:id="31"/>
      </w:r>
      <w:r>
        <w:rPr>
          <w:noProof/>
        </w:rPr>
        <w:t xml:space="preserve"> </w:t>
      </w:r>
    </w:p>
    <w:p w:rsidR="00D64FC9" w:rsidRDefault="00D64FC9">
      <w:pPr>
        <w:pBdr>
          <w:top w:val="single" w:sz="4" w:space="1" w:color="auto"/>
          <w:left w:val="single" w:sz="4" w:space="0" w:color="auto"/>
          <w:bottom w:val="single" w:sz="4" w:space="1" w:color="auto"/>
          <w:right w:val="single" w:sz="4" w:space="1" w:color="auto"/>
        </w:pBdr>
        <w:jc w:val="both"/>
        <w:rPr>
          <w:noProof/>
        </w:rPr>
      </w:pPr>
    </w:p>
    <w:p w:rsidR="00D64FC9" w:rsidRDefault="00D64FC9">
      <w:pPr>
        <w:pStyle w:val="Heading2"/>
        <w:rPr>
          <w:noProof/>
          <w:lang w:val="en-GB"/>
        </w:rPr>
      </w:pPr>
    </w:p>
    <w:p w:rsidR="00D64FC9" w:rsidRDefault="00394B9F">
      <w:pPr>
        <w:pStyle w:val="Heading2"/>
        <w:rPr>
          <w:rFonts w:eastAsia="Times New Roman"/>
          <w:noProof/>
          <w:lang w:val="en-GB"/>
        </w:rPr>
      </w:pPr>
      <w:r>
        <w:rPr>
          <w:noProof/>
          <w:lang w:val="en-GB"/>
        </w:rPr>
        <w:t>Regional coherence and coordination</w:t>
      </w:r>
    </w:p>
    <w:p w:rsidR="00D64FC9" w:rsidRDefault="00394B9F">
      <w:pPr>
        <w:pStyle w:val="CorpsA"/>
        <w:rPr>
          <w:rFonts w:eastAsia="Times New Roman"/>
          <w:noProof/>
          <w:lang w:val="en-GB"/>
        </w:rPr>
      </w:pPr>
      <w:r>
        <w:rPr>
          <w:noProof/>
          <w:lang w:val="en-GB"/>
        </w:rPr>
        <w:t>Member States’ monitoring programmes were also assessed in terms of their regional coherence, within the regions defined in Article 4 of the Directive. Member States have generally referred to r</w:t>
      </w:r>
      <w:r>
        <w:rPr>
          <w:noProof/>
          <w:lang w:val="en-GB"/>
        </w:rPr>
        <w:t>egional coordination in their monitoring programmes, in particular by using indicators and standards agreed by the Regional Sea Conventions to assess environmental status under the MSFD.</w:t>
      </w:r>
    </w:p>
    <w:p w:rsidR="00D64FC9" w:rsidRDefault="00394B9F">
      <w:pPr>
        <w:pStyle w:val="CorpsA"/>
        <w:rPr>
          <w:rFonts w:eastAsia="Times New Roman"/>
          <w:noProof/>
          <w:lang w:val="en-GB"/>
        </w:rPr>
      </w:pPr>
      <w:r>
        <w:rPr>
          <w:noProof/>
          <w:lang w:val="en-GB"/>
        </w:rPr>
        <w:t>The assessment revealed a moderate to high degree of coherence within</w:t>
      </w:r>
      <w:r>
        <w:rPr>
          <w:noProof/>
          <w:lang w:val="en-GB"/>
        </w:rPr>
        <w:t xml:space="preserve"> the Member States of the Black Sea, North-East Atlantic Ocean and Baltic Sea regions respectively and a low to moderate degree in the Mediterranean Sea region.</w:t>
      </w:r>
    </w:p>
    <w:p w:rsidR="00D64FC9" w:rsidRDefault="00394B9F">
      <w:pPr>
        <w:pStyle w:val="CorpsA"/>
        <w:rPr>
          <w:noProof/>
          <w:lang w:val="en-GB"/>
        </w:rPr>
      </w:pPr>
      <w:r>
        <w:rPr>
          <w:noProof/>
          <w:lang w:val="en-GB"/>
        </w:rPr>
        <w:t xml:space="preserve">For Member States in the Black Sea, North-East Atlantic Ocean and Baltic Sea regions, the </w:t>
      </w:r>
      <w:r>
        <w:rPr>
          <w:noProof/>
          <w:lang w:val="en-GB"/>
        </w:rPr>
        <w:t>assessment shows high levels of coherence in some specific cases such as in terms of spatial scope, or the monitored elements. This is the case, for example, for monitoring of contaminants (Descriptors 8 and 9) and marine litter (Descriptor 10) in the Balt</w:t>
      </w:r>
      <w:r>
        <w:rPr>
          <w:noProof/>
          <w:lang w:val="en-GB"/>
        </w:rPr>
        <w:t>ic Sea and Black Sea regions. Overall, monitoring across the sea-basin appears more harmonised in the case of the Baltic Sea and the North-East Atlantic Ocean (including non-EU Member States).</w:t>
      </w:r>
    </w:p>
    <w:p w:rsidR="00D64FC9" w:rsidRDefault="00394B9F">
      <w:pPr>
        <w:pStyle w:val="CorpsA"/>
        <w:rPr>
          <w:rFonts w:eastAsia="Times New Roman"/>
          <w:noProof/>
        </w:rPr>
      </w:pPr>
      <w:r>
        <w:rPr>
          <w:noProof/>
          <w:lang w:val="en-GB"/>
        </w:rPr>
        <w:t xml:space="preserve">Member States whose waters are part of the North-East Atlantic </w:t>
      </w:r>
      <w:r>
        <w:rPr>
          <w:noProof/>
          <w:lang w:val="en-GB"/>
        </w:rPr>
        <w:t xml:space="preserve">Ocean region have created monitoring programmes at regional level for all descriptors; however, further work is required to make these more consistent, for example with regard to non-indigenous species (Descriptor 2) where coverage is limited as only five </w:t>
      </w:r>
      <w:r>
        <w:rPr>
          <w:noProof/>
          <w:lang w:val="en-GB"/>
        </w:rPr>
        <w:t xml:space="preserve">Member States have reported monitoring programmes for this descriptor. </w:t>
      </w:r>
    </w:p>
    <w:p w:rsidR="00D64FC9" w:rsidRDefault="00394B9F">
      <w:pPr>
        <w:pStyle w:val="CorpsA"/>
        <w:rPr>
          <w:noProof/>
          <w:lang w:val="en-GB"/>
        </w:rPr>
      </w:pPr>
      <w:r>
        <w:rPr>
          <w:noProof/>
          <w:lang w:val="en-GB"/>
        </w:rPr>
        <w:t>Member States in the Mediterranean Sea region need to develop more consistent monitoring through regional efforts for a number of descriptors, such as in the case of non-indigenous spe</w:t>
      </w:r>
      <w:r>
        <w:rPr>
          <w:noProof/>
          <w:lang w:val="en-GB"/>
        </w:rPr>
        <w:t>cies (Descriptor 2) and underwater noise (Descriptor 11).</w:t>
      </w:r>
    </w:p>
    <w:p w:rsidR="00D64FC9" w:rsidRDefault="00D64FC9">
      <w:pPr>
        <w:pStyle w:val="CorpsA"/>
        <w:rPr>
          <w:noProof/>
          <w:color w:val="auto"/>
          <w:u w:color="FF0000"/>
          <w:lang w:val="en-GB"/>
        </w:rPr>
      </w:pPr>
    </w:p>
    <w:p w:rsidR="00D64FC9" w:rsidRDefault="00394B9F">
      <w:pPr>
        <w:pStyle w:val="Heading2"/>
        <w:rPr>
          <w:noProof/>
          <w:lang w:val="en-GB"/>
        </w:rPr>
      </w:pPr>
      <w:r>
        <w:rPr>
          <w:noProof/>
          <w:lang w:val="en-GB"/>
        </w:rPr>
        <w:t>Other findings</w:t>
      </w:r>
    </w:p>
    <w:p w:rsidR="00D64FC9" w:rsidRDefault="00394B9F">
      <w:pPr>
        <w:pStyle w:val="Heading2"/>
        <w:rPr>
          <w:rFonts w:eastAsia="Times New Roman"/>
          <w:b w:val="0"/>
          <w:i/>
          <w:noProof/>
          <w:lang w:val="en-GB"/>
        </w:rPr>
      </w:pPr>
      <w:r>
        <w:rPr>
          <w:b w:val="0"/>
          <w:i/>
          <w:noProof/>
          <w:lang w:val="en-GB"/>
        </w:rPr>
        <w:t>Transboundary issues of concern</w:t>
      </w:r>
    </w:p>
    <w:p w:rsidR="00D64FC9" w:rsidRDefault="00394B9F">
      <w:pPr>
        <w:pStyle w:val="CorpsA"/>
        <w:rPr>
          <w:noProof/>
          <w:lang w:val="en-GB"/>
        </w:rPr>
      </w:pPr>
      <w:r>
        <w:rPr>
          <w:noProof/>
          <w:lang w:val="en-GB"/>
        </w:rPr>
        <w:t xml:space="preserve">In addition to transboundary issues covered by some descriptors of the MSFD (such as non-indigenous species, marine litter and underwater noise) some </w:t>
      </w:r>
      <w:r>
        <w:rPr>
          <w:noProof/>
          <w:lang w:val="en-GB"/>
        </w:rPr>
        <w:t>Member States have highlighted the pressures and impacts caused by climate change, ocean acidification, as key issues of a transboundary nature that are directly or indirectly addressed through MSFD monitoring programmes.</w:t>
      </w:r>
    </w:p>
    <w:p w:rsidR="00D64FC9" w:rsidRDefault="00394B9F">
      <w:pPr>
        <w:pStyle w:val="Heading2"/>
        <w:rPr>
          <w:b w:val="0"/>
          <w:i/>
          <w:noProof/>
          <w:lang w:val="en-GB"/>
        </w:rPr>
      </w:pPr>
      <w:r>
        <w:rPr>
          <w:b w:val="0"/>
          <w:i/>
          <w:noProof/>
          <w:lang w:val="en-GB"/>
        </w:rPr>
        <w:t>An improved knowledge base</w:t>
      </w:r>
    </w:p>
    <w:p w:rsidR="00D64FC9" w:rsidRDefault="00394B9F">
      <w:pPr>
        <w:pStyle w:val="CorpsA"/>
        <w:rPr>
          <w:noProof/>
          <w:lang w:val="en-GB"/>
        </w:rPr>
      </w:pPr>
      <w:r>
        <w:rPr>
          <w:noProof/>
          <w:lang w:val="en-GB"/>
        </w:rPr>
        <w:t xml:space="preserve">Member </w:t>
      </w:r>
      <w:r>
        <w:rPr>
          <w:noProof/>
          <w:lang w:val="en-GB"/>
        </w:rPr>
        <w:t>States’ monitoring programmes will help build an improved knowledge base, especially regarding the underwater noise and sea-floor integrity descriptors (Descriptors 11 and 6). This should improve the next assessment by Member States of their marine waters,</w:t>
      </w:r>
      <w:r>
        <w:rPr>
          <w:noProof/>
          <w:lang w:val="en-GB"/>
        </w:rPr>
        <w:t xml:space="preserve"> which is due in 2018.</w:t>
      </w:r>
    </w:p>
    <w:p w:rsidR="00D64FC9" w:rsidRDefault="00394B9F">
      <w:pPr>
        <w:pStyle w:val="Heading2"/>
        <w:rPr>
          <w:b w:val="0"/>
          <w:i/>
          <w:noProof/>
          <w:lang w:val="en-GB"/>
        </w:rPr>
      </w:pPr>
      <w:r>
        <w:rPr>
          <w:b w:val="0"/>
          <w:i/>
          <w:noProof/>
          <w:lang w:val="en-GB"/>
        </w:rPr>
        <w:t>Adaptive monitoring programmes</w:t>
      </w:r>
    </w:p>
    <w:p w:rsidR="00D64FC9" w:rsidRDefault="00394B9F">
      <w:pPr>
        <w:pStyle w:val="CorpsB"/>
        <w:spacing w:after="200"/>
        <w:jc w:val="both"/>
        <w:rPr>
          <w:noProof/>
        </w:rPr>
      </w:pPr>
      <w:r>
        <w:rPr>
          <w:noProof/>
        </w:rPr>
        <w:t>Some Member States have put in place adaptive monitoring programmes, which should ensure they remain appropriate if their good environmental status or target indicators are redesigned in the light of im</w:t>
      </w:r>
      <w:r>
        <w:rPr>
          <w:noProof/>
        </w:rPr>
        <w:t>proved knowledge or new standards and practices at regional level, or to reflect changing pressures. Although flexibility is a positive feature, care is needed to ensure that these adaptive monitoring programmes do not lead to monitoring coverage being neg</w:t>
      </w:r>
      <w:r>
        <w:rPr>
          <w:noProof/>
        </w:rPr>
        <w:t xml:space="preserve">atively affected in the longer term. </w:t>
      </w:r>
    </w:p>
    <w:p w:rsidR="00D64FC9" w:rsidRDefault="00D64FC9">
      <w:pPr>
        <w:pStyle w:val="CorpsB"/>
        <w:spacing w:after="200"/>
        <w:jc w:val="both"/>
        <w:rPr>
          <w:noProof/>
        </w:rPr>
      </w:pPr>
    </w:p>
    <w:p w:rsidR="00D64FC9" w:rsidRDefault="00394B9F">
      <w:pPr>
        <w:pStyle w:val="Heading1"/>
        <w:rPr>
          <w:noProof/>
          <w:lang w:val="en-GB"/>
        </w:rPr>
      </w:pPr>
      <w:r>
        <w:rPr>
          <w:noProof/>
          <w:lang w:val="en-GB"/>
        </w:rPr>
        <w:t>3. Overall conclusion</w:t>
      </w:r>
    </w:p>
    <w:p w:rsidR="00D64FC9" w:rsidRDefault="00394B9F">
      <w:pPr>
        <w:pStyle w:val="CorpsB"/>
        <w:spacing w:after="200"/>
        <w:jc w:val="both"/>
        <w:rPr>
          <w:noProof/>
        </w:rPr>
      </w:pPr>
      <w:r>
        <w:rPr>
          <w:noProof/>
        </w:rPr>
        <w:t>The analysis of the monitoring programmes launched under the first MSFD implementation cycle shows that, even though considerable efforts have been made or will be accomplished in the near future</w:t>
      </w:r>
      <w:r>
        <w:rPr>
          <w:noProof/>
        </w:rPr>
        <w:t>, in most Member States additional action is needed to ensure an appropriate and timely coverage of the monitoring programmes. More progress needs to be made to ensure that approaches are comparable across Member States and to make sure the monitoring prog</w:t>
      </w:r>
      <w:r>
        <w:rPr>
          <w:noProof/>
        </w:rPr>
        <w:t>rammes are improved so they constitute an appropriate framework that meets the MSFD requirements.</w:t>
      </w:r>
    </w:p>
    <w:p w:rsidR="00D64FC9" w:rsidRDefault="00394B9F">
      <w:pPr>
        <w:pStyle w:val="CorpsB"/>
        <w:spacing w:after="200"/>
        <w:jc w:val="both"/>
        <w:rPr>
          <w:noProof/>
        </w:rPr>
      </w:pPr>
      <w:r>
        <w:rPr>
          <w:noProof/>
        </w:rPr>
        <w:t>An improved coverage should be ensured for descriptors that are not covered, or only partly, by existing legislations. For eight Member States, particular att</w:t>
      </w:r>
      <w:r>
        <w:rPr>
          <w:noProof/>
        </w:rPr>
        <w:t>ention should be given to ensure a full and timely monitoring coverage of the targets fixed according to Article 10 of the MSFD. Member States should consider using their monitoring programmes to gauge the effectiveness of their measures, thereby helping t</w:t>
      </w:r>
      <w:r>
        <w:rPr>
          <w:noProof/>
        </w:rPr>
        <w:t>hem assess the distance to meeting the targets they have set themselves, when updating them as required by the MSFD.</w:t>
      </w:r>
    </w:p>
    <w:p w:rsidR="00D64FC9" w:rsidRDefault="00394B9F">
      <w:pPr>
        <w:pStyle w:val="CorpsB"/>
        <w:spacing w:after="200"/>
        <w:jc w:val="both"/>
        <w:rPr>
          <w:noProof/>
        </w:rPr>
      </w:pPr>
      <w:r>
        <w:rPr>
          <w:noProof/>
        </w:rPr>
        <w:t xml:space="preserve">In terms of spatial coverage, the analysis shows that monitoring programmes seem to be located where pressure and impacts are likely to be </w:t>
      </w:r>
      <w:r>
        <w:rPr>
          <w:noProof/>
        </w:rPr>
        <w:t>the highest. This should nevertheless be confirmed by an appropriate analysis of the risks so that priorities in terms of monitoring are identified on a technical and scientific basis.</w:t>
      </w:r>
    </w:p>
    <w:p w:rsidR="00D64FC9" w:rsidRDefault="00394B9F">
      <w:pPr>
        <w:pStyle w:val="CorpsB"/>
        <w:spacing w:after="200"/>
        <w:jc w:val="both"/>
        <w:rPr>
          <w:noProof/>
        </w:rPr>
      </w:pPr>
      <w:r>
        <w:rPr>
          <w:noProof/>
        </w:rPr>
        <w:t>Only a few Member States had operational monitoring programmes in place</w:t>
      </w:r>
      <w:r>
        <w:rPr>
          <w:noProof/>
        </w:rPr>
        <w:t xml:space="preserve"> in 2014, while many are only expected to be fully in place by 2018 or even 2020. Therefore urgent progress on monitoring is needed to meet the requirements of the MSFD including the 2018 updates of the initial assessment of their marine waters and good en</w:t>
      </w:r>
      <w:r>
        <w:rPr>
          <w:noProof/>
        </w:rPr>
        <w:t xml:space="preserve">vironmental status, and importantly the achievement of good environmental status by 2020. </w:t>
      </w:r>
    </w:p>
    <w:p w:rsidR="00D64FC9" w:rsidRDefault="00394B9F">
      <w:pPr>
        <w:pStyle w:val="CorpsB"/>
        <w:spacing w:after="200"/>
        <w:jc w:val="both"/>
        <w:rPr>
          <w:noProof/>
        </w:rPr>
      </w:pPr>
      <w:r>
        <w:rPr>
          <w:noProof/>
        </w:rPr>
        <w:t>Monitoring programmes are not always adequate to ensure the effective monitoring of the status of the EU’s marine waters, towards achieving good environmental status</w:t>
      </w:r>
      <w:r>
        <w:rPr>
          <w:noProof/>
        </w:rPr>
        <w:t xml:space="preserve"> and the associated targets, set by Member States. This is particularly the case for non-indigenous species, marine litter, underwater noise and biodiversity descriptors not covered by existing legislation.</w:t>
      </w:r>
    </w:p>
    <w:p w:rsidR="00D64FC9" w:rsidRDefault="00394B9F">
      <w:pPr>
        <w:pStyle w:val="CorpsB"/>
        <w:spacing w:after="200"/>
        <w:jc w:val="both"/>
        <w:rPr>
          <w:noProof/>
        </w:rPr>
      </w:pPr>
      <w:r>
        <w:rPr>
          <w:noProof/>
        </w:rPr>
        <w:t>Further coordination among Member States, particu</w:t>
      </w:r>
      <w:r>
        <w:rPr>
          <w:noProof/>
        </w:rPr>
        <w:t>larly through action at regional and sub-regional level, is essential to deliver consistent and comparable data and improve the spatial scope of monitoring programmes. This could potentially reduce costs, through more effective monitoring across discipline</w:t>
      </w:r>
      <w:r>
        <w:rPr>
          <w:noProof/>
        </w:rPr>
        <w:t>s and among Member States.</w:t>
      </w:r>
    </w:p>
    <w:p w:rsidR="00D64FC9" w:rsidRDefault="00D64FC9">
      <w:pPr>
        <w:pStyle w:val="CorpsB"/>
        <w:spacing w:after="200"/>
        <w:jc w:val="both"/>
        <w:rPr>
          <w:noProof/>
        </w:rPr>
      </w:pPr>
    </w:p>
    <w:p w:rsidR="00D64FC9" w:rsidRDefault="00394B9F">
      <w:pPr>
        <w:pStyle w:val="Heading1"/>
        <w:rPr>
          <w:rFonts w:eastAsia="Times New Roman"/>
          <w:noProof/>
          <w:lang w:val="en-GB"/>
        </w:rPr>
      </w:pPr>
      <w:r>
        <w:rPr>
          <w:noProof/>
          <w:lang w:val="en-GB"/>
        </w:rPr>
        <w:t>4. Recommended next steps</w:t>
      </w:r>
    </w:p>
    <w:p w:rsidR="00D64FC9" w:rsidRDefault="00394B9F">
      <w:pPr>
        <w:pStyle w:val="MB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b/>
          <w:bCs/>
          <w:i/>
          <w:iCs/>
          <w:noProof/>
          <w:sz w:val="24"/>
          <w:szCs w:val="24"/>
          <w:lang w:val="en-GB"/>
        </w:rPr>
      </w:pPr>
      <w:r>
        <w:rPr>
          <w:b/>
          <w:bCs/>
          <w:i/>
          <w:iCs/>
          <w:noProof/>
          <w:sz w:val="24"/>
          <w:szCs w:val="24"/>
          <w:lang w:val="en-GB"/>
        </w:rPr>
        <w:t>The Commission considers that Member States should:</w:t>
      </w:r>
    </w:p>
    <w:p w:rsidR="00D64FC9" w:rsidRDefault="00394B9F">
      <w:pPr>
        <w:pStyle w:val="MBT"/>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lang w:val="en-GB"/>
        </w:rPr>
      </w:pPr>
      <w:r>
        <w:rPr>
          <w:noProof/>
          <w:sz w:val="24"/>
          <w:szCs w:val="24"/>
          <w:lang w:val="en-GB"/>
        </w:rPr>
        <w:t xml:space="preserve">address as soon as possible the shortcomings identified, at regional or sub-regional level, to ensure that the monitoring programmes are appropriate </w:t>
      </w:r>
      <w:r>
        <w:rPr>
          <w:noProof/>
          <w:sz w:val="24"/>
          <w:szCs w:val="24"/>
          <w:lang w:val="en-GB"/>
        </w:rPr>
        <w:t>to meet the requirements set by the MSFD,</w:t>
      </w:r>
    </w:p>
    <w:p w:rsidR="00D64FC9" w:rsidRDefault="00394B9F">
      <w:pPr>
        <w:pStyle w:val="MBT"/>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rPr>
          <w:noProof/>
          <w:sz w:val="24"/>
          <w:szCs w:val="24"/>
          <w:lang w:val="en-GB"/>
        </w:rPr>
      </w:pPr>
      <w:r>
        <w:rPr>
          <w:noProof/>
          <w:sz w:val="24"/>
          <w:szCs w:val="24"/>
          <w:lang w:val="en-GB"/>
        </w:rPr>
        <w:t xml:space="preserve">step up efforts to fully implement their monitoring programmes to avoid any gaps in assessing their marine waters, due in </w:t>
      </w:r>
      <w:r>
        <w:rPr>
          <w:noProof/>
          <w:color w:val="auto"/>
          <w:sz w:val="24"/>
          <w:szCs w:val="24"/>
          <w:lang w:val="en-GB"/>
        </w:rPr>
        <w:t>2018,</w:t>
      </w:r>
      <w:r>
        <w:rPr>
          <w:noProof/>
          <w:color w:val="auto"/>
          <w:lang w:val="en-GB"/>
        </w:rPr>
        <w:t xml:space="preserve"> </w:t>
      </w:r>
      <w:r>
        <w:rPr>
          <w:noProof/>
          <w:color w:val="auto"/>
          <w:sz w:val="24"/>
          <w:lang w:val="en-GB"/>
        </w:rPr>
        <w:t xml:space="preserve">while taking into account the ongoing review of Decision 2010/447/EU and its eventual </w:t>
      </w:r>
      <w:r>
        <w:rPr>
          <w:noProof/>
          <w:color w:val="auto"/>
          <w:sz w:val="24"/>
          <w:lang w:val="en-GB"/>
        </w:rPr>
        <w:t>outcome</w:t>
      </w:r>
      <w:r>
        <w:rPr>
          <w:noProof/>
          <w:sz w:val="24"/>
          <w:szCs w:val="24"/>
          <w:lang w:val="en-GB"/>
        </w:rPr>
        <w:t>,</w:t>
      </w:r>
    </w:p>
    <w:p w:rsidR="00D64FC9" w:rsidRDefault="00394B9F">
      <w:pPr>
        <w:pStyle w:val="MBT"/>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sz w:val="24"/>
          <w:szCs w:val="24"/>
          <w:lang w:val="en-GB"/>
        </w:rPr>
      </w:pPr>
      <w:r>
        <w:rPr>
          <w:noProof/>
          <w:sz w:val="24"/>
          <w:szCs w:val="24"/>
          <w:lang w:val="en-GB"/>
        </w:rPr>
        <w:t>ensure that the monitoring programmes adequately cover the spatial scope of the MSFD, in particular by taking into account the location of the predominant pressures and impacts, consistent with a risk-based approach,</w:t>
      </w:r>
    </w:p>
    <w:p w:rsidR="00D64FC9" w:rsidRDefault="00394B9F">
      <w:pPr>
        <w:pStyle w:val="MBT"/>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sz w:val="24"/>
          <w:szCs w:val="24"/>
          <w:lang w:val="en-GB"/>
        </w:rPr>
      </w:pPr>
      <w:r>
        <w:rPr>
          <w:noProof/>
          <w:sz w:val="24"/>
          <w:szCs w:val="24"/>
          <w:lang w:val="en-GB"/>
        </w:rPr>
        <w:t>adapt monitoring programmes to</w:t>
      </w:r>
      <w:r>
        <w:rPr>
          <w:noProof/>
          <w:sz w:val="24"/>
          <w:szCs w:val="24"/>
          <w:lang w:val="en-GB"/>
        </w:rPr>
        <w:t xml:space="preserve"> take into account future MSFD obligations, including updated to Member States' determination of good environmental status. Where good environmental status and environmental targets have not yet been identified as part of the first phase of implementation,</w:t>
      </w:r>
      <w:r>
        <w:rPr>
          <w:noProof/>
          <w:sz w:val="24"/>
          <w:szCs w:val="24"/>
          <w:lang w:val="en-GB"/>
        </w:rPr>
        <w:t xml:space="preserve"> Member States are urged to do so without delay,</w:t>
      </w:r>
    </w:p>
    <w:p w:rsidR="00D64FC9" w:rsidRDefault="00394B9F">
      <w:pPr>
        <w:pStyle w:val="MBT"/>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sz w:val="24"/>
          <w:szCs w:val="24"/>
          <w:lang w:val="en-GB"/>
        </w:rPr>
      </w:pPr>
      <w:r>
        <w:rPr>
          <w:noProof/>
          <w:sz w:val="24"/>
          <w:szCs w:val="24"/>
          <w:lang w:val="en-GB"/>
        </w:rPr>
        <w:t>seek further coherence at regional or sub-regional level through further coordination of monitoring programmes, notably through Regional Sea Conventions, including common approaches to data collection and as</w:t>
      </w:r>
      <w:r>
        <w:rPr>
          <w:noProof/>
          <w:sz w:val="24"/>
          <w:szCs w:val="24"/>
          <w:lang w:val="en-GB"/>
        </w:rPr>
        <w:t>sessment methods,</w:t>
      </w:r>
    </w:p>
    <w:p w:rsidR="00D64FC9" w:rsidRDefault="00394B9F">
      <w:pPr>
        <w:pStyle w:val="MBT"/>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noProof/>
          <w:lang w:val="en-GB"/>
        </w:rPr>
      </w:pPr>
      <w:r>
        <w:rPr>
          <w:noProof/>
          <w:sz w:val="24"/>
          <w:szCs w:val="24"/>
          <w:lang w:val="en-GB"/>
        </w:rPr>
        <w:t>take into account their programmes of measures when updating these monitoring programmes in accordance with Article 17 of the MSFD, so as to be able to measure their effectiveness in meeting the Directive's objectives.</w:t>
      </w:r>
    </w:p>
    <w:p w:rsidR="00D64FC9" w:rsidRDefault="00394B9F">
      <w:pPr>
        <w:pStyle w:val="MB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b/>
          <w:bCs/>
          <w:i/>
          <w:iCs/>
          <w:noProof/>
          <w:sz w:val="24"/>
          <w:szCs w:val="24"/>
          <w:lang w:val="en-GB"/>
        </w:rPr>
      </w:pPr>
      <w:r>
        <w:rPr>
          <w:b/>
          <w:bCs/>
          <w:i/>
          <w:iCs/>
          <w:noProof/>
          <w:sz w:val="24"/>
          <w:szCs w:val="24"/>
          <w:lang w:val="en-GB"/>
        </w:rPr>
        <w:t>The Commission will</w:t>
      </w:r>
      <w:r>
        <w:rPr>
          <w:b/>
          <w:bCs/>
          <w:i/>
          <w:iCs/>
          <w:noProof/>
          <w:sz w:val="24"/>
          <w:szCs w:val="24"/>
          <w:lang w:val="en-GB"/>
        </w:rPr>
        <w:t>:</w:t>
      </w:r>
    </w:p>
    <w:p w:rsidR="00D64FC9" w:rsidRDefault="00394B9F">
      <w:pPr>
        <w:pStyle w:val="MBT"/>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szCs w:val="24"/>
          <w:lang w:val="en-GB"/>
        </w:rPr>
      </w:pPr>
      <w:r>
        <w:rPr>
          <w:rFonts w:hAnsi="Times New Roman" w:cs="Times New Roman"/>
          <w:noProof/>
          <w:sz w:val="24"/>
          <w:szCs w:val="24"/>
          <w:lang w:val="en-GB"/>
        </w:rPr>
        <w:t>seek further consistency in implementing the different pieces of EU legislation that impact the marine environment. It will do so in particular through reviewing the Decision that sets the criteria and methodological standards on good environmental statu</w:t>
      </w:r>
      <w:r>
        <w:rPr>
          <w:rFonts w:hAnsi="Times New Roman" w:cs="Times New Roman"/>
          <w:noProof/>
          <w:sz w:val="24"/>
          <w:szCs w:val="24"/>
          <w:lang w:val="en-GB"/>
        </w:rPr>
        <w:t>s and through Commission initiatives to streamline monitoring and reporting obligations in environmental policy,</w:t>
      </w:r>
      <w:r>
        <w:rPr>
          <w:rFonts w:hAnsi="Times New Roman" w:cs="Times New Roman"/>
          <w:noProof/>
          <w:sz w:val="24"/>
          <w:szCs w:val="24"/>
          <w:vertAlign w:val="superscript"/>
          <w:lang w:val="en-GB"/>
        </w:rPr>
        <w:footnoteReference w:id="32"/>
      </w:r>
    </w:p>
    <w:p w:rsidR="00D64FC9" w:rsidRDefault="00394B9F">
      <w:pPr>
        <w:pStyle w:val="MBT"/>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szCs w:val="24"/>
          <w:lang w:val="en-GB"/>
        </w:rPr>
      </w:pPr>
      <w:r>
        <w:rPr>
          <w:rFonts w:hAnsi="Times New Roman" w:cs="Times New Roman"/>
          <w:noProof/>
          <w:sz w:val="24"/>
          <w:szCs w:val="24"/>
          <w:lang w:val="en-GB"/>
        </w:rPr>
        <w:t>continue joint work with Member States, as part of the Common Implementation Strategy for the MSFD,</w:t>
      </w:r>
      <w:r>
        <w:rPr>
          <w:rFonts w:hAnsi="Times New Roman" w:cs="Times New Roman"/>
          <w:noProof/>
          <w:sz w:val="24"/>
          <w:szCs w:val="24"/>
          <w:vertAlign w:val="superscript"/>
          <w:lang w:val="en-GB"/>
        </w:rPr>
        <w:footnoteReference w:id="33"/>
      </w:r>
      <w:r>
        <w:rPr>
          <w:rFonts w:hAnsi="Times New Roman" w:cs="Times New Roman"/>
          <w:noProof/>
          <w:sz w:val="24"/>
          <w:szCs w:val="24"/>
          <w:lang w:val="en-GB"/>
        </w:rPr>
        <w:t xml:space="preserve"> to ensure that the second cycle of implem</w:t>
      </w:r>
      <w:r>
        <w:rPr>
          <w:rFonts w:hAnsi="Times New Roman" w:cs="Times New Roman"/>
          <w:noProof/>
          <w:sz w:val="24"/>
          <w:szCs w:val="24"/>
          <w:lang w:val="en-GB"/>
        </w:rPr>
        <w:t>enting the MSFD (2018 and beyond) yields greater benefits and more efficiency,</w:t>
      </w:r>
    </w:p>
    <w:p w:rsidR="00D64FC9" w:rsidRDefault="00394B9F">
      <w:pPr>
        <w:pStyle w:val="MBT"/>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szCs w:val="24"/>
          <w:lang w:val="en-GB"/>
        </w:rPr>
      </w:pPr>
      <w:r>
        <w:rPr>
          <w:rFonts w:hAnsi="Times New Roman" w:cs="Times New Roman"/>
          <w:noProof/>
          <w:sz w:val="24"/>
          <w:szCs w:val="24"/>
          <w:lang w:val="en-GB"/>
        </w:rPr>
        <w:t xml:space="preserve">consider the need for further funding for strategic projects and support actions to facilitate regional and EU-wide consistency in Member States’ implementation of the MSFD, in </w:t>
      </w:r>
      <w:r>
        <w:rPr>
          <w:rFonts w:hAnsi="Times New Roman" w:cs="Times New Roman"/>
          <w:noProof/>
          <w:sz w:val="24"/>
          <w:szCs w:val="24"/>
          <w:lang w:val="en-GB"/>
        </w:rPr>
        <w:t>particular where Regional Sea Convention work is less prominent,</w:t>
      </w:r>
    </w:p>
    <w:p w:rsidR="00D64FC9" w:rsidRDefault="00394B9F">
      <w:pPr>
        <w:pStyle w:val="MBT"/>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hAnsi="Times New Roman" w:cs="Times New Roman"/>
          <w:noProof/>
          <w:sz w:val="24"/>
          <w:szCs w:val="24"/>
          <w:lang w:val="en-GB"/>
        </w:rPr>
      </w:pPr>
      <w:r>
        <w:rPr>
          <w:rFonts w:hAnsi="Times New Roman" w:cs="Times New Roman"/>
          <w:noProof/>
          <w:sz w:val="24"/>
          <w:szCs w:val="24"/>
          <w:lang w:val="en-GB"/>
        </w:rPr>
        <w:t>on the basis of the Member States' individual assessments (available in the accompanying staff working document), launch a specific and focused dialogue with Member States at significant risk</w:t>
      </w:r>
      <w:r>
        <w:rPr>
          <w:rFonts w:hAnsi="Times New Roman" w:cs="Times New Roman"/>
          <w:noProof/>
          <w:sz w:val="24"/>
          <w:szCs w:val="24"/>
          <w:lang w:val="en-GB"/>
        </w:rPr>
        <w:t xml:space="preserve"> of not meeting the requirements of the MSFD in order to ensure their compliance with the Directive.</w:t>
      </w:r>
    </w:p>
    <w:sectPr w:rsidR="00D64FC9">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FD78B2" w15:done="0"/>
  <w15:commentEx w15:paraId="770C3115" w15:done="0"/>
  <w15:commentEx w15:paraId="20525FA3" w15:done="0"/>
  <w15:commentEx w15:paraId="5067E9B9" w15:done="0"/>
  <w15:commentEx w15:paraId="3D7E416A" w15:done="0"/>
  <w15:commentEx w15:paraId="2FA045DE" w15:done="0"/>
  <w15:commentEx w15:paraId="00F60DA0" w15:done="0"/>
  <w15:commentEx w15:paraId="7A75536A" w15:done="0"/>
  <w15:commentEx w15:paraId="020E14BB" w15:done="0"/>
  <w15:commentEx w15:paraId="713DF550" w15:done="0"/>
  <w15:commentEx w15:paraId="70F904C9" w15:done="0"/>
  <w15:commentEx w15:paraId="1C397434" w15:done="0"/>
  <w15:commentEx w15:paraId="632BB8FE" w15:done="0"/>
  <w15:commentEx w15:paraId="1F64DAC4" w15:done="0"/>
  <w15:commentEx w15:paraId="7B2959A8" w15:done="0"/>
  <w15:commentEx w15:paraId="7C6174AB" w15:done="0"/>
  <w15:commentEx w15:paraId="41C5C107" w15:done="0"/>
  <w15:commentEx w15:paraId="5A8AFB97" w15:done="0"/>
  <w15:commentEx w15:paraId="20E2A5BA" w15:done="0"/>
  <w15:commentEx w15:paraId="31FC8A31" w15:done="0"/>
  <w15:commentEx w15:paraId="404E476D" w15:done="0"/>
  <w15:commentEx w15:paraId="16170155" w15:done="0"/>
  <w15:commentEx w15:paraId="0B9AE077" w15:done="0"/>
  <w15:commentEx w15:paraId="4FA1ECC0" w15:done="0"/>
  <w15:commentEx w15:paraId="12047272" w15:done="0"/>
  <w15:commentEx w15:paraId="4FA73A15" w15:done="0"/>
  <w15:commentEx w15:paraId="17318B65" w15:done="0"/>
  <w15:commentEx w15:paraId="62BD6D84" w15:done="0"/>
  <w15:commentEx w15:paraId="181F5A44" w15:done="0"/>
  <w15:commentEx w15:paraId="05D6991B" w15:done="0"/>
  <w15:commentEx w15:paraId="14BC4F58" w15:done="0"/>
  <w15:commentEx w15:paraId="173C8EBB" w15:done="0"/>
  <w15:commentEx w15:paraId="093C5269" w15:done="0"/>
  <w15:commentEx w15:paraId="6A323BA4" w15:done="0"/>
  <w15:commentEx w15:paraId="2426F6F2" w15:done="0"/>
  <w15:commentEx w15:paraId="05DC58C4" w15:done="0"/>
  <w15:commentEx w15:paraId="523FF459" w15:done="0"/>
  <w15:commentEx w15:paraId="7A8DDA03" w15:done="0"/>
  <w15:commentEx w15:paraId="071CE2E5" w15:done="0"/>
  <w15:commentEx w15:paraId="7A393046" w15:done="0"/>
  <w15:commentEx w15:paraId="7EFDD966" w15:done="0"/>
  <w15:commentEx w15:paraId="6B8A1484" w15:done="0"/>
  <w15:commentEx w15:paraId="2B41EC8A" w15:done="0"/>
  <w15:commentEx w15:paraId="1B1C22DB" w15:done="0"/>
  <w15:commentEx w15:paraId="2171F24B" w15:done="0"/>
  <w15:commentEx w15:paraId="445CDCE6" w15:done="0"/>
  <w15:commentEx w15:paraId="60E65A84" w15:done="0"/>
  <w15:commentEx w15:paraId="26EA863E" w15:paraIdParent="60E65A84" w15:done="0"/>
  <w15:commentEx w15:paraId="002B6BC6" w15:done="0"/>
  <w15:commentEx w15:paraId="1CD23B09" w15:done="0"/>
  <w15:commentEx w15:paraId="482F9346" w15:done="0"/>
  <w15:commentEx w15:paraId="6431C5D6" w15:done="0"/>
  <w15:commentEx w15:paraId="0A9EA903" w15:done="0"/>
  <w15:commentEx w15:paraId="03C67F6E" w15:done="0"/>
  <w15:commentEx w15:paraId="711360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FC9" w:rsidRDefault="00394B9F">
      <w:r>
        <w:separator/>
      </w:r>
    </w:p>
  </w:endnote>
  <w:endnote w:type="continuationSeparator" w:id="0">
    <w:p w:rsidR="00D64FC9" w:rsidRDefault="00394B9F">
      <w:r>
        <w:continuationSeparator/>
      </w:r>
    </w:p>
  </w:endnote>
  <w:endnote w:type="continuationNotice" w:id="1">
    <w:p w:rsidR="00D64FC9" w:rsidRDefault="00D64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C9" w:rsidRDefault="00D64F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C9" w:rsidRDefault="00394B9F">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C9" w:rsidRDefault="00D64FC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C9" w:rsidRDefault="00D64F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460453"/>
      <w:docPartObj>
        <w:docPartGallery w:val="Page Numbers (Bottom of Page)"/>
        <w:docPartUnique/>
      </w:docPartObj>
    </w:sdtPr>
    <w:sdtEndPr>
      <w:rPr>
        <w:noProof/>
      </w:rPr>
    </w:sdtEndPr>
    <w:sdtContent>
      <w:p w:rsidR="00D64FC9" w:rsidRDefault="00394B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64FC9" w:rsidRDefault="00D64F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C9" w:rsidRDefault="00D64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FC9" w:rsidRDefault="00394B9F">
      <w:r>
        <w:separator/>
      </w:r>
    </w:p>
  </w:footnote>
  <w:footnote w:type="continuationSeparator" w:id="0">
    <w:p w:rsidR="00D64FC9" w:rsidRDefault="00394B9F">
      <w:r>
        <w:continuationSeparator/>
      </w:r>
    </w:p>
  </w:footnote>
  <w:footnote w:type="continuationNotice" w:id="1">
    <w:p w:rsidR="00D64FC9" w:rsidRDefault="00D64FC9"/>
  </w:footnote>
  <w:footnote w:id="2">
    <w:p w:rsidR="00D64FC9" w:rsidRDefault="00394B9F">
      <w:pPr>
        <w:pStyle w:val="CorpsB"/>
        <w:rPr>
          <w:sz w:val="16"/>
          <w:szCs w:val="16"/>
        </w:rPr>
      </w:pPr>
      <w:r>
        <w:rPr>
          <w:sz w:val="16"/>
          <w:szCs w:val="16"/>
          <w:vertAlign w:val="superscript"/>
        </w:rPr>
        <w:footnoteRef/>
      </w:r>
      <w:r>
        <w:rPr>
          <w:rFonts w:eastAsia="Arial Unicode MS" w:hAnsi="Arial Unicode MS" w:cs="Arial Unicode MS"/>
          <w:sz w:val="16"/>
          <w:szCs w:val="16"/>
        </w:rPr>
        <w:t xml:space="preserve"> </w:t>
      </w:r>
      <w:r>
        <w:rPr>
          <w:rFonts w:eastAsia="Arial Unicode MS" w:hAnsi="Arial Unicode MS"/>
          <w:sz w:val="16"/>
        </w:rPr>
        <w:t>Directive 2008/56/EC of the European Parliament and of the Council of 17</w:t>
      </w:r>
      <w:r>
        <w:rPr>
          <w:rFonts w:eastAsia="Arial Unicode MS" w:hAnsi="Arial Unicode MS" w:cs="Arial Unicode MS"/>
          <w:sz w:val="16"/>
          <w:szCs w:val="16"/>
        </w:rPr>
        <w:t> </w:t>
      </w:r>
      <w:r>
        <w:rPr>
          <w:rFonts w:eastAsia="Arial Unicode MS" w:hAnsi="Arial Unicode MS"/>
          <w:sz w:val="16"/>
        </w:rPr>
        <w:t xml:space="preserve">June 2008 establishing a framework </w:t>
      </w:r>
      <w:r>
        <w:rPr>
          <w:rFonts w:eastAsia="Arial Unicode MS" w:hAnsi="Arial Unicode MS"/>
          <w:sz w:val="16"/>
        </w:rPr>
        <w:t>for community action in the field of marine environmental policy (Marine Strategy Framework Directive), (OJ L 164, 25.6.2008, p. 19).</w:t>
      </w:r>
    </w:p>
  </w:footnote>
  <w:footnote w:id="3">
    <w:p w:rsidR="00D64FC9" w:rsidRDefault="00394B9F">
      <w:pPr>
        <w:pStyle w:val="FootnoteText"/>
        <w:rPr>
          <w:sz w:val="16"/>
          <w:szCs w:val="16"/>
          <w:lang w:val="en-GB"/>
        </w:rPr>
      </w:pPr>
      <w:r>
        <w:rPr>
          <w:sz w:val="16"/>
          <w:szCs w:val="16"/>
          <w:vertAlign w:val="superscript"/>
          <w:lang w:val="en-GB"/>
        </w:rPr>
        <w:footnoteRef/>
      </w:r>
      <w:r>
        <w:rPr>
          <w:rFonts w:eastAsia="Arial Unicode MS" w:hAnsi="Arial Unicode MS" w:cs="Arial Unicode MS"/>
          <w:sz w:val="16"/>
          <w:szCs w:val="16"/>
          <w:lang w:val="en-GB"/>
        </w:rPr>
        <w:t xml:space="preserve"> The 11 qualitative descriptors are defined in Annex I of the MSFD and include D1</w:t>
      </w:r>
      <w:r>
        <w:rPr>
          <w:rFonts w:ascii="Arial Unicode MS" w:eastAsia="Arial Unicode MS" w:cs="Arial Unicode MS"/>
          <w:sz w:val="16"/>
          <w:szCs w:val="16"/>
          <w:lang w:val="en-GB"/>
        </w:rPr>
        <w:t>–</w:t>
      </w:r>
      <w:r>
        <w:rPr>
          <w:rFonts w:ascii="Arial Unicode MS" w:eastAsia="Arial Unicode MS" w:cs="Arial Unicode MS"/>
          <w:sz w:val="16"/>
          <w:szCs w:val="16"/>
          <w:lang w:val="en-GB"/>
        </w:rPr>
        <w:t xml:space="preserve"> </w:t>
      </w:r>
      <w:r>
        <w:rPr>
          <w:rFonts w:eastAsia="Arial Unicode MS" w:hAnsi="Arial Unicode MS" w:cs="Arial Unicode MS"/>
          <w:sz w:val="16"/>
          <w:szCs w:val="16"/>
          <w:lang w:val="en-GB"/>
        </w:rPr>
        <w:t xml:space="preserve">Biodiversity, D2 </w:t>
      </w:r>
      <w:r>
        <w:rPr>
          <w:rFonts w:ascii="Arial Unicode MS" w:eastAsia="Arial Unicode MS" w:cs="Arial Unicode MS"/>
          <w:sz w:val="16"/>
          <w:szCs w:val="16"/>
          <w:lang w:val="en-GB"/>
        </w:rPr>
        <w:t>–</w:t>
      </w:r>
      <w:r>
        <w:rPr>
          <w:rFonts w:ascii="Arial Unicode MS" w:eastAsia="Arial Unicode MS" w:cs="Arial Unicode MS"/>
          <w:sz w:val="16"/>
          <w:szCs w:val="16"/>
          <w:lang w:val="en-GB"/>
        </w:rPr>
        <w:t xml:space="preserve"> </w:t>
      </w:r>
      <w:r>
        <w:rPr>
          <w:rFonts w:eastAsia="Arial Unicode MS" w:hAnsi="Arial Unicode MS" w:cs="Arial Unicode MS"/>
          <w:sz w:val="16"/>
          <w:szCs w:val="16"/>
          <w:lang w:val="en-GB"/>
        </w:rPr>
        <w:t>Non indigenous spec</w:t>
      </w:r>
      <w:r>
        <w:rPr>
          <w:rFonts w:eastAsia="Arial Unicode MS" w:hAnsi="Arial Unicode MS" w:cs="Arial Unicode MS"/>
          <w:sz w:val="16"/>
          <w:szCs w:val="16"/>
          <w:lang w:val="en-GB"/>
        </w:rPr>
        <w:t xml:space="preserve">ies, D3 </w:t>
      </w:r>
      <w:r>
        <w:rPr>
          <w:rFonts w:ascii="Arial Unicode MS" w:eastAsia="Arial Unicode MS" w:cs="Arial Unicode MS"/>
          <w:sz w:val="16"/>
          <w:szCs w:val="16"/>
          <w:lang w:val="en-GB"/>
        </w:rPr>
        <w:t>–</w:t>
      </w:r>
      <w:r>
        <w:rPr>
          <w:rFonts w:ascii="Arial Unicode MS" w:eastAsia="Arial Unicode MS" w:cs="Arial Unicode MS"/>
          <w:sz w:val="16"/>
          <w:szCs w:val="16"/>
          <w:lang w:val="en-GB"/>
        </w:rPr>
        <w:t xml:space="preserve"> </w:t>
      </w:r>
      <w:r>
        <w:rPr>
          <w:rFonts w:eastAsia="Arial Unicode MS" w:hAnsi="Arial Unicode MS" w:cs="Arial Unicode MS"/>
          <w:sz w:val="16"/>
          <w:szCs w:val="16"/>
          <w:lang w:val="en-GB"/>
        </w:rPr>
        <w:t xml:space="preserve">Commercial fish and shellfish, D4 </w:t>
      </w:r>
      <w:r>
        <w:rPr>
          <w:rFonts w:ascii="Arial Unicode MS" w:eastAsia="Arial Unicode MS" w:cs="Arial Unicode MS"/>
          <w:sz w:val="16"/>
          <w:szCs w:val="16"/>
          <w:lang w:val="en-GB"/>
        </w:rPr>
        <w:t>–</w:t>
      </w:r>
      <w:r>
        <w:rPr>
          <w:rFonts w:ascii="Arial Unicode MS" w:eastAsia="Arial Unicode MS" w:cs="Arial Unicode MS"/>
          <w:sz w:val="16"/>
          <w:szCs w:val="16"/>
          <w:lang w:val="en-GB"/>
        </w:rPr>
        <w:t xml:space="preserve"> </w:t>
      </w:r>
      <w:r>
        <w:rPr>
          <w:rFonts w:eastAsia="Arial Unicode MS" w:hAnsi="Arial Unicode MS" w:cs="Arial Unicode MS"/>
          <w:sz w:val="16"/>
          <w:szCs w:val="16"/>
          <w:lang w:val="en-GB"/>
        </w:rPr>
        <w:t xml:space="preserve">Food webs, D5 </w:t>
      </w:r>
      <w:r>
        <w:rPr>
          <w:rFonts w:ascii="Arial Unicode MS" w:eastAsia="Arial Unicode MS" w:cs="Arial Unicode MS"/>
          <w:sz w:val="16"/>
          <w:szCs w:val="16"/>
          <w:lang w:val="en-GB"/>
        </w:rPr>
        <w:t>–</w:t>
      </w:r>
      <w:r>
        <w:rPr>
          <w:rFonts w:ascii="Arial Unicode MS" w:eastAsia="Arial Unicode MS" w:cs="Arial Unicode MS"/>
          <w:sz w:val="16"/>
          <w:szCs w:val="16"/>
          <w:lang w:val="en-GB"/>
        </w:rPr>
        <w:t xml:space="preserve"> </w:t>
      </w:r>
      <w:r>
        <w:rPr>
          <w:rFonts w:eastAsia="Arial Unicode MS" w:hAnsi="Arial Unicode MS" w:cs="Arial Unicode MS"/>
          <w:sz w:val="16"/>
          <w:szCs w:val="16"/>
          <w:lang w:val="en-GB"/>
        </w:rPr>
        <w:t xml:space="preserve">Eutrophication, D6 </w:t>
      </w:r>
      <w:r>
        <w:rPr>
          <w:rFonts w:ascii="Arial Unicode MS" w:eastAsia="Arial Unicode MS" w:cs="Arial Unicode MS"/>
          <w:sz w:val="16"/>
          <w:szCs w:val="16"/>
          <w:lang w:val="en-GB"/>
        </w:rPr>
        <w:t>–</w:t>
      </w:r>
      <w:r>
        <w:rPr>
          <w:rFonts w:ascii="Arial Unicode MS" w:eastAsia="Arial Unicode MS" w:cs="Arial Unicode MS"/>
          <w:sz w:val="16"/>
          <w:szCs w:val="16"/>
          <w:lang w:val="en-GB"/>
        </w:rPr>
        <w:t xml:space="preserve"> </w:t>
      </w:r>
      <w:r>
        <w:rPr>
          <w:rFonts w:eastAsia="Arial Unicode MS" w:hAnsi="Arial Unicode MS" w:cs="Arial Unicode MS"/>
          <w:sz w:val="16"/>
          <w:szCs w:val="16"/>
          <w:lang w:val="en-GB"/>
        </w:rPr>
        <w:t xml:space="preserve">Sea-floor integrity, D7 </w:t>
      </w:r>
      <w:r>
        <w:rPr>
          <w:rFonts w:ascii="Arial Unicode MS" w:eastAsia="Arial Unicode MS" w:cs="Arial Unicode MS"/>
          <w:sz w:val="16"/>
          <w:szCs w:val="16"/>
          <w:lang w:val="en-GB"/>
        </w:rPr>
        <w:t>–</w:t>
      </w:r>
      <w:r>
        <w:rPr>
          <w:rFonts w:ascii="Arial Unicode MS" w:eastAsia="Arial Unicode MS" w:cs="Arial Unicode MS"/>
          <w:sz w:val="16"/>
          <w:szCs w:val="16"/>
          <w:lang w:val="en-GB"/>
        </w:rPr>
        <w:t xml:space="preserve"> </w:t>
      </w:r>
      <w:r>
        <w:rPr>
          <w:rFonts w:eastAsia="Arial Unicode MS" w:hAnsi="Arial Unicode MS" w:cs="Arial Unicode MS"/>
          <w:sz w:val="16"/>
          <w:szCs w:val="16"/>
          <w:lang w:val="en-GB"/>
        </w:rPr>
        <w:t xml:space="preserve">Hydrographical changes, D8 </w:t>
      </w:r>
      <w:r>
        <w:rPr>
          <w:rFonts w:ascii="Arial Unicode MS" w:eastAsia="Arial Unicode MS" w:cs="Arial Unicode MS"/>
          <w:sz w:val="16"/>
          <w:szCs w:val="16"/>
          <w:lang w:val="en-GB"/>
        </w:rPr>
        <w:t>–</w:t>
      </w:r>
      <w:r>
        <w:rPr>
          <w:rFonts w:ascii="Arial Unicode MS" w:eastAsia="Arial Unicode MS" w:cs="Arial Unicode MS"/>
          <w:sz w:val="16"/>
          <w:szCs w:val="16"/>
          <w:lang w:val="en-GB"/>
        </w:rPr>
        <w:t xml:space="preserve"> </w:t>
      </w:r>
      <w:r>
        <w:rPr>
          <w:rFonts w:eastAsia="Arial Unicode MS" w:hAnsi="Arial Unicode MS" w:cs="Arial Unicode MS"/>
          <w:sz w:val="16"/>
          <w:szCs w:val="16"/>
          <w:lang w:val="en-GB"/>
        </w:rPr>
        <w:t xml:space="preserve">Contaminants, D9 </w:t>
      </w:r>
      <w:r>
        <w:rPr>
          <w:rFonts w:ascii="Arial Unicode MS" w:eastAsia="Arial Unicode MS" w:cs="Arial Unicode MS"/>
          <w:sz w:val="16"/>
          <w:szCs w:val="16"/>
          <w:lang w:val="en-GB"/>
        </w:rPr>
        <w:t>–</w:t>
      </w:r>
      <w:r>
        <w:rPr>
          <w:rFonts w:ascii="Arial Unicode MS" w:eastAsia="Arial Unicode MS" w:cs="Arial Unicode MS"/>
          <w:sz w:val="16"/>
          <w:szCs w:val="16"/>
          <w:lang w:val="en-GB"/>
        </w:rPr>
        <w:t xml:space="preserve"> </w:t>
      </w:r>
      <w:r>
        <w:rPr>
          <w:rFonts w:eastAsia="Arial Unicode MS" w:hAnsi="Arial Unicode MS" w:cs="Arial Unicode MS"/>
          <w:sz w:val="16"/>
          <w:szCs w:val="16"/>
          <w:lang w:val="en-GB"/>
        </w:rPr>
        <w:t xml:space="preserve">Contaminants in seafood, D10 </w:t>
      </w:r>
      <w:r>
        <w:rPr>
          <w:rFonts w:ascii="Arial Unicode MS" w:eastAsia="Arial Unicode MS" w:cs="Arial Unicode MS"/>
          <w:sz w:val="16"/>
          <w:szCs w:val="16"/>
          <w:lang w:val="en-GB"/>
        </w:rPr>
        <w:t>–</w:t>
      </w:r>
      <w:r>
        <w:rPr>
          <w:rFonts w:ascii="Arial Unicode MS" w:eastAsia="Arial Unicode MS" w:cs="Arial Unicode MS"/>
          <w:sz w:val="16"/>
          <w:szCs w:val="16"/>
          <w:lang w:val="en-GB"/>
        </w:rPr>
        <w:t xml:space="preserve"> </w:t>
      </w:r>
      <w:r>
        <w:rPr>
          <w:rFonts w:eastAsia="Arial Unicode MS" w:hAnsi="Arial Unicode MS" w:cs="Arial Unicode MS"/>
          <w:sz w:val="16"/>
          <w:szCs w:val="16"/>
          <w:lang w:val="en-GB"/>
        </w:rPr>
        <w:t xml:space="preserve">Litter, D11 </w:t>
      </w:r>
      <w:r>
        <w:rPr>
          <w:rFonts w:ascii="Arial Unicode MS" w:eastAsia="Arial Unicode MS" w:cs="Arial Unicode MS"/>
          <w:sz w:val="16"/>
          <w:szCs w:val="16"/>
          <w:lang w:val="en-GB"/>
        </w:rPr>
        <w:t>–</w:t>
      </w:r>
      <w:r>
        <w:rPr>
          <w:rFonts w:ascii="Arial Unicode MS" w:eastAsia="Arial Unicode MS" w:cs="Arial Unicode MS"/>
          <w:sz w:val="16"/>
          <w:szCs w:val="16"/>
          <w:lang w:val="en-GB"/>
        </w:rPr>
        <w:t xml:space="preserve"> </w:t>
      </w:r>
      <w:r>
        <w:rPr>
          <w:rFonts w:eastAsia="Arial Unicode MS" w:hAnsi="Arial Unicode MS" w:cs="Arial Unicode MS"/>
          <w:sz w:val="16"/>
          <w:szCs w:val="16"/>
          <w:lang w:val="en-GB"/>
        </w:rPr>
        <w:t>Energy, including underwater noise.</w:t>
      </w:r>
      <w:r>
        <w:rPr>
          <w:sz w:val="16"/>
          <w:szCs w:val="16"/>
          <w:lang w:val="en-GB"/>
        </w:rPr>
        <w:t xml:space="preserve"> For the purpose of</w:t>
      </w:r>
      <w:r>
        <w:rPr>
          <w:sz w:val="16"/>
          <w:szCs w:val="16"/>
          <w:lang w:val="en-GB"/>
        </w:rPr>
        <w:t xml:space="preserve"> this report the Biodiversity descriptors (D1, 4 and 6) have been grouped according to the main species groups and habitat types, as follows</w:t>
      </w:r>
      <w:r>
        <w:rPr>
          <w:rFonts w:eastAsia="Arial Unicode MS" w:hAnsi="Arial Unicode MS" w:cs="Arial Unicode MS"/>
          <w:sz w:val="16"/>
          <w:szCs w:val="16"/>
          <w:lang w:val="en-GB"/>
        </w:rPr>
        <w:t>: birds, mammals and reptiles, fish and cephalopods, seabed habitats and water column habitats. This additional grou</w:t>
      </w:r>
      <w:r>
        <w:rPr>
          <w:rFonts w:eastAsia="Arial Unicode MS" w:hAnsi="Arial Unicode MS" w:cs="Arial Unicode MS"/>
          <w:sz w:val="16"/>
          <w:szCs w:val="16"/>
          <w:lang w:val="en-GB"/>
        </w:rPr>
        <w:t xml:space="preserve">ping results in a total of 13 descriptor categories.  </w:t>
      </w:r>
    </w:p>
  </w:footnote>
  <w:footnote w:id="4">
    <w:p w:rsidR="00D64FC9" w:rsidRDefault="00394B9F">
      <w:pPr>
        <w:pStyle w:val="FootnoteText"/>
      </w:pPr>
      <w:r>
        <w:rPr>
          <w:rStyle w:val="FootnoteReference"/>
        </w:rPr>
        <w:footnoteRef/>
      </w:r>
      <w:r>
        <w:t xml:space="preserve"> </w:t>
      </w:r>
      <w:proofErr w:type="gramStart"/>
      <w:r>
        <w:rPr>
          <w:rFonts w:eastAsia="Arial Unicode MS" w:hAnsi="Arial Unicode MS" w:cs="Arial Unicode MS"/>
          <w:sz w:val="16"/>
          <w:szCs w:val="16"/>
          <w:lang w:val="en-GB"/>
        </w:rPr>
        <w:t>Commission Decision 2010/477/EU of 1 September 2010 on criteria and methodological standards on good environmental status of marine water (OJ L 232, 2.9.2010, p. 14).</w:t>
      </w:r>
      <w:proofErr w:type="gramEnd"/>
    </w:p>
  </w:footnote>
  <w:footnote w:id="5">
    <w:p w:rsidR="00D64FC9" w:rsidRDefault="00394B9F">
      <w:pPr>
        <w:pStyle w:val="FootnoteText"/>
        <w:rPr>
          <w:sz w:val="16"/>
          <w:lang w:val="en-GB"/>
        </w:rPr>
      </w:pPr>
      <w:r>
        <w:rPr>
          <w:sz w:val="16"/>
          <w:vertAlign w:val="superscript"/>
          <w:lang w:val="en-GB"/>
        </w:rPr>
        <w:footnoteRef/>
      </w:r>
      <w:r>
        <w:rPr>
          <w:rFonts w:eastAsia="Arial Unicode MS" w:hAnsi="Arial Unicode MS"/>
          <w:sz w:val="16"/>
          <w:vertAlign w:val="superscript"/>
          <w:lang w:val="en-GB"/>
        </w:rPr>
        <w:t xml:space="preserve"> </w:t>
      </w:r>
      <w:r>
        <w:rPr>
          <w:rFonts w:eastAsia="Arial Unicode MS" w:hAnsi="Arial Unicode MS"/>
          <w:sz w:val="16"/>
          <w:lang w:val="en-GB"/>
        </w:rPr>
        <w:t xml:space="preserve">Report from the Commission to </w:t>
      </w:r>
      <w:r>
        <w:rPr>
          <w:rFonts w:eastAsia="Arial Unicode MS" w:hAnsi="Arial Unicode MS"/>
          <w:sz w:val="16"/>
          <w:lang w:val="en-GB"/>
        </w:rPr>
        <w:t xml:space="preserve">the Council and the European Parliament </w:t>
      </w:r>
      <w:r>
        <w:rPr>
          <w:rFonts w:eastAsia="Arial Unicode MS" w:hAnsi="Arial Unicode MS" w:cs="Arial Unicode MS"/>
          <w:sz w:val="16"/>
          <w:szCs w:val="16"/>
          <w:lang w:val="en-GB"/>
        </w:rPr>
        <w:t>‘</w:t>
      </w:r>
      <w:r>
        <w:rPr>
          <w:rFonts w:eastAsia="Arial Unicode MS" w:hAnsi="Arial Unicode MS"/>
          <w:sz w:val="16"/>
          <w:lang w:val="en-GB"/>
        </w:rPr>
        <w:t>The first phase of implementation of the Marine Strategy Framework Directive (2008/56/EC)</w:t>
      </w:r>
      <w:r>
        <w:rPr>
          <w:rFonts w:eastAsia="Arial Unicode MS" w:hAnsi="Arial Unicode MS" w:cs="Arial Unicode MS"/>
          <w:sz w:val="16"/>
          <w:szCs w:val="16"/>
          <w:lang w:val="en-GB"/>
        </w:rPr>
        <w:t xml:space="preserve"> </w:t>
      </w:r>
      <w:r>
        <w:rPr>
          <w:rFonts w:eastAsia="Arial Unicode MS" w:hAnsi="Arial Unicode MS" w:cs="Arial Unicode MS"/>
          <w:sz w:val="16"/>
          <w:szCs w:val="16"/>
          <w:lang w:val="en-GB"/>
        </w:rPr>
        <w:t>—</w:t>
      </w:r>
      <w:r>
        <w:rPr>
          <w:rFonts w:eastAsia="Arial Unicode MS" w:hAnsi="Arial Unicode MS" w:cs="Arial Unicode MS"/>
          <w:sz w:val="16"/>
          <w:szCs w:val="16"/>
          <w:lang w:val="en-GB"/>
        </w:rPr>
        <w:t xml:space="preserve"> </w:t>
      </w:r>
      <w:r>
        <w:rPr>
          <w:rFonts w:eastAsia="Arial Unicode MS" w:hAnsi="Arial Unicode MS"/>
          <w:sz w:val="16"/>
          <w:lang w:val="en-GB"/>
        </w:rPr>
        <w:t xml:space="preserve">The European </w:t>
      </w:r>
      <w:r>
        <w:rPr>
          <w:rFonts w:eastAsia="Arial Unicode MS" w:hAnsi="Arial Unicode MS" w:cs="Arial Unicode MS"/>
          <w:sz w:val="16"/>
          <w:szCs w:val="16"/>
          <w:lang w:val="en-GB"/>
        </w:rPr>
        <w:t>Commission</w:t>
      </w:r>
      <w:r>
        <w:rPr>
          <w:rFonts w:eastAsia="Arial Unicode MS" w:hAnsi="Arial Unicode MS" w:cs="Arial Unicode MS"/>
          <w:sz w:val="16"/>
          <w:szCs w:val="16"/>
          <w:lang w:val="en-GB"/>
        </w:rPr>
        <w:t>’</w:t>
      </w:r>
      <w:r>
        <w:rPr>
          <w:rFonts w:eastAsia="Arial Unicode MS" w:hAnsi="Arial Unicode MS" w:cs="Arial Unicode MS"/>
          <w:sz w:val="16"/>
          <w:szCs w:val="16"/>
          <w:lang w:val="en-GB"/>
        </w:rPr>
        <w:t>s</w:t>
      </w:r>
      <w:r>
        <w:rPr>
          <w:rFonts w:eastAsia="Arial Unicode MS" w:hAnsi="Arial Unicode MS"/>
          <w:sz w:val="16"/>
          <w:lang w:val="en-GB"/>
        </w:rPr>
        <w:t xml:space="preserve"> assessment and guidance</w:t>
      </w:r>
      <w:r>
        <w:rPr>
          <w:rFonts w:eastAsia="Arial Unicode MS" w:hAnsi="Arial Unicode MS" w:cs="Arial Unicode MS"/>
          <w:sz w:val="16"/>
          <w:szCs w:val="16"/>
          <w:lang w:val="en-GB"/>
        </w:rPr>
        <w:t>’</w:t>
      </w:r>
      <w:r>
        <w:rPr>
          <w:rFonts w:eastAsia="Arial Unicode MS" w:hAnsi="Arial Unicode MS"/>
          <w:sz w:val="16"/>
          <w:lang w:val="en-GB"/>
        </w:rPr>
        <w:t xml:space="preserve"> COM(2014)097 final</w:t>
      </w:r>
    </w:p>
  </w:footnote>
  <w:footnote w:id="6">
    <w:p w:rsidR="00D64FC9" w:rsidRDefault="00394B9F">
      <w:pPr>
        <w:pStyle w:val="FootnoteText"/>
        <w:rPr>
          <w:sz w:val="16"/>
          <w:lang w:val="en-GB"/>
        </w:rPr>
      </w:pPr>
      <w:r>
        <w:rPr>
          <w:rStyle w:val="FootnoteReference"/>
          <w:sz w:val="16"/>
          <w:lang w:val="en-GB"/>
        </w:rPr>
        <w:footnoteRef/>
      </w:r>
      <w:r>
        <w:rPr>
          <w:sz w:val="16"/>
          <w:lang w:val="en-GB"/>
        </w:rPr>
        <w:t xml:space="preserve"> This requirement is </w:t>
      </w:r>
      <w:r>
        <w:rPr>
          <w:sz w:val="16"/>
          <w:szCs w:val="16"/>
          <w:lang w:val="en-GB"/>
        </w:rPr>
        <w:t>provided for in</w:t>
      </w:r>
      <w:r>
        <w:rPr>
          <w:sz w:val="16"/>
          <w:lang w:val="en-GB"/>
        </w:rPr>
        <w:t xml:space="preserve"> Articles 5(2</w:t>
      </w:r>
      <w:proofErr w:type="gramStart"/>
      <w:r>
        <w:rPr>
          <w:sz w:val="16"/>
          <w:lang w:val="en-GB"/>
        </w:rPr>
        <w:t>)(</w:t>
      </w:r>
      <w:proofErr w:type="gramEnd"/>
      <w:r>
        <w:rPr>
          <w:sz w:val="16"/>
          <w:lang w:val="en-GB"/>
        </w:rPr>
        <w:t>a)(iv) and 11 of MSFD.</w:t>
      </w:r>
    </w:p>
  </w:footnote>
  <w:footnote w:id="7">
    <w:p w:rsidR="00D64FC9" w:rsidRDefault="00394B9F">
      <w:pPr>
        <w:pStyle w:val="FootnoteText"/>
        <w:rPr>
          <w:sz w:val="16"/>
          <w:lang w:val="en-GB"/>
        </w:rPr>
      </w:pPr>
      <w:r>
        <w:rPr>
          <w:sz w:val="16"/>
          <w:vertAlign w:val="superscript"/>
          <w:lang w:val="en-GB"/>
        </w:rPr>
        <w:footnoteRef/>
      </w:r>
      <w:r>
        <w:rPr>
          <w:rFonts w:eastAsia="Arial Unicode MS" w:hAnsi="Arial Unicode MS"/>
          <w:sz w:val="16"/>
          <w:lang w:val="en-GB"/>
        </w:rPr>
        <w:t xml:space="preserve"> This </w:t>
      </w:r>
      <w:r>
        <w:rPr>
          <w:rFonts w:eastAsia="Arial Unicode MS" w:hAnsi="Arial Unicode MS" w:cs="Arial Unicode MS"/>
          <w:sz w:val="16"/>
          <w:szCs w:val="16"/>
          <w:lang w:val="en-GB"/>
        </w:rPr>
        <w:t>obligation</w:t>
      </w:r>
      <w:r>
        <w:rPr>
          <w:rFonts w:eastAsia="Arial Unicode MS" w:hAnsi="Arial Unicode MS"/>
          <w:sz w:val="16"/>
          <w:lang w:val="en-GB"/>
        </w:rPr>
        <w:t xml:space="preserve"> </w:t>
      </w:r>
      <w:r>
        <w:rPr>
          <w:rFonts w:eastAsia="Arial Unicode MS" w:hAnsi="Arial Unicode MS" w:cs="Arial Unicode MS"/>
          <w:sz w:val="16"/>
          <w:szCs w:val="16"/>
          <w:lang w:val="en-GB"/>
        </w:rPr>
        <w:t xml:space="preserve">in </w:t>
      </w:r>
      <w:r>
        <w:rPr>
          <w:rFonts w:eastAsia="Arial Unicode MS" w:hAnsi="Arial Unicode MS"/>
          <w:sz w:val="16"/>
          <w:lang w:val="en-GB"/>
        </w:rPr>
        <w:t xml:space="preserve">the Directive </w:t>
      </w:r>
      <w:r>
        <w:rPr>
          <w:rFonts w:eastAsia="Arial Unicode MS" w:hAnsi="Arial Unicode MS" w:cs="Arial Unicode MS"/>
          <w:sz w:val="16"/>
          <w:szCs w:val="16"/>
          <w:lang w:val="en-GB"/>
        </w:rPr>
        <w:t>applies</w:t>
      </w:r>
      <w:r>
        <w:rPr>
          <w:rFonts w:eastAsia="Arial Unicode MS" w:hAnsi="Arial Unicode MS"/>
          <w:sz w:val="16"/>
          <w:lang w:val="en-GB"/>
        </w:rPr>
        <w:t xml:space="preserve"> only to the 23 coastal Member States, and not to the 5 land-locked Member States.</w:t>
      </w:r>
    </w:p>
  </w:footnote>
  <w:footnote w:id="8">
    <w:p w:rsidR="00D64FC9" w:rsidRDefault="00394B9F">
      <w:pPr>
        <w:pStyle w:val="FootnoteText"/>
      </w:pPr>
      <w:r>
        <w:rPr>
          <w:rStyle w:val="FootnoteReference"/>
        </w:rPr>
        <w:footnoteRef/>
      </w:r>
      <w:r>
        <w:t xml:space="preserve"> </w:t>
      </w:r>
      <w:r>
        <w:rPr>
          <w:sz w:val="16"/>
          <w:szCs w:val="16"/>
        </w:rPr>
        <w:t>For the purposes of this report, September 2015 was used as a cut-off date.</w:t>
      </w:r>
    </w:p>
  </w:footnote>
  <w:footnote w:id="9">
    <w:p w:rsidR="00D64FC9" w:rsidRDefault="00394B9F">
      <w:pPr>
        <w:pStyle w:val="FootnoteText"/>
        <w:rPr>
          <w:lang w:val="en-GB"/>
        </w:rPr>
      </w:pPr>
      <w:r>
        <w:rPr>
          <w:sz w:val="16"/>
          <w:vertAlign w:val="superscript"/>
          <w:lang w:val="en-GB"/>
        </w:rPr>
        <w:footnoteRef/>
      </w:r>
      <w:r>
        <w:rPr>
          <w:rFonts w:eastAsia="Arial Unicode MS" w:hAnsi="Arial Unicode MS"/>
          <w:sz w:val="16"/>
          <w:lang w:val="en-GB"/>
        </w:rPr>
        <w:t xml:space="preserve"> The UK report</w:t>
      </w:r>
      <w:r>
        <w:rPr>
          <w:rFonts w:eastAsia="Arial Unicode MS" w:hAnsi="Arial Unicode MS"/>
          <w:sz w:val="16"/>
          <w:lang w:val="en-GB"/>
        </w:rPr>
        <w:t xml:space="preserve"> excluded waters surrounding the British Overseas Territory of Gibraltar.</w:t>
      </w:r>
    </w:p>
  </w:footnote>
  <w:footnote w:id="10">
    <w:p w:rsidR="00D64FC9" w:rsidRDefault="00394B9F">
      <w:pPr>
        <w:pStyle w:val="FootnoteText"/>
        <w:rPr>
          <w:sz w:val="16"/>
          <w:lang w:val="en-GB"/>
        </w:rPr>
      </w:pPr>
      <w:r>
        <w:rPr>
          <w:sz w:val="16"/>
          <w:vertAlign w:val="superscript"/>
          <w:lang w:val="en-GB"/>
        </w:rPr>
        <w:footnoteRef/>
      </w:r>
      <w:r>
        <w:rPr>
          <w:rFonts w:eastAsia="Arial Unicode MS" w:hAnsi="Arial Unicode MS"/>
          <w:sz w:val="16"/>
          <w:lang w:val="en-GB"/>
        </w:rPr>
        <w:t xml:space="preserve"> Malta and Poland have </w:t>
      </w:r>
      <w:r>
        <w:rPr>
          <w:rFonts w:eastAsia="Arial Unicode MS" w:hAnsi="Arial Unicode MS" w:cs="Arial Unicode MS"/>
          <w:sz w:val="16"/>
          <w:szCs w:val="16"/>
          <w:lang w:val="en-GB"/>
        </w:rPr>
        <w:t xml:space="preserve">since </w:t>
      </w:r>
      <w:r>
        <w:rPr>
          <w:rFonts w:eastAsia="Arial Unicode MS" w:hAnsi="Arial Unicode MS"/>
          <w:sz w:val="16"/>
          <w:lang w:val="en-GB"/>
        </w:rPr>
        <w:t>submitted their reports, but given the late submission</w:t>
      </w:r>
      <w:r>
        <w:rPr>
          <w:rFonts w:eastAsia="Arial Unicode MS" w:hAnsi="Arial Unicode MS" w:cs="Arial Unicode MS"/>
          <w:sz w:val="16"/>
          <w:szCs w:val="16"/>
          <w:lang w:val="en-GB"/>
        </w:rPr>
        <w:t>,</w:t>
      </w:r>
      <w:r>
        <w:rPr>
          <w:rFonts w:eastAsia="Arial Unicode MS" w:hAnsi="Arial Unicode MS"/>
          <w:sz w:val="16"/>
          <w:lang w:val="en-GB"/>
        </w:rPr>
        <w:t xml:space="preserve"> an assessment of these could not be made for the purposes of this report. To date (October 2016)</w:t>
      </w:r>
      <w:r>
        <w:rPr>
          <w:rFonts w:eastAsia="Arial Unicode MS" w:hAnsi="Arial Unicode MS"/>
          <w:sz w:val="16"/>
          <w:lang w:val="en-GB"/>
        </w:rPr>
        <w:t xml:space="preserve"> Greece has not yet submitted its report. The Commission will, at a later stage, communicate and make public its assessment and guidance to the Member </w:t>
      </w:r>
      <w:r>
        <w:rPr>
          <w:rFonts w:eastAsia="Arial Unicode MS" w:hAnsi="Arial Unicode MS" w:cs="Arial Unicode MS"/>
          <w:sz w:val="16"/>
          <w:szCs w:val="16"/>
          <w:lang w:val="en-GB"/>
        </w:rPr>
        <w:t>States</w:t>
      </w:r>
      <w:r>
        <w:rPr>
          <w:rFonts w:eastAsia="Arial Unicode MS" w:hAnsi="Arial Unicode MS"/>
          <w:sz w:val="16"/>
          <w:lang w:val="en-GB"/>
        </w:rPr>
        <w:t xml:space="preserve"> not included in this report.</w:t>
      </w:r>
    </w:p>
  </w:footnote>
  <w:footnote w:id="11">
    <w:p w:rsidR="00D64FC9" w:rsidRDefault="00394B9F">
      <w:pPr>
        <w:pStyle w:val="FootnoteText"/>
      </w:pPr>
      <w:r>
        <w:rPr>
          <w:rStyle w:val="FootnoteReference"/>
        </w:rPr>
        <w:footnoteRef/>
      </w:r>
      <w:r>
        <w:t xml:space="preserve"> SWD(2017)1 final</w:t>
      </w:r>
    </w:p>
  </w:footnote>
  <w:footnote w:id="12">
    <w:p w:rsidR="00D64FC9" w:rsidRDefault="00394B9F">
      <w:pPr>
        <w:pStyle w:val="FootnoteText"/>
        <w:rPr>
          <w:sz w:val="16"/>
          <w:lang w:val="en-GB"/>
        </w:rPr>
      </w:pPr>
      <w:r>
        <w:rPr>
          <w:sz w:val="16"/>
          <w:vertAlign w:val="superscript"/>
          <w:lang w:val="en-GB"/>
        </w:rPr>
        <w:footnoteRef/>
      </w:r>
      <w:r>
        <w:rPr>
          <w:rFonts w:eastAsia="Arial Unicode MS" w:hAnsi="Arial Unicode MS"/>
          <w:sz w:val="16"/>
          <w:lang w:val="en-GB"/>
        </w:rPr>
        <w:t xml:space="preserve"> For Portugal and the United Kingdom, the </w:t>
      </w:r>
      <w:r>
        <w:rPr>
          <w:rFonts w:eastAsia="Arial Unicode MS" w:hAnsi="Arial Unicode MS" w:cs="Arial Unicode MS"/>
          <w:sz w:val="16"/>
          <w:szCs w:val="16"/>
          <w:lang w:val="en-GB"/>
        </w:rPr>
        <w:t>Commiss</w:t>
      </w:r>
      <w:r>
        <w:rPr>
          <w:rFonts w:eastAsia="Arial Unicode MS" w:hAnsi="Arial Unicode MS" w:cs="Arial Unicode MS"/>
          <w:sz w:val="16"/>
          <w:szCs w:val="16"/>
          <w:lang w:val="en-GB"/>
        </w:rPr>
        <w:t>ion</w:t>
      </w:r>
      <w:r>
        <w:rPr>
          <w:rFonts w:eastAsia="Arial Unicode MS" w:hAnsi="Arial Unicode MS" w:cs="Arial Unicode MS"/>
          <w:sz w:val="16"/>
          <w:szCs w:val="16"/>
          <w:lang w:val="en-GB"/>
        </w:rPr>
        <w:t>’</w:t>
      </w:r>
      <w:r>
        <w:rPr>
          <w:rFonts w:eastAsia="Arial Unicode MS" w:hAnsi="Arial Unicode MS" w:cs="Arial Unicode MS"/>
          <w:sz w:val="16"/>
          <w:szCs w:val="16"/>
          <w:lang w:val="en-GB"/>
        </w:rPr>
        <w:t>s</w:t>
      </w:r>
      <w:r>
        <w:rPr>
          <w:rFonts w:eastAsia="Arial Unicode MS" w:hAnsi="Arial Unicode MS"/>
          <w:sz w:val="16"/>
          <w:lang w:val="en-GB"/>
        </w:rPr>
        <w:t xml:space="preserve"> initial recommendations </w:t>
      </w:r>
      <w:r>
        <w:rPr>
          <w:rFonts w:eastAsia="Arial Unicode MS" w:hAnsi="Arial Unicode MS" w:cs="Arial Unicode MS"/>
          <w:sz w:val="16"/>
          <w:szCs w:val="16"/>
          <w:lang w:val="en-GB"/>
        </w:rPr>
        <w:t>in</w:t>
      </w:r>
      <w:r>
        <w:rPr>
          <w:rFonts w:eastAsia="Arial Unicode MS" w:hAnsi="Arial Unicode MS"/>
          <w:sz w:val="16"/>
          <w:lang w:val="en-GB"/>
        </w:rPr>
        <w:t xml:space="preserve"> its 2014 report were updated to reflect the data on Macaronesia for Portugal and on Gibraltar for the UK. </w:t>
      </w:r>
    </w:p>
  </w:footnote>
  <w:footnote w:id="13">
    <w:p w:rsidR="00D64FC9" w:rsidRDefault="00394B9F">
      <w:pPr>
        <w:pStyle w:val="FootnoteText"/>
        <w:rPr>
          <w:sz w:val="16"/>
          <w:lang w:val="en-GB"/>
        </w:rPr>
      </w:pPr>
      <w:r>
        <w:rPr>
          <w:b/>
          <w:sz w:val="16"/>
          <w:vertAlign w:val="superscript"/>
          <w:lang w:val="en-GB"/>
        </w:rPr>
        <w:footnoteRef/>
      </w:r>
      <w:r>
        <w:rPr>
          <w:rFonts w:eastAsia="Arial Unicode MS" w:hAnsi="Arial Unicode MS"/>
          <w:sz w:val="16"/>
          <w:lang w:val="en-GB"/>
        </w:rPr>
        <w:t xml:space="preserve"> This graph does not include data from Latvia, Italy and Portugal as </w:t>
      </w:r>
      <w:r>
        <w:rPr>
          <w:rFonts w:eastAsia="Arial Unicode MS" w:hAnsi="Arial Unicode MS" w:cs="Arial Unicode MS"/>
          <w:sz w:val="16"/>
          <w:szCs w:val="16"/>
          <w:lang w:val="en-GB"/>
        </w:rPr>
        <w:t>their reports</w:t>
      </w:r>
      <w:r>
        <w:rPr>
          <w:rFonts w:eastAsia="Arial Unicode MS" w:hAnsi="Arial Unicode MS"/>
          <w:sz w:val="16"/>
          <w:lang w:val="en-GB"/>
        </w:rPr>
        <w:t xml:space="preserve"> </w:t>
      </w:r>
      <w:r>
        <w:rPr>
          <w:rFonts w:eastAsia="Arial Unicode MS" w:hAnsi="Arial Unicode MS" w:cs="Arial Unicode MS"/>
          <w:sz w:val="16"/>
          <w:szCs w:val="16"/>
          <w:lang w:val="en-GB"/>
        </w:rPr>
        <w:t>were</w:t>
      </w:r>
      <w:r>
        <w:rPr>
          <w:rFonts w:eastAsia="Arial Unicode MS" w:hAnsi="Arial Unicode MS"/>
          <w:sz w:val="16"/>
          <w:lang w:val="en-GB"/>
        </w:rPr>
        <w:t xml:space="preserve"> submitted in a non-standard</w:t>
      </w:r>
      <w:r>
        <w:rPr>
          <w:rFonts w:eastAsia="Arial Unicode MS" w:hAnsi="Arial Unicode MS"/>
          <w:sz w:val="16"/>
          <w:lang w:val="en-GB"/>
        </w:rPr>
        <w:t xml:space="preserve">ised structure. The monitoring programmes cover several spatial areas, therefore could refer to coastal </w:t>
      </w:r>
      <w:r>
        <w:rPr>
          <w:rFonts w:eastAsia="Arial Unicode MS" w:hAnsi="Arial Unicode MS" w:cs="Arial Unicode MS"/>
          <w:sz w:val="16"/>
          <w:szCs w:val="16"/>
          <w:lang w:val="en-GB"/>
        </w:rPr>
        <w:t xml:space="preserve">and </w:t>
      </w:r>
      <w:r>
        <w:rPr>
          <w:rFonts w:eastAsia="Arial Unicode MS" w:hAnsi="Arial Unicode MS"/>
          <w:sz w:val="16"/>
          <w:lang w:val="en-GB"/>
        </w:rPr>
        <w:t>territorial waters.</w:t>
      </w:r>
    </w:p>
  </w:footnote>
  <w:footnote w:id="14">
    <w:p w:rsidR="00D64FC9" w:rsidRDefault="00394B9F">
      <w:pPr>
        <w:pStyle w:val="FootnoteText"/>
        <w:rPr>
          <w:sz w:val="16"/>
          <w:lang w:val="en-GB"/>
        </w:rPr>
      </w:pPr>
      <w:r>
        <w:rPr>
          <w:rStyle w:val="FootnoteReference"/>
          <w:sz w:val="16"/>
          <w:lang w:val="en-GB"/>
        </w:rPr>
        <w:footnoteRef/>
      </w:r>
      <w:r>
        <w:rPr>
          <w:sz w:val="16"/>
          <w:lang w:val="en-GB"/>
        </w:rPr>
        <w:t xml:space="preserve"> Percentages are calculated based on total number of monitoring sub-programmes reported.</w:t>
      </w:r>
    </w:p>
  </w:footnote>
  <w:footnote w:id="15">
    <w:p w:rsidR="00D64FC9" w:rsidRDefault="00394B9F">
      <w:pPr>
        <w:pStyle w:val="FootnoteText"/>
        <w:rPr>
          <w:rFonts w:eastAsia="Arial Unicode MS" w:hAnsi="Arial Unicode MS"/>
          <w:sz w:val="16"/>
          <w:lang w:val="en-GB"/>
        </w:rPr>
      </w:pPr>
      <w:r>
        <w:rPr>
          <w:sz w:val="16"/>
          <w:vertAlign w:val="superscript"/>
          <w:lang w:val="en-GB"/>
        </w:rPr>
        <w:footnoteRef/>
      </w:r>
      <w:r>
        <w:rPr>
          <w:rFonts w:eastAsia="Arial Unicode MS" w:hAnsi="Arial Unicode MS"/>
          <w:sz w:val="16"/>
          <w:lang w:val="en-GB"/>
        </w:rPr>
        <w:t xml:space="preserve"> Directive 2009/147/EC of the European Parliament and of the Council of 30 November 2009 on the conservation of wild birds (OJ L 20, 26.1.2010, p. 7)</w:t>
      </w:r>
    </w:p>
  </w:footnote>
  <w:footnote w:id="16">
    <w:p w:rsidR="00D64FC9" w:rsidRDefault="00394B9F">
      <w:pPr>
        <w:pStyle w:val="FootnoteText"/>
        <w:rPr>
          <w:sz w:val="16"/>
          <w:lang w:val="en-GB"/>
        </w:rPr>
      </w:pPr>
      <w:r>
        <w:rPr>
          <w:sz w:val="16"/>
          <w:vertAlign w:val="superscript"/>
          <w:lang w:val="en-GB"/>
        </w:rPr>
        <w:footnoteRef/>
      </w:r>
      <w:r>
        <w:rPr>
          <w:rFonts w:eastAsia="Arial Unicode MS" w:hAnsi="Arial Unicode MS"/>
          <w:sz w:val="16"/>
          <w:lang w:val="en-GB"/>
        </w:rPr>
        <w:t xml:space="preserve"> Council Directive 92/43/EEC of 21 May 1992 on the conservation of natural habitats and of wild fauna and</w:t>
      </w:r>
      <w:r>
        <w:rPr>
          <w:rFonts w:eastAsia="Arial Unicode MS" w:hAnsi="Arial Unicode MS"/>
          <w:sz w:val="16"/>
          <w:lang w:val="en-GB"/>
        </w:rPr>
        <w:t xml:space="preserve"> flora (OJ L 206, 22.7.1992, p. 7)</w:t>
      </w:r>
    </w:p>
  </w:footnote>
  <w:footnote w:id="17">
    <w:p w:rsidR="00D64FC9" w:rsidRDefault="00394B9F">
      <w:pPr>
        <w:pStyle w:val="FootnoteText"/>
        <w:rPr>
          <w:sz w:val="16"/>
          <w:lang w:val="en-GB"/>
        </w:rPr>
      </w:pPr>
      <w:r>
        <w:rPr>
          <w:sz w:val="16"/>
          <w:vertAlign w:val="superscript"/>
          <w:lang w:val="en-GB"/>
        </w:rPr>
        <w:footnoteRef/>
      </w:r>
      <w:r>
        <w:rPr>
          <w:rFonts w:eastAsia="Arial Unicode MS" w:hAnsi="Arial Unicode MS"/>
          <w:sz w:val="16"/>
          <w:lang w:val="en-GB"/>
        </w:rPr>
        <w:t xml:space="preserve"> Directive 2000/60/EC of the European Parliament and of the Council of 23 October 2000 establishing a framework for Community action in the field of water policy (OJ L 327, 22.12.2000, p. 1)</w:t>
      </w:r>
    </w:p>
  </w:footnote>
  <w:footnote w:id="18">
    <w:p w:rsidR="00D64FC9" w:rsidRDefault="00394B9F">
      <w:pPr>
        <w:pStyle w:val="FootnoteText"/>
        <w:rPr>
          <w:sz w:val="16"/>
          <w:lang w:val="en-GB"/>
        </w:rPr>
      </w:pPr>
      <w:r>
        <w:rPr>
          <w:sz w:val="16"/>
          <w:vertAlign w:val="superscript"/>
          <w:lang w:val="en-GB"/>
        </w:rPr>
        <w:footnoteRef/>
      </w:r>
      <w:r>
        <w:rPr>
          <w:rFonts w:eastAsia="Arial Unicode MS" w:hAnsi="Arial Unicode MS"/>
          <w:sz w:val="16"/>
          <w:lang w:val="en-GB"/>
        </w:rPr>
        <w:t xml:space="preserve"> Directive 2006/7/EC of the </w:t>
      </w:r>
      <w:r>
        <w:rPr>
          <w:rFonts w:eastAsia="Arial Unicode MS" w:hAnsi="Arial Unicode MS"/>
          <w:sz w:val="16"/>
          <w:lang w:val="en-GB"/>
        </w:rPr>
        <w:t>European Parliament and of the Council of 15 February 2006 concerning the management of bathing water quality and repealing Directive 76/160/EEC (OJ L 64, 4.3.2006, p. 37)</w:t>
      </w:r>
    </w:p>
  </w:footnote>
  <w:footnote w:id="19">
    <w:p w:rsidR="00D64FC9" w:rsidRDefault="00394B9F">
      <w:pPr>
        <w:pStyle w:val="FootnoteText"/>
        <w:rPr>
          <w:sz w:val="16"/>
          <w:lang w:val="en-GB"/>
        </w:rPr>
      </w:pPr>
      <w:r>
        <w:rPr>
          <w:sz w:val="16"/>
          <w:vertAlign w:val="superscript"/>
          <w:lang w:val="en-GB"/>
        </w:rPr>
        <w:footnoteRef/>
      </w:r>
      <w:r>
        <w:rPr>
          <w:rFonts w:eastAsia="Arial Unicode MS" w:hAnsi="Arial Unicode MS"/>
          <w:sz w:val="16"/>
          <w:lang w:val="en-GB"/>
        </w:rPr>
        <w:t xml:space="preserve"> Council Directive 91/676/EEC of 12 December 1991 concerning the protection of wate</w:t>
      </w:r>
      <w:r>
        <w:rPr>
          <w:rFonts w:eastAsia="Arial Unicode MS" w:hAnsi="Arial Unicode MS"/>
          <w:sz w:val="16"/>
          <w:lang w:val="en-GB"/>
        </w:rPr>
        <w:t>rs against pollution caused by nitrates from agricultural sources (OJ L 375, 31.12.1991, p. 1)</w:t>
      </w:r>
    </w:p>
  </w:footnote>
  <w:footnote w:id="20">
    <w:p w:rsidR="00D64FC9" w:rsidRDefault="00394B9F">
      <w:pPr>
        <w:pStyle w:val="FootnoteText"/>
      </w:pPr>
      <w:r>
        <w:rPr>
          <w:rStyle w:val="FootnoteReference"/>
        </w:rPr>
        <w:footnoteRef/>
      </w:r>
      <w:r>
        <w:t xml:space="preserve"> </w:t>
      </w:r>
      <w:r>
        <w:rPr>
          <w:sz w:val="16"/>
        </w:rPr>
        <w:t>Regulation (EU) No 1380/2013 of the European Parliament and of the Council of 11 December 2013 on the Common Fisheries Policy, amending Council Regulations (EC</w:t>
      </w:r>
      <w:r>
        <w:rPr>
          <w:sz w:val="16"/>
        </w:rPr>
        <w:t>) No 1954/2003 and (EC) No 1224/2009 and repealing Council Regulations (EC) No 2371/2002 and (EC) No 639/2004 and Council Decision 2004/585/EC (OJ L 354, 28.12.2013, p. 22)</w:t>
      </w:r>
    </w:p>
  </w:footnote>
  <w:footnote w:id="21">
    <w:p w:rsidR="00D64FC9" w:rsidRDefault="00394B9F">
      <w:pPr>
        <w:pStyle w:val="FootnoteText"/>
        <w:rPr>
          <w:sz w:val="16"/>
          <w:lang w:val="en-GB"/>
        </w:rPr>
      </w:pPr>
      <w:r>
        <w:rPr>
          <w:sz w:val="16"/>
          <w:szCs w:val="16"/>
          <w:vertAlign w:val="superscript"/>
          <w:lang w:val="en-GB"/>
        </w:rPr>
        <w:footnoteRef/>
      </w:r>
      <w:r>
        <w:rPr>
          <w:rFonts w:eastAsia="Arial Unicode MS" w:hAnsi="Arial Unicode MS"/>
          <w:sz w:val="16"/>
          <w:szCs w:val="16"/>
          <w:lang w:val="en-GB"/>
        </w:rPr>
        <w:t xml:space="preserve"> This descriptor refers to the introduction of energy in the marine environment, including underwater noise. Given the scientific and technical development behind this descriptor is still maturing, Member States have exclusively concentrated their efforts </w:t>
      </w:r>
      <w:r>
        <w:rPr>
          <w:rFonts w:eastAsia="Arial Unicode MS" w:hAnsi="Arial Unicode MS"/>
          <w:sz w:val="16"/>
          <w:szCs w:val="16"/>
          <w:lang w:val="en-GB"/>
        </w:rPr>
        <w:t>on underwater noise</w:t>
      </w:r>
      <w:r>
        <w:rPr>
          <w:rFonts w:eastAsia="Arial Unicode MS" w:hAnsi="Arial Unicode MS"/>
          <w:sz w:val="16"/>
          <w:lang w:val="en-GB"/>
        </w:rPr>
        <w:t xml:space="preserve">, and the descriptor will be referred to as such for the purposes of this report </w:t>
      </w:r>
      <w:r>
        <w:rPr>
          <w:rFonts w:eastAsia="Arial Unicode MS" w:hAnsi="Arial Unicode MS" w:cs="Arial Unicode MS"/>
          <w:sz w:val="16"/>
          <w:szCs w:val="16"/>
          <w:lang w:val="en-GB"/>
        </w:rPr>
        <w:t>.</w:t>
      </w:r>
    </w:p>
  </w:footnote>
  <w:footnote w:id="22">
    <w:p w:rsidR="00D64FC9" w:rsidRDefault="00394B9F">
      <w:pPr>
        <w:pStyle w:val="FootnoteText"/>
        <w:rPr>
          <w:sz w:val="16"/>
          <w:lang w:val="en-GB"/>
        </w:rPr>
      </w:pPr>
      <w:r>
        <w:rPr>
          <w:sz w:val="16"/>
          <w:vertAlign w:val="superscript"/>
          <w:lang w:val="en-GB"/>
        </w:rPr>
        <w:footnoteRef/>
      </w:r>
      <w:r>
        <w:rPr>
          <w:rFonts w:eastAsia="Arial Unicode MS" w:hAnsi="Arial Unicode MS"/>
          <w:sz w:val="16"/>
          <w:lang w:val="en-GB"/>
        </w:rPr>
        <w:t xml:space="preserve"> Transitional waters are bodies of surface water in the vicinity of river mouths which are partly saline in character as a result of their proximity to c</w:t>
      </w:r>
      <w:r>
        <w:rPr>
          <w:rFonts w:eastAsia="Arial Unicode MS" w:hAnsi="Arial Unicode MS"/>
          <w:sz w:val="16"/>
          <w:lang w:val="en-GB"/>
        </w:rPr>
        <w:t>oastal waters but which are substantially influenced by freshwater flows as defined by Directive 2000/60/EC. Coastal waters extend to 1 nautical mile from the baseline, as defined by Directive 2008/56/EC of the European Parliament and of the Council.</w:t>
      </w:r>
    </w:p>
  </w:footnote>
  <w:footnote w:id="23">
    <w:p w:rsidR="00D64FC9" w:rsidRDefault="00394B9F">
      <w:pPr>
        <w:pStyle w:val="FootnoteText"/>
        <w:rPr>
          <w:sz w:val="16"/>
          <w:lang w:val="en-GB"/>
        </w:rPr>
      </w:pPr>
      <w:r>
        <w:rPr>
          <w:sz w:val="16"/>
          <w:vertAlign w:val="superscript"/>
          <w:lang w:val="en-GB"/>
        </w:rPr>
        <w:footnoteRef/>
      </w:r>
      <w:r>
        <w:rPr>
          <w:rFonts w:eastAsia="Arial Unicode MS" w:hAnsi="Arial Unicode MS"/>
          <w:sz w:val="16"/>
          <w:lang w:val="en-GB"/>
        </w:rPr>
        <w:t xml:space="preserve"> </w:t>
      </w:r>
      <w:proofErr w:type="gramStart"/>
      <w:r>
        <w:rPr>
          <w:rFonts w:eastAsia="Arial Unicode MS" w:hAnsi="Arial Unicode MS"/>
          <w:sz w:val="16"/>
          <w:lang w:val="en-GB"/>
        </w:rPr>
        <w:t>Ter</w:t>
      </w:r>
      <w:r>
        <w:rPr>
          <w:rFonts w:eastAsia="Arial Unicode MS" w:hAnsi="Arial Unicode MS"/>
          <w:sz w:val="16"/>
          <w:lang w:val="en-GB"/>
        </w:rPr>
        <w:t>ritorial waters (out to 12 nautical miles), Exclusive Economic Zone (EEZ) (up to 200 nautical miles), Continental Shelf beyond EEZ as defined under the United Nations Convention on the Law of the Sea.</w:t>
      </w:r>
      <w:proofErr w:type="gramEnd"/>
    </w:p>
  </w:footnote>
  <w:footnote w:id="24">
    <w:p w:rsidR="00D64FC9" w:rsidRDefault="00394B9F">
      <w:pPr>
        <w:pStyle w:val="FootnoteText"/>
      </w:pPr>
      <w:r>
        <w:rPr>
          <w:rStyle w:val="FootnoteReference"/>
        </w:rPr>
        <w:footnoteRef/>
      </w:r>
      <w:r>
        <w:t xml:space="preserve"> </w:t>
      </w:r>
      <w:r>
        <w:rPr>
          <w:sz w:val="16"/>
        </w:rPr>
        <w:t>'Beyond Member States’ marine waters’ refers to areas</w:t>
      </w:r>
      <w:r>
        <w:rPr>
          <w:sz w:val="16"/>
        </w:rPr>
        <w:t xml:space="preserve"> outside the jurisdiction of the Member State (including in waters of </w:t>
      </w:r>
      <w:proofErr w:type="spellStart"/>
      <w:r>
        <w:rPr>
          <w:sz w:val="16"/>
        </w:rPr>
        <w:t>neighbouring</w:t>
      </w:r>
      <w:proofErr w:type="spellEnd"/>
      <w:r>
        <w:rPr>
          <w:sz w:val="16"/>
        </w:rPr>
        <w:t xml:space="preserve"> States).</w:t>
      </w:r>
    </w:p>
  </w:footnote>
  <w:footnote w:id="25">
    <w:p w:rsidR="00D64FC9" w:rsidRDefault="00394B9F">
      <w:pPr>
        <w:pStyle w:val="FootnoteText"/>
        <w:rPr>
          <w:lang w:val="en-GB"/>
        </w:rPr>
      </w:pPr>
      <w:r>
        <w:rPr>
          <w:rStyle w:val="FootnoteReference"/>
          <w:lang w:val="en-GB"/>
        </w:rPr>
        <w:footnoteRef/>
      </w:r>
      <w:r>
        <w:rPr>
          <w:lang w:val="en-GB"/>
        </w:rPr>
        <w:t xml:space="preserve"> </w:t>
      </w:r>
      <w:r>
        <w:rPr>
          <w:sz w:val="16"/>
          <w:lang w:val="en-GB"/>
        </w:rPr>
        <w:t>The sum of the different monitoring activities is greater than 100%, as programmes and their functions overlap. No data from Latvia, Italy or Portugal are include</w:t>
      </w:r>
      <w:r>
        <w:rPr>
          <w:sz w:val="16"/>
          <w:lang w:val="en-GB"/>
        </w:rPr>
        <w:t xml:space="preserve">d in this chart, as </w:t>
      </w:r>
      <w:r>
        <w:rPr>
          <w:rFonts w:eastAsia="Arial Unicode MS" w:hAnsi="Arial Unicode MS" w:cs="Arial Unicode MS"/>
          <w:sz w:val="16"/>
          <w:szCs w:val="16"/>
          <w:lang w:val="en-GB"/>
        </w:rPr>
        <w:t>their reports</w:t>
      </w:r>
      <w:r>
        <w:rPr>
          <w:rFonts w:eastAsia="Arial Unicode MS" w:hAnsi="Arial Unicode MS"/>
          <w:sz w:val="16"/>
          <w:lang w:val="en-GB"/>
        </w:rPr>
        <w:t xml:space="preserve"> </w:t>
      </w:r>
      <w:r>
        <w:rPr>
          <w:rFonts w:eastAsia="Arial Unicode MS" w:hAnsi="Arial Unicode MS" w:cs="Arial Unicode MS"/>
          <w:sz w:val="16"/>
          <w:szCs w:val="16"/>
          <w:lang w:val="en-GB"/>
        </w:rPr>
        <w:t>were</w:t>
      </w:r>
      <w:r>
        <w:rPr>
          <w:rFonts w:eastAsia="Arial Unicode MS" w:hAnsi="Arial Unicode MS"/>
          <w:sz w:val="16"/>
          <w:lang w:val="en-GB"/>
        </w:rPr>
        <w:t xml:space="preserve"> submitted in a non-standardised structure</w:t>
      </w:r>
      <w:r>
        <w:rPr>
          <w:sz w:val="16"/>
          <w:lang w:val="en-GB"/>
        </w:rPr>
        <w:t>.</w:t>
      </w:r>
    </w:p>
  </w:footnote>
  <w:footnote w:id="26">
    <w:p w:rsidR="00D64FC9" w:rsidRDefault="00394B9F">
      <w:pPr>
        <w:pStyle w:val="FootnoteText"/>
        <w:rPr>
          <w:sz w:val="16"/>
          <w:szCs w:val="16"/>
          <w:lang w:val="en-GB"/>
        </w:rPr>
      </w:pPr>
      <w:r>
        <w:rPr>
          <w:sz w:val="16"/>
          <w:szCs w:val="16"/>
          <w:vertAlign w:val="superscript"/>
          <w:lang w:val="en-GB"/>
        </w:rPr>
        <w:footnoteRef/>
      </w:r>
      <w:r>
        <w:rPr>
          <w:rFonts w:eastAsia="Arial Unicode MS" w:hAnsi="Arial Unicode MS" w:cs="Arial Unicode MS"/>
          <w:sz w:val="16"/>
          <w:szCs w:val="16"/>
          <w:lang w:val="en-GB"/>
        </w:rPr>
        <w:t xml:space="preserve"> </w:t>
      </w:r>
      <w:r>
        <w:rPr>
          <w:rFonts w:eastAsia="Arial Unicode MS" w:hAnsi="Arial Unicode MS" w:cs="Arial Unicode MS"/>
          <w:sz w:val="16"/>
          <w:szCs w:val="16"/>
          <w:lang w:val="en-GB"/>
        </w:rPr>
        <w:t>‘</w:t>
      </w:r>
      <w:r>
        <w:rPr>
          <w:rFonts w:eastAsia="Arial Unicode MS" w:hAnsi="Arial Unicode MS"/>
          <w:sz w:val="16"/>
          <w:szCs w:val="16"/>
          <w:lang w:val="en-GB"/>
        </w:rPr>
        <w:t>Not reported</w:t>
      </w:r>
      <w:r>
        <w:rPr>
          <w:rFonts w:eastAsia="Arial Unicode MS" w:hAnsi="Arial Unicode MS" w:cs="Arial Unicode MS"/>
          <w:sz w:val="16"/>
          <w:szCs w:val="16"/>
          <w:lang w:val="en-GB"/>
        </w:rPr>
        <w:t>’</w:t>
      </w:r>
      <w:r>
        <w:rPr>
          <w:rFonts w:eastAsia="Arial Unicode MS" w:hAnsi="Arial Unicode MS" w:cs="Arial Unicode MS"/>
          <w:sz w:val="16"/>
          <w:szCs w:val="16"/>
          <w:lang w:val="en-GB"/>
        </w:rPr>
        <w:t>:</w:t>
      </w:r>
      <w:r>
        <w:rPr>
          <w:rFonts w:eastAsia="Arial Unicode MS" w:hAnsi="Arial Unicode MS"/>
          <w:sz w:val="16"/>
          <w:szCs w:val="16"/>
          <w:lang w:val="en-GB"/>
        </w:rPr>
        <w:t xml:space="preserve"> timeline of coverage of good environmental status not reported.</w:t>
      </w:r>
    </w:p>
  </w:footnote>
  <w:footnote w:id="27">
    <w:p w:rsidR="00D64FC9" w:rsidRDefault="00394B9F">
      <w:pPr>
        <w:pStyle w:val="FootnoteText"/>
        <w:rPr>
          <w:sz w:val="16"/>
          <w:szCs w:val="16"/>
          <w:lang w:val="en-GB"/>
        </w:rPr>
      </w:pPr>
      <w:r>
        <w:rPr>
          <w:rStyle w:val="FootnoteReference"/>
          <w:sz w:val="16"/>
          <w:szCs w:val="16"/>
        </w:rPr>
        <w:footnoteRef/>
      </w:r>
      <w:r>
        <w:rPr>
          <w:sz w:val="16"/>
          <w:szCs w:val="16"/>
        </w:rPr>
        <w:t xml:space="preserve"> </w:t>
      </w:r>
      <w:r>
        <w:rPr>
          <w:sz w:val="16"/>
          <w:szCs w:val="16"/>
          <w:lang w:val="en-GB"/>
        </w:rPr>
        <w:t>As explained in footnote 2 above, 13 categories of descriptors have been defined.</w:t>
      </w:r>
    </w:p>
  </w:footnote>
  <w:footnote w:id="28">
    <w:p w:rsidR="00D64FC9" w:rsidRDefault="00394B9F">
      <w:pPr>
        <w:pStyle w:val="FootnoteText"/>
        <w:rPr>
          <w:lang w:val="en-GB"/>
        </w:rPr>
      </w:pPr>
      <w:r>
        <w:rPr>
          <w:rStyle w:val="FootnoteReference"/>
        </w:rPr>
        <w:footnoteRef/>
      </w:r>
      <w:r>
        <w:t xml:space="preserve"> </w:t>
      </w:r>
      <w:r>
        <w:rPr>
          <w:lang w:val="en-GB"/>
        </w:rPr>
        <w:t xml:space="preserve">In line with Article 10 of the MSFD, Member States had to define environmental targets  in order to meet the Good environmental status of their marine waters </w:t>
      </w:r>
    </w:p>
  </w:footnote>
  <w:footnote w:id="29">
    <w:p w:rsidR="00D64FC9" w:rsidRDefault="00394B9F">
      <w:pPr>
        <w:pStyle w:val="FootnoteText"/>
      </w:pPr>
      <w:r>
        <w:rPr>
          <w:rStyle w:val="FootnoteReference"/>
          <w:sz w:val="16"/>
          <w:szCs w:val="16"/>
        </w:rPr>
        <w:footnoteRef/>
      </w:r>
      <w:r>
        <w:rPr>
          <w:sz w:val="16"/>
          <w:szCs w:val="16"/>
        </w:rPr>
        <w:t xml:space="preserve"> Some of these issues such </w:t>
      </w:r>
      <w:proofErr w:type="gramStart"/>
      <w:r>
        <w:rPr>
          <w:sz w:val="16"/>
          <w:szCs w:val="16"/>
        </w:rPr>
        <w:t>a</w:t>
      </w:r>
      <w:proofErr w:type="gramEnd"/>
      <w:r>
        <w:rPr>
          <w:sz w:val="16"/>
          <w:szCs w:val="16"/>
        </w:rPr>
        <w:t xml:space="preserve"> as marine litter are already being considered in the framework of t</w:t>
      </w:r>
      <w:r>
        <w:rPr>
          <w:sz w:val="16"/>
          <w:szCs w:val="16"/>
        </w:rPr>
        <w:t>he common implementation strategy of the MSFD.</w:t>
      </w:r>
    </w:p>
  </w:footnote>
  <w:footnote w:id="30">
    <w:p w:rsidR="00D64FC9" w:rsidRDefault="00394B9F">
      <w:pPr>
        <w:pStyle w:val="FootnoteText"/>
      </w:pPr>
      <w:r>
        <w:rPr>
          <w:rStyle w:val="FootnoteReference"/>
        </w:rPr>
        <w:footnoteRef/>
      </w:r>
      <w:r>
        <w:t xml:space="preserve"> </w:t>
      </w:r>
      <w:r>
        <w:rPr>
          <w:rFonts w:eastAsia="Arial Unicode MS" w:hAnsi="Arial Unicode MS"/>
          <w:bCs/>
          <w:sz w:val="16"/>
          <w:lang w:val="en-GB"/>
        </w:rPr>
        <w:t>Communication</w:t>
      </w:r>
      <w:r>
        <w:rPr>
          <w:rFonts w:eastAsia="Arial Unicode MS" w:hAnsi="Arial Unicode MS"/>
          <w:sz w:val="16"/>
          <w:lang w:val="en-GB"/>
        </w:rPr>
        <w:t xml:space="preserve"> from the Commission to European Parliament, the Council, the European Economic and Social Committee and the Committee of the Regions </w:t>
      </w:r>
      <w:r>
        <w:rPr>
          <w:rFonts w:eastAsia="Arial Unicode MS" w:hAnsi="Arial Unicode MS"/>
          <w:bCs/>
          <w:sz w:val="16"/>
          <w:lang w:val="en-GB"/>
        </w:rPr>
        <w:t>Closing the loop - An EU action plan for the Circular Econom</w:t>
      </w:r>
      <w:r>
        <w:rPr>
          <w:rFonts w:eastAsia="Arial Unicode MS" w:hAnsi="Arial Unicode MS"/>
          <w:bCs/>
          <w:sz w:val="16"/>
          <w:lang w:val="en-GB"/>
        </w:rPr>
        <w:t xml:space="preserve">y </w:t>
      </w:r>
      <w:r>
        <w:rPr>
          <w:rFonts w:eastAsia="Arial Unicode MS" w:hAnsi="Arial Unicode MS"/>
          <w:sz w:val="16"/>
          <w:lang w:val="en-GB"/>
        </w:rPr>
        <w:t>COM/2015/0614 final</w:t>
      </w:r>
    </w:p>
  </w:footnote>
  <w:footnote w:id="31">
    <w:p w:rsidR="00D64FC9" w:rsidRDefault="00394B9F">
      <w:pPr>
        <w:pStyle w:val="FootnoteText"/>
        <w:rPr>
          <w:sz w:val="16"/>
          <w:szCs w:val="16"/>
          <w:lang w:val="en-GB"/>
        </w:rPr>
      </w:pPr>
      <w:r>
        <w:rPr>
          <w:rStyle w:val="FootnoteReference"/>
          <w:sz w:val="16"/>
          <w:lang w:val="en-GB"/>
        </w:rPr>
        <w:footnoteRef/>
      </w:r>
      <w:r>
        <w:rPr>
          <w:sz w:val="16"/>
          <w:lang w:val="en-GB"/>
        </w:rPr>
        <w:t xml:space="preserve"> International commitments include the </w:t>
      </w:r>
      <w:r>
        <w:rPr>
          <w:sz w:val="16"/>
          <w:szCs w:val="16"/>
          <w:lang w:val="en-GB"/>
        </w:rPr>
        <w:t xml:space="preserve">Rio+20 </w:t>
      </w:r>
      <w:proofErr w:type="gramStart"/>
      <w:r>
        <w:rPr>
          <w:sz w:val="16"/>
          <w:szCs w:val="16"/>
          <w:lang w:val="en-GB"/>
        </w:rPr>
        <w:t>process</w:t>
      </w:r>
      <w:proofErr w:type="gramEnd"/>
      <w:r>
        <w:rPr>
          <w:sz w:val="16"/>
          <w:szCs w:val="16"/>
          <w:lang w:val="en-GB"/>
        </w:rPr>
        <w:t xml:space="preserve"> (United Nations conference on sustainable development) and the 17 sustainable development goals of the 2030 Agenda for Sustainable Development adopted in September 2015.</w:t>
      </w:r>
    </w:p>
  </w:footnote>
  <w:footnote w:id="32">
    <w:p w:rsidR="00D64FC9" w:rsidRDefault="00394B9F">
      <w:pPr>
        <w:pStyle w:val="FootnoteText"/>
        <w:rPr>
          <w:sz w:val="16"/>
          <w:lang w:val="en-GB"/>
        </w:rPr>
      </w:pPr>
      <w:r>
        <w:rPr>
          <w:sz w:val="16"/>
          <w:vertAlign w:val="superscript"/>
          <w:lang w:val="en-GB"/>
        </w:rPr>
        <w:footnoteRef/>
      </w:r>
      <w:r>
        <w:rPr>
          <w:rFonts w:eastAsia="Arial Unicode MS" w:hAnsi="Arial Unicode MS"/>
          <w:sz w:val="16"/>
          <w:lang w:val="en-GB"/>
        </w:rPr>
        <w:t xml:space="preserve"> </w:t>
      </w:r>
      <w:proofErr w:type="gramStart"/>
      <w:r>
        <w:rPr>
          <w:rFonts w:eastAsia="Arial Unicode MS" w:hAnsi="Arial Unicode MS"/>
          <w:sz w:val="16"/>
          <w:lang w:val="en-GB"/>
        </w:rPr>
        <w:t>Roadmap</w:t>
      </w:r>
      <w:r>
        <w:rPr>
          <w:rFonts w:eastAsia="Arial Unicode MS" w:hAnsi="Arial Unicode MS"/>
          <w:sz w:val="16"/>
          <w:lang w:val="en-GB"/>
        </w:rPr>
        <w:t xml:space="preserve"> on the Fitness Check of monitoring and reporting obligations in environment policy, http://ec.europa.eu/smart-regulation/roadmaps/index_en.htm</w:t>
      </w:r>
      <w:r>
        <w:rPr>
          <w:rFonts w:eastAsia="Arial Unicode MS" w:hAnsi="Arial Unicode MS" w:cs="Arial Unicode MS"/>
          <w:sz w:val="16"/>
          <w:szCs w:val="16"/>
          <w:lang w:val="en-GB"/>
        </w:rPr>
        <w:t>.</w:t>
      </w:r>
      <w:proofErr w:type="gramEnd"/>
    </w:p>
  </w:footnote>
  <w:footnote w:id="33">
    <w:p w:rsidR="00D64FC9" w:rsidRDefault="00394B9F">
      <w:pPr>
        <w:pStyle w:val="CorpsB"/>
      </w:pPr>
      <w:r>
        <w:rPr>
          <w:sz w:val="16"/>
          <w:vertAlign w:val="superscript"/>
        </w:rPr>
        <w:footnoteRef/>
      </w:r>
      <w:r>
        <w:rPr>
          <w:rFonts w:eastAsia="Arial Unicode MS" w:hAnsi="Arial Unicode MS" w:cs="Arial Unicode MS"/>
          <w:sz w:val="16"/>
          <w:szCs w:val="16"/>
        </w:rPr>
        <w:t xml:space="preserve"> </w:t>
      </w:r>
      <w:r>
        <w:rPr>
          <w:rFonts w:eastAsia="Arial Unicode MS" w:hAnsi="Arial Unicode MS"/>
          <w:sz w:val="16"/>
        </w:rPr>
        <w:t>The MSFD requires from Member States detailed and coordinated input. In order to facilitate this work, Member</w:t>
      </w:r>
      <w:r>
        <w:rPr>
          <w:rFonts w:eastAsia="Arial Unicode MS" w:hAnsi="Arial Unicode MS"/>
          <w:sz w:val="16"/>
        </w:rPr>
        <w:t xml:space="preserve"> States and the European Commission have set up an informal programme of coordination, the Common Implementation Strategy (CIS).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C9" w:rsidRDefault="00D64F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C9" w:rsidRDefault="00D64FC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C9" w:rsidRDefault="00D64FC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C9" w:rsidRDefault="00D64F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C9" w:rsidRDefault="00D64FC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C9" w:rsidRDefault="00D64F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5B16"/>
    <w:multiLevelType w:val="multilevel"/>
    <w:tmpl w:val="28E67842"/>
    <w:styleLink w:val="List7"/>
    <w:lvl w:ilvl="0">
      <w:numFmt w:val="bullet"/>
      <w:lvlText w:val="-"/>
      <w:lvlJc w:val="left"/>
      <w:pPr>
        <w:tabs>
          <w:tab w:val="num" w:pos="708"/>
        </w:tabs>
        <w:ind w:left="708" w:hanging="348"/>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
    <w:nsid w:val="1FFD68D2"/>
    <w:multiLevelType w:val="multilevel"/>
    <w:tmpl w:val="1FE61AB8"/>
    <w:lvl w:ilvl="0">
      <w:start w:val="1"/>
      <w:numFmt w:val="bullet"/>
      <w:lvlText w:val=""/>
      <w:lvlJc w:val="left"/>
      <w:pPr>
        <w:tabs>
          <w:tab w:val="num" w:pos="708"/>
        </w:tabs>
        <w:ind w:left="708" w:hanging="348"/>
      </w:pPr>
      <w:rPr>
        <w:rFonts w:ascii="Symbol" w:hAnsi="Symbol" w:hint="default"/>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
    <w:nsid w:val="23E52E64"/>
    <w:multiLevelType w:val="multilevel"/>
    <w:tmpl w:val="E49824A6"/>
    <w:styleLink w:val="List0"/>
    <w:lvl w:ilvl="0">
      <w:numFmt w:val="bullet"/>
      <w:lvlText w:val="-"/>
      <w:lvlJc w:val="left"/>
      <w:pPr>
        <w:tabs>
          <w:tab w:val="num" w:pos="708"/>
        </w:tabs>
        <w:ind w:left="708" w:hanging="348"/>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3">
    <w:nsid w:val="33661C38"/>
    <w:multiLevelType w:val="hybridMultilevel"/>
    <w:tmpl w:val="6ECC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DE5E9A"/>
    <w:multiLevelType w:val="hybridMultilevel"/>
    <w:tmpl w:val="480E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131F90"/>
    <w:multiLevelType w:val="hybridMultilevel"/>
    <w:tmpl w:val="34868550"/>
    <w:lvl w:ilvl="0" w:tplc="9D1A66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803B9E"/>
    <w:multiLevelType w:val="multilevel"/>
    <w:tmpl w:val="A538D850"/>
    <w:lvl w:ilvl="0">
      <w:start w:val="1"/>
      <w:numFmt w:val="bullet"/>
      <w:lvlText w:val=""/>
      <w:lvlJc w:val="left"/>
      <w:pPr>
        <w:tabs>
          <w:tab w:val="num" w:pos="708"/>
        </w:tabs>
        <w:ind w:left="708" w:hanging="348"/>
      </w:pPr>
      <w:rPr>
        <w:rFonts w:ascii="Symbol" w:hAnsi="Symbol" w:hint="default"/>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7">
    <w:nsid w:val="62E24FA5"/>
    <w:multiLevelType w:val="multilevel"/>
    <w:tmpl w:val="4E00AEF2"/>
    <w:styleLink w:val="List31"/>
    <w:lvl w:ilvl="0">
      <w:numFmt w:val="bullet"/>
      <w:lvlText w:val="-"/>
      <w:lvlJc w:val="left"/>
      <w:pPr>
        <w:tabs>
          <w:tab w:val="num" w:pos="708"/>
        </w:tabs>
        <w:ind w:left="708" w:hanging="348"/>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8">
    <w:nsid w:val="72DB14F4"/>
    <w:multiLevelType w:val="hybridMultilevel"/>
    <w:tmpl w:val="01961D96"/>
    <w:lvl w:ilvl="0" w:tplc="9D1A66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D07B76"/>
    <w:multiLevelType w:val="multilevel"/>
    <w:tmpl w:val="6EA4085A"/>
    <w:styleLink w:val="List41"/>
    <w:lvl w:ilvl="0">
      <w:numFmt w:val="bullet"/>
      <w:lvlText w:val="-"/>
      <w:lvlJc w:val="left"/>
      <w:pPr>
        <w:tabs>
          <w:tab w:val="num" w:pos="708"/>
        </w:tabs>
        <w:ind w:left="708" w:hanging="348"/>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num w:numId="1">
    <w:abstractNumId w:val="2"/>
  </w:num>
  <w:num w:numId="2">
    <w:abstractNumId w:val="7"/>
  </w:num>
  <w:num w:numId="3">
    <w:abstractNumId w:val="9"/>
  </w:num>
  <w:num w:numId="4">
    <w:abstractNumId w:val="0"/>
  </w:num>
  <w:num w:numId="5">
    <w:abstractNumId w:val="4"/>
  </w:num>
  <w:num w:numId="6">
    <w:abstractNumId w:val="3"/>
  </w:num>
  <w:num w:numId="7">
    <w:abstractNumId w:val="8"/>
  </w:num>
  <w:num w:numId="8">
    <w:abstractNumId w:val="1"/>
  </w:num>
  <w:num w:numId="9">
    <w:abstractNumId w:val="5"/>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bio pirotta">
    <w15:presenceInfo w15:providerId="Windows Live" w15:userId="8fa2cf9beef20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989BBB60F144950B2523B913DE6589C"/>
    <w:docVar w:name="LW_CROSSREFERENCE" w:val="{SWD(2017) 1 final}"/>
    <w:docVar w:name="LW_DocType" w:val="NORMAL"/>
    <w:docVar w:name="LW_EMISSION" w:val="16.1.2017"/>
    <w:docVar w:name="LW_EMISSION_ISODATE" w:val="2017-01-16"/>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
    <w:docVar w:name="LW_REF.INTERNE" w:val="&lt;UNUSED&gt;"/>
    <w:docVar w:name="LW_SOUS.TITRE.OBJ.CP" w:val="&lt;UNUSED&gt;"/>
    <w:docVar w:name="LW_SUPERTITRE" w:val="&lt;UNUSED&gt;"/>
    <w:docVar w:name="LW_TITRE.OBJ.CP" w:val="assessing Member States' monitoring programmes under the Marine Strategy Framework Directive"/>
    <w:docVar w:name="LW_TYPE.DOC.CP" w:val="REPORT FROM THE COMMISSION TO THE EUROPEAN PARLIAMENT AND THE COUNCIL"/>
  </w:docVars>
  <w:rsids>
    <w:rsidRoot w:val="00D64FC9"/>
    <w:rsid w:val="00394B9F"/>
    <w:rsid w:val="00D64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heme="minorBidi"/>
        <w:color w:val="000000"/>
        <w:sz w:val="24"/>
        <w:szCs w:val="22"/>
        <w:u w:color="000000"/>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0" w:line="240" w:lineRule="auto"/>
    </w:pPr>
    <w:rPr>
      <w:rFonts w:cs="Times New Roman"/>
      <w:color w:val="auto"/>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A">
    <w:name w:val="Corps A"/>
    <w:link w:val="CorpsAChar"/>
    <w:pPr>
      <w:pBdr>
        <w:top w:val="nil"/>
        <w:left w:val="nil"/>
        <w:bottom w:val="nil"/>
        <w:right w:val="nil"/>
        <w:between w:val="nil"/>
        <w:bar w:val="nil"/>
      </w:pBdr>
      <w:spacing w:before="120" w:after="120" w:line="240" w:lineRule="auto"/>
      <w:jc w:val="both"/>
    </w:pPr>
    <w:rPr>
      <w:rFonts w:eastAsia="Arial" w:cs="Times New Roman"/>
      <w:szCs w:val="24"/>
      <w:bdr w:val="nil"/>
      <w:lang w:val="en-US" w:eastAsia="en-GB"/>
    </w:rPr>
  </w:style>
  <w:style w:type="paragraph" w:customStyle="1" w:styleId="CorpsB">
    <w:name w:val="Corps B"/>
    <w:link w:val="CorpsBChar"/>
    <w:pPr>
      <w:pBdr>
        <w:top w:val="nil"/>
        <w:left w:val="nil"/>
        <w:bottom w:val="nil"/>
        <w:right w:val="nil"/>
        <w:between w:val="nil"/>
        <w:bar w:val="nil"/>
      </w:pBdr>
      <w:spacing w:after="0" w:line="240" w:lineRule="auto"/>
    </w:pPr>
    <w:rPr>
      <w:rFonts w:eastAsia="Times New Roman" w:cs="Times New Roman"/>
      <w:szCs w:val="24"/>
      <w:bdr w:val="nil"/>
      <w:lang w:eastAsia="en-GB"/>
    </w:rPr>
  </w:style>
  <w:style w:type="paragraph" w:styleId="FootnoteText">
    <w:name w:val="footnote text"/>
    <w:link w:val="FootnoteTextChar"/>
    <w:pPr>
      <w:pBdr>
        <w:top w:val="nil"/>
        <w:left w:val="nil"/>
        <w:bottom w:val="nil"/>
        <w:right w:val="nil"/>
        <w:between w:val="nil"/>
        <w:bar w:val="nil"/>
      </w:pBdr>
      <w:spacing w:after="0" w:line="240" w:lineRule="auto"/>
      <w:jc w:val="both"/>
    </w:pPr>
    <w:rPr>
      <w:rFonts w:eastAsia="Times New Roman" w:cs="Times New Roman"/>
      <w:sz w:val="18"/>
      <w:szCs w:val="18"/>
      <w:bdr w:val="nil"/>
      <w:lang w:val="en-US" w:eastAsia="en-GB"/>
    </w:rPr>
  </w:style>
  <w:style w:type="character" w:customStyle="1" w:styleId="FootnoteTextChar">
    <w:name w:val="Footnote Text Char"/>
    <w:basedOn w:val="DefaultParagraphFont"/>
    <w:link w:val="FootnoteText"/>
    <w:rPr>
      <w:rFonts w:eastAsia="Times New Roman" w:cs="Times New Roman"/>
      <w:sz w:val="18"/>
      <w:szCs w:val="18"/>
      <w:bdr w:val="nil"/>
      <w:lang w:val="en-US" w:eastAsia="en-GB"/>
    </w:rPr>
  </w:style>
  <w:style w:type="paragraph" w:styleId="Caption">
    <w:name w:val="caption"/>
    <w:next w:val="CorpsA"/>
    <w:pPr>
      <w:pBdr>
        <w:top w:val="nil"/>
        <w:left w:val="nil"/>
        <w:bottom w:val="nil"/>
        <w:right w:val="nil"/>
        <w:between w:val="nil"/>
        <w:bar w:val="nil"/>
      </w:pBdr>
      <w:spacing w:line="240" w:lineRule="auto"/>
    </w:pPr>
    <w:rPr>
      <w:rFonts w:eastAsia="Times New Roman" w:cs="Times New Roman"/>
      <w:b/>
      <w:bCs/>
      <w:sz w:val="18"/>
      <w:szCs w:val="18"/>
      <w:bdr w:val="nil"/>
      <w:lang w:val="en-US" w:eastAsia="en-GB"/>
    </w:rPr>
  </w:style>
  <w:style w:type="paragraph" w:styleId="CommentText">
    <w:name w:val="annotation text"/>
    <w:link w:val="CommentTextChar"/>
    <w:pPr>
      <w:pBdr>
        <w:top w:val="nil"/>
        <w:left w:val="nil"/>
        <w:bottom w:val="nil"/>
        <w:right w:val="nil"/>
        <w:between w:val="nil"/>
        <w:bar w:val="nil"/>
      </w:pBdr>
      <w:spacing w:after="0" w:line="240" w:lineRule="auto"/>
    </w:pPr>
    <w:rPr>
      <w:rFonts w:hAnsi="Arial Unicode MS" w:cs="Arial Unicode MS"/>
      <w:sz w:val="20"/>
      <w:szCs w:val="20"/>
      <w:bdr w:val="nil"/>
      <w:lang w:val="en-US" w:eastAsia="en-GB"/>
    </w:rPr>
  </w:style>
  <w:style w:type="character" w:customStyle="1" w:styleId="CommentTextChar">
    <w:name w:val="Comment Text Char"/>
    <w:basedOn w:val="DefaultParagraphFont"/>
    <w:link w:val="CommentText"/>
    <w:rPr>
      <w:rFonts w:hAnsi="Arial Unicode MS" w:cs="Arial Unicode MS"/>
      <w:sz w:val="20"/>
      <w:szCs w:val="20"/>
      <w:bdr w:val="nil"/>
      <w:lang w:val="en-US" w:eastAsia="en-GB"/>
    </w:rPr>
  </w:style>
  <w:style w:type="paragraph" w:customStyle="1" w:styleId="MBT">
    <w:name w:val="M BT"/>
    <w:link w:val="MBTChar"/>
    <w:qFormat/>
    <w:pPr>
      <w:widowControl w:val="0"/>
      <w:pBdr>
        <w:top w:val="nil"/>
        <w:left w:val="nil"/>
        <w:bottom w:val="nil"/>
        <w:right w:val="nil"/>
        <w:between w:val="nil"/>
        <w:bar w:val="nil"/>
      </w:pBdr>
      <w:spacing w:after="0" w:line="240" w:lineRule="auto"/>
      <w:jc w:val="both"/>
    </w:pPr>
    <w:rPr>
      <w:rFonts w:hAnsi="Arial Unicode MS" w:cs="Arial Unicode MS"/>
      <w:sz w:val="22"/>
      <w:bdr w:val="nil"/>
      <w:lang w:val="en-US" w:eastAsia="en-GB"/>
    </w:rPr>
  </w:style>
  <w:style w:type="numbering" w:customStyle="1" w:styleId="List0">
    <w:name w:val="List 0"/>
    <w:basedOn w:val="NoList"/>
    <w:pPr>
      <w:numPr>
        <w:numId w:val="1"/>
      </w:numPr>
    </w:pPr>
  </w:style>
  <w:style w:type="numbering" w:customStyle="1" w:styleId="List31">
    <w:name w:val="List 31"/>
    <w:basedOn w:val="NoList"/>
    <w:pPr>
      <w:numPr>
        <w:numId w:val="2"/>
      </w:numPr>
    </w:pPr>
  </w:style>
  <w:style w:type="numbering" w:customStyle="1" w:styleId="List41">
    <w:name w:val="List 41"/>
    <w:basedOn w:val="NoList"/>
    <w:pPr>
      <w:numPr>
        <w:numId w:val="3"/>
      </w:numPr>
    </w:pPr>
  </w:style>
  <w:style w:type="numbering" w:customStyle="1" w:styleId="List7">
    <w:name w:val="List 7"/>
    <w:basedOn w:val="NoList"/>
    <w:pPr>
      <w:numPr>
        <w:numId w:val="4"/>
      </w:numPr>
    </w:pPr>
  </w:style>
  <w:style w:type="character" w:styleId="FootnoteReference">
    <w:name w:val="footnote reference"/>
    <w:basedOn w:val="DefaultParagraphFont"/>
    <w:uiPriority w:val="99"/>
    <w:unhideWhenUsed/>
    <w:rPr>
      <w:vertAlign w:val="superscript"/>
    </w:rPr>
  </w:style>
  <w:style w:type="character" w:customStyle="1" w:styleId="CorpsBChar">
    <w:name w:val="Corps B Char"/>
    <w:basedOn w:val="DefaultParagraphFont"/>
    <w:link w:val="CorpsB"/>
    <w:rPr>
      <w:rFonts w:eastAsia="Times New Roman" w:cs="Times New Roman"/>
      <w:szCs w:val="24"/>
      <w:bdr w:val="nil"/>
      <w:lang w:eastAsia="en-GB"/>
    </w:rPr>
  </w:style>
  <w:style w:type="paragraph" w:customStyle="1" w:styleId="Heading1">
    <w:name w:val="Heading1"/>
    <w:basedOn w:val="CorpsA"/>
    <w:link w:val="Heading1Char"/>
    <w:qFormat/>
    <w:rPr>
      <w:b/>
      <w:bCs/>
      <w:smallCaps/>
    </w:rPr>
  </w:style>
  <w:style w:type="paragraph" w:customStyle="1" w:styleId="Heading2">
    <w:name w:val="Heading2"/>
    <w:basedOn w:val="CorpsA"/>
    <w:link w:val="Heading2Char"/>
    <w:qFormat/>
    <w:rPr>
      <w:b/>
      <w:bCs/>
    </w:rPr>
  </w:style>
  <w:style w:type="character" w:customStyle="1" w:styleId="CorpsAChar">
    <w:name w:val="Corps A Char"/>
    <w:basedOn w:val="DefaultParagraphFont"/>
    <w:link w:val="CorpsA"/>
    <w:rPr>
      <w:rFonts w:eastAsia="Arial" w:cs="Times New Roman"/>
      <w:szCs w:val="24"/>
      <w:bdr w:val="nil"/>
      <w:lang w:val="en-US" w:eastAsia="en-GB"/>
    </w:rPr>
  </w:style>
  <w:style w:type="character" w:customStyle="1" w:styleId="Heading1Char">
    <w:name w:val="Heading1 Char"/>
    <w:basedOn w:val="CorpsAChar"/>
    <w:link w:val="Heading1"/>
    <w:rPr>
      <w:rFonts w:eastAsia="Arial" w:cs="Times New Roman"/>
      <w:b/>
      <w:bCs/>
      <w:smallCaps/>
      <w:szCs w:val="24"/>
      <w:bdr w:val="nil"/>
      <w:lang w:val="en-US" w:eastAsia="en-GB"/>
    </w:rPr>
  </w:style>
  <w:style w:type="character" w:customStyle="1" w:styleId="Heading2Char">
    <w:name w:val="Heading2 Char"/>
    <w:basedOn w:val="CorpsAChar"/>
    <w:link w:val="Heading2"/>
    <w:rPr>
      <w:rFonts w:eastAsia="Arial" w:cs="Times New Roman"/>
      <w:b/>
      <w:bCs/>
      <w:szCs w:val="24"/>
      <w:bdr w:val="nil"/>
      <w:lang w:val="en-US" w:eastAsia="en-GB"/>
    </w:rPr>
  </w:style>
  <w:style w:type="table" w:styleId="TableGrid">
    <w:name w:val="Table Grid"/>
    <w:basedOn w:val="TableNormal"/>
    <w:uiPriority w:val="59"/>
    <w:pPr>
      <w:pBdr>
        <w:top w:val="nil"/>
        <w:left w:val="nil"/>
        <w:bottom w:val="nil"/>
        <w:right w:val="nil"/>
        <w:between w:val="nil"/>
        <w:bar w:val="nil"/>
      </w:pBdr>
      <w:spacing w:after="0" w:line="240" w:lineRule="auto"/>
    </w:pPr>
    <w:rPr>
      <w:rFonts w:cs="Times New Roman"/>
      <w:color w:val="auto"/>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bdr w:val="nil"/>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cs="Times New Roman"/>
      <w:color w:val="auto"/>
      <w:szCs w:val="24"/>
      <w:bdr w:val="nil"/>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cs="Times New Roman"/>
      <w:color w:val="auto"/>
      <w:szCs w:val="24"/>
      <w:bdr w:val="nil"/>
      <w:lang w:val="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Arial"/>
      <w:smallCaps/>
      <w:lang w:eastAsia="en-GB"/>
    </w:rPr>
  </w:style>
  <w:style w:type="character" w:customStyle="1" w:styleId="FooterCoverPageChar">
    <w:name w:val="Footer Cover Page Char"/>
    <w:basedOn w:val="Heading1Char"/>
    <w:link w:val="FooterCoverPage"/>
    <w:rPr>
      <w:rFonts w:eastAsia="Arial" w:cs="Times New Roman"/>
      <w:b w:val="0"/>
      <w:bCs w:val="0"/>
      <w:smallCaps/>
      <w:color w:val="auto"/>
      <w:szCs w:val="24"/>
      <w:bdr w:val="nil"/>
      <w:lang w:val="en-US" w:eastAsia="en-GB"/>
    </w:rPr>
  </w:style>
  <w:style w:type="paragraph" w:customStyle="1" w:styleId="HeaderCoverPage">
    <w:name w:val="Header Cover Page"/>
    <w:basedOn w:val="Normal"/>
    <w:link w:val="HeaderCoverPageChar"/>
    <w:pPr>
      <w:tabs>
        <w:tab w:val="center" w:pos="4535"/>
        <w:tab w:val="right" w:pos="9071"/>
      </w:tabs>
      <w:spacing w:after="120"/>
      <w:jc w:val="both"/>
    </w:pPr>
    <w:rPr>
      <w:rFonts w:eastAsia="Arial"/>
      <w:smallCaps/>
      <w:lang w:eastAsia="en-GB"/>
    </w:rPr>
  </w:style>
  <w:style w:type="character" w:customStyle="1" w:styleId="HeaderCoverPageChar">
    <w:name w:val="Header Cover Page Char"/>
    <w:basedOn w:val="Heading1Char"/>
    <w:link w:val="HeaderCoverPage"/>
    <w:rPr>
      <w:rFonts w:eastAsia="Arial" w:cs="Times New Roman"/>
      <w:b w:val="0"/>
      <w:bCs w:val="0"/>
      <w:smallCaps/>
      <w:color w:val="auto"/>
      <w:szCs w:val="24"/>
      <w:bdr w:val="nil"/>
      <w:lang w:val="en-US"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rFonts w:hAnsi="Times New Roman" w:cs="Times New Roman"/>
      <w:b/>
      <w:bCs/>
      <w:color w:val="auto"/>
      <w:lang w:eastAsia="en-US"/>
    </w:rPr>
  </w:style>
  <w:style w:type="character" w:customStyle="1" w:styleId="CommentSubjectChar">
    <w:name w:val="Comment Subject Char"/>
    <w:basedOn w:val="CommentTextChar"/>
    <w:link w:val="CommentSubject"/>
    <w:uiPriority w:val="99"/>
    <w:semiHidden/>
    <w:rPr>
      <w:rFonts w:hAnsi="Arial Unicode MS" w:cs="Times New Roman"/>
      <w:b/>
      <w:bCs/>
      <w:color w:val="auto"/>
      <w:sz w:val="20"/>
      <w:szCs w:val="20"/>
      <w:bdr w:val="nil"/>
      <w:lang w:val="en-US" w:eastAsia="en-GB"/>
    </w:rPr>
  </w:style>
  <w:style w:type="paragraph" w:styleId="Revision">
    <w:name w:val="Revision"/>
    <w:hidden/>
    <w:uiPriority w:val="99"/>
    <w:semiHidden/>
    <w:pPr>
      <w:spacing w:after="0" w:line="240" w:lineRule="auto"/>
    </w:pPr>
    <w:rPr>
      <w:rFonts w:cs="Times New Roman"/>
      <w:color w:val="auto"/>
      <w:szCs w:val="24"/>
      <w:bdr w:val="nil"/>
      <w:lang w:val="en-US"/>
    </w:rPr>
  </w:style>
  <w:style w:type="paragraph" w:customStyle="1" w:styleId="ti-art">
    <w:name w:val="ti-ar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sti-art">
    <w:name w:val="sti-ar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Normal1">
    <w:name w:val="Normal1"/>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MBTChar">
    <w:name w:val="M BT Char"/>
    <w:link w:val="MBT"/>
    <w:locked/>
    <w:rPr>
      <w:rFonts w:hAnsi="Arial Unicode MS" w:cs="Arial Unicode MS"/>
      <w:sz w:val="22"/>
      <w:bdr w:val="nil"/>
      <w:lang w:val="en-US"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heme="minorBidi"/>
        <w:color w:val="000000"/>
        <w:sz w:val="24"/>
        <w:szCs w:val="22"/>
        <w:u w:color="000000"/>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0" w:line="240" w:lineRule="auto"/>
    </w:pPr>
    <w:rPr>
      <w:rFonts w:cs="Times New Roman"/>
      <w:color w:val="auto"/>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A">
    <w:name w:val="Corps A"/>
    <w:link w:val="CorpsAChar"/>
    <w:pPr>
      <w:pBdr>
        <w:top w:val="nil"/>
        <w:left w:val="nil"/>
        <w:bottom w:val="nil"/>
        <w:right w:val="nil"/>
        <w:between w:val="nil"/>
        <w:bar w:val="nil"/>
      </w:pBdr>
      <w:spacing w:before="120" w:after="120" w:line="240" w:lineRule="auto"/>
      <w:jc w:val="both"/>
    </w:pPr>
    <w:rPr>
      <w:rFonts w:eastAsia="Arial" w:cs="Times New Roman"/>
      <w:szCs w:val="24"/>
      <w:bdr w:val="nil"/>
      <w:lang w:val="en-US" w:eastAsia="en-GB"/>
    </w:rPr>
  </w:style>
  <w:style w:type="paragraph" w:customStyle="1" w:styleId="CorpsB">
    <w:name w:val="Corps B"/>
    <w:link w:val="CorpsBChar"/>
    <w:pPr>
      <w:pBdr>
        <w:top w:val="nil"/>
        <w:left w:val="nil"/>
        <w:bottom w:val="nil"/>
        <w:right w:val="nil"/>
        <w:between w:val="nil"/>
        <w:bar w:val="nil"/>
      </w:pBdr>
      <w:spacing w:after="0" w:line="240" w:lineRule="auto"/>
    </w:pPr>
    <w:rPr>
      <w:rFonts w:eastAsia="Times New Roman" w:cs="Times New Roman"/>
      <w:szCs w:val="24"/>
      <w:bdr w:val="nil"/>
      <w:lang w:eastAsia="en-GB"/>
    </w:rPr>
  </w:style>
  <w:style w:type="paragraph" w:styleId="FootnoteText">
    <w:name w:val="footnote text"/>
    <w:link w:val="FootnoteTextChar"/>
    <w:pPr>
      <w:pBdr>
        <w:top w:val="nil"/>
        <w:left w:val="nil"/>
        <w:bottom w:val="nil"/>
        <w:right w:val="nil"/>
        <w:between w:val="nil"/>
        <w:bar w:val="nil"/>
      </w:pBdr>
      <w:spacing w:after="0" w:line="240" w:lineRule="auto"/>
      <w:jc w:val="both"/>
    </w:pPr>
    <w:rPr>
      <w:rFonts w:eastAsia="Times New Roman" w:cs="Times New Roman"/>
      <w:sz w:val="18"/>
      <w:szCs w:val="18"/>
      <w:bdr w:val="nil"/>
      <w:lang w:val="en-US" w:eastAsia="en-GB"/>
    </w:rPr>
  </w:style>
  <w:style w:type="character" w:customStyle="1" w:styleId="FootnoteTextChar">
    <w:name w:val="Footnote Text Char"/>
    <w:basedOn w:val="DefaultParagraphFont"/>
    <w:link w:val="FootnoteText"/>
    <w:rPr>
      <w:rFonts w:eastAsia="Times New Roman" w:cs="Times New Roman"/>
      <w:sz w:val="18"/>
      <w:szCs w:val="18"/>
      <w:bdr w:val="nil"/>
      <w:lang w:val="en-US" w:eastAsia="en-GB"/>
    </w:rPr>
  </w:style>
  <w:style w:type="paragraph" w:styleId="Caption">
    <w:name w:val="caption"/>
    <w:next w:val="CorpsA"/>
    <w:pPr>
      <w:pBdr>
        <w:top w:val="nil"/>
        <w:left w:val="nil"/>
        <w:bottom w:val="nil"/>
        <w:right w:val="nil"/>
        <w:between w:val="nil"/>
        <w:bar w:val="nil"/>
      </w:pBdr>
      <w:spacing w:line="240" w:lineRule="auto"/>
    </w:pPr>
    <w:rPr>
      <w:rFonts w:eastAsia="Times New Roman" w:cs="Times New Roman"/>
      <w:b/>
      <w:bCs/>
      <w:sz w:val="18"/>
      <w:szCs w:val="18"/>
      <w:bdr w:val="nil"/>
      <w:lang w:val="en-US" w:eastAsia="en-GB"/>
    </w:rPr>
  </w:style>
  <w:style w:type="paragraph" w:styleId="CommentText">
    <w:name w:val="annotation text"/>
    <w:link w:val="CommentTextChar"/>
    <w:pPr>
      <w:pBdr>
        <w:top w:val="nil"/>
        <w:left w:val="nil"/>
        <w:bottom w:val="nil"/>
        <w:right w:val="nil"/>
        <w:between w:val="nil"/>
        <w:bar w:val="nil"/>
      </w:pBdr>
      <w:spacing w:after="0" w:line="240" w:lineRule="auto"/>
    </w:pPr>
    <w:rPr>
      <w:rFonts w:hAnsi="Arial Unicode MS" w:cs="Arial Unicode MS"/>
      <w:sz w:val="20"/>
      <w:szCs w:val="20"/>
      <w:bdr w:val="nil"/>
      <w:lang w:val="en-US" w:eastAsia="en-GB"/>
    </w:rPr>
  </w:style>
  <w:style w:type="character" w:customStyle="1" w:styleId="CommentTextChar">
    <w:name w:val="Comment Text Char"/>
    <w:basedOn w:val="DefaultParagraphFont"/>
    <w:link w:val="CommentText"/>
    <w:rPr>
      <w:rFonts w:hAnsi="Arial Unicode MS" w:cs="Arial Unicode MS"/>
      <w:sz w:val="20"/>
      <w:szCs w:val="20"/>
      <w:bdr w:val="nil"/>
      <w:lang w:val="en-US" w:eastAsia="en-GB"/>
    </w:rPr>
  </w:style>
  <w:style w:type="paragraph" w:customStyle="1" w:styleId="MBT">
    <w:name w:val="M BT"/>
    <w:link w:val="MBTChar"/>
    <w:qFormat/>
    <w:pPr>
      <w:widowControl w:val="0"/>
      <w:pBdr>
        <w:top w:val="nil"/>
        <w:left w:val="nil"/>
        <w:bottom w:val="nil"/>
        <w:right w:val="nil"/>
        <w:between w:val="nil"/>
        <w:bar w:val="nil"/>
      </w:pBdr>
      <w:spacing w:after="0" w:line="240" w:lineRule="auto"/>
      <w:jc w:val="both"/>
    </w:pPr>
    <w:rPr>
      <w:rFonts w:hAnsi="Arial Unicode MS" w:cs="Arial Unicode MS"/>
      <w:sz w:val="22"/>
      <w:bdr w:val="nil"/>
      <w:lang w:val="en-US" w:eastAsia="en-GB"/>
    </w:rPr>
  </w:style>
  <w:style w:type="numbering" w:customStyle="1" w:styleId="List0">
    <w:name w:val="List 0"/>
    <w:basedOn w:val="NoList"/>
    <w:pPr>
      <w:numPr>
        <w:numId w:val="1"/>
      </w:numPr>
    </w:pPr>
  </w:style>
  <w:style w:type="numbering" w:customStyle="1" w:styleId="List31">
    <w:name w:val="List 31"/>
    <w:basedOn w:val="NoList"/>
    <w:pPr>
      <w:numPr>
        <w:numId w:val="2"/>
      </w:numPr>
    </w:pPr>
  </w:style>
  <w:style w:type="numbering" w:customStyle="1" w:styleId="List41">
    <w:name w:val="List 41"/>
    <w:basedOn w:val="NoList"/>
    <w:pPr>
      <w:numPr>
        <w:numId w:val="3"/>
      </w:numPr>
    </w:pPr>
  </w:style>
  <w:style w:type="numbering" w:customStyle="1" w:styleId="List7">
    <w:name w:val="List 7"/>
    <w:basedOn w:val="NoList"/>
    <w:pPr>
      <w:numPr>
        <w:numId w:val="4"/>
      </w:numPr>
    </w:pPr>
  </w:style>
  <w:style w:type="character" w:styleId="FootnoteReference">
    <w:name w:val="footnote reference"/>
    <w:basedOn w:val="DefaultParagraphFont"/>
    <w:uiPriority w:val="99"/>
    <w:unhideWhenUsed/>
    <w:rPr>
      <w:vertAlign w:val="superscript"/>
    </w:rPr>
  </w:style>
  <w:style w:type="character" w:customStyle="1" w:styleId="CorpsBChar">
    <w:name w:val="Corps B Char"/>
    <w:basedOn w:val="DefaultParagraphFont"/>
    <w:link w:val="CorpsB"/>
    <w:rPr>
      <w:rFonts w:eastAsia="Times New Roman" w:cs="Times New Roman"/>
      <w:szCs w:val="24"/>
      <w:bdr w:val="nil"/>
      <w:lang w:eastAsia="en-GB"/>
    </w:rPr>
  </w:style>
  <w:style w:type="paragraph" w:customStyle="1" w:styleId="Heading1">
    <w:name w:val="Heading1"/>
    <w:basedOn w:val="CorpsA"/>
    <w:link w:val="Heading1Char"/>
    <w:qFormat/>
    <w:rPr>
      <w:b/>
      <w:bCs/>
      <w:smallCaps/>
    </w:rPr>
  </w:style>
  <w:style w:type="paragraph" w:customStyle="1" w:styleId="Heading2">
    <w:name w:val="Heading2"/>
    <w:basedOn w:val="CorpsA"/>
    <w:link w:val="Heading2Char"/>
    <w:qFormat/>
    <w:rPr>
      <w:b/>
      <w:bCs/>
    </w:rPr>
  </w:style>
  <w:style w:type="character" w:customStyle="1" w:styleId="CorpsAChar">
    <w:name w:val="Corps A Char"/>
    <w:basedOn w:val="DefaultParagraphFont"/>
    <w:link w:val="CorpsA"/>
    <w:rPr>
      <w:rFonts w:eastAsia="Arial" w:cs="Times New Roman"/>
      <w:szCs w:val="24"/>
      <w:bdr w:val="nil"/>
      <w:lang w:val="en-US" w:eastAsia="en-GB"/>
    </w:rPr>
  </w:style>
  <w:style w:type="character" w:customStyle="1" w:styleId="Heading1Char">
    <w:name w:val="Heading1 Char"/>
    <w:basedOn w:val="CorpsAChar"/>
    <w:link w:val="Heading1"/>
    <w:rPr>
      <w:rFonts w:eastAsia="Arial" w:cs="Times New Roman"/>
      <w:b/>
      <w:bCs/>
      <w:smallCaps/>
      <w:szCs w:val="24"/>
      <w:bdr w:val="nil"/>
      <w:lang w:val="en-US" w:eastAsia="en-GB"/>
    </w:rPr>
  </w:style>
  <w:style w:type="character" w:customStyle="1" w:styleId="Heading2Char">
    <w:name w:val="Heading2 Char"/>
    <w:basedOn w:val="CorpsAChar"/>
    <w:link w:val="Heading2"/>
    <w:rPr>
      <w:rFonts w:eastAsia="Arial" w:cs="Times New Roman"/>
      <w:b/>
      <w:bCs/>
      <w:szCs w:val="24"/>
      <w:bdr w:val="nil"/>
      <w:lang w:val="en-US" w:eastAsia="en-GB"/>
    </w:rPr>
  </w:style>
  <w:style w:type="table" w:styleId="TableGrid">
    <w:name w:val="Table Grid"/>
    <w:basedOn w:val="TableNormal"/>
    <w:uiPriority w:val="59"/>
    <w:pPr>
      <w:pBdr>
        <w:top w:val="nil"/>
        <w:left w:val="nil"/>
        <w:bottom w:val="nil"/>
        <w:right w:val="nil"/>
        <w:between w:val="nil"/>
        <w:bar w:val="nil"/>
      </w:pBdr>
      <w:spacing w:after="0" w:line="240" w:lineRule="auto"/>
    </w:pPr>
    <w:rPr>
      <w:rFonts w:cs="Times New Roman"/>
      <w:color w:val="auto"/>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bdr w:val="nil"/>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cs="Times New Roman"/>
      <w:color w:val="auto"/>
      <w:szCs w:val="24"/>
      <w:bdr w:val="nil"/>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cs="Times New Roman"/>
      <w:color w:val="auto"/>
      <w:szCs w:val="24"/>
      <w:bdr w:val="nil"/>
      <w:lang w:val="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Arial"/>
      <w:smallCaps/>
      <w:lang w:eastAsia="en-GB"/>
    </w:rPr>
  </w:style>
  <w:style w:type="character" w:customStyle="1" w:styleId="FooterCoverPageChar">
    <w:name w:val="Footer Cover Page Char"/>
    <w:basedOn w:val="Heading1Char"/>
    <w:link w:val="FooterCoverPage"/>
    <w:rPr>
      <w:rFonts w:eastAsia="Arial" w:cs="Times New Roman"/>
      <w:b w:val="0"/>
      <w:bCs w:val="0"/>
      <w:smallCaps/>
      <w:color w:val="auto"/>
      <w:szCs w:val="24"/>
      <w:bdr w:val="nil"/>
      <w:lang w:val="en-US" w:eastAsia="en-GB"/>
    </w:rPr>
  </w:style>
  <w:style w:type="paragraph" w:customStyle="1" w:styleId="HeaderCoverPage">
    <w:name w:val="Header Cover Page"/>
    <w:basedOn w:val="Normal"/>
    <w:link w:val="HeaderCoverPageChar"/>
    <w:pPr>
      <w:tabs>
        <w:tab w:val="center" w:pos="4535"/>
        <w:tab w:val="right" w:pos="9071"/>
      </w:tabs>
      <w:spacing w:after="120"/>
      <w:jc w:val="both"/>
    </w:pPr>
    <w:rPr>
      <w:rFonts w:eastAsia="Arial"/>
      <w:smallCaps/>
      <w:lang w:eastAsia="en-GB"/>
    </w:rPr>
  </w:style>
  <w:style w:type="character" w:customStyle="1" w:styleId="HeaderCoverPageChar">
    <w:name w:val="Header Cover Page Char"/>
    <w:basedOn w:val="Heading1Char"/>
    <w:link w:val="HeaderCoverPage"/>
    <w:rPr>
      <w:rFonts w:eastAsia="Arial" w:cs="Times New Roman"/>
      <w:b w:val="0"/>
      <w:bCs w:val="0"/>
      <w:smallCaps/>
      <w:color w:val="auto"/>
      <w:szCs w:val="24"/>
      <w:bdr w:val="nil"/>
      <w:lang w:val="en-US"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rFonts w:hAnsi="Times New Roman" w:cs="Times New Roman"/>
      <w:b/>
      <w:bCs/>
      <w:color w:val="auto"/>
      <w:lang w:eastAsia="en-US"/>
    </w:rPr>
  </w:style>
  <w:style w:type="character" w:customStyle="1" w:styleId="CommentSubjectChar">
    <w:name w:val="Comment Subject Char"/>
    <w:basedOn w:val="CommentTextChar"/>
    <w:link w:val="CommentSubject"/>
    <w:uiPriority w:val="99"/>
    <w:semiHidden/>
    <w:rPr>
      <w:rFonts w:hAnsi="Arial Unicode MS" w:cs="Times New Roman"/>
      <w:b/>
      <w:bCs/>
      <w:color w:val="auto"/>
      <w:sz w:val="20"/>
      <w:szCs w:val="20"/>
      <w:bdr w:val="nil"/>
      <w:lang w:val="en-US" w:eastAsia="en-GB"/>
    </w:rPr>
  </w:style>
  <w:style w:type="paragraph" w:styleId="Revision">
    <w:name w:val="Revision"/>
    <w:hidden/>
    <w:uiPriority w:val="99"/>
    <w:semiHidden/>
    <w:pPr>
      <w:spacing w:after="0" w:line="240" w:lineRule="auto"/>
    </w:pPr>
    <w:rPr>
      <w:rFonts w:cs="Times New Roman"/>
      <w:color w:val="auto"/>
      <w:szCs w:val="24"/>
      <w:bdr w:val="nil"/>
      <w:lang w:val="en-US"/>
    </w:rPr>
  </w:style>
  <w:style w:type="paragraph" w:customStyle="1" w:styleId="ti-art">
    <w:name w:val="ti-ar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sti-art">
    <w:name w:val="sti-ar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Normal1">
    <w:name w:val="Normal1"/>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MBTChar">
    <w:name w:val="M BT Char"/>
    <w:link w:val="MBT"/>
    <w:locked/>
    <w:rPr>
      <w:rFonts w:hAnsi="Arial Unicode MS" w:cs="Arial Unicode MS"/>
      <w:sz w:val="22"/>
      <w:bdr w:val="nil"/>
      <w:lang w:val="en-US"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29658">
      <w:bodyDiv w:val="1"/>
      <w:marLeft w:val="0"/>
      <w:marRight w:val="0"/>
      <w:marTop w:val="0"/>
      <w:marBottom w:val="0"/>
      <w:divBdr>
        <w:top w:val="none" w:sz="0" w:space="0" w:color="auto"/>
        <w:left w:val="none" w:sz="0" w:space="0" w:color="auto"/>
        <w:bottom w:val="none" w:sz="0" w:space="0" w:color="auto"/>
        <w:right w:val="none" w:sz="0" w:space="0" w:color="auto"/>
      </w:divBdr>
    </w:div>
    <w:div w:id="599340987">
      <w:bodyDiv w:val="1"/>
      <w:marLeft w:val="0"/>
      <w:marRight w:val="0"/>
      <w:marTop w:val="0"/>
      <w:marBottom w:val="0"/>
      <w:divBdr>
        <w:top w:val="none" w:sz="0" w:space="0" w:color="auto"/>
        <w:left w:val="none" w:sz="0" w:space="0" w:color="auto"/>
        <w:bottom w:val="none" w:sz="0" w:space="0" w:color="auto"/>
        <w:right w:val="none" w:sz="0" w:space="0" w:color="auto"/>
      </w:divBdr>
    </w:div>
    <w:div w:id="86579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4.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E0886-444B-4A6A-A201-ED05D2E6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3967</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KOUTZIAVASILI Dimitra (BUDG)</cp:lastModifiedBy>
  <cp:revision>17</cp:revision>
  <cp:lastPrinted>2016-10-17T11:34:00Z</cp:lastPrinted>
  <dcterms:created xsi:type="dcterms:W3CDTF">2017-01-06T13:35:00Z</dcterms:created>
  <dcterms:modified xsi:type="dcterms:W3CDTF">2017-01-16T10:11:00Z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