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embeddings/Microsoft_Visio_Drawing122222222222222222222222222.vsdx" ContentType="application/vnd.ms-visio.viewer"/>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24F" w:rsidRDefault="00D973EE" w:rsidP="00D973EE">
      <w:pPr>
        <w:pStyle w:val="Pagedecouverture"/>
        <w:rPr>
          <w:rFonts w:eastAsia="MS Mincho"/>
          <w:noProof/>
        </w:rPr>
      </w:pPr>
      <w:bookmarkStart w:id="0" w:name="LW_BM_COVERPAGE"/>
      <w:r>
        <w:rPr>
          <w:rFonts w:eastAsia="MS Mincho"/>
          <w:noProof/>
        </w:rPr>
        <w:pict>
          <v:shape id="_x0000_i1052" type="#_x0000_t75" alt="E4E9ED8CA69846DE8AD37011EB6D85EC" style="width:451.05pt;height:488.85pt">
            <v:imagedata r:id="rId12" o:title=""/>
          </v:shape>
        </w:pict>
      </w:r>
    </w:p>
    <w:bookmarkEnd w:id="0"/>
    <w:p w:rsidR="0077224F" w:rsidRDefault="0077224F">
      <w:pPr>
        <w:rPr>
          <w:noProof/>
        </w:rPr>
        <w:sectPr w:rsidR="0077224F" w:rsidSect="00D973EE">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1"/>
          <w:cols w:space="720"/>
          <w:docGrid w:linePitch="360"/>
        </w:sectPr>
      </w:pPr>
    </w:p>
    <w:p w:rsidR="0077224F" w:rsidRDefault="0077224F">
      <w:pPr>
        <w:pStyle w:val="ManualHeading1"/>
        <w:pBdr>
          <w:top w:val="none" w:sz="0" w:space="0" w:color="auto"/>
          <w:left w:val="none" w:sz="0" w:space="0" w:color="auto"/>
          <w:bottom w:val="none" w:sz="0" w:space="0" w:color="auto"/>
          <w:right w:val="none" w:sz="0" w:space="0" w:color="auto"/>
        </w:pBdr>
        <w:rPr>
          <w:rFonts w:ascii="Verdana" w:eastAsia="MS Mincho" w:hAnsi="Verdana"/>
          <w:b w:val="0"/>
          <w:bCs w:val="0"/>
          <w:smallCaps w:val="0"/>
          <w:sz w:val="24"/>
        </w:rPr>
      </w:pPr>
    </w:p>
    <w:sdt>
      <w:sdtPr>
        <w:rPr>
          <w:rFonts w:ascii="Verdana" w:eastAsia="MS Mincho" w:hAnsi="Verdana"/>
          <w:b w:val="0"/>
          <w:bCs w:val="0"/>
          <w:smallCaps w:val="0"/>
          <w:noProof w:val="0"/>
          <w:sz w:val="24"/>
        </w:rPr>
        <w:id w:val="1015649567"/>
        <w:docPartObj>
          <w:docPartGallery w:val="Cover Pages"/>
          <w:docPartUnique/>
        </w:docPartObj>
      </w:sdtPr>
      <w:sdtEndPr>
        <w:rPr>
          <w:sz w:val="56"/>
          <w:szCs w:val="56"/>
        </w:rPr>
      </w:sdtEndPr>
      <w:sdtContent>
        <w:bookmarkStart w:id="1" w:name="_Toc468455288" w:displacedByCustomXml="next"/>
        <w:sdt>
          <w:sdtPr>
            <w:rPr>
              <w:rFonts w:ascii="Verdana" w:eastAsia="MS Mincho" w:hAnsi="Verdana"/>
              <w:b w:val="0"/>
              <w:bCs w:val="0"/>
              <w:caps/>
              <w:smallCaps w:val="0"/>
              <w:noProof w:val="0"/>
              <w:sz w:val="20"/>
            </w:rPr>
            <w:id w:val="-1469967340"/>
            <w:docPartObj>
              <w:docPartGallery w:val="Table of Contents"/>
              <w:docPartUnique/>
            </w:docPartObj>
          </w:sdtPr>
          <w:sdtEndPr>
            <w:rPr>
              <w:rFonts w:ascii="Times New Roman" w:hAnsi="Times New Roman"/>
              <w:caps w:val="0"/>
            </w:rPr>
          </w:sdtEndPr>
          <w:sdtContent>
            <w:p w:rsidR="0077224F" w:rsidRDefault="00D973EE">
              <w:pPr>
                <w:pStyle w:val="ManualHeading1"/>
                <w:pBdr>
                  <w:top w:val="none" w:sz="0" w:space="0" w:color="auto"/>
                  <w:left w:val="none" w:sz="0" w:space="0" w:color="auto"/>
                  <w:bottom w:val="none" w:sz="0" w:space="0" w:color="auto"/>
                  <w:right w:val="none" w:sz="0" w:space="0" w:color="auto"/>
                </w:pBdr>
              </w:pPr>
              <w:r>
                <w:t>List of Annexes</w:t>
              </w:r>
            </w:p>
            <w:p w:rsidR="0077224F" w:rsidRDefault="00D973EE">
              <w:pPr>
                <w:pStyle w:val="TOC1"/>
                <w:tabs>
                  <w:tab w:val="right" w:leader="dot" w:pos="8607"/>
                </w:tabs>
                <w:rPr>
                  <w:rFonts w:ascii="Times New Roman" w:eastAsiaTheme="minorEastAsia" w:hAnsi="Times New Roman"/>
                  <w:noProof/>
                  <w:sz w:val="24"/>
                  <w:lang w:eastAsia="en-GB"/>
                </w:rPr>
              </w:pPr>
              <w:r>
                <w:rPr>
                  <w:rFonts w:ascii="Times New Roman" w:hAnsi="Times New Roman"/>
                  <w:noProof/>
                  <w:sz w:val="24"/>
                </w:rPr>
                <w:fldChar w:fldCharType="begin"/>
              </w:r>
              <w:r>
                <w:rPr>
                  <w:rFonts w:ascii="Times New Roman" w:hAnsi="Times New Roman"/>
                  <w:noProof/>
                  <w:sz w:val="24"/>
                </w:rPr>
                <w:instrText xml:space="preserve"> TOC \o "1-3" \h \z \u </w:instrText>
              </w:r>
              <w:r>
                <w:rPr>
                  <w:rFonts w:ascii="Times New Roman" w:hAnsi="Times New Roman"/>
                  <w:noProof/>
                  <w:sz w:val="24"/>
                </w:rPr>
                <w:fldChar w:fldCharType="separate"/>
              </w:r>
              <w:hyperlink w:anchor="_Toc468795145" w:history="1">
                <w:r>
                  <w:rPr>
                    <w:rStyle w:val="Hyperlink"/>
                    <w:rFonts w:ascii="Times New Roman" w:hAnsi="Times New Roman"/>
                    <w:noProof/>
                    <w:sz w:val="24"/>
                  </w:rPr>
                  <w:t xml:space="preserve">Annex 1: </w:t>
                </w:r>
                <w:r>
                  <w:rPr>
                    <w:rStyle w:val="Hyperlink"/>
                    <w:rFonts w:ascii="Times New Roman" w:hAnsi="Times New Roman"/>
                    <w:noProof/>
                    <w:sz w:val="24"/>
                  </w:rPr>
                  <w:t>Procedural information</w:t>
                </w:r>
                <w:r>
                  <w:rPr>
                    <w:rFonts w:ascii="Times New Roman" w:hAnsi="Times New Roman"/>
                    <w:noProof/>
                    <w:webHidden/>
                    <w:sz w:val="24"/>
                  </w:rPr>
                  <w:tab/>
                </w:r>
              </w:hyperlink>
              <w:r>
                <w:rPr>
                  <w:rFonts w:ascii="Times New Roman" w:hAnsi="Times New Roman"/>
                  <w:noProof/>
                  <w:sz w:val="24"/>
                </w:rPr>
                <w:t>2</w:t>
              </w:r>
            </w:p>
            <w:p w:rsidR="0077224F" w:rsidRDefault="00D973EE">
              <w:pPr>
                <w:pStyle w:val="TOC1"/>
                <w:tabs>
                  <w:tab w:val="right" w:leader="dot" w:pos="8607"/>
                </w:tabs>
                <w:rPr>
                  <w:rFonts w:ascii="Times New Roman" w:eastAsiaTheme="minorEastAsia" w:hAnsi="Times New Roman"/>
                  <w:noProof/>
                  <w:sz w:val="24"/>
                  <w:lang w:eastAsia="en-GB"/>
                </w:rPr>
              </w:pPr>
              <w:hyperlink w:anchor="_Toc468795150" w:history="1">
                <w:r>
                  <w:rPr>
                    <w:rStyle w:val="Hyperlink"/>
                    <w:rFonts w:ascii="Times New Roman" w:hAnsi="Times New Roman"/>
                    <w:noProof/>
                    <w:sz w:val="24"/>
                  </w:rPr>
                  <w:t>Annex 2: REFIT evaluation of the E-Privacy Directive executive summary</w:t>
                </w:r>
              </w:hyperlink>
              <w:r>
                <w:rPr>
                  <w:rFonts w:ascii="Times New Roman" w:hAnsi="Times New Roman"/>
                  <w:noProof/>
                  <w:sz w:val="24"/>
                </w:rPr>
                <w:t>…….......…..6</w:t>
              </w:r>
            </w:p>
            <w:p w:rsidR="0077224F" w:rsidRDefault="00D973EE">
              <w:pPr>
                <w:pStyle w:val="TOC1"/>
                <w:tabs>
                  <w:tab w:val="right" w:leader="dot" w:pos="8607"/>
                </w:tabs>
                <w:rPr>
                  <w:rFonts w:ascii="Times New Roman" w:eastAsiaTheme="minorEastAsia" w:hAnsi="Times New Roman"/>
                  <w:noProof/>
                  <w:sz w:val="24"/>
                  <w:lang w:eastAsia="en-GB"/>
                </w:rPr>
              </w:pPr>
              <w:hyperlink w:anchor="_Toc468795152" w:history="1">
                <w:r>
                  <w:rPr>
                    <w:rStyle w:val="Hyperlink"/>
                    <w:rFonts w:ascii="Times New Roman" w:hAnsi="Times New Roman"/>
                    <w:noProof/>
                    <w:sz w:val="24"/>
                  </w:rPr>
                  <w:t>Annex 3: Stakeholder consultation</w:t>
                </w:r>
              </w:hyperlink>
              <w:r>
                <w:rPr>
                  <w:rFonts w:ascii="Times New Roman" w:hAnsi="Times New Roman"/>
                  <w:noProof/>
                  <w:sz w:val="24"/>
                </w:rPr>
                <w:t>………………………………………………………..9</w:t>
              </w:r>
            </w:p>
            <w:p w:rsidR="0077224F" w:rsidRDefault="00D973EE">
              <w:pPr>
                <w:pStyle w:val="TOC1"/>
                <w:tabs>
                  <w:tab w:val="right" w:leader="dot" w:pos="8607"/>
                </w:tabs>
                <w:rPr>
                  <w:rFonts w:ascii="Times New Roman" w:eastAsiaTheme="minorEastAsia" w:hAnsi="Times New Roman"/>
                  <w:noProof/>
                  <w:sz w:val="24"/>
                  <w:lang w:eastAsia="en-GB"/>
                </w:rPr>
              </w:pPr>
              <w:hyperlink w:anchor="_Toc468795167" w:history="1">
                <w:r>
                  <w:rPr>
                    <w:rStyle w:val="Hyperlink"/>
                    <w:rFonts w:ascii="Times New Roman" w:hAnsi="Times New Roman"/>
                    <w:noProof/>
                    <w:sz w:val="24"/>
                  </w:rPr>
                  <w:t>Annex 4: Legal and socio-economic context</w:t>
                </w:r>
              </w:hyperlink>
              <w:r>
                <w:rPr>
                  <w:rFonts w:ascii="Times New Roman" w:hAnsi="Times New Roman"/>
                  <w:noProof/>
                  <w:sz w:val="24"/>
                </w:rPr>
                <w:t>………………………………………….…17</w:t>
              </w:r>
            </w:p>
            <w:p w:rsidR="0077224F" w:rsidRDefault="00D973EE">
              <w:pPr>
                <w:pStyle w:val="TOC1"/>
                <w:tabs>
                  <w:tab w:val="right" w:leader="dot" w:pos="8607"/>
                </w:tabs>
                <w:rPr>
                  <w:rFonts w:ascii="Times New Roman" w:eastAsiaTheme="minorEastAsia" w:hAnsi="Times New Roman"/>
                  <w:noProof/>
                  <w:sz w:val="24"/>
                  <w:lang w:eastAsia="en-GB"/>
                </w:rPr>
              </w:pPr>
              <w:hyperlink w:anchor="_Toc468795180" w:history="1">
                <w:r>
                  <w:rPr>
                    <w:rStyle w:val="Hyperlink"/>
                    <w:rFonts w:ascii="Times New Roman" w:hAnsi="Times New Roman"/>
                    <w:noProof/>
                    <w:sz w:val="24"/>
                  </w:rPr>
                  <w:t>Annex 5: Basics of the online advertising market (technical and economic)</w:t>
                </w:r>
              </w:hyperlink>
              <w:r>
                <w:rPr>
                  <w:rFonts w:ascii="Times New Roman" w:hAnsi="Times New Roman"/>
                  <w:noProof/>
                  <w:sz w:val="24"/>
                </w:rPr>
                <w:t>……………32</w:t>
              </w:r>
            </w:p>
            <w:p w:rsidR="0077224F" w:rsidRDefault="00D973EE">
              <w:pPr>
                <w:pStyle w:val="TOC1"/>
                <w:tabs>
                  <w:tab w:val="right" w:leader="dot" w:pos="8607"/>
                </w:tabs>
                <w:rPr>
                  <w:rFonts w:ascii="Times New Roman" w:eastAsiaTheme="minorEastAsia" w:hAnsi="Times New Roman"/>
                  <w:noProof/>
                  <w:sz w:val="24"/>
                  <w:lang w:eastAsia="en-GB"/>
                </w:rPr>
              </w:pPr>
              <w:hyperlink w:anchor="_Toc468795182" w:history="1">
                <w:r>
                  <w:rPr>
                    <w:rStyle w:val="Hyperlink"/>
                    <w:rFonts w:ascii="Times New Roman" w:hAnsi="Times New Roman"/>
                    <w:noProof/>
                    <w:sz w:val="24"/>
                  </w:rPr>
                  <w:t>Annex 6: DRAFT DG-JRC Contribution to</w:t>
                </w:r>
                <w:r>
                  <w:rPr>
                    <w:rStyle w:val="Hyperlink"/>
                    <w:rFonts w:ascii="Times New Roman" w:hAnsi="Times New Roman"/>
                    <w:noProof/>
                    <w:sz w:val="24"/>
                  </w:rPr>
                  <w:t xml:space="preserve"> the revision of the ePrivacy Directive</w:t>
                </w:r>
              </w:hyperlink>
              <w:r>
                <w:rPr>
                  <w:rFonts w:ascii="Times New Roman" w:hAnsi="Times New Roman"/>
                  <w:noProof/>
                  <w:sz w:val="24"/>
                </w:rPr>
                <w:t>…….34</w:t>
              </w:r>
            </w:p>
            <w:p w:rsidR="0077224F" w:rsidRDefault="00D973EE">
              <w:pPr>
                <w:pStyle w:val="TOC1"/>
                <w:tabs>
                  <w:tab w:val="right" w:leader="dot" w:pos="8607"/>
                </w:tabs>
                <w:rPr>
                  <w:rFonts w:ascii="Times New Roman" w:eastAsiaTheme="minorEastAsia" w:hAnsi="Times New Roman"/>
                  <w:noProof/>
                  <w:sz w:val="24"/>
                  <w:lang w:eastAsia="en-GB"/>
                </w:rPr>
              </w:pPr>
              <w:hyperlink w:anchor="_Toc468795229" w:history="1">
                <w:r>
                  <w:rPr>
                    <w:rStyle w:val="Hyperlink"/>
                    <w:rFonts w:ascii="Times New Roman" w:hAnsi="Times New Roman"/>
                    <w:noProof/>
                    <w:sz w:val="24"/>
                  </w:rPr>
                  <w:t>Annex 7: Who is affected by the initiative and how</w:t>
                </w:r>
              </w:hyperlink>
              <w:r>
                <w:rPr>
                  <w:rFonts w:ascii="Times New Roman" w:hAnsi="Times New Roman"/>
                  <w:noProof/>
                  <w:sz w:val="24"/>
                </w:rPr>
                <w:t>……………………………………..94</w:t>
              </w:r>
            </w:p>
            <w:p w:rsidR="0077224F" w:rsidRDefault="00D973EE">
              <w:pPr>
                <w:pStyle w:val="TOC1"/>
                <w:tabs>
                  <w:tab w:val="right" w:leader="dot" w:pos="8607"/>
                </w:tabs>
                <w:rPr>
                  <w:rFonts w:ascii="Times New Roman" w:eastAsiaTheme="minorEastAsia" w:hAnsi="Times New Roman"/>
                  <w:noProof/>
                  <w:sz w:val="24"/>
                  <w:lang w:eastAsia="en-GB"/>
                </w:rPr>
              </w:pPr>
              <w:hyperlink w:anchor="_Toc468795231" w:history="1">
                <w:r>
                  <w:rPr>
                    <w:rStyle w:val="Hyperlink"/>
                    <w:rFonts w:ascii="Times New Roman" w:hAnsi="Times New Roman"/>
                    <w:noProof/>
                    <w:sz w:val="24"/>
                  </w:rPr>
                  <w:t>Annex 8: Draft Economic Analysis Report by Deloitte  (smart 2016/0080)</w:t>
                </w:r>
              </w:hyperlink>
              <w:r>
                <w:rPr>
                  <w:rFonts w:ascii="Times New Roman" w:hAnsi="Times New Roman"/>
                  <w:noProof/>
                  <w:sz w:val="24"/>
                </w:rPr>
                <w:t>………...</w:t>
              </w:r>
              <w:r>
                <w:rPr>
                  <w:rFonts w:ascii="Times New Roman" w:hAnsi="Times New Roman"/>
                  <w:noProof/>
                  <w:sz w:val="24"/>
                </w:rPr>
                <w:t>…107</w:t>
              </w:r>
            </w:p>
            <w:p w:rsidR="0077224F" w:rsidRDefault="00D973EE">
              <w:pPr>
                <w:pStyle w:val="TOC1"/>
                <w:tabs>
                  <w:tab w:val="right" w:leader="dot" w:pos="8607"/>
                </w:tabs>
                <w:rPr>
                  <w:rFonts w:ascii="Times New Roman" w:eastAsiaTheme="minorEastAsia" w:hAnsi="Times New Roman"/>
                  <w:noProof/>
                  <w:sz w:val="24"/>
                  <w:lang w:eastAsia="en-GB"/>
                </w:rPr>
              </w:pPr>
              <w:hyperlink w:anchor="_Toc468795241" w:history="1">
                <w:r>
                  <w:rPr>
                    <w:rStyle w:val="Hyperlink"/>
                    <w:rFonts w:ascii="Times New Roman" w:hAnsi="Times New Roman"/>
                    <w:noProof/>
                    <w:sz w:val="24"/>
                  </w:rPr>
                  <w:t>Annex 9: Coverage of OTTs within the scope of national implementing legislation</w:t>
                </w:r>
              </w:hyperlink>
              <w:r>
                <w:rPr>
                  <w:rFonts w:ascii="Times New Roman" w:hAnsi="Times New Roman"/>
                  <w:noProof/>
                  <w:sz w:val="24"/>
                </w:rPr>
                <w:t>…..135</w:t>
              </w:r>
            </w:p>
            <w:p w:rsidR="0077224F" w:rsidRDefault="00D973EE">
              <w:pPr>
                <w:pStyle w:val="TOC1"/>
                <w:tabs>
                  <w:tab w:val="right" w:leader="dot" w:pos="8607"/>
                </w:tabs>
                <w:rPr>
                  <w:rFonts w:ascii="Times New Roman" w:eastAsiaTheme="minorEastAsia" w:hAnsi="Times New Roman"/>
                  <w:noProof/>
                  <w:sz w:val="24"/>
                  <w:lang w:eastAsia="en-GB"/>
                </w:rPr>
              </w:pPr>
              <w:hyperlink w:anchor="_Toc468795242" w:history="1">
                <w:r>
                  <w:rPr>
                    <w:rStyle w:val="Hyperlink"/>
                    <w:rFonts w:ascii="Times New Roman" w:hAnsi="Times New Roman"/>
                    <w:noProof/>
                    <w:sz w:val="24"/>
                  </w:rPr>
                  <w:t>Annex 10: Opt-in and opt-out regimes per Member State</w:t>
                </w:r>
              </w:hyperlink>
              <w:r>
                <w:rPr>
                  <w:rFonts w:ascii="Times New Roman" w:hAnsi="Times New Roman"/>
                  <w:noProof/>
                  <w:sz w:val="24"/>
                </w:rPr>
                <w:t>…………………………...…137</w:t>
              </w:r>
            </w:p>
            <w:p w:rsidR="0077224F" w:rsidRDefault="00D973EE">
              <w:pPr>
                <w:pStyle w:val="TOC1"/>
                <w:tabs>
                  <w:tab w:val="right" w:leader="dot" w:pos="8607"/>
                </w:tabs>
                <w:rPr>
                  <w:rFonts w:ascii="Times New Roman" w:eastAsiaTheme="minorEastAsia" w:hAnsi="Times New Roman"/>
                  <w:noProof/>
                  <w:sz w:val="24"/>
                  <w:lang w:eastAsia="en-GB"/>
                </w:rPr>
              </w:pPr>
              <w:hyperlink w:anchor="_Toc468795243" w:history="1">
                <w:r>
                  <w:rPr>
                    <w:rStyle w:val="Hyperlink"/>
                    <w:rFonts w:ascii="Times New Roman" w:hAnsi="Times New Roman"/>
                    <w:noProof/>
                    <w:sz w:val="24"/>
                  </w:rPr>
                  <w:t>Annex 11: Table of comp</w:t>
                </w:r>
                <w:bookmarkStart w:id="2" w:name="_GoBack"/>
                <w:bookmarkEnd w:id="2"/>
                <w:r>
                  <w:rPr>
                    <w:rStyle w:val="Hyperlink"/>
                    <w:rFonts w:ascii="Times New Roman" w:hAnsi="Times New Roman"/>
                    <w:noProof/>
                    <w:sz w:val="24"/>
                  </w:rPr>
                  <w:t>etent authorities</w:t>
                </w:r>
              </w:hyperlink>
              <w:r>
                <w:rPr>
                  <w:rFonts w:ascii="Times New Roman" w:hAnsi="Times New Roman"/>
                  <w:noProof/>
                  <w:sz w:val="24"/>
                </w:rPr>
                <w:t>………………………………………...……139</w:t>
              </w:r>
            </w:p>
            <w:p w:rsidR="0077224F" w:rsidRDefault="00D973EE">
              <w:pPr>
                <w:pStyle w:val="TOC1"/>
                <w:tabs>
                  <w:tab w:val="right" w:leader="dot" w:pos="8607"/>
                </w:tabs>
                <w:rPr>
                  <w:rFonts w:ascii="Times New Roman" w:eastAsiaTheme="minorEastAsia" w:hAnsi="Times New Roman"/>
                  <w:noProof/>
                  <w:sz w:val="24"/>
                  <w:lang w:eastAsia="en-GB"/>
                </w:rPr>
              </w:pPr>
              <w:hyperlink w:anchor="_Toc468795244" w:history="1">
                <w:r>
                  <w:rPr>
                    <w:rStyle w:val="Hyperlink"/>
                    <w:rFonts w:ascii="Times New Roman" w:hAnsi="Times New Roman"/>
                    <w:noProof/>
                    <w:sz w:val="24"/>
                  </w:rPr>
                  <w:t>Annex 12: Mapping of the policy options</w:t>
                </w:r>
              </w:hyperlink>
              <w:r>
                <w:rPr>
                  <w:rFonts w:ascii="Times New Roman" w:hAnsi="Times New Roman"/>
                  <w:noProof/>
                  <w:sz w:val="24"/>
                </w:rPr>
                <w:t>……………………………………...……….142</w:t>
              </w:r>
            </w:p>
            <w:p w:rsidR="0077224F" w:rsidRDefault="00D973EE">
              <w:pPr>
                <w:pStyle w:val="TOC1"/>
                <w:tabs>
                  <w:tab w:val="right" w:leader="dot" w:pos="8607"/>
                </w:tabs>
                <w:rPr>
                  <w:rFonts w:ascii="Times New Roman" w:eastAsiaTheme="minorEastAsia" w:hAnsi="Times New Roman"/>
                  <w:noProof/>
                  <w:sz w:val="24"/>
                  <w:lang w:eastAsia="en-GB"/>
                </w:rPr>
              </w:pPr>
              <w:hyperlink w:anchor="_Toc468795250" w:history="1">
                <w:r>
                  <w:rPr>
                    <w:rStyle w:val="Hyperlink"/>
                    <w:rFonts w:ascii="Times New Roman" w:hAnsi="Times New Roman"/>
                    <w:noProof/>
                    <w:sz w:val="24"/>
                  </w:rPr>
                  <w:t>Annex 13: Detailed comparison of policy options</w:t>
                </w:r>
              </w:hyperlink>
              <w:r>
                <w:rPr>
                  <w:rFonts w:ascii="Times New Roman" w:hAnsi="Times New Roman"/>
                  <w:noProof/>
                  <w:sz w:val="24"/>
                </w:rPr>
                <w:t>…………………………</w:t>
              </w:r>
              <w:r>
                <w:rPr>
                  <w:rFonts w:ascii="Times New Roman" w:hAnsi="Times New Roman"/>
                  <w:noProof/>
                  <w:sz w:val="24"/>
                </w:rPr>
                <w:t>…………...152</w:t>
              </w:r>
            </w:p>
            <w:p w:rsidR="0077224F" w:rsidRDefault="00D973EE">
              <w:pPr>
                <w:pStyle w:val="TOC1"/>
                <w:tabs>
                  <w:tab w:val="right" w:leader="dot" w:pos="8607"/>
                </w:tabs>
                <w:rPr>
                  <w:rFonts w:ascii="Times New Roman" w:eastAsiaTheme="minorEastAsia" w:hAnsi="Times New Roman"/>
                  <w:noProof/>
                  <w:sz w:val="24"/>
                  <w:lang w:eastAsia="en-GB"/>
                </w:rPr>
              </w:pPr>
              <w:hyperlink w:anchor="_Toc468795252" w:history="1">
                <w:r>
                  <w:rPr>
                    <w:rStyle w:val="Hyperlink"/>
                    <w:rFonts w:ascii="Times New Roman" w:hAnsi="Times New Roman"/>
                    <w:noProof/>
                    <w:sz w:val="24"/>
                  </w:rPr>
                  <w:t>Annex 14: Glossary</w:t>
                </w:r>
              </w:hyperlink>
              <w:r>
                <w:rPr>
                  <w:rFonts w:ascii="Times New Roman" w:hAnsi="Times New Roman"/>
                  <w:noProof/>
                  <w:sz w:val="24"/>
                </w:rPr>
                <w:t>……………………………………………………….…………….156</w:t>
              </w:r>
            </w:p>
            <w:p w:rsidR="0077224F" w:rsidRDefault="00D973EE">
              <w:pPr>
                <w:rPr>
                  <w:rFonts w:ascii="Times New Roman" w:hAnsi="Times New Roman"/>
                  <w:noProof/>
                </w:rPr>
              </w:pPr>
              <w:r>
                <w:rPr>
                  <w:rFonts w:ascii="Times New Roman" w:hAnsi="Times New Roman"/>
                  <w:b/>
                  <w:bCs/>
                  <w:noProof/>
                  <w:sz w:val="24"/>
                </w:rPr>
                <w:fldChar w:fldCharType="end"/>
              </w:r>
            </w:p>
          </w:sdtContent>
        </w:sdt>
        <w:p w:rsidR="0077224F" w:rsidRDefault="0077224F">
          <w:pPr>
            <w:pStyle w:val="ManualHeading1"/>
            <w:pBdr>
              <w:top w:val="none" w:sz="0" w:space="0" w:color="auto"/>
              <w:left w:val="none" w:sz="0" w:space="0" w:color="auto"/>
              <w:bottom w:val="none" w:sz="0" w:space="0" w:color="auto"/>
              <w:right w:val="none" w:sz="0" w:space="0" w:color="auto"/>
            </w:pBdr>
            <w:jc w:val="left"/>
            <w:rPr>
              <w:sz w:val="24"/>
            </w:rPr>
          </w:pPr>
        </w:p>
        <w:p w:rsidR="0077224F" w:rsidRDefault="00D973EE">
          <w:pPr>
            <w:pStyle w:val="Text1"/>
            <w:rPr>
              <w:noProof/>
            </w:rPr>
          </w:pPr>
          <w:r>
            <w:rPr>
              <w:noProof/>
            </w:rPr>
            <w:br w:type="page"/>
          </w:r>
        </w:p>
        <w:p w:rsidR="0077224F" w:rsidRDefault="00D973EE">
          <w:pPr>
            <w:pStyle w:val="ManualHeading1"/>
            <w:pBdr>
              <w:top w:val="single" w:sz="4" w:space="0" w:color="auto"/>
            </w:pBdr>
          </w:pPr>
          <w:bookmarkStart w:id="3" w:name="_Toc468795145"/>
          <w:r>
            <w:lastRenderedPageBreak/>
            <w:t>Annex 1: Procedural information</w:t>
          </w:r>
          <w:bookmarkEnd w:id="3"/>
          <w:bookmarkEnd w:id="1"/>
        </w:p>
        <w:p w:rsidR="0077224F" w:rsidRDefault="00D973EE">
          <w:pPr>
            <w:keepNext/>
            <w:tabs>
              <w:tab w:val="left" w:pos="850"/>
            </w:tabs>
            <w:ind w:left="850" w:hanging="850"/>
            <w:outlineLvl w:val="1"/>
            <w:rPr>
              <w:rFonts w:ascii="Times New Roman" w:eastAsia="Times New Roman" w:hAnsi="Times New Roman"/>
              <w:b/>
              <w:noProof/>
              <w:sz w:val="24"/>
              <w:lang w:eastAsia="en-GB"/>
            </w:rPr>
          </w:pPr>
          <w:bookmarkStart w:id="4" w:name="_Toc460847378"/>
          <w:bookmarkStart w:id="5" w:name="_Toc460847686"/>
          <w:bookmarkStart w:id="6" w:name="_Toc460847768"/>
          <w:bookmarkStart w:id="7" w:name="_Toc460848134"/>
          <w:bookmarkStart w:id="8" w:name="_Toc460848678"/>
          <w:bookmarkStart w:id="9" w:name="_Toc460923252"/>
          <w:bookmarkStart w:id="10" w:name="_Toc460927055"/>
          <w:bookmarkStart w:id="11" w:name="_Toc460927856"/>
          <w:bookmarkStart w:id="12" w:name="_Toc468453389"/>
          <w:bookmarkStart w:id="13" w:name="_Toc468455289"/>
          <w:bookmarkStart w:id="14" w:name="_Toc468790006"/>
          <w:bookmarkStart w:id="15" w:name="_Toc468794838"/>
          <w:bookmarkStart w:id="16" w:name="_Toc468795146"/>
          <w:r>
            <w:rPr>
              <w:rFonts w:ascii="Times New Roman" w:eastAsia="Times New Roman" w:hAnsi="Times New Roman"/>
              <w:b/>
              <w:noProof/>
              <w:sz w:val="24"/>
              <w:lang w:eastAsia="en-GB"/>
            </w:rPr>
            <w:t>1.1. Identification</w:t>
          </w:r>
          <w:bookmarkEnd w:id="4"/>
          <w:bookmarkEnd w:id="5"/>
          <w:bookmarkEnd w:id="6"/>
          <w:bookmarkEnd w:id="7"/>
          <w:bookmarkEnd w:id="8"/>
          <w:bookmarkEnd w:id="9"/>
          <w:bookmarkEnd w:id="10"/>
          <w:bookmarkEnd w:id="11"/>
          <w:bookmarkEnd w:id="12"/>
          <w:bookmarkEnd w:id="13"/>
          <w:bookmarkEnd w:id="14"/>
          <w:bookmarkEnd w:id="15"/>
          <w:bookmarkEnd w:id="16"/>
        </w:p>
        <w:p w:rsidR="0077224F" w:rsidRDefault="00D973EE">
          <w:pPr>
            <w:spacing w:before="0"/>
            <w:rPr>
              <w:rFonts w:ascii="Times New Roman" w:eastAsia="Times New Roman" w:hAnsi="Times New Roman"/>
              <w:noProof/>
              <w:color w:val="1F497D"/>
              <w:sz w:val="24"/>
            </w:rPr>
          </w:pPr>
          <w:r>
            <w:rPr>
              <w:rFonts w:ascii="Times New Roman" w:eastAsia="Times New Roman" w:hAnsi="Times New Roman"/>
              <w:noProof/>
              <w:color w:val="000000"/>
              <w:sz w:val="24"/>
            </w:rPr>
            <w:t>This Staff Working Document was prepared by Directorate H "Digital Society, Trust &amp; Cybersecurity" of</w:t>
          </w:r>
          <w:r>
            <w:rPr>
              <w:rFonts w:ascii="Times New Roman" w:eastAsia="Times New Roman" w:hAnsi="Times New Roman"/>
              <w:noProof/>
              <w:color w:val="000000"/>
              <w:sz w:val="24"/>
            </w:rPr>
            <w:t xml:space="preserve"> Directorate General "Communications Networks, Content and Technology". The RWP reference of the initiative</w:t>
          </w:r>
          <w:r>
            <w:rPr>
              <w:rFonts w:ascii="Times New Roman" w:eastAsia="Times New Roman" w:hAnsi="Times New Roman"/>
              <w:noProof/>
              <w:sz w:val="24"/>
            </w:rPr>
            <w:t xml:space="preserve"> </w:t>
          </w:r>
          <w:r>
            <w:rPr>
              <w:rFonts w:ascii="Times New Roman" w:eastAsia="Times New Roman" w:hAnsi="Times New Roman"/>
              <w:noProof/>
              <w:sz w:val="24"/>
              <w:szCs w:val="20"/>
            </w:rPr>
            <w:t>"reform of the e-Privacy Directive"</w:t>
          </w:r>
          <w:r>
            <w:rPr>
              <w:rFonts w:ascii="Times New Roman" w:eastAsia="Times New Roman" w:hAnsi="Times New Roman"/>
              <w:noProof/>
              <w:sz w:val="24"/>
            </w:rPr>
            <w:t xml:space="preserve"> is </w:t>
          </w:r>
          <w:r>
            <w:rPr>
              <w:rFonts w:ascii="Times New Roman" w:eastAsia="Times New Roman" w:hAnsi="Times New Roman"/>
              <w:noProof/>
              <w:sz w:val="24"/>
              <w:szCs w:val="20"/>
            </w:rPr>
            <w:t xml:space="preserve">2016/CNECT/007. </w:t>
          </w:r>
        </w:p>
        <w:p w:rsidR="0077224F" w:rsidRDefault="00D973EE">
          <w:pPr>
            <w:spacing w:before="0"/>
            <w:rPr>
              <w:rFonts w:ascii="Times New Roman" w:eastAsia="Times New Roman" w:hAnsi="Times New Roman"/>
              <w:noProof/>
              <w:color w:val="1F497D"/>
              <w:sz w:val="24"/>
            </w:rPr>
          </w:pPr>
          <w:r>
            <w:rPr>
              <w:rFonts w:ascii="Times New Roman" w:eastAsia="Times New Roman" w:hAnsi="Times New Roman"/>
              <w:noProof/>
              <w:sz w:val="24"/>
            </w:rPr>
            <w:t>This Staff Working Document is accompanied by the Fitness Check SWD for the current ePrivacy</w:t>
          </w:r>
          <w:r>
            <w:rPr>
              <w:rFonts w:ascii="Times New Roman" w:eastAsia="Times New Roman" w:hAnsi="Times New Roman"/>
              <w:noProof/>
              <w:sz w:val="24"/>
            </w:rPr>
            <w:t xml:space="preserve"> Directive, conducted in the context of the REFIT programme. The reference of the </w:t>
          </w:r>
          <w:r>
            <w:rPr>
              <w:rFonts w:ascii="Times New Roman" w:eastAsia="Times New Roman" w:hAnsi="Times New Roman"/>
              <w:noProof/>
              <w:sz w:val="24"/>
              <w:szCs w:val="20"/>
            </w:rPr>
            <w:t xml:space="preserve">"REFIT evaluation of the E-Privacy Directive" is 2016/CNECT/013. </w:t>
          </w:r>
          <w:r>
            <w:rPr>
              <w:rFonts w:ascii="Times New Roman" w:eastAsia="Times New Roman" w:hAnsi="Times New Roman"/>
              <w:noProof/>
              <w:sz w:val="24"/>
            </w:rPr>
            <w:t>The ePrivacy Directive is assessed not only in terms of achievement of the original goals, but also in view o</w:t>
          </w:r>
          <w:r>
            <w:rPr>
              <w:rFonts w:ascii="Times New Roman" w:eastAsia="Times New Roman" w:hAnsi="Times New Roman"/>
              <w:noProof/>
              <w:sz w:val="24"/>
            </w:rPr>
            <w:t xml:space="preserve">f potential simplification and reduction of the regulatory burden. </w:t>
          </w:r>
        </w:p>
        <w:p w:rsidR="0077224F" w:rsidRDefault="00D973EE">
          <w:pPr>
            <w:keepNext/>
            <w:tabs>
              <w:tab w:val="left" w:pos="850"/>
            </w:tabs>
            <w:ind w:left="850" w:hanging="850"/>
            <w:outlineLvl w:val="1"/>
            <w:rPr>
              <w:rFonts w:ascii="Times New Roman" w:eastAsia="Times New Roman" w:hAnsi="Times New Roman"/>
              <w:b/>
              <w:noProof/>
              <w:sz w:val="24"/>
              <w:lang w:eastAsia="en-GB"/>
            </w:rPr>
          </w:pPr>
          <w:bookmarkStart w:id="17" w:name="_Toc460847379"/>
          <w:bookmarkStart w:id="18" w:name="_Toc460847687"/>
          <w:bookmarkStart w:id="19" w:name="_Toc460847769"/>
          <w:bookmarkStart w:id="20" w:name="_Toc460848135"/>
          <w:bookmarkStart w:id="21" w:name="_Toc460848679"/>
          <w:bookmarkStart w:id="22" w:name="_Toc460923253"/>
          <w:bookmarkStart w:id="23" w:name="_Toc460927056"/>
          <w:bookmarkStart w:id="24" w:name="_Toc460927857"/>
          <w:bookmarkStart w:id="25" w:name="_Toc468453390"/>
          <w:bookmarkStart w:id="26" w:name="_Toc468455290"/>
          <w:bookmarkStart w:id="27" w:name="_Toc468790007"/>
          <w:bookmarkStart w:id="28" w:name="_Toc468794839"/>
          <w:bookmarkStart w:id="29" w:name="_Toc468795147"/>
          <w:r>
            <w:rPr>
              <w:rFonts w:ascii="Times New Roman" w:eastAsia="Times New Roman" w:hAnsi="Times New Roman"/>
              <w:b/>
              <w:noProof/>
              <w:sz w:val="24"/>
              <w:lang w:eastAsia="en-GB"/>
            </w:rPr>
            <w:t>1.2. Organisation and timing</w:t>
          </w:r>
          <w:bookmarkEnd w:id="17"/>
          <w:bookmarkEnd w:id="18"/>
          <w:bookmarkEnd w:id="19"/>
          <w:bookmarkEnd w:id="20"/>
          <w:bookmarkEnd w:id="21"/>
          <w:bookmarkEnd w:id="22"/>
          <w:bookmarkEnd w:id="23"/>
          <w:bookmarkEnd w:id="24"/>
          <w:bookmarkEnd w:id="25"/>
          <w:bookmarkEnd w:id="26"/>
          <w:bookmarkEnd w:id="27"/>
          <w:bookmarkEnd w:id="28"/>
          <w:bookmarkEnd w:id="29"/>
          <w:r>
            <w:rPr>
              <w:rFonts w:ascii="Times New Roman" w:eastAsia="Times New Roman" w:hAnsi="Times New Roman"/>
              <w:b/>
              <w:noProof/>
              <w:sz w:val="24"/>
              <w:lang w:eastAsia="en-GB"/>
            </w:rPr>
            <w:t xml:space="preserve"> </w:t>
          </w:r>
        </w:p>
        <w:p w:rsidR="0077224F" w:rsidRDefault="00D973EE">
          <w:pPr>
            <w:spacing w:before="0"/>
            <w:rPr>
              <w:rFonts w:ascii="Times New Roman" w:eastAsia="Times New Roman" w:hAnsi="Times New Roman"/>
              <w:noProof/>
              <w:sz w:val="24"/>
            </w:rPr>
          </w:pPr>
          <w:r>
            <w:rPr>
              <w:rFonts w:ascii="Times New Roman" w:eastAsia="Times New Roman" w:hAnsi="Times New Roman"/>
              <w:noProof/>
              <w:sz w:val="24"/>
            </w:rPr>
            <w:t xml:space="preserve">Several other services of the Commission with a policy interest in the review of the ePrivacy Directive (ePD) have been associated in the development of this </w:t>
          </w:r>
          <w:r>
            <w:rPr>
              <w:rFonts w:ascii="Times New Roman" w:eastAsia="Times New Roman" w:hAnsi="Times New Roman"/>
              <w:noProof/>
              <w:sz w:val="24"/>
            </w:rPr>
            <w:t>analysis. The ePD Inter-Service Steering Group ("</w:t>
          </w:r>
          <w:r>
            <w:rPr>
              <w:rFonts w:ascii="Times New Roman" w:eastAsia="Times New Roman" w:hAnsi="Times New Roman"/>
              <w:b/>
              <w:noProof/>
              <w:sz w:val="24"/>
            </w:rPr>
            <w:t>ISSG</w:t>
          </w:r>
          <w:r>
            <w:rPr>
              <w:rFonts w:ascii="Times New Roman" w:eastAsia="Times New Roman" w:hAnsi="Times New Roman"/>
              <w:noProof/>
              <w:sz w:val="24"/>
            </w:rPr>
            <w:t>") met for the first time on the 24 February.</w:t>
          </w:r>
        </w:p>
        <w:p w:rsidR="0077224F" w:rsidRDefault="00D973EE">
          <w:pPr>
            <w:spacing w:before="0"/>
            <w:rPr>
              <w:rFonts w:ascii="Times New Roman" w:eastAsia="Times New Roman" w:hAnsi="Times New Roman"/>
              <w:noProof/>
              <w:sz w:val="24"/>
            </w:rPr>
          </w:pPr>
          <w:r>
            <w:rPr>
              <w:rFonts w:ascii="Times New Roman" w:eastAsia="Times New Roman" w:hAnsi="Times New Roman"/>
              <w:noProof/>
              <w:sz w:val="24"/>
            </w:rPr>
            <w:t>A second ePD Inter-Service Steering Group meeting took place on, 26 July 2016.</w:t>
          </w:r>
        </w:p>
        <w:p w:rsidR="0077224F" w:rsidRDefault="00D973EE">
          <w:pPr>
            <w:spacing w:before="0"/>
            <w:rPr>
              <w:rFonts w:ascii="Times New Roman" w:eastAsia="Times New Roman" w:hAnsi="Times New Roman"/>
              <w:noProof/>
              <w:sz w:val="24"/>
            </w:rPr>
          </w:pPr>
          <w:r>
            <w:rPr>
              <w:rFonts w:ascii="Times New Roman" w:eastAsia="Times New Roman" w:hAnsi="Times New Roman"/>
              <w:noProof/>
              <w:sz w:val="24"/>
            </w:rPr>
            <w:t xml:space="preserve">A third ePD Inter-Service Steering Group took place on and 26 August 2016. </w:t>
          </w:r>
        </w:p>
        <w:p w:rsidR="0077224F" w:rsidRDefault="00D973EE">
          <w:pPr>
            <w:spacing w:before="0"/>
            <w:rPr>
              <w:rFonts w:ascii="Times New Roman" w:eastAsia="Times New Roman" w:hAnsi="Times New Roman"/>
              <w:noProof/>
              <w:sz w:val="24"/>
            </w:rPr>
          </w:pPr>
          <w:r>
            <w:rPr>
              <w:rFonts w:ascii="Times New Roman" w:eastAsia="Times New Roman" w:hAnsi="Times New Roman"/>
              <w:noProof/>
              <w:sz w:val="24"/>
            </w:rPr>
            <w:t xml:space="preserve">A </w:t>
          </w:r>
          <w:r>
            <w:rPr>
              <w:rFonts w:ascii="Times New Roman" w:eastAsia="Times New Roman" w:hAnsi="Times New Roman"/>
              <w:noProof/>
              <w:sz w:val="24"/>
            </w:rPr>
            <w:t>fourth and final meeting took place on 12 December 2016.</w:t>
          </w:r>
        </w:p>
        <w:p w:rsidR="0077224F" w:rsidRDefault="00D973EE">
          <w:pPr>
            <w:spacing w:before="0"/>
            <w:rPr>
              <w:rFonts w:ascii="Times New Roman" w:eastAsia="Times New Roman" w:hAnsi="Times New Roman"/>
              <w:noProof/>
              <w:sz w:val="24"/>
            </w:rPr>
          </w:pPr>
          <w:r>
            <w:rPr>
              <w:rFonts w:ascii="Times New Roman" w:eastAsia="Times New Roman" w:hAnsi="Times New Roman"/>
              <w:noProof/>
              <w:sz w:val="24"/>
            </w:rPr>
            <w:t xml:space="preserve">In the ISSG, chaired by SG,  DG CONNECT, was flanked by DG CNECT, </w:t>
          </w:r>
          <w:r>
            <w:rPr>
              <w:rFonts w:ascii="Times New Roman" w:eastAsia="Times New Roman" w:hAnsi="Times New Roman"/>
              <w:noProof/>
              <w:sz w:val="24"/>
              <w:lang w:eastAsia="en-GB"/>
            </w:rPr>
            <w:t xml:space="preserve">DG </w:t>
          </w:r>
          <w:r>
            <w:rPr>
              <w:rFonts w:ascii="Times New Roman" w:eastAsia="Times New Roman" w:hAnsi="Times New Roman"/>
              <w:noProof/>
              <w:sz w:val="24"/>
              <w:lang w:eastAsia="en-GB" w:bidi="en-US"/>
            </w:rPr>
            <w:t xml:space="preserve">COMP, DG JUST, DG GROW, </w:t>
          </w:r>
          <w:r>
            <w:rPr>
              <w:rFonts w:ascii="Times New Roman" w:eastAsia="Times New Roman" w:hAnsi="Times New Roman"/>
              <w:noProof/>
              <w:sz w:val="24"/>
              <w:lang w:eastAsia="en-GB"/>
            </w:rPr>
            <w:t xml:space="preserve">DG </w:t>
          </w:r>
          <w:r>
            <w:rPr>
              <w:rFonts w:ascii="Times New Roman" w:eastAsia="Times New Roman" w:hAnsi="Times New Roman"/>
              <w:noProof/>
              <w:sz w:val="24"/>
              <w:lang w:eastAsia="en-GB" w:bidi="en-US"/>
            </w:rPr>
            <w:t xml:space="preserve">ECFIN, </w:t>
          </w:r>
          <w:r>
            <w:rPr>
              <w:rFonts w:ascii="Times New Roman" w:eastAsia="Times New Roman" w:hAnsi="Times New Roman"/>
              <w:noProof/>
              <w:sz w:val="24"/>
              <w:lang w:eastAsia="en-GB" w:bidi="hu-HU"/>
            </w:rPr>
            <w:t xml:space="preserve">DG FISMA, DG </w:t>
          </w:r>
          <w:r>
            <w:rPr>
              <w:rFonts w:ascii="Times New Roman" w:eastAsia="Times New Roman" w:hAnsi="Times New Roman"/>
              <w:noProof/>
              <w:sz w:val="24"/>
              <w:lang w:eastAsia="en-GB" w:bidi="en-US"/>
            </w:rPr>
            <w:t xml:space="preserve">TAXUD, DG TRADE, DG </w:t>
          </w:r>
          <w:r>
            <w:rPr>
              <w:rFonts w:ascii="Times New Roman" w:eastAsia="Times New Roman" w:hAnsi="Times New Roman"/>
              <w:noProof/>
              <w:sz w:val="24"/>
              <w:lang w:eastAsia="en-GB"/>
            </w:rPr>
            <w:t xml:space="preserve">RTD, </w:t>
          </w:r>
          <w:r>
            <w:rPr>
              <w:rFonts w:ascii="Times New Roman" w:eastAsia="Times New Roman" w:hAnsi="Times New Roman"/>
              <w:noProof/>
              <w:sz w:val="24"/>
              <w:lang w:eastAsia="en-GB" w:bidi="hu-HU"/>
            </w:rPr>
            <w:t xml:space="preserve">DG </w:t>
          </w:r>
          <w:r>
            <w:rPr>
              <w:rFonts w:ascii="Times New Roman" w:eastAsia="Times New Roman" w:hAnsi="Times New Roman"/>
              <w:noProof/>
              <w:sz w:val="24"/>
              <w:lang w:eastAsia="en-GB" w:bidi="en-US"/>
            </w:rPr>
            <w:t>JRC, DG EMPL, DG EAC, DG HOME, DG ENV,</w:t>
          </w:r>
          <w:r>
            <w:rPr>
              <w:rFonts w:ascii="Times New Roman" w:eastAsia="Times New Roman" w:hAnsi="Times New Roman"/>
              <w:noProof/>
              <w:sz w:val="24"/>
              <w:lang w:eastAsia="en-GB"/>
            </w:rPr>
            <w:t xml:space="preserve"> DG REGIO, </w:t>
          </w:r>
          <w:r>
            <w:rPr>
              <w:rFonts w:ascii="Times New Roman" w:eastAsia="Times New Roman" w:hAnsi="Times New Roman"/>
              <w:noProof/>
              <w:sz w:val="24"/>
              <w:lang w:eastAsia="en-GB" w:bidi="en-US"/>
            </w:rPr>
            <w:t xml:space="preserve">DG HOME, DG </w:t>
          </w:r>
          <w:r>
            <w:rPr>
              <w:rFonts w:ascii="Times New Roman" w:eastAsia="Times New Roman" w:hAnsi="Times New Roman"/>
              <w:noProof/>
              <w:sz w:val="24"/>
              <w:lang w:eastAsia="en-GB"/>
            </w:rPr>
            <w:t xml:space="preserve">ENER, </w:t>
          </w:r>
          <w:r>
            <w:rPr>
              <w:rFonts w:ascii="Times New Roman" w:eastAsia="Times New Roman" w:hAnsi="Times New Roman"/>
              <w:noProof/>
              <w:sz w:val="24"/>
              <w:lang w:eastAsia="en-GB" w:bidi="en-US"/>
            </w:rPr>
            <w:t>DG MOVE, EUROSTAT, EPSC</w:t>
          </w:r>
          <w:r>
            <w:rPr>
              <w:rFonts w:ascii="Times New Roman" w:eastAsia="Times New Roman" w:hAnsi="Times New Roman"/>
              <w:noProof/>
              <w:sz w:val="24"/>
            </w:rPr>
            <w:t>, together with the Legal Service.</w:t>
          </w:r>
        </w:p>
        <w:p w:rsidR="0077224F" w:rsidRDefault="00D973EE">
          <w:pPr>
            <w:spacing w:before="0"/>
            <w:rPr>
              <w:rFonts w:ascii="Times New Roman" w:eastAsia="Times New Roman" w:hAnsi="Times New Roman"/>
              <w:noProof/>
              <w:sz w:val="24"/>
            </w:rPr>
          </w:pPr>
          <w:r>
            <w:rPr>
              <w:rFonts w:ascii="Times New Roman" w:eastAsia="Times New Roman" w:hAnsi="Times New Roman"/>
              <w:noProof/>
              <w:sz w:val="24"/>
            </w:rPr>
            <w:t>DG CONNECT also benefited from the support received by the JRC Cyber &amp; Digital Citizens' Security Unit for the assessment of technical aspects relating to online tracking and secur</w:t>
          </w:r>
          <w:r>
            <w:rPr>
              <w:rFonts w:ascii="Times New Roman" w:eastAsia="Times New Roman" w:hAnsi="Times New Roman"/>
              <w:noProof/>
              <w:sz w:val="24"/>
            </w:rPr>
            <w:t>ity and ENISA on the assessment of the ePD provisions relating to security and privacy of terminal equipment.</w:t>
          </w:r>
        </w:p>
        <w:p w:rsidR="0077224F" w:rsidRDefault="00D973EE">
          <w:pPr>
            <w:keepNext/>
            <w:tabs>
              <w:tab w:val="left" w:pos="850"/>
            </w:tabs>
            <w:ind w:left="850" w:hanging="850"/>
            <w:outlineLvl w:val="1"/>
            <w:rPr>
              <w:rFonts w:ascii="Times New Roman" w:eastAsia="Times New Roman" w:hAnsi="Times New Roman"/>
              <w:b/>
              <w:noProof/>
              <w:sz w:val="24"/>
              <w:lang w:eastAsia="en-GB"/>
            </w:rPr>
          </w:pPr>
          <w:bookmarkStart w:id="30" w:name="_Toc460847380"/>
          <w:bookmarkStart w:id="31" w:name="_Toc460847688"/>
          <w:bookmarkStart w:id="32" w:name="_Toc460847770"/>
          <w:bookmarkStart w:id="33" w:name="_Toc460848136"/>
          <w:bookmarkStart w:id="34" w:name="_Toc460848680"/>
          <w:bookmarkStart w:id="35" w:name="_Toc460923254"/>
          <w:bookmarkStart w:id="36" w:name="_Toc460927057"/>
          <w:bookmarkStart w:id="37" w:name="_Toc460927858"/>
          <w:bookmarkStart w:id="38" w:name="_Toc468453391"/>
          <w:bookmarkStart w:id="39" w:name="_Toc468455291"/>
          <w:bookmarkStart w:id="40" w:name="_Toc468790008"/>
          <w:bookmarkStart w:id="41" w:name="_Toc468794840"/>
          <w:bookmarkStart w:id="42" w:name="_Toc468795148"/>
          <w:r>
            <w:rPr>
              <w:rFonts w:ascii="Times New Roman" w:eastAsia="Times New Roman" w:hAnsi="Times New Roman"/>
              <w:b/>
              <w:noProof/>
              <w:sz w:val="24"/>
              <w:lang w:eastAsia="en-GB"/>
            </w:rPr>
            <w:t>1.3. Consultation of the Regulatory Scrutiny Board</w:t>
          </w:r>
          <w:bookmarkEnd w:id="30"/>
          <w:bookmarkEnd w:id="31"/>
          <w:bookmarkEnd w:id="32"/>
          <w:bookmarkEnd w:id="33"/>
          <w:bookmarkEnd w:id="34"/>
          <w:bookmarkEnd w:id="35"/>
          <w:bookmarkEnd w:id="36"/>
          <w:bookmarkEnd w:id="37"/>
          <w:bookmarkEnd w:id="38"/>
          <w:bookmarkEnd w:id="39"/>
          <w:bookmarkEnd w:id="40"/>
          <w:bookmarkEnd w:id="41"/>
          <w:bookmarkEnd w:id="42"/>
          <w:r>
            <w:rPr>
              <w:rFonts w:ascii="Times New Roman" w:eastAsia="Times New Roman" w:hAnsi="Times New Roman"/>
              <w:b/>
              <w:noProof/>
              <w:sz w:val="24"/>
              <w:lang w:eastAsia="en-GB"/>
            </w:rPr>
            <w:t xml:space="preserve"> </w:t>
          </w:r>
        </w:p>
        <w:p w:rsidR="0077224F" w:rsidRDefault="00D973EE">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The Impact Assessment Report was examined by the Regulatory Scrutiny Board on 28 September 201</w:t>
          </w:r>
          <w:r>
            <w:rPr>
              <w:rFonts w:ascii="Times New Roman" w:eastAsia="Times New Roman" w:hAnsi="Times New Roman"/>
              <w:noProof/>
              <w:sz w:val="24"/>
              <w:szCs w:val="20"/>
            </w:rPr>
            <w:t>6. The Board gave a positive opinion on the understanding that the report shall be adjusted in order to integrate the Board's recommendations with respect to the following key aspects: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3"/>
            <w:gridCol w:w="4693"/>
          </w:tblGrid>
          <w:tr w:rsidR="0077224F">
            <w:trPr>
              <w:trHeight w:val="795"/>
            </w:trPr>
            <w:tc>
              <w:tcPr>
                <w:tcW w:w="4033" w:type="dxa"/>
              </w:tcPr>
              <w:p w:rsidR="0077224F" w:rsidRDefault="00D973EE">
                <w:pPr>
                  <w:spacing w:before="0" w:after="240"/>
                  <w:rPr>
                    <w:rFonts w:ascii="Times New Roman" w:eastAsia="Times New Roman" w:hAnsi="Times New Roman"/>
                    <w:b/>
                    <w:noProof/>
                    <w:sz w:val="22"/>
                    <w:szCs w:val="22"/>
                  </w:rPr>
                </w:pPr>
                <w:r>
                  <w:rPr>
                    <w:rFonts w:ascii="Times New Roman" w:eastAsia="Times New Roman" w:hAnsi="Times New Roman"/>
                    <w:b/>
                    <w:noProof/>
                    <w:sz w:val="22"/>
                    <w:szCs w:val="22"/>
                  </w:rPr>
                  <w:t>Board's Recommendations</w:t>
                </w:r>
              </w:p>
            </w:tc>
            <w:tc>
              <w:tcPr>
                <w:tcW w:w="4693" w:type="dxa"/>
              </w:tcPr>
              <w:p w:rsidR="0077224F" w:rsidRDefault="00D973EE">
                <w:pPr>
                  <w:spacing w:before="0" w:after="200" w:line="276" w:lineRule="auto"/>
                  <w:rPr>
                    <w:rFonts w:ascii="Times New Roman" w:eastAsia="Times New Roman" w:hAnsi="Times New Roman"/>
                    <w:b/>
                    <w:noProof/>
                    <w:sz w:val="22"/>
                    <w:szCs w:val="22"/>
                  </w:rPr>
                </w:pPr>
                <w:r>
                  <w:rPr>
                    <w:rFonts w:ascii="Times New Roman" w:eastAsia="Times New Roman" w:hAnsi="Times New Roman"/>
                    <w:b/>
                    <w:noProof/>
                    <w:color w:val="000000"/>
                    <w:sz w:val="22"/>
                    <w:szCs w:val="22"/>
                  </w:rPr>
                  <w:t xml:space="preserve">Implementation of the recommendations into the </w:t>
                </w:r>
                <w:r>
                  <w:rPr>
                    <w:rFonts w:ascii="Times New Roman" w:eastAsia="Times New Roman" w:hAnsi="Times New Roman"/>
                    <w:b/>
                    <w:noProof/>
                    <w:color w:val="000000"/>
                    <w:sz w:val="22"/>
                    <w:szCs w:val="22"/>
                  </w:rPr>
                  <w:t>revised IA Report</w:t>
                </w:r>
              </w:p>
            </w:tc>
          </w:tr>
          <w:tr w:rsidR="0077224F">
            <w:trPr>
              <w:trHeight w:val="416"/>
            </w:trPr>
            <w:tc>
              <w:tcPr>
                <w:tcW w:w="4033" w:type="dxa"/>
              </w:tcPr>
              <w:p w:rsidR="0077224F" w:rsidRDefault="00D973EE">
                <w:pPr>
                  <w:autoSpaceDE w:val="0"/>
                  <w:autoSpaceDN w:val="0"/>
                  <w:adjustRightInd w:val="0"/>
                  <w:spacing w:before="0" w:after="0"/>
                  <w:jc w:val="left"/>
                  <w:rPr>
                    <w:rFonts w:ascii="Times New Roman" w:eastAsia="Times New Roman" w:hAnsi="Times New Roman"/>
                    <w:i/>
                    <w:noProof/>
                    <w:color w:val="000000"/>
                    <w:sz w:val="22"/>
                    <w:szCs w:val="22"/>
                    <w:lang w:eastAsia="en-GB"/>
                  </w:rPr>
                </w:pPr>
                <w:r>
                  <w:rPr>
                    <w:rFonts w:ascii="Times New Roman" w:eastAsia="Times New Roman" w:hAnsi="Times New Roman"/>
                    <w:i/>
                    <w:noProof/>
                    <w:color w:val="000000"/>
                    <w:sz w:val="22"/>
                    <w:szCs w:val="22"/>
                    <w:lang w:eastAsia="en-GB"/>
                  </w:rPr>
                  <w:t>1.</w:t>
                </w:r>
                <w:r>
                  <w:rPr>
                    <w:rFonts w:ascii="Times New Roman" w:eastAsia="Times New Roman" w:hAnsi="Times New Roman"/>
                    <w:noProof/>
                    <w:color w:val="000000"/>
                    <w:sz w:val="22"/>
                    <w:szCs w:val="22"/>
                    <w:lang w:eastAsia="en-GB"/>
                  </w:rPr>
                  <w:t xml:space="preserve"> </w:t>
                </w:r>
                <w:r>
                  <w:rPr>
                    <w:rFonts w:ascii="Times New Roman" w:eastAsia="Times New Roman" w:hAnsi="Times New Roman"/>
                    <w:i/>
                    <w:noProof/>
                    <w:color w:val="000000"/>
                    <w:sz w:val="22"/>
                    <w:szCs w:val="22"/>
                    <w:lang w:eastAsia="en-GB"/>
                  </w:rPr>
                  <w:t xml:space="preserve">The report should clarify the scope and coherence of the initiative, notably in relation to the existing ePrivacy Directive, the General Data Protection Regulation and the Radio and Telecommunication Terminal Equipment Directive. It </w:t>
                </w:r>
                <w:r>
                  <w:rPr>
                    <w:rFonts w:ascii="Times New Roman" w:eastAsia="Times New Roman" w:hAnsi="Times New Roman"/>
                    <w:i/>
                    <w:noProof/>
                    <w:color w:val="000000"/>
                    <w:sz w:val="22"/>
                    <w:szCs w:val="22"/>
                    <w:lang w:eastAsia="en-GB"/>
                  </w:rPr>
                  <w:t>should provide credible assurances that overall consistency will be ensured and overlaps avoided</w:t>
                </w:r>
              </w:p>
              <w:p w:rsidR="0077224F" w:rsidRDefault="0077224F">
                <w:pPr>
                  <w:autoSpaceDE w:val="0"/>
                  <w:autoSpaceDN w:val="0"/>
                  <w:adjustRightInd w:val="0"/>
                  <w:spacing w:before="0" w:after="0"/>
                  <w:jc w:val="left"/>
                  <w:rPr>
                    <w:rFonts w:ascii="Times New Roman" w:eastAsia="Times New Roman" w:hAnsi="Times New Roman"/>
                    <w:i/>
                    <w:noProof/>
                    <w:color w:val="000000"/>
                    <w:sz w:val="22"/>
                    <w:szCs w:val="22"/>
                    <w:lang w:eastAsia="en-GB"/>
                  </w:rPr>
                </w:pPr>
              </w:p>
              <w:p w:rsidR="0077224F" w:rsidRDefault="0077224F">
                <w:pPr>
                  <w:autoSpaceDE w:val="0"/>
                  <w:autoSpaceDN w:val="0"/>
                  <w:adjustRightInd w:val="0"/>
                  <w:spacing w:before="0" w:after="0"/>
                  <w:jc w:val="left"/>
                  <w:rPr>
                    <w:rFonts w:ascii="Times New Roman" w:eastAsia="Times New Roman" w:hAnsi="Times New Roman"/>
                    <w:i/>
                    <w:noProof/>
                    <w:color w:val="000000"/>
                    <w:sz w:val="22"/>
                    <w:szCs w:val="22"/>
                    <w:lang w:eastAsia="en-GB"/>
                  </w:rPr>
                </w:pPr>
              </w:p>
              <w:p w:rsidR="0077224F" w:rsidRDefault="0077224F">
                <w:pPr>
                  <w:autoSpaceDE w:val="0"/>
                  <w:autoSpaceDN w:val="0"/>
                  <w:adjustRightInd w:val="0"/>
                  <w:spacing w:before="0" w:after="0"/>
                  <w:jc w:val="left"/>
                  <w:rPr>
                    <w:rFonts w:ascii="Times New Roman" w:eastAsia="Times New Roman" w:hAnsi="Times New Roman"/>
                    <w:i/>
                    <w:noProof/>
                    <w:color w:val="000000"/>
                    <w:sz w:val="22"/>
                    <w:szCs w:val="22"/>
                    <w:lang w:eastAsia="en-GB"/>
                  </w:rPr>
                </w:pPr>
              </w:p>
              <w:p w:rsidR="0077224F" w:rsidRDefault="0077224F">
                <w:pPr>
                  <w:autoSpaceDE w:val="0"/>
                  <w:autoSpaceDN w:val="0"/>
                  <w:adjustRightInd w:val="0"/>
                  <w:spacing w:before="0" w:after="187"/>
                  <w:rPr>
                    <w:rFonts w:ascii="Times New Roman" w:eastAsia="Times New Roman" w:hAnsi="Times New Roman"/>
                    <w:i/>
                    <w:noProof/>
                    <w:color w:val="000000"/>
                    <w:sz w:val="22"/>
                    <w:szCs w:val="22"/>
                    <w:lang w:eastAsia="en-GB"/>
                  </w:rPr>
                </w:pPr>
              </w:p>
            </w:tc>
            <w:tc>
              <w:tcPr>
                <w:tcW w:w="4693" w:type="dxa"/>
              </w:tcPr>
              <w:p w:rsidR="0077224F" w:rsidRDefault="00D973EE">
                <w:pPr>
                  <w:autoSpaceDE w:val="0"/>
                  <w:autoSpaceDN w:val="0"/>
                  <w:adjustRightInd w:val="0"/>
                  <w:spacing w:before="0" w:after="0"/>
                  <w:jc w:val="left"/>
                  <w:rPr>
                    <w:rFonts w:ascii="Times New Roman" w:eastAsia="Times New Roman" w:hAnsi="Times New Roman"/>
                    <w:i/>
                    <w:noProof/>
                    <w:color w:val="000000"/>
                    <w:sz w:val="22"/>
                    <w:szCs w:val="22"/>
                    <w:lang w:eastAsia="en-GB"/>
                  </w:rPr>
                </w:pPr>
                <w:r>
                  <w:rPr>
                    <w:rFonts w:ascii="Times New Roman" w:eastAsia="Times New Roman" w:hAnsi="Times New Roman"/>
                    <w:i/>
                    <w:noProof/>
                    <w:color w:val="000000"/>
                    <w:sz w:val="22"/>
                    <w:szCs w:val="22"/>
                    <w:lang w:eastAsia="en-GB"/>
                  </w:rPr>
                  <w:lastRenderedPageBreak/>
                  <w:t>1. The scope of the initiative and the assessment of the coherence with complementary legal instruments, including the General Data Protection Legislation,</w:t>
                </w:r>
                <w:r>
                  <w:rPr>
                    <w:rFonts w:ascii="Times New Roman" w:eastAsia="Times New Roman" w:hAnsi="Times New Roman"/>
                    <w:i/>
                    <w:noProof/>
                    <w:color w:val="000000"/>
                    <w:sz w:val="22"/>
                    <w:szCs w:val="22"/>
                    <w:lang w:eastAsia="en-GB"/>
                  </w:rPr>
                  <w:t xml:space="preserve"> the Telecom Framework and the Radio Equipment Directive and the need for a separate ePrivacy instrument, has been further clarified and developed, thereby ensuring that overlaps would be avoided (see Section 6.1.3). A specific section was added in Annex 4</w:t>
                </w:r>
                <w:r>
                  <w:rPr>
                    <w:rFonts w:ascii="Times New Roman" w:eastAsia="Times New Roman" w:hAnsi="Times New Roman"/>
                    <w:i/>
                    <w:noProof/>
                    <w:color w:val="000000"/>
                    <w:sz w:val="22"/>
                    <w:szCs w:val="22"/>
                    <w:lang w:eastAsia="en-GB"/>
                  </w:rPr>
                  <w:t xml:space="preserve"> clarifying the scope, objectives and the main content of the current ePD and its relationship </w:t>
                </w:r>
                <w:r>
                  <w:rPr>
                    <w:rFonts w:ascii="Times New Roman" w:eastAsia="Times New Roman" w:hAnsi="Times New Roman"/>
                    <w:i/>
                    <w:noProof/>
                    <w:color w:val="000000"/>
                    <w:sz w:val="22"/>
                    <w:szCs w:val="22"/>
                    <w:lang w:eastAsia="en-GB"/>
                  </w:rPr>
                  <w:lastRenderedPageBreak/>
                  <w:t>with other related pieces of legislation.</w:t>
                </w:r>
              </w:p>
              <w:p w:rsidR="0077224F" w:rsidRDefault="0077224F">
                <w:pPr>
                  <w:spacing w:before="0" w:after="240"/>
                  <w:rPr>
                    <w:rFonts w:ascii="Times New Roman" w:eastAsia="Times New Roman" w:hAnsi="Times New Roman"/>
                    <w:i/>
                    <w:noProof/>
                    <w:sz w:val="22"/>
                    <w:szCs w:val="22"/>
                  </w:rPr>
                </w:pPr>
              </w:p>
            </w:tc>
          </w:tr>
          <w:tr w:rsidR="0077224F">
            <w:trPr>
              <w:trHeight w:val="416"/>
            </w:trPr>
            <w:tc>
              <w:tcPr>
                <w:tcW w:w="4033" w:type="dxa"/>
              </w:tcPr>
              <w:p w:rsidR="0077224F" w:rsidRDefault="00D973EE">
                <w:pPr>
                  <w:autoSpaceDE w:val="0"/>
                  <w:autoSpaceDN w:val="0"/>
                  <w:adjustRightInd w:val="0"/>
                  <w:spacing w:before="0" w:after="0"/>
                  <w:jc w:val="left"/>
                  <w:rPr>
                    <w:rFonts w:ascii="Times New Roman" w:eastAsia="Times New Roman" w:hAnsi="Times New Roman"/>
                    <w:i/>
                    <w:noProof/>
                    <w:color w:val="000000"/>
                    <w:sz w:val="22"/>
                    <w:szCs w:val="22"/>
                    <w:lang w:eastAsia="en-GB"/>
                  </w:rPr>
                </w:pPr>
                <w:r>
                  <w:rPr>
                    <w:rFonts w:ascii="Times New Roman" w:eastAsia="Times New Roman" w:hAnsi="Times New Roman"/>
                    <w:i/>
                    <w:noProof/>
                    <w:color w:val="000000"/>
                    <w:sz w:val="22"/>
                    <w:szCs w:val="22"/>
                    <w:lang w:eastAsia="en-GB"/>
                  </w:rPr>
                  <w:lastRenderedPageBreak/>
                  <w:t>2.</w:t>
                </w:r>
                <w:r>
                  <w:rPr>
                    <w:rFonts w:ascii="Times New Roman" w:eastAsia="Times New Roman" w:hAnsi="Times New Roman"/>
                    <w:noProof/>
                    <w:color w:val="000000"/>
                    <w:sz w:val="22"/>
                    <w:szCs w:val="22"/>
                    <w:lang w:eastAsia="en-GB"/>
                  </w:rPr>
                  <w:t xml:space="preserve"> </w:t>
                </w:r>
                <w:r>
                  <w:rPr>
                    <w:rFonts w:ascii="Times New Roman" w:eastAsia="Times New Roman" w:hAnsi="Times New Roman"/>
                    <w:i/>
                    <w:noProof/>
                    <w:color w:val="000000"/>
                    <w:sz w:val="22"/>
                    <w:szCs w:val="22"/>
                    <w:lang w:eastAsia="en-GB"/>
                  </w:rPr>
                  <w:t>The baseline scenario should be further elaborated and the options should be described with more detail</w:t>
                </w:r>
              </w:p>
            </w:tc>
            <w:tc>
              <w:tcPr>
                <w:tcW w:w="4693" w:type="dxa"/>
              </w:tcPr>
              <w:p w:rsidR="0077224F" w:rsidRDefault="00D973EE">
                <w:pPr>
                  <w:autoSpaceDE w:val="0"/>
                  <w:autoSpaceDN w:val="0"/>
                  <w:adjustRightInd w:val="0"/>
                  <w:spacing w:before="0" w:after="0"/>
                  <w:jc w:val="left"/>
                  <w:rPr>
                    <w:rFonts w:ascii="Times New Roman" w:eastAsia="Times New Roman" w:hAnsi="Times New Roman"/>
                    <w:i/>
                    <w:noProof/>
                    <w:color w:val="000000"/>
                    <w:sz w:val="22"/>
                    <w:szCs w:val="22"/>
                    <w:highlight w:val="yellow"/>
                    <w:lang w:eastAsia="en-GB"/>
                  </w:rPr>
                </w:pPr>
                <w:r>
                  <w:rPr>
                    <w:rFonts w:ascii="Times New Roman" w:eastAsia="Times New Roman" w:hAnsi="Times New Roman"/>
                    <w:i/>
                    <w:noProof/>
                    <w:color w:val="000000"/>
                    <w:sz w:val="22"/>
                    <w:szCs w:val="22"/>
                    <w:lang w:eastAsia="en-GB"/>
                  </w:rPr>
                  <w:t>2. The bas</w:t>
                </w:r>
                <w:r>
                  <w:rPr>
                    <w:rFonts w:ascii="Times New Roman" w:eastAsia="Times New Roman" w:hAnsi="Times New Roman"/>
                    <w:i/>
                    <w:noProof/>
                    <w:color w:val="000000"/>
                    <w:sz w:val="22"/>
                    <w:szCs w:val="22"/>
                    <w:lang w:eastAsia="en-GB"/>
                  </w:rPr>
                  <w:t>eline scenario has been clarified in the revised report, notably by evaluating more precisely how the situation would evolve with no policy change with respect to the ePrivacy Directive and full implementation of the GDPR and the RED (see Section 1.6). Mor</w:t>
                </w:r>
                <w:r>
                  <w:rPr>
                    <w:rFonts w:ascii="Times New Roman" w:eastAsia="Times New Roman" w:hAnsi="Times New Roman"/>
                    <w:i/>
                    <w:noProof/>
                    <w:color w:val="000000"/>
                    <w:sz w:val="22"/>
                    <w:szCs w:val="22"/>
                    <w:lang w:eastAsia="en-GB"/>
                  </w:rPr>
                  <w:t>eover, the revised report has clarified and further specified the scope and implications of each of the privacy options. In particular, the measures concerning confidentiality of terminal equipment and related online tracking and the measures concerning en</w:t>
                </w:r>
                <w:r>
                  <w:rPr>
                    <w:rFonts w:ascii="Times New Roman" w:eastAsia="Times New Roman" w:hAnsi="Times New Roman"/>
                    <w:i/>
                    <w:noProof/>
                    <w:color w:val="000000"/>
                    <w:sz w:val="22"/>
                    <w:szCs w:val="22"/>
                    <w:lang w:eastAsia="en-GB"/>
                  </w:rPr>
                  <w:t xml:space="preserve">forcement and supervisory authorities were specified (Chapter 4). </w:t>
                </w:r>
              </w:p>
            </w:tc>
          </w:tr>
          <w:tr w:rsidR="0077224F">
            <w:trPr>
              <w:trHeight w:val="416"/>
            </w:trPr>
            <w:tc>
              <w:tcPr>
                <w:tcW w:w="4033" w:type="dxa"/>
              </w:tcPr>
              <w:p w:rsidR="0077224F" w:rsidRDefault="00D973EE">
                <w:pPr>
                  <w:autoSpaceDE w:val="0"/>
                  <w:autoSpaceDN w:val="0"/>
                  <w:adjustRightInd w:val="0"/>
                  <w:spacing w:before="0" w:after="0"/>
                  <w:jc w:val="left"/>
                  <w:rPr>
                    <w:rFonts w:ascii="Times New Roman" w:eastAsia="Times New Roman" w:hAnsi="Times New Roman"/>
                    <w:i/>
                    <w:noProof/>
                    <w:color w:val="000000"/>
                    <w:sz w:val="22"/>
                    <w:szCs w:val="22"/>
                    <w:lang w:eastAsia="en-GB"/>
                  </w:rPr>
                </w:pPr>
                <w:r>
                  <w:rPr>
                    <w:rFonts w:ascii="Times New Roman" w:eastAsia="Times New Roman" w:hAnsi="Times New Roman"/>
                    <w:i/>
                    <w:noProof/>
                    <w:color w:val="000000"/>
                    <w:sz w:val="22"/>
                    <w:szCs w:val="22"/>
                    <w:lang w:eastAsia="en-GB"/>
                  </w:rPr>
                  <w:t>3.</w:t>
                </w:r>
                <w:r>
                  <w:rPr>
                    <w:rFonts w:ascii="Times New Roman" w:eastAsia="Times New Roman" w:hAnsi="Times New Roman"/>
                    <w:noProof/>
                    <w:color w:val="000000"/>
                    <w:sz w:val="22"/>
                    <w:szCs w:val="22"/>
                    <w:lang w:eastAsia="en-GB"/>
                  </w:rPr>
                  <w:t xml:space="preserve"> </w:t>
                </w:r>
                <w:r>
                  <w:rPr>
                    <w:rFonts w:ascii="Times New Roman" w:eastAsia="Times New Roman" w:hAnsi="Times New Roman"/>
                    <w:i/>
                    <w:noProof/>
                    <w:color w:val="000000"/>
                    <w:sz w:val="22"/>
                    <w:szCs w:val="22"/>
                    <w:lang w:eastAsia="en-GB"/>
                  </w:rPr>
                  <w:t>The analysis of impacts should be more balanced across the options and strengthened as regards the overall costs and benefits, notably affecting SMEs</w:t>
                </w:r>
              </w:p>
              <w:p w:rsidR="0077224F" w:rsidRDefault="0077224F">
                <w:pPr>
                  <w:autoSpaceDE w:val="0"/>
                  <w:autoSpaceDN w:val="0"/>
                  <w:adjustRightInd w:val="0"/>
                  <w:spacing w:before="0" w:after="0"/>
                  <w:jc w:val="left"/>
                  <w:rPr>
                    <w:rFonts w:ascii="Times New Roman" w:eastAsia="Times New Roman" w:hAnsi="Times New Roman"/>
                    <w:i/>
                    <w:noProof/>
                    <w:color w:val="000000"/>
                    <w:sz w:val="22"/>
                    <w:szCs w:val="22"/>
                    <w:lang w:eastAsia="en-GB"/>
                  </w:rPr>
                </w:pPr>
              </w:p>
            </w:tc>
            <w:tc>
              <w:tcPr>
                <w:tcW w:w="4693" w:type="dxa"/>
              </w:tcPr>
              <w:p w:rsidR="0077224F" w:rsidRDefault="00D973EE">
                <w:pPr>
                  <w:autoSpaceDE w:val="0"/>
                  <w:autoSpaceDN w:val="0"/>
                  <w:adjustRightInd w:val="0"/>
                  <w:spacing w:before="0" w:after="0"/>
                  <w:jc w:val="left"/>
                  <w:rPr>
                    <w:rFonts w:ascii="Times New Roman" w:eastAsia="Times New Roman" w:hAnsi="Times New Roman"/>
                    <w:i/>
                    <w:noProof/>
                    <w:color w:val="000000"/>
                    <w:sz w:val="22"/>
                    <w:szCs w:val="22"/>
                    <w:highlight w:val="yellow"/>
                    <w:lang w:eastAsia="en-GB"/>
                  </w:rPr>
                </w:pPr>
                <w:r>
                  <w:rPr>
                    <w:rFonts w:ascii="Times New Roman" w:eastAsia="Times New Roman" w:hAnsi="Times New Roman"/>
                    <w:i/>
                    <w:noProof/>
                    <w:color w:val="000000"/>
                    <w:sz w:val="22"/>
                    <w:szCs w:val="22"/>
                    <w:lang w:eastAsia="en-GB"/>
                  </w:rPr>
                  <w:t>The analysis of the impacts has be</w:t>
                </w:r>
                <w:r>
                  <w:rPr>
                    <w:rFonts w:ascii="Times New Roman" w:eastAsia="Times New Roman" w:hAnsi="Times New Roman"/>
                    <w:i/>
                    <w:noProof/>
                    <w:color w:val="000000"/>
                    <w:sz w:val="22"/>
                    <w:szCs w:val="22"/>
                    <w:lang w:eastAsia="en-GB"/>
                  </w:rPr>
                  <w:t>en strengthened and made more balanced across all the options, clarifying and reinforcing the description of the expected costs and benefits (see the respective parts in Chapter 5, see in particular the economic assessment parts of Option 2 (Section 5.3) a</w:t>
                </w:r>
                <w:r>
                  <w:rPr>
                    <w:rFonts w:ascii="Times New Roman" w:eastAsia="Times New Roman" w:hAnsi="Times New Roman"/>
                    <w:i/>
                    <w:noProof/>
                    <w:color w:val="000000"/>
                    <w:sz w:val="22"/>
                    <w:szCs w:val="22"/>
                    <w:lang w:eastAsia="en-GB"/>
                  </w:rPr>
                  <w:t>nd 3 (Section 5.4)). The analysis of the impact of each option on SMEs has been expanded and streamlined, both in the report and in an annex (see the respective parts in Chapter 5 and Annex 7). The report clarifies that the proposal is future-proof, highli</w:t>
                </w:r>
                <w:r>
                  <w:rPr>
                    <w:rFonts w:ascii="Times New Roman" w:eastAsia="Times New Roman" w:hAnsi="Times New Roman"/>
                    <w:i/>
                    <w:noProof/>
                    <w:color w:val="000000"/>
                    <w:sz w:val="22"/>
                    <w:szCs w:val="22"/>
                    <w:lang w:eastAsia="en-GB"/>
                  </w:rPr>
                  <w:t>ghting the technology neutral and funcionality and value-based approach of the preferred policy option (see, e.g., Sections 4.4. 5.4 and 6.2.1). Finally, the report explains more comprehensively the analysis of the impact of the proposal on OBA business mo</w:t>
                </w:r>
                <w:r>
                  <w:rPr>
                    <w:rFonts w:ascii="Times New Roman" w:eastAsia="Times New Roman" w:hAnsi="Times New Roman"/>
                    <w:i/>
                    <w:noProof/>
                    <w:color w:val="000000"/>
                    <w:sz w:val="22"/>
                    <w:szCs w:val="22"/>
                    <w:lang w:eastAsia="en-GB"/>
                  </w:rPr>
                  <w:t>dels (see Section 5.4).</w:t>
                </w:r>
              </w:p>
            </w:tc>
          </w:tr>
          <w:tr w:rsidR="0077224F">
            <w:trPr>
              <w:trHeight w:val="416"/>
            </w:trPr>
            <w:tc>
              <w:tcPr>
                <w:tcW w:w="4033" w:type="dxa"/>
              </w:tcPr>
              <w:p w:rsidR="0077224F" w:rsidRDefault="00D973EE">
                <w:pPr>
                  <w:autoSpaceDE w:val="0"/>
                  <w:autoSpaceDN w:val="0"/>
                  <w:adjustRightInd w:val="0"/>
                  <w:spacing w:before="0" w:after="0"/>
                  <w:jc w:val="left"/>
                  <w:rPr>
                    <w:rFonts w:ascii="Times New Roman" w:eastAsia="Times New Roman" w:hAnsi="Times New Roman"/>
                    <w:i/>
                    <w:noProof/>
                    <w:color w:val="000000"/>
                    <w:sz w:val="22"/>
                    <w:szCs w:val="22"/>
                    <w:lang w:eastAsia="en-GB"/>
                  </w:rPr>
                </w:pPr>
                <w:r>
                  <w:rPr>
                    <w:rFonts w:ascii="Times New Roman" w:eastAsia="Times New Roman" w:hAnsi="Times New Roman"/>
                    <w:i/>
                    <w:noProof/>
                    <w:color w:val="000000"/>
                    <w:sz w:val="22"/>
                    <w:szCs w:val="22"/>
                    <w:lang w:eastAsia="en-GB"/>
                  </w:rPr>
                  <w:t>4.  In the context of REFIT, the report should emphasize the simplification and burden-reduction elements of the various provisions of the preferred option and bring out the quantitative elements of the analysis</w:t>
                </w:r>
              </w:p>
            </w:tc>
            <w:tc>
              <w:tcPr>
                <w:tcW w:w="4693" w:type="dxa"/>
              </w:tcPr>
              <w:p w:rsidR="0077224F" w:rsidRDefault="00D973EE">
                <w:pPr>
                  <w:autoSpaceDE w:val="0"/>
                  <w:autoSpaceDN w:val="0"/>
                  <w:adjustRightInd w:val="0"/>
                  <w:spacing w:before="0" w:after="0"/>
                  <w:jc w:val="left"/>
                  <w:rPr>
                    <w:rFonts w:ascii="Times New Roman" w:eastAsia="Times New Roman" w:hAnsi="Times New Roman"/>
                    <w:i/>
                    <w:noProof/>
                    <w:color w:val="000000"/>
                    <w:sz w:val="22"/>
                    <w:szCs w:val="22"/>
                    <w:highlight w:val="yellow"/>
                    <w:lang w:eastAsia="en-GB"/>
                  </w:rPr>
                </w:pPr>
                <w:r>
                  <w:rPr>
                    <w:rFonts w:ascii="Times New Roman" w:eastAsia="Times New Roman" w:hAnsi="Times New Roman"/>
                    <w:i/>
                    <w:noProof/>
                    <w:color w:val="000000"/>
                    <w:sz w:val="22"/>
                    <w:szCs w:val="22"/>
                    <w:lang w:eastAsia="en-GB"/>
                  </w:rPr>
                  <w:t xml:space="preserve">A specific section </w:t>
                </w:r>
                <w:r>
                  <w:rPr>
                    <w:rFonts w:ascii="Times New Roman" w:eastAsia="Times New Roman" w:hAnsi="Times New Roman"/>
                    <w:i/>
                    <w:noProof/>
                    <w:color w:val="000000"/>
                    <w:sz w:val="22"/>
                    <w:szCs w:val="22"/>
                    <w:lang w:eastAsia="en-GB"/>
                  </w:rPr>
                  <w:t>has been added to the report describing the elements of the preferred policy option that simplify the legal framework or reduce administrative burdens (see Section 6.2.1).</w:t>
                </w:r>
              </w:p>
            </w:tc>
          </w:tr>
        </w:tbl>
        <w:p w:rsidR="0077224F" w:rsidRDefault="00D973EE">
          <w:pPr>
            <w:keepNext/>
            <w:tabs>
              <w:tab w:val="left" w:pos="850"/>
            </w:tabs>
            <w:ind w:left="850" w:hanging="850"/>
            <w:outlineLvl w:val="1"/>
            <w:rPr>
              <w:rFonts w:ascii="Times New Roman" w:eastAsia="Times New Roman" w:hAnsi="Times New Roman"/>
              <w:b/>
              <w:noProof/>
              <w:sz w:val="24"/>
              <w:lang w:eastAsia="en-GB"/>
            </w:rPr>
          </w:pPr>
          <w:bookmarkStart w:id="43" w:name="_Toc460847381"/>
          <w:bookmarkStart w:id="44" w:name="_Toc460847689"/>
          <w:bookmarkStart w:id="45" w:name="_Toc460847771"/>
          <w:bookmarkStart w:id="46" w:name="_Toc460848137"/>
          <w:bookmarkStart w:id="47" w:name="_Toc460848681"/>
          <w:bookmarkStart w:id="48" w:name="_Toc460923255"/>
          <w:bookmarkStart w:id="49" w:name="_Toc460927058"/>
          <w:bookmarkStart w:id="50" w:name="_Toc460927859"/>
          <w:bookmarkStart w:id="51" w:name="_Toc468453392"/>
          <w:bookmarkStart w:id="52" w:name="_Toc468455292"/>
          <w:bookmarkStart w:id="53" w:name="_Toc468790009"/>
          <w:bookmarkStart w:id="54" w:name="_Toc468794841"/>
          <w:bookmarkStart w:id="55" w:name="_Toc468795149"/>
          <w:r>
            <w:rPr>
              <w:rFonts w:ascii="Times New Roman" w:eastAsia="Times New Roman" w:hAnsi="Times New Roman"/>
              <w:b/>
              <w:noProof/>
              <w:sz w:val="24"/>
              <w:lang w:eastAsia="en-GB"/>
            </w:rPr>
            <w:t>1.4. Evidence used</w:t>
          </w:r>
          <w:bookmarkEnd w:id="43"/>
          <w:bookmarkEnd w:id="44"/>
          <w:bookmarkEnd w:id="45"/>
          <w:bookmarkEnd w:id="46"/>
          <w:bookmarkEnd w:id="47"/>
          <w:bookmarkEnd w:id="48"/>
          <w:bookmarkEnd w:id="49"/>
          <w:bookmarkEnd w:id="50"/>
          <w:bookmarkEnd w:id="51"/>
          <w:bookmarkEnd w:id="52"/>
          <w:bookmarkEnd w:id="53"/>
          <w:bookmarkEnd w:id="54"/>
          <w:bookmarkEnd w:id="55"/>
          <w:r>
            <w:rPr>
              <w:rFonts w:ascii="Times New Roman" w:eastAsia="Times New Roman" w:hAnsi="Times New Roman"/>
              <w:b/>
              <w:noProof/>
              <w:sz w:val="24"/>
              <w:lang w:eastAsia="en-GB"/>
            </w:rPr>
            <w:t xml:space="preserve"> </w:t>
          </w:r>
        </w:p>
        <w:p w:rsidR="0077224F" w:rsidRDefault="00D973EE">
          <w:pPr>
            <w:pBdr>
              <w:top w:val="nil"/>
              <w:left w:val="nil"/>
              <w:bottom w:val="nil"/>
              <w:right w:val="nil"/>
              <w:between w:val="nil"/>
              <w:bar w:val="nil"/>
            </w:pBdr>
            <w:spacing w:before="0" w:line="276" w:lineRule="auto"/>
            <w:rPr>
              <w:rFonts w:ascii="Times New Roman" w:eastAsia="Times New Roman" w:hAnsi="Times New Roman"/>
              <w:noProof/>
              <w:sz w:val="24"/>
            </w:rPr>
          </w:pPr>
          <w:r>
            <w:rPr>
              <w:rFonts w:ascii="Times New Roman" w:eastAsia="Times New Roman" w:hAnsi="Times New Roman"/>
              <w:noProof/>
              <w:sz w:val="24"/>
            </w:rPr>
            <w:t xml:space="preserve">The Commission gathered qualitative and quantitative evidence </w:t>
          </w:r>
          <w:r>
            <w:rPr>
              <w:rFonts w:ascii="Times New Roman" w:eastAsia="Times New Roman" w:hAnsi="Times New Roman"/>
              <w:noProof/>
              <w:sz w:val="24"/>
            </w:rPr>
            <w:t>from various sources:</w:t>
          </w:r>
        </w:p>
        <w:p w:rsidR="0077224F" w:rsidRDefault="00D973EE">
          <w:pPr>
            <w:numPr>
              <w:ilvl w:val="1"/>
              <w:numId w:val="70"/>
            </w:numPr>
            <w:spacing w:before="0" w:after="240"/>
            <w:ind w:left="709"/>
            <w:contextualSpacing/>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The contributions to the ePD review </w:t>
          </w:r>
          <w:r>
            <w:rPr>
              <w:rFonts w:ascii="Times New Roman" w:eastAsia="Times New Roman" w:hAnsi="Times New Roman"/>
              <w:b/>
              <w:noProof/>
              <w:color w:val="000000"/>
              <w:sz w:val="24"/>
              <w:lang w:eastAsia="en-GB"/>
            </w:rPr>
            <w:t>public consultation</w:t>
          </w:r>
          <w:r>
            <w:rPr>
              <w:rFonts w:ascii="Times New Roman" w:eastAsia="Times New Roman" w:hAnsi="Times New Roman"/>
              <w:noProof/>
              <w:color w:val="000000"/>
              <w:sz w:val="24"/>
              <w:lang w:eastAsia="en-GB"/>
            </w:rPr>
            <w:t>, a summary of which is attached in Annex 2 to this report.</w:t>
          </w:r>
        </w:p>
        <w:p w:rsidR="0077224F" w:rsidRDefault="00D973EE">
          <w:pPr>
            <w:numPr>
              <w:ilvl w:val="1"/>
              <w:numId w:val="70"/>
            </w:numPr>
            <w:spacing w:before="0" w:after="240"/>
            <w:ind w:left="709"/>
            <w:contextualSpacing/>
            <w:rPr>
              <w:rFonts w:ascii="Times New Roman" w:eastAsia="Times New Roman" w:hAnsi="Times New Roman"/>
              <w:noProof/>
              <w:color w:val="000000"/>
              <w:sz w:val="24"/>
              <w:lang w:eastAsia="en-GB"/>
            </w:rPr>
          </w:pPr>
          <w:r>
            <w:rPr>
              <w:rFonts w:ascii="Times New Roman" w:eastAsia="Times New Roman" w:hAnsi="Times New Roman"/>
              <w:noProof/>
              <w:sz w:val="24"/>
            </w:rPr>
            <w:t xml:space="preserve">A </w:t>
          </w:r>
          <w:r>
            <w:rPr>
              <w:rFonts w:ascii="Times New Roman" w:eastAsia="Times New Roman" w:hAnsi="Times New Roman"/>
              <w:b/>
              <w:bCs/>
              <w:noProof/>
              <w:sz w:val="24"/>
            </w:rPr>
            <w:t xml:space="preserve">Eurostat community survey on ICT usage by households and individuals </w:t>
          </w:r>
          <w:r>
            <w:rPr>
              <w:rFonts w:ascii="Times New Roman" w:eastAsia="Times New Roman" w:hAnsi="Times New Roman"/>
              <w:bCs/>
              <w:noProof/>
              <w:sz w:val="24"/>
            </w:rPr>
            <w:t>of</w:t>
          </w:r>
          <w:r>
            <w:rPr>
              <w:rFonts w:ascii="Times New Roman" w:eastAsia="Times New Roman" w:hAnsi="Times New Roman"/>
              <w:b/>
              <w:bCs/>
              <w:noProof/>
              <w:sz w:val="24"/>
            </w:rPr>
            <w:t xml:space="preserve"> </w:t>
          </w:r>
          <w:r>
            <w:rPr>
              <w:rFonts w:ascii="Times New Roman" w:eastAsia="Times New Roman" w:hAnsi="Times New Roman"/>
              <w:bCs/>
              <w:noProof/>
              <w:sz w:val="24"/>
            </w:rPr>
            <w:t>December 2015</w:t>
          </w:r>
          <w:r>
            <w:rPr>
              <w:rFonts w:ascii="Times New Roman" w:eastAsia="Times New Roman" w:hAnsi="Times New Roman"/>
              <w:noProof/>
              <w:sz w:val="24"/>
            </w:rPr>
            <w:t xml:space="preserve">, (specific questions on </w:t>
          </w:r>
          <w:r>
            <w:rPr>
              <w:rFonts w:ascii="Times New Roman" w:eastAsia="Times New Roman" w:hAnsi="Times New Roman"/>
              <w:noProof/>
              <w:sz w:val="24"/>
            </w:rPr>
            <w:t>citizens' level of awareness of cookie tracking)</w:t>
          </w:r>
          <w:r>
            <w:rPr>
              <w:rFonts w:ascii="Times New Roman" w:eastAsia="Times New Roman" w:hAnsi="Times New Roman"/>
              <w:noProof/>
              <w:sz w:val="24"/>
              <w:vertAlign w:val="superscript"/>
            </w:rPr>
            <w:footnoteReference w:id="1"/>
          </w:r>
          <w:r>
            <w:rPr>
              <w:rFonts w:ascii="Times New Roman" w:eastAsia="Times New Roman" w:hAnsi="Times New Roman"/>
              <w:noProof/>
              <w:sz w:val="24"/>
            </w:rPr>
            <w:t>;</w:t>
          </w:r>
        </w:p>
        <w:p w:rsidR="0077224F" w:rsidRDefault="00D973EE">
          <w:pPr>
            <w:numPr>
              <w:ilvl w:val="1"/>
              <w:numId w:val="70"/>
            </w:numPr>
            <w:spacing w:before="0" w:after="240"/>
            <w:ind w:left="709"/>
            <w:contextualSpacing/>
            <w:rPr>
              <w:rFonts w:ascii="Times New Roman" w:eastAsia="Times New Roman" w:hAnsi="Times New Roman"/>
              <w:noProof/>
              <w:color w:val="000000"/>
              <w:sz w:val="24"/>
              <w:lang w:eastAsia="en-GB"/>
            </w:rPr>
          </w:pPr>
          <w:r>
            <w:rPr>
              <w:rFonts w:ascii="Times New Roman" w:eastAsia="Times New Roman" w:hAnsi="Times New Roman"/>
              <w:b/>
              <w:noProof/>
              <w:color w:val="000000"/>
              <w:sz w:val="24"/>
              <w:lang w:eastAsia="en-GB"/>
            </w:rPr>
            <w:t xml:space="preserve">A Eurobarometer on e-Privacy </w:t>
          </w:r>
          <w:r>
            <w:rPr>
              <w:rFonts w:ascii="Times New Roman" w:eastAsia="Times New Roman" w:hAnsi="Times New Roman"/>
              <w:noProof/>
              <w:color w:val="000000"/>
              <w:sz w:val="24"/>
              <w:lang w:eastAsia="en-GB"/>
            </w:rPr>
            <w:t xml:space="preserve">(Flash Eurobarometer 443) </w:t>
          </w:r>
          <w:r>
            <w:rPr>
              <w:rFonts w:ascii="Times New Roman" w:eastAsia="Times New Roman" w:hAnsi="Times New Roman"/>
              <w:noProof/>
              <w:sz w:val="24"/>
            </w:rPr>
            <w:t>was conducted on 7</w:t>
          </w:r>
          <w:r>
            <w:rPr>
              <w:rFonts w:ascii="Times New Roman" w:eastAsia="Times New Roman" w:hAnsi="Times New Roman"/>
              <w:noProof/>
              <w:sz w:val="24"/>
              <w:vertAlign w:val="superscript"/>
            </w:rPr>
            <w:t>th</w:t>
          </w:r>
          <w:r>
            <w:rPr>
              <w:rFonts w:ascii="Times New Roman" w:eastAsia="Times New Roman" w:hAnsi="Times New Roman"/>
              <w:noProof/>
              <w:sz w:val="24"/>
            </w:rPr>
            <w:t xml:space="preserve"> and 8</w:t>
          </w:r>
          <w:r>
            <w:rPr>
              <w:rFonts w:ascii="Times New Roman" w:eastAsia="Times New Roman" w:hAnsi="Times New Roman"/>
              <w:noProof/>
              <w:sz w:val="24"/>
              <w:vertAlign w:val="superscript"/>
            </w:rPr>
            <w:t>th</w:t>
          </w:r>
          <w:r>
            <w:rPr>
              <w:rFonts w:ascii="Times New Roman" w:eastAsia="Times New Roman" w:hAnsi="Times New Roman"/>
              <w:noProof/>
              <w:sz w:val="24"/>
            </w:rPr>
            <w:t xml:space="preserve"> of July throughout the 28 Member States over the phone with in total 26,526 respondents which specifically enquired about</w:t>
          </w:r>
          <w:r>
            <w:rPr>
              <w:rFonts w:ascii="Times New Roman" w:eastAsia="Times New Roman" w:hAnsi="Times New Roman"/>
              <w:noProof/>
              <w:sz w:val="24"/>
            </w:rPr>
            <w:t xml:space="preserve"> citizens' views on online privacy and the relevance of existing provisions of and possible changes to the ePrivacy Directive.</w:t>
          </w:r>
        </w:p>
        <w:p w:rsidR="0077224F" w:rsidRDefault="00D973EE">
          <w:pPr>
            <w:numPr>
              <w:ilvl w:val="1"/>
              <w:numId w:val="70"/>
            </w:numPr>
            <w:spacing w:before="0" w:after="240"/>
            <w:ind w:left="709"/>
            <w:contextualSpacing/>
            <w:rPr>
              <w:rFonts w:ascii="Times New Roman" w:eastAsia="Times New Roman" w:hAnsi="Times New Roman"/>
              <w:noProof/>
              <w:color w:val="000000"/>
              <w:sz w:val="24"/>
              <w:lang w:eastAsia="en-GB"/>
            </w:rPr>
          </w:pPr>
          <w:r>
            <w:rPr>
              <w:rFonts w:ascii="Times New Roman" w:eastAsia="Times New Roman" w:hAnsi="Times New Roman"/>
              <w:b/>
              <w:noProof/>
              <w:sz w:val="24"/>
            </w:rPr>
            <w:t>Ad</w:t>
          </w:r>
          <w:r>
            <w:rPr>
              <w:rFonts w:ascii="Times New Roman" w:eastAsia="Times New Roman" w:hAnsi="Times New Roman"/>
              <w:noProof/>
              <w:sz w:val="24"/>
            </w:rPr>
            <w:t xml:space="preserve"> </w:t>
          </w:r>
          <w:r>
            <w:rPr>
              <w:rFonts w:ascii="Times New Roman" w:eastAsia="Times New Roman" w:hAnsi="Times New Roman"/>
              <w:b/>
              <w:noProof/>
              <w:sz w:val="24"/>
            </w:rPr>
            <w:t>hoc</w:t>
          </w:r>
          <w:r>
            <w:rPr>
              <w:rFonts w:ascii="Times New Roman" w:eastAsia="Times New Roman" w:hAnsi="Times New Roman"/>
              <w:noProof/>
              <w:sz w:val="24"/>
            </w:rPr>
            <w:t xml:space="preserve"> </w:t>
          </w:r>
          <w:r>
            <w:rPr>
              <w:rFonts w:ascii="Times New Roman" w:eastAsia="Times New Roman" w:hAnsi="Times New Roman"/>
              <w:b/>
              <w:noProof/>
              <w:sz w:val="24"/>
            </w:rPr>
            <w:t>consultations</w:t>
          </w:r>
          <w:r>
            <w:rPr>
              <w:rFonts w:ascii="Times New Roman" w:eastAsia="Times New Roman" w:hAnsi="Times New Roman"/>
              <w:noProof/>
              <w:sz w:val="24"/>
            </w:rPr>
            <w:t xml:space="preserve"> of (and discussions with) relevant EU expert groups: BEREC</w:t>
          </w:r>
          <w:r>
            <w:rPr>
              <w:rFonts w:ascii="Times New Roman" w:eastAsia="Times New Roman" w:hAnsi="Times New Roman"/>
              <w:noProof/>
              <w:sz w:val="24"/>
              <w:vertAlign w:val="superscript"/>
            </w:rPr>
            <w:footnoteReference w:id="2"/>
          </w:r>
          <w:r>
            <w:rPr>
              <w:rFonts w:ascii="Times New Roman" w:eastAsia="Times New Roman" w:hAnsi="Times New Roman"/>
              <w:noProof/>
              <w:sz w:val="24"/>
            </w:rPr>
            <w:t>, ENISA</w:t>
          </w:r>
          <w:r>
            <w:rPr>
              <w:rFonts w:ascii="Times New Roman" w:eastAsia="Times New Roman" w:hAnsi="Times New Roman"/>
              <w:noProof/>
              <w:sz w:val="24"/>
              <w:vertAlign w:val="superscript"/>
            </w:rPr>
            <w:footnoteReference w:id="3"/>
          </w:r>
          <w:r>
            <w:rPr>
              <w:rFonts w:ascii="Times New Roman" w:eastAsia="Times New Roman" w:hAnsi="Times New Roman"/>
              <w:noProof/>
              <w:sz w:val="24"/>
            </w:rPr>
            <w:t>, the Article 29 Working Party</w:t>
          </w:r>
          <w:r>
            <w:rPr>
              <w:rFonts w:ascii="Times New Roman" w:eastAsia="Times New Roman" w:hAnsi="Times New Roman"/>
              <w:noProof/>
              <w:sz w:val="24"/>
              <w:vertAlign w:val="superscript"/>
            </w:rPr>
            <w:footnoteReference w:id="4"/>
          </w:r>
          <w:r>
            <w:rPr>
              <w:rFonts w:ascii="Times New Roman" w:eastAsia="Times New Roman" w:hAnsi="Times New Roman"/>
              <w:noProof/>
              <w:sz w:val="24"/>
            </w:rPr>
            <w:t>, the Euro</w:t>
          </w:r>
          <w:r>
            <w:rPr>
              <w:rFonts w:ascii="Times New Roman" w:eastAsia="Times New Roman" w:hAnsi="Times New Roman"/>
              <w:noProof/>
              <w:sz w:val="24"/>
            </w:rPr>
            <w:t>pean Data Protection Supervisor, the REFIT stakeholder platform, Europol</w:t>
          </w:r>
          <w:r>
            <w:rPr>
              <w:rFonts w:ascii="Times New Roman" w:eastAsia="Times New Roman" w:hAnsi="Times New Roman"/>
              <w:noProof/>
              <w:sz w:val="24"/>
              <w:vertAlign w:val="superscript"/>
            </w:rPr>
            <w:footnoteReference w:id="5"/>
          </w:r>
          <w:r>
            <w:rPr>
              <w:rFonts w:ascii="Times New Roman" w:eastAsia="Times New Roman" w:hAnsi="Times New Roman"/>
              <w:noProof/>
              <w:sz w:val="24"/>
            </w:rPr>
            <w:t>, COCOM and the CPC Network between January and July</w:t>
          </w:r>
          <w:r>
            <w:rPr>
              <w:rFonts w:ascii="Times New Roman" w:eastAsia="Times New Roman" w:hAnsi="Times New Roman"/>
              <w:noProof/>
              <w:sz w:val="24"/>
              <w:vertAlign w:val="superscript"/>
            </w:rPr>
            <w:footnoteReference w:id="6"/>
          </w:r>
          <w:r>
            <w:rPr>
              <w:rFonts w:ascii="Times New Roman" w:eastAsia="Times New Roman" w:hAnsi="Times New Roman"/>
              <w:noProof/>
              <w:sz w:val="24"/>
            </w:rPr>
            <w:t>.</w:t>
          </w:r>
        </w:p>
        <w:p w:rsidR="0077224F" w:rsidRDefault="00D973EE">
          <w:pPr>
            <w:numPr>
              <w:ilvl w:val="1"/>
              <w:numId w:val="70"/>
            </w:numPr>
            <w:spacing w:before="0" w:after="240"/>
            <w:ind w:left="709"/>
            <w:contextualSpacing/>
            <w:rPr>
              <w:rFonts w:ascii="Times New Roman" w:eastAsia="Times New Roman" w:hAnsi="Times New Roman"/>
              <w:noProof/>
              <w:color w:val="000000"/>
              <w:sz w:val="24"/>
              <w:lang w:eastAsia="en-GB"/>
            </w:rPr>
          </w:pPr>
          <w:r>
            <w:rPr>
              <w:rFonts w:ascii="Times New Roman" w:eastAsia="Times New Roman" w:hAnsi="Times New Roman"/>
              <w:b/>
              <w:noProof/>
              <w:sz w:val="24"/>
            </w:rPr>
            <w:t>Targeted consultations</w:t>
          </w:r>
          <w:r>
            <w:rPr>
              <w:rFonts w:ascii="Times New Roman" w:eastAsia="Times New Roman" w:hAnsi="Times New Roman"/>
              <w:noProof/>
              <w:sz w:val="24"/>
            </w:rPr>
            <w:t xml:space="preserve"> with EU expert groups which led to the following contributions:</w:t>
          </w:r>
        </w:p>
        <w:p w:rsidR="0077224F" w:rsidRDefault="00D973EE">
          <w:pPr>
            <w:numPr>
              <w:ilvl w:val="2"/>
              <w:numId w:val="70"/>
            </w:numPr>
            <w:spacing w:before="0" w:after="240"/>
            <w:ind w:left="1276"/>
            <w:contextualSpacing/>
            <w:rPr>
              <w:rFonts w:ascii="Times New Roman" w:eastAsia="Times New Roman" w:hAnsi="Times New Roman"/>
              <w:noProof/>
              <w:color w:val="000000"/>
              <w:sz w:val="24"/>
              <w:lang w:eastAsia="en-GB"/>
            </w:rPr>
          </w:pPr>
          <w:r>
            <w:rPr>
              <w:rFonts w:ascii="Times New Roman" w:eastAsia="Times New Roman" w:hAnsi="Times New Roman"/>
              <w:noProof/>
              <w:sz w:val="24"/>
            </w:rPr>
            <w:t>Article 29 Working Party Opinion</w:t>
          </w:r>
          <w:r>
            <w:rPr>
              <w:rFonts w:ascii="Times New Roman" w:eastAsia="Times New Roman" w:hAnsi="Times New Roman"/>
              <w:noProof/>
              <w:sz w:val="24"/>
              <w:vertAlign w:val="superscript"/>
            </w:rPr>
            <w:footnoteReference w:id="7"/>
          </w:r>
        </w:p>
        <w:p w:rsidR="0077224F" w:rsidRDefault="00D973EE">
          <w:pPr>
            <w:numPr>
              <w:ilvl w:val="2"/>
              <w:numId w:val="70"/>
            </w:numPr>
            <w:spacing w:before="0" w:after="240"/>
            <w:ind w:left="1276"/>
            <w:contextualSpacing/>
            <w:rPr>
              <w:rFonts w:ascii="Times New Roman" w:eastAsia="Times New Roman" w:hAnsi="Times New Roman"/>
              <w:noProof/>
              <w:color w:val="000000"/>
              <w:sz w:val="24"/>
              <w:lang w:eastAsia="en-GB"/>
            </w:rPr>
          </w:pPr>
          <w:r>
            <w:rPr>
              <w:rFonts w:ascii="Times New Roman" w:eastAsia="Times New Roman" w:hAnsi="Times New Roman"/>
              <w:noProof/>
              <w:sz w:val="24"/>
            </w:rPr>
            <w:t>EDPS</w:t>
          </w:r>
          <w:r>
            <w:rPr>
              <w:rFonts w:ascii="Times New Roman" w:eastAsia="Times New Roman" w:hAnsi="Times New Roman"/>
              <w:noProof/>
              <w:sz w:val="24"/>
              <w:vertAlign w:val="superscript"/>
            </w:rPr>
            <w:footnoteReference w:id="8"/>
          </w:r>
        </w:p>
        <w:p w:rsidR="0077224F" w:rsidRDefault="00D973EE">
          <w:pPr>
            <w:numPr>
              <w:ilvl w:val="2"/>
              <w:numId w:val="70"/>
            </w:numPr>
            <w:spacing w:before="0" w:after="240"/>
            <w:ind w:left="1276"/>
            <w:contextualSpacing/>
            <w:rPr>
              <w:rFonts w:ascii="Times New Roman" w:eastAsia="Times New Roman" w:hAnsi="Times New Roman"/>
              <w:noProof/>
              <w:color w:val="000000"/>
              <w:sz w:val="24"/>
              <w:lang w:eastAsia="en-GB"/>
            </w:rPr>
          </w:pPr>
          <w:r>
            <w:rPr>
              <w:rFonts w:ascii="Times New Roman" w:eastAsia="Times New Roman" w:hAnsi="Times New Roman"/>
              <w:noProof/>
              <w:sz w:val="24"/>
            </w:rPr>
            <w:t>BEREC</w:t>
          </w:r>
          <w:r>
            <w:rPr>
              <w:rFonts w:ascii="Times New Roman" w:eastAsia="Times New Roman" w:hAnsi="Times New Roman"/>
              <w:noProof/>
              <w:sz w:val="24"/>
              <w:vertAlign w:val="superscript"/>
            </w:rPr>
            <w:footnoteReference w:id="9"/>
          </w:r>
        </w:p>
        <w:p w:rsidR="0077224F" w:rsidRDefault="00D973EE">
          <w:pPr>
            <w:numPr>
              <w:ilvl w:val="2"/>
              <w:numId w:val="70"/>
            </w:numPr>
            <w:spacing w:before="0" w:after="240"/>
            <w:ind w:left="1276"/>
            <w:contextualSpacing/>
            <w:rPr>
              <w:rFonts w:ascii="Times New Roman" w:eastAsia="Times New Roman" w:hAnsi="Times New Roman"/>
              <w:noProof/>
              <w:color w:val="000000"/>
              <w:sz w:val="24"/>
              <w:lang w:eastAsia="en-GB"/>
            </w:rPr>
          </w:pPr>
          <w:r>
            <w:rPr>
              <w:rFonts w:ascii="Times New Roman" w:eastAsia="Times New Roman" w:hAnsi="Times New Roman"/>
              <w:noProof/>
              <w:sz w:val="24"/>
            </w:rPr>
            <w:t>ENISA</w:t>
          </w:r>
          <w:r>
            <w:rPr>
              <w:rFonts w:ascii="Times New Roman" w:eastAsia="Times New Roman" w:hAnsi="Times New Roman"/>
              <w:noProof/>
              <w:sz w:val="24"/>
              <w:vertAlign w:val="superscript"/>
            </w:rPr>
            <w:footnoteReference w:id="10"/>
          </w:r>
        </w:p>
        <w:p w:rsidR="0077224F" w:rsidRDefault="00D973EE">
          <w:pPr>
            <w:numPr>
              <w:ilvl w:val="2"/>
              <w:numId w:val="70"/>
            </w:numPr>
            <w:spacing w:before="0" w:after="240"/>
            <w:ind w:left="1276"/>
            <w:contextualSpacing/>
            <w:rPr>
              <w:rFonts w:ascii="Times New Roman" w:eastAsia="Times New Roman" w:hAnsi="Times New Roman"/>
              <w:noProof/>
              <w:color w:val="000000"/>
              <w:sz w:val="24"/>
              <w:lang w:eastAsia="en-GB"/>
            </w:rPr>
          </w:pPr>
          <w:r>
            <w:rPr>
              <w:rFonts w:ascii="Times New Roman" w:eastAsia="Times New Roman" w:hAnsi="Times New Roman"/>
              <w:noProof/>
              <w:sz w:val="24"/>
            </w:rPr>
            <w:t>JRC</w:t>
          </w:r>
          <w:r>
            <w:rPr>
              <w:rFonts w:ascii="Times New Roman" w:eastAsia="Times New Roman" w:hAnsi="Times New Roman"/>
              <w:noProof/>
              <w:sz w:val="24"/>
              <w:vertAlign w:val="superscript"/>
            </w:rPr>
            <w:footnoteReference w:id="11"/>
          </w:r>
          <w:r>
            <w:rPr>
              <w:rFonts w:ascii="Times New Roman" w:eastAsia="Times New Roman" w:hAnsi="Times New Roman"/>
              <w:noProof/>
              <w:sz w:val="24"/>
            </w:rPr>
            <w:t xml:space="preserve"> </w:t>
          </w:r>
        </w:p>
        <w:p w:rsidR="0077224F" w:rsidRDefault="00D973EE">
          <w:pPr>
            <w:numPr>
              <w:ilvl w:val="2"/>
              <w:numId w:val="70"/>
            </w:numPr>
            <w:spacing w:before="0" w:after="240"/>
            <w:ind w:left="1276"/>
            <w:contextualSpacing/>
            <w:rPr>
              <w:rFonts w:ascii="Times New Roman" w:eastAsia="Times New Roman" w:hAnsi="Times New Roman"/>
              <w:noProof/>
              <w:color w:val="000000"/>
              <w:sz w:val="24"/>
              <w:lang w:eastAsia="en-GB"/>
            </w:rPr>
          </w:pPr>
          <w:r>
            <w:rPr>
              <w:rFonts w:ascii="Times New Roman" w:eastAsia="Times New Roman" w:hAnsi="Times New Roman"/>
              <w:noProof/>
              <w:sz w:val="24"/>
            </w:rPr>
            <w:t>CPC network</w:t>
          </w:r>
          <w:r>
            <w:rPr>
              <w:rFonts w:ascii="Times New Roman" w:eastAsia="Times New Roman" w:hAnsi="Times New Roman"/>
              <w:noProof/>
              <w:sz w:val="24"/>
              <w:vertAlign w:val="superscript"/>
            </w:rPr>
            <w:footnoteReference w:id="12"/>
          </w:r>
          <w:r>
            <w:rPr>
              <w:rFonts w:ascii="Times New Roman" w:eastAsia="Times New Roman" w:hAnsi="Times New Roman"/>
              <w:noProof/>
              <w:sz w:val="24"/>
            </w:rPr>
            <w:t xml:space="preserve"> </w:t>
          </w:r>
        </w:p>
        <w:p w:rsidR="0077224F" w:rsidRDefault="00D973EE">
          <w:pPr>
            <w:numPr>
              <w:ilvl w:val="1"/>
              <w:numId w:val="70"/>
            </w:numPr>
            <w:spacing w:before="0" w:after="240"/>
            <w:ind w:left="709"/>
            <w:contextualSpacing/>
            <w:rPr>
              <w:rFonts w:ascii="Times New Roman" w:eastAsia="Times New Roman" w:hAnsi="Times New Roman"/>
              <w:noProof/>
              <w:color w:val="000000"/>
              <w:sz w:val="24"/>
              <w:lang w:eastAsia="en-GB"/>
            </w:rPr>
          </w:pPr>
          <w:r>
            <w:rPr>
              <w:rFonts w:ascii="Times New Roman" w:eastAsia="Times New Roman" w:hAnsi="Times New Roman"/>
              <w:b/>
              <w:noProof/>
              <w:sz w:val="24"/>
            </w:rPr>
            <w:t xml:space="preserve">Two workshops and two roundtables organised by the Commission: </w:t>
          </w:r>
          <w:r>
            <w:rPr>
              <w:rFonts w:ascii="Times New Roman" w:eastAsia="Times New Roman" w:hAnsi="Times New Roman"/>
              <w:noProof/>
              <w:sz w:val="24"/>
            </w:rPr>
            <w:t>one workshop was open to all stakeholders (12 April 2016) and one was limited to the national competent authorities (19 April 2016). The roundtables were chair</w:t>
          </w:r>
          <w:r>
            <w:rPr>
              <w:rFonts w:ascii="Times New Roman" w:eastAsia="Times New Roman" w:hAnsi="Times New Roman"/>
              <w:noProof/>
              <w:sz w:val="24"/>
            </w:rPr>
            <w:t>ed by Commissioner Oettinger; included stakeholders representing different interests.</w:t>
          </w:r>
        </w:p>
        <w:p w:rsidR="0077224F" w:rsidRDefault="00D973EE">
          <w:pPr>
            <w:numPr>
              <w:ilvl w:val="1"/>
              <w:numId w:val="70"/>
            </w:numPr>
            <w:spacing w:before="0" w:after="240"/>
            <w:ind w:left="709"/>
            <w:contextualSpacing/>
            <w:rPr>
              <w:rFonts w:ascii="Times New Roman" w:eastAsia="Times New Roman" w:hAnsi="Times New Roman"/>
              <w:noProof/>
              <w:color w:val="000000"/>
              <w:sz w:val="24"/>
              <w:lang w:eastAsia="en-GB"/>
            </w:rPr>
          </w:pPr>
          <w:r>
            <w:rPr>
              <w:rFonts w:ascii="Times New Roman" w:eastAsia="Times New Roman" w:hAnsi="Times New Roman"/>
              <w:b/>
              <w:noProof/>
              <w:sz w:val="24"/>
            </w:rPr>
            <w:t>Ad hoc meetings</w:t>
          </w:r>
          <w:r>
            <w:rPr>
              <w:rFonts w:ascii="Times New Roman" w:eastAsia="Times New Roman" w:hAnsi="Times New Roman"/>
              <w:noProof/>
              <w:sz w:val="24"/>
            </w:rPr>
            <w:t xml:space="preserve"> with representatives of the affected industry, public authorities and civil society organisations as well as written input received from these stakeholder</w:t>
          </w:r>
          <w:r>
            <w:rPr>
              <w:rFonts w:ascii="Times New Roman" w:eastAsia="Times New Roman" w:hAnsi="Times New Roman"/>
              <w:noProof/>
              <w:sz w:val="24"/>
            </w:rPr>
            <w:t>s.</w:t>
          </w:r>
        </w:p>
        <w:p w:rsidR="0077224F" w:rsidRDefault="00D973EE">
          <w:pPr>
            <w:numPr>
              <w:ilvl w:val="1"/>
              <w:numId w:val="70"/>
            </w:numPr>
            <w:spacing w:before="0" w:after="240"/>
            <w:ind w:left="709"/>
            <w:contextualSpacing/>
            <w:rPr>
              <w:rFonts w:ascii="Times New Roman" w:eastAsia="Times New Roman" w:hAnsi="Times New Roman"/>
              <w:noProof/>
              <w:color w:val="000000"/>
              <w:sz w:val="24"/>
              <w:lang w:eastAsia="en-GB"/>
            </w:rPr>
          </w:pPr>
          <w:r>
            <w:rPr>
              <w:rFonts w:ascii="Times New Roman" w:eastAsia="Times New Roman" w:hAnsi="Times New Roman"/>
              <w:b/>
              <w:noProof/>
              <w:color w:val="000000"/>
              <w:sz w:val="24"/>
              <w:lang w:eastAsia="en-GB"/>
            </w:rPr>
            <w:t xml:space="preserve">Evidence gathered through COCOM: </w:t>
          </w:r>
          <w:r>
            <w:rPr>
              <w:rFonts w:ascii="Times New Roman" w:eastAsia="Times New Roman" w:hAnsi="Times New Roman"/>
              <w:noProof/>
              <w:color w:val="000000"/>
              <w:sz w:val="24"/>
              <w:lang w:eastAsia="en-GB"/>
            </w:rPr>
            <w:t xml:space="preserve">Already as of September 2014, the Commission sent a questionnaire through the </w:t>
          </w:r>
          <w:r>
            <w:rPr>
              <w:rFonts w:ascii="Times New Roman" w:eastAsia="Times New Roman" w:hAnsi="Times New Roman"/>
              <w:noProof/>
              <w:sz w:val="24"/>
            </w:rPr>
            <w:t>Communications Committee (COCOM)</w:t>
          </w:r>
          <w:r>
            <w:rPr>
              <w:rFonts w:ascii="Times New Roman" w:eastAsia="Times New Roman" w:hAnsi="Times New Roman"/>
              <w:noProof/>
              <w:color w:val="000000"/>
              <w:sz w:val="24"/>
              <w:lang w:eastAsia="en-GB"/>
            </w:rPr>
            <w:t xml:space="preserve">, </w:t>
          </w:r>
          <w:r>
            <w:rPr>
              <w:rFonts w:ascii="Times New Roman" w:eastAsia="Times New Roman" w:hAnsi="Times New Roman"/>
              <w:noProof/>
              <w:sz w:val="24"/>
            </w:rPr>
            <w:t xml:space="preserve">which gathers the representatives of authorities responsible for electronic communication, </w:t>
          </w:r>
          <w:r>
            <w:rPr>
              <w:rFonts w:ascii="Times New Roman" w:eastAsia="Times New Roman" w:hAnsi="Times New Roman"/>
              <w:noProof/>
              <w:color w:val="000000"/>
              <w:sz w:val="24"/>
              <w:lang w:eastAsia="en-GB"/>
            </w:rPr>
            <w:t>requesting Member</w:t>
          </w:r>
          <w:r>
            <w:rPr>
              <w:rFonts w:ascii="Times New Roman" w:eastAsia="Times New Roman" w:hAnsi="Times New Roman"/>
              <w:noProof/>
              <w:color w:val="000000"/>
              <w:sz w:val="24"/>
              <w:lang w:eastAsia="en-GB"/>
            </w:rPr>
            <w:t xml:space="preserve"> States to detail how they have implemented Article 4.2 of the ePrivacy Directive</w:t>
          </w:r>
          <w:r>
            <w:rPr>
              <w:rFonts w:ascii="Times New Roman" w:eastAsia="Times New Roman" w:hAnsi="Times New Roman"/>
              <w:b/>
              <w:noProof/>
              <w:color w:val="000000"/>
              <w:sz w:val="24"/>
              <w:lang w:eastAsia="en-GB"/>
            </w:rPr>
            <w:t xml:space="preserve">. </w:t>
          </w:r>
          <w:r>
            <w:rPr>
              <w:rFonts w:ascii="Times New Roman" w:eastAsia="Times New Roman" w:hAnsi="Times New Roman"/>
              <w:noProof/>
              <w:color w:val="000000"/>
              <w:sz w:val="24"/>
              <w:lang w:eastAsia="en-GB"/>
            </w:rPr>
            <w:t>More generally speaking, regular discussions took place with the COCOM committee on the implementation of the ePD in the context of COCOM meetings.</w:t>
          </w:r>
          <w:r>
            <w:rPr>
              <w:rFonts w:ascii="Times New Roman" w:eastAsia="Times New Roman" w:hAnsi="Times New Roman"/>
              <w:noProof/>
              <w:sz w:val="24"/>
              <w:vertAlign w:val="superscript"/>
              <w:lang w:eastAsia="en-GB"/>
            </w:rPr>
            <w:footnoteReference w:id="13"/>
          </w:r>
          <w:r>
            <w:rPr>
              <w:rFonts w:ascii="Times New Roman" w:eastAsia="Times New Roman" w:hAnsi="Times New Roman"/>
              <w:noProof/>
              <w:color w:val="000000"/>
              <w:sz w:val="24"/>
              <w:lang w:eastAsia="en-GB"/>
            </w:rPr>
            <w:t xml:space="preserve"> </w:t>
          </w:r>
        </w:p>
        <w:p w:rsidR="0077224F" w:rsidRDefault="00D973EE">
          <w:pPr>
            <w:numPr>
              <w:ilvl w:val="1"/>
              <w:numId w:val="70"/>
            </w:numPr>
            <w:spacing w:before="0" w:after="240"/>
            <w:ind w:left="709"/>
            <w:contextualSpacing/>
            <w:rPr>
              <w:rFonts w:ascii="Times New Roman" w:eastAsia="Times New Roman" w:hAnsi="Times New Roman"/>
              <w:noProof/>
              <w:color w:val="000000"/>
              <w:sz w:val="24"/>
              <w:lang w:eastAsia="en-GB"/>
            </w:rPr>
          </w:pPr>
          <w:r>
            <w:rPr>
              <w:rFonts w:ascii="Times New Roman" w:eastAsia="Calibri" w:hAnsi="Times New Roman"/>
              <w:b/>
              <w:noProof/>
              <w:color w:val="000000"/>
              <w:sz w:val="24"/>
              <w:lang w:eastAsia="en-GB"/>
            </w:rPr>
            <w:t>Literature review of re</w:t>
          </w:r>
          <w:r>
            <w:rPr>
              <w:rFonts w:ascii="Times New Roman" w:eastAsia="Calibri" w:hAnsi="Times New Roman"/>
              <w:b/>
              <w:noProof/>
              <w:color w:val="000000"/>
              <w:sz w:val="24"/>
              <w:lang w:eastAsia="en-GB"/>
            </w:rPr>
            <w:t xml:space="preserve">levant reports. </w:t>
          </w:r>
          <w:r>
            <w:rPr>
              <w:rFonts w:ascii="Times New Roman" w:eastAsia="Calibri" w:hAnsi="Times New Roman"/>
              <w:noProof/>
              <w:color w:val="000000"/>
              <w:sz w:val="24"/>
              <w:lang w:eastAsia="en-GB"/>
            </w:rPr>
            <w:t>This includes among others Opinions of Article 29 Working Party, Opinions of BEREC, Opinions of the Berlin Group on Telecommunications, Opinions of the EDPS</w:t>
          </w:r>
          <w:r>
            <w:rPr>
              <w:rFonts w:ascii="Times New Roman" w:eastAsia="Calibri" w:hAnsi="Times New Roman"/>
              <w:noProof/>
              <w:sz w:val="24"/>
              <w:vertAlign w:val="superscript"/>
              <w:lang w:eastAsia="en-GB"/>
            </w:rPr>
            <w:footnoteReference w:id="14"/>
          </w:r>
          <w:r>
            <w:rPr>
              <w:rFonts w:ascii="Times New Roman" w:eastAsia="Calibri" w:hAnsi="Times New Roman"/>
              <w:noProof/>
              <w:color w:val="000000"/>
              <w:sz w:val="24"/>
              <w:lang w:eastAsia="en-GB"/>
            </w:rPr>
            <w:t xml:space="preserve"> as well as reports and studies from the industry</w:t>
          </w:r>
          <w:r>
            <w:rPr>
              <w:rFonts w:ascii="Times New Roman" w:eastAsia="Calibri" w:hAnsi="Times New Roman"/>
              <w:noProof/>
              <w:sz w:val="24"/>
              <w:vertAlign w:val="superscript"/>
              <w:lang w:eastAsia="en-GB"/>
            </w:rPr>
            <w:footnoteReference w:id="15"/>
          </w:r>
          <w:r>
            <w:rPr>
              <w:rFonts w:ascii="Times New Roman" w:eastAsia="Calibri" w:hAnsi="Times New Roman"/>
              <w:noProof/>
              <w:color w:val="000000"/>
              <w:sz w:val="24"/>
              <w:lang w:eastAsia="en-GB"/>
            </w:rPr>
            <w:t>, many sent in the context of the</w:t>
          </w:r>
          <w:r>
            <w:rPr>
              <w:rFonts w:ascii="Times New Roman" w:eastAsia="Calibri" w:hAnsi="Times New Roman"/>
              <w:noProof/>
              <w:color w:val="000000"/>
              <w:sz w:val="24"/>
              <w:lang w:eastAsia="en-GB"/>
            </w:rPr>
            <w:t xml:space="preserve"> public consultation.  </w:t>
          </w:r>
        </w:p>
        <w:p w:rsidR="0077224F" w:rsidRDefault="00D973EE">
          <w:pPr>
            <w:numPr>
              <w:ilvl w:val="1"/>
              <w:numId w:val="70"/>
            </w:numPr>
            <w:spacing w:before="0" w:after="240"/>
            <w:contextualSpacing/>
            <w:rPr>
              <w:rFonts w:ascii="Times New Roman" w:eastAsia="Times New Roman" w:hAnsi="Times New Roman"/>
              <w:noProof/>
              <w:color w:val="000000"/>
              <w:sz w:val="24"/>
              <w:lang w:eastAsia="en-GB"/>
            </w:rPr>
          </w:pPr>
          <w:r>
            <w:rPr>
              <w:rFonts w:ascii="Times New Roman" w:eastAsia="Times New Roman" w:hAnsi="Times New Roman"/>
              <w:b/>
              <w:noProof/>
              <w:color w:val="000000"/>
              <w:sz w:val="24"/>
              <w:lang w:eastAsia="en-GB"/>
            </w:rPr>
            <w:t xml:space="preserve">Desk research and literature review done in-house by DG CONNECT; </w:t>
          </w:r>
        </w:p>
        <w:p w:rsidR="0077224F" w:rsidRDefault="00D973EE">
          <w:pPr>
            <w:numPr>
              <w:ilvl w:val="1"/>
              <w:numId w:val="70"/>
            </w:numPr>
            <w:spacing w:before="0" w:after="240"/>
            <w:contextualSpacing/>
            <w:rPr>
              <w:rFonts w:ascii="Times New Roman" w:eastAsia="Times New Roman" w:hAnsi="Times New Roman"/>
              <w:noProof/>
              <w:color w:val="000000"/>
              <w:sz w:val="24"/>
              <w:lang w:eastAsia="en-GB"/>
            </w:rPr>
          </w:pPr>
          <w:r>
            <w:rPr>
              <w:rFonts w:ascii="Times New Roman" w:eastAsia="Times New Roman" w:hAnsi="Times New Roman"/>
              <w:b/>
              <w:noProof/>
              <w:color w:val="000000"/>
              <w:sz w:val="24"/>
              <w:lang w:eastAsia="en-GB"/>
            </w:rPr>
            <w:t xml:space="preserve">External expertise </w:t>
          </w:r>
          <w:r>
            <w:rPr>
              <w:rFonts w:ascii="Times New Roman" w:eastAsia="Times New Roman" w:hAnsi="Times New Roman"/>
              <w:noProof/>
              <w:color w:val="000000"/>
              <w:sz w:val="24"/>
              <w:lang w:eastAsia="en-GB"/>
            </w:rPr>
            <w:t xml:space="preserve">collected in three studies:  </w:t>
          </w:r>
        </w:p>
        <w:p w:rsidR="0077224F" w:rsidRDefault="00D973EE">
          <w:pPr>
            <w:ind w:left="708"/>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 xml:space="preserve">- </w:t>
          </w:r>
          <w:r>
            <w:rPr>
              <w:rFonts w:ascii="Times New Roman" w:eastAsia="Times New Roman" w:hAnsi="Times New Roman"/>
              <w:b/>
              <w:noProof/>
              <w:sz w:val="24"/>
            </w:rPr>
            <w:t xml:space="preserve">Study "ePrivacy Directive: assessment of transposition, effectiveness and compatibility with proposed Data </w:t>
          </w:r>
          <w:r>
            <w:rPr>
              <w:rFonts w:ascii="Times New Roman" w:eastAsia="Times New Roman" w:hAnsi="Times New Roman"/>
              <w:b/>
              <w:noProof/>
              <w:sz w:val="24"/>
            </w:rPr>
            <w:t>Protection Regulation"</w:t>
          </w:r>
          <w:r>
            <w:rPr>
              <w:rFonts w:ascii="Times New Roman" w:eastAsia="Times New Roman" w:hAnsi="Times New Roman"/>
              <w:noProof/>
              <w:sz w:val="24"/>
            </w:rPr>
            <w:t xml:space="preserve"> (SMART 2013/0071</w:t>
          </w:r>
          <w:r>
            <w:rPr>
              <w:rFonts w:ascii="Times New Roman" w:eastAsia="Times New Roman" w:hAnsi="Times New Roman"/>
              <w:noProof/>
              <w:sz w:val="24"/>
              <w:vertAlign w:val="superscript"/>
            </w:rPr>
            <w:footnoteReference w:id="16"/>
          </w:r>
          <w:r>
            <w:rPr>
              <w:rFonts w:ascii="Times New Roman" w:eastAsia="Times New Roman" w:hAnsi="Times New Roman"/>
              <w:noProof/>
              <w:sz w:val="24"/>
            </w:rPr>
            <w:t>). The study examined whether the ePrivacy Directive has achieved its intended effects and puts forward recommendations for future revision and also assesses how the ePrivacy Directive and the proposed Data Protectio</w:t>
          </w:r>
          <w:r>
            <w:rPr>
              <w:rFonts w:ascii="Times New Roman" w:eastAsia="Times New Roman" w:hAnsi="Times New Roman"/>
              <w:noProof/>
              <w:sz w:val="24"/>
            </w:rPr>
            <w:t>n Regulation (GDPR) will operate together.</w:t>
          </w:r>
        </w:p>
        <w:p w:rsidR="0077224F" w:rsidRDefault="00D973EE">
          <w:pPr>
            <w:spacing w:before="0" w:after="240"/>
            <w:ind w:left="708"/>
            <w:contextualSpacing/>
            <w:rPr>
              <w:rFonts w:ascii="Times New Roman" w:eastAsia="Times New Roman" w:hAnsi="Times New Roman"/>
              <w:noProof/>
              <w:color w:val="000000"/>
              <w:sz w:val="24"/>
              <w:szCs w:val="20"/>
              <w:lang w:eastAsia="en-GB"/>
            </w:rPr>
          </w:pPr>
          <w:r>
            <w:rPr>
              <w:rFonts w:ascii="Times New Roman" w:eastAsia="Times New Roman" w:hAnsi="Times New Roman"/>
              <w:b/>
              <w:noProof/>
              <w:sz w:val="24"/>
              <w:szCs w:val="20"/>
            </w:rPr>
            <w:t>- Study</w:t>
          </w:r>
          <w:r>
            <w:rPr>
              <w:rFonts w:ascii="Times New Roman" w:eastAsiaTheme="minorHAnsi" w:hAnsi="Times New Roman"/>
              <w:b/>
              <w:noProof/>
              <w:sz w:val="24"/>
              <w:szCs w:val="20"/>
            </w:rPr>
            <w:t xml:space="preserve"> "Evaluation and review of Directive 2002/58 on privacy and the electronic communication sector"</w:t>
          </w:r>
          <w:r>
            <w:rPr>
              <w:rFonts w:ascii="Times New Roman" w:eastAsiaTheme="minorHAnsi" w:hAnsi="Times New Roman"/>
              <w:noProof/>
              <w:sz w:val="24"/>
              <w:szCs w:val="20"/>
            </w:rPr>
            <w:t xml:space="preserve"> (SMART 2016/0080 under Framework Contract SMART 2013/0065 Lot 2). The study supports the Commission in gather</w:t>
          </w:r>
          <w:r>
            <w:rPr>
              <w:rFonts w:ascii="Times New Roman" w:eastAsiaTheme="minorHAnsi" w:hAnsi="Times New Roman"/>
              <w:noProof/>
              <w:sz w:val="24"/>
              <w:szCs w:val="20"/>
            </w:rPr>
            <w:t>ing the evidence base needed to evaluate the ePrivacy Directive (and covering the provisions not evaluated in the first study). It also assists the Commission in assessing the various policy options, notably from an economic perspective. The final report o</w:t>
          </w:r>
          <w:r>
            <w:rPr>
              <w:rFonts w:ascii="Times New Roman" w:eastAsiaTheme="minorHAnsi" w:hAnsi="Times New Roman"/>
              <w:noProof/>
              <w:sz w:val="24"/>
              <w:szCs w:val="20"/>
            </w:rPr>
            <w:t>f the study will be published in the fourth quarter of 2016.</w:t>
          </w:r>
        </w:p>
        <w:p w:rsidR="0077224F" w:rsidRDefault="00D973EE">
          <w:pPr>
            <w:spacing w:before="0"/>
            <w:ind w:left="709"/>
            <w:contextualSpacing/>
            <w:rPr>
              <w:rFonts w:ascii="Times New Roman" w:eastAsiaTheme="minorHAnsi" w:hAnsi="Times New Roman"/>
              <w:noProof/>
              <w:sz w:val="24"/>
            </w:rPr>
          </w:pPr>
          <w:r>
            <w:rPr>
              <w:rFonts w:ascii="Times New Roman" w:eastAsiaTheme="minorHAnsi" w:hAnsi="Times New Roman"/>
              <w:b/>
              <w:noProof/>
              <w:sz w:val="24"/>
            </w:rPr>
            <w:t>- Study on "future trends and business models in communications services and their regulatory impact"</w:t>
          </w:r>
          <w:r>
            <w:rPr>
              <w:rFonts w:ascii="Times New Roman" w:eastAsiaTheme="minorHAnsi" w:hAnsi="Times New Roman"/>
              <w:noProof/>
              <w:sz w:val="24"/>
            </w:rPr>
            <w:t xml:space="preserve"> (SMART 2013/0019). The Study assesses future trends and business models in the communications</w:t>
          </w:r>
          <w:r>
            <w:rPr>
              <w:rFonts w:ascii="Times New Roman" w:eastAsiaTheme="minorHAnsi" w:hAnsi="Times New Roman"/>
              <w:noProof/>
              <w:sz w:val="24"/>
            </w:rPr>
            <w:t xml:space="preserve"> services markets, with particular focus on the relationship between electronic communication services providers and the so-called over-the-top providers.</w:t>
          </w:r>
        </w:p>
        <w:p w:rsidR="0077224F" w:rsidRDefault="0077224F">
          <w:pPr>
            <w:spacing w:before="0" w:after="0"/>
            <w:jc w:val="left"/>
            <w:rPr>
              <w:rFonts w:ascii="Times New Roman" w:eastAsia="Times New Roman" w:hAnsi="Times New Roman"/>
              <w:noProof/>
              <w:sz w:val="24"/>
            </w:rPr>
            <w:sectPr w:rsidR="0077224F">
              <w:headerReference w:type="even" r:id="rId19"/>
              <w:headerReference w:type="default" r:id="rId20"/>
              <w:footerReference w:type="even" r:id="rId21"/>
              <w:footerReference w:type="default" r:id="rId22"/>
              <w:headerReference w:type="first" r:id="rId23"/>
              <w:footerReference w:type="first" r:id="rId24"/>
              <w:pgSz w:w="11906" w:h="16838"/>
              <w:pgMar w:top="1134" w:right="1417" w:bottom="1134" w:left="1417" w:header="709" w:footer="709" w:gutter="0"/>
              <w:pgNumType w:start="1"/>
              <w:cols w:space="720"/>
              <w:docGrid w:linePitch="360"/>
            </w:sectPr>
          </w:pPr>
        </w:p>
        <w:p w:rsidR="0077224F" w:rsidRDefault="00D973EE">
          <w:pPr>
            <w:pStyle w:val="ManualHeading1"/>
            <w:pBdr>
              <w:top w:val="single" w:sz="4" w:space="0" w:color="auto"/>
            </w:pBdr>
          </w:pPr>
          <w:bookmarkStart w:id="56" w:name="_Toc460918605"/>
          <w:bookmarkStart w:id="57" w:name="_Toc468453394"/>
          <w:bookmarkStart w:id="58" w:name="_Toc468455294"/>
          <w:bookmarkStart w:id="59" w:name="_Toc468790011"/>
          <w:bookmarkStart w:id="60" w:name="_Toc468794843"/>
          <w:bookmarkStart w:id="61" w:name="_Toc468795151"/>
          <w:r>
            <w:t xml:space="preserve">Annex 2: REFIT evaluation of the </w:t>
          </w:r>
          <w:r>
            <w:t>E-Privacy Directive executive summary</w:t>
          </w:r>
        </w:p>
        <w:p w:rsidR="0077224F" w:rsidRDefault="0077224F">
          <w:pPr>
            <w:keepNext/>
            <w:tabs>
              <w:tab w:val="num" w:pos="480"/>
            </w:tabs>
            <w:spacing w:after="240"/>
            <w:ind w:left="482" w:hanging="482"/>
            <w:outlineLvl w:val="0"/>
            <w:rPr>
              <w:rFonts w:ascii="Times New Roman" w:eastAsia="Times New Roman" w:hAnsi="Times New Roman"/>
              <w:b/>
              <w:smallCaps/>
              <w:noProof/>
              <w:sz w:val="24"/>
              <w:szCs w:val="20"/>
            </w:rPr>
          </w:pPr>
        </w:p>
        <w:p w:rsidR="0077224F" w:rsidRDefault="00D973EE">
          <w:pPr>
            <w:keepNext/>
            <w:tabs>
              <w:tab w:val="num" w:pos="480"/>
            </w:tabs>
            <w:spacing w:after="240"/>
            <w:ind w:left="482" w:hanging="482"/>
            <w:outlineLvl w:val="0"/>
            <w:rPr>
              <w:rFonts w:ascii="Times New Roman" w:eastAsia="Times New Roman" w:hAnsi="Times New Roman"/>
              <w:b/>
              <w:smallCaps/>
              <w:noProof/>
              <w:sz w:val="24"/>
              <w:szCs w:val="20"/>
            </w:rPr>
          </w:pPr>
          <w:r>
            <w:rPr>
              <w:rFonts w:ascii="Times New Roman" w:eastAsia="Times New Roman" w:hAnsi="Times New Roman"/>
              <w:b/>
              <w:smallCaps/>
              <w:noProof/>
              <w:sz w:val="24"/>
              <w:szCs w:val="20"/>
            </w:rPr>
            <w:t>executive summary</w:t>
          </w:r>
          <w:bookmarkEnd w:id="56"/>
          <w:bookmarkEnd w:id="57"/>
          <w:bookmarkEnd w:id="58"/>
          <w:bookmarkEnd w:id="59"/>
          <w:bookmarkEnd w:id="60"/>
          <w:bookmarkEnd w:id="61"/>
        </w:p>
        <w:p w:rsidR="0077224F" w:rsidRDefault="00D973EE">
          <w:pPr>
            <w:spacing w:after="240"/>
            <w:rPr>
              <w:rFonts w:ascii="Times New Roman" w:eastAsia="Times New Roman" w:hAnsi="Times New Roman"/>
              <w:noProof/>
              <w:color w:val="000000"/>
              <w:sz w:val="24"/>
              <w:highlight w:val="yellow"/>
              <w:lang w:eastAsia="en-GB"/>
            </w:rPr>
          </w:pPr>
          <w:r>
            <w:rPr>
              <w:rFonts w:ascii="Times New Roman" w:eastAsia="Times New Roman" w:hAnsi="Times New Roman"/>
              <w:noProof/>
              <w:color w:val="000000"/>
              <w:sz w:val="24"/>
              <w:lang w:val="en" w:eastAsia="en-GB"/>
            </w:rPr>
            <w:t xml:space="preserve">The ePrivacy Directive (2002/58/EC) </w:t>
          </w:r>
          <w:r>
            <w:rPr>
              <w:rFonts w:ascii="Times New Roman" w:eastAsia="Times New Roman" w:hAnsi="Times New Roman"/>
              <w:noProof/>
              <w:color w:val="000000"/>
              <w:sz w:val="24"/>
              <w:lang w:eastAsia="en-GB"/>
            </w:rPr>
            <w:t>sets forth rules guaranteeing the protection of privacy in the electronic communications sector. It aims to ensure that the protection of confidentiality of commun</w:t>
          </w:r>
          <w:r>
            <w:rPr>
              <w:rFonts w:ascii="Times New Roman" w:eastAsia="Times New Roman" w:hAnsi="Times New Roman"/>
              <w:noProof/>
              <w:color w:val="000000"/>
              <w:sz w:val="24"/>
              <w:lang w:eastAsia="en-GB"/>
            </w:rPr>
            <w:t>ications, in line with the fundamental right to the respect of private and family life enshrined in Article 7 of the EU Charter of Fundamental Rights, is guaranteed.</w:t>
          </w:r>
        </w:p>
        <w:p w:rsidR="0077224F" w:rsidRDefault="00D973EE">
          <w:pPr>
            <w:spacing w:after="0"/>
            <w:rPr>
              <w:rFonts w:ascii="Times New Roman" w:eastAsia="Times New Roman" w:hAnsi="Times New Roman"/>
              <w:noProof/>
              <w:sz w:val="24"/>
              <w:lang w:eastAsia="en-GB"/>
            </w:rPr>
          </w:pPr>
          <w:r>
            <w:rPr>
              <w:rFonts w:ascii="Times New Roman" w:eastAsia="Times New Roman" w:hAnsi="Times New Roman"/>
              <w:noProof/>
              <w:sz w:val="24"/>
              <w:lang w:eastAsia="en-GB"/>
            </w:rPr>
            <w:t>The ePrivacy Directive requires providers of electronic communications services such as in</w:t>
          </w:r>
          <w:r>
            <w:rPr>
              <w:rFonts w:ascii="Times New Roman" w:eastAsia="Times New Roman" w:hAnsi="Times New Roman"/>
              <w:noProof/>
              <w:sz w:val="24"/>
              <w:lang w:eastAsia="en-GB"/>
            </w:rPr>
            <w:t xml:space="preserve">ternet Access and fixed and mobile telephony to: </w:t>
          </w:r>
        </w:p>
        <w:p w:rsidR="0077224F" w:rsidRDefault="0077224F">
          <w:pPr>
            <w:spacing w:after="0"/>
            <w:rPr>
              <w:rFonts w:ascii="Times New Roman" w:eastAsia="Times New Roman" w:hAnsi="Times New Roman"/>
              <w:noProof/>
              <w:sz w:val="24"/>
              <w:lang w:eastAsia="en-GB"/>
            </w:rPr>
          </w:pPr>
        </w:p>
        <w:p w:rsidR="0077224F" w:rsidRDefault="00D973EE">
          <w:pPr>
            <w:numPr>
              <w:ilvl w:val="0"/>
              <w:numId w:val="92"/>
            </w:numPr>
            <w:spacing w:before="0" w:after="0" w:line="276" w:lineRule="auto"/>
            <w:contextualSpacing/>
            <w:rPr>
              <w:rFonts w:ascii="Times New Roman" w:eastAsia="Calibri" w:hAnsi="Times New Roman" w:cs="Calibri"/>
              <w:noProof/>
              <w:sz w:val="24"/>
              <w:lang w:eastAsia="en-GB"/>
            </w:rPr>
          </w:pPr>
          <w:r>
            <w:rPr>
              <w:rFonts w:ascii="Times New Roman" w:eastAsia="Times New Roman" w:hAnsi="Times New Roman" w:cs="Calibri"/>
              <w:noProof/>
              <w:sz w:val="24"/>
              <w:lang w:eastAsia="en-GB"/>
            </w:rPr>
            <w:t xml:space="preserve">take appropriate measures safeguarding the security of electronic communications services (specific objective); </w:t>
          </w:r>
        </w:p>
        <w:p w:rsidR="0077224F" w:rsidRDefault="00D973EE">
          <w:pPr>
            <w:numPr>
              <w:ilvl w:val="0"/>
              <w:numId w:val="92"/>
            </w:numPr>
            <w:spacing w:before="0" w:after="0" w:line="276" w:lineRule="auto"/>
            <w:contextualSpacing/>
            <w:rPr>
              <w:rFonts w:ascii="Times New Roman" w:eastAsia="Calibri" w:hAnsi="Times New Roman" w:cs="Calibri"/>
              <w:noProof/>
              <w:sz w:val="24"/>
              <w:lang w:eastAsia="en-GB"/>
            </w:rPr>
          </w:pPr>
          <w:r>
            <w:rPr>
              <w:rFonts w:ascii="Times New Roman" w:eastAsia="Times New Roman" w:hAnsi="Times New Roman" w:cs="Calibri"/>
              <w:noProof/>
              <w:sz w:val="24"/>
              <w:lang w:eastAsia="en-GB"/>
            </w:rPr>
            <w:t xml:space="preserve">ensure confidentiality of communications and related traffic data in public networks </w:t>
          </w:r>
          <w:r>
            <w:rPr>
              <w:rFonts w:ascii="Times New Roman" w:eastAsia="Times New Roman" w:hAnsi="Times New Roman" w:cs="Calibri"/>
              <w:noProof/>
              <w:sz w:val="24"/>
              <w:lang w:eastAsia="en-GB"/>
            </w:rPr>
            <w:t>(specific objective).</w:t>
          </w:r>
          <w:r>
            <w:rPr>
              <w:rFonts w:ascii="Times New Roman" w:eastAsia="Calibri" w:hAnsi="Times New Roman" w:cs="Calibri"/>
              <w:noProof/>
              <w:sz w:val="24"/>
              <w:lang w:eastAsia="en-GB"/>
            </w:rPr>
            <w:t xml:space="preserve"> </w:t>
          </w:r>
        </w:p>
        <w:p w:rsidR="0077224F" w:rsidRDefault="0077224F">
          <w:pPr>
            <w:spacing w:after="0"/>
            <w:ind w:left="750"/>
            <w:contextualSpacing/>
            <w:rPr>
              <w:rFonts w:ascii="Times New Roman" w:eastAsia="Calibri" w:hAnsi="Times New Roman" w:cs="Calibri"/>
              <w:noProof/>
              <w:sz w:val="24"/>
              <w:lang w:eastAsia="en-GB"/>
            </w:rPr>
          </w:pPr>
        </w:p>
        <w:p w:rsidR="0077224F" w:rsidRDefault="00D973EE">
          <w:pPr>
            <w:spacing w:after="240"/>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The Directive also provides protection for users and subscribers</w:t>
          </w:r>
          <w:r>
            <w:rPr>
              <w:rStyle w:val="FootnoteReference"/>
              <w:rFonts w:ascii="Times New Roman" w:eastAsia="Times New Roman" w:hAnsi="Times New Roman"/>
              <w:noProof/>
              <w:color w:val="000000"/>
              <w:sz w:val="24"/>
              <w:lang w:eastAsia="en-GB"/>
            </w:rPr>
            <w:footnoteReference w:id="17"/>
          </w:r>
          <w:r>
            <w:rPr>
              <w:rFonts w:ascii="Times New Roman" w:eastAsia="Times New Roman" w:hAnsi="Times New Roman"/>
              <w:noProof/>
              <w:color w:val="000000"/>
              <w:sz w:val="24"/>
              <w:lang w:eastAsia="en-GB"/>
            </w:rPr>
            <w:t xml:space="preserve"> of electronic communications services against unsolicited communications.</w:t>
          </w:r>
        </w:p>
        <w:p w:rsidR="0077224F" w:rsidRDefault="00D973EE">
          <w:pPr>
            <w:spacing w:after="240"/>
            <w:rPr>
              <w:rFonts w:ascii="Times New Roman" w:hAnsi="Times New Roman"/>
              <w:noProof/>
              <w:sz w:val="24"/>
            </w:rPr>
          </w:pPr>
          <w:r>
            <w:rPr>
              <w:rFonts w:ascii="Times New Roman" w:hAnsi="Times New Roman"/>
              <w:noProof/>
              <w:sz w:val="24"/>
            </w:rPr>
            <w:t>In 2015 the Commission considered it necessary to assess whether the rules of the ePrivacy D</w:t>
          </w:r>
          <w:r>
            <w:rPr>
              <w:rFonts w:ascii="Times New Roman" w:hAnsi="Times New Roman"/>
              <w:noProof/>
              <w:sz w:val="24"/>
            </w:rPr>
            <w:t>irective have achieved their main objectives, namely ensuring an adequate protection of privacy and confidentiality of communications in the EU, and whether these rules are still fit for purpose in the regulatory and technological context. The Regulatory F</w:t>
          </w:r>
          <w:r>
            <w:rPr>
              <w:rFonts w:ascii="Times New Roman" w:hAnsi="Times New Roman"/>
              <w:noProof/>
              <w:sz w:val="24"/>
            </w:rPr>
            <w:t>itness and Performance (REFIT</w:t>
          </w:r>
          <w:r>
            <w:rPr>
              <w:rStyle w:val="FootnoteReference"/>
              <w:rFonts w:ascii="Times New Roman" w:hAnsi="Times New Roman"/>
              <w:noProof/>
              <w:sz w:val="24"/>
            </w:rPr>
            <w:footnoteReference w:id="18"/>
          </w:r>
          <w:r>
            <w:rPr>
              <w:rFonts w:ascii="Times New Roman" w:hAnsi="Times New Roman"/>
              <w:noProof/>
              <w:sz w:val="24"/>
            </w:rPr>
            <w:t>) evaluation</w:t>
          </w:r>
          <w:r>
            <w:rPr>
              <w:rFonts w:ascii="Times New Roman" w:eastAsia="Times New Roman" w:hAnsi="Times New Roman"/>
              <w:noProof/>
              <w:color w:val="000000"/>
              <w:sz w:val="24"/>
              <w:lang w:eastAsia="en-GB"/>
            </w:rPr>
            <w:t xml:space="preserve"> </w:t>
          </w:r>
          <w:r>
            <w:rPr>
              <w:rFonts w:ascii="Times New Roman" w:hAnsi="Times New Roman"/>
              <w:noProof/>
              <w:sz w:val="24"/>
            </w:rPr>
            <w:t xml:space="preserve">assessed the Directive against a number of indicators pursuant to the Better Regulation guidelines, namely: effectiveness, efficiency, relevance, coherence and EU added-value. The Commission also sought scope for </w:t>
          </w:r>
          <w:r>
            <w:rPr>
              <w:rFonts w:ascii="Times New Roman" w:hAnsi="Times New Roman"/>
              <w:noProof/>
              <w:sz w:val="24"/>
            </w:rPr>
            <w:t>simplification of the rules, whenever appropriate, without undermining the objectives of the ePrivacy Directive.</w:t>
          </w:r>
        </w:p>
        <w:p w:rsidR="0077224F" w:rsidRDefault="00D973EE">
          <w:pPr>
            <w:spacing w:after="240"/>
            <w:rPr>
              <w:rFonts w:ascii="Times New Roman" w:hAnsi="Times New Roman"/>
              <w:noProof/>
              <w:sz w:val="24"/>
            </w:rPr>
          </w:pPr>
          <w:r>
            <w:rPr>
              <w:rFonts w:ascii="Times New Roman" w:hAnsi="Times New Roman"/>
              <w:noProof/>
              <w:sz w:val="24"/>
            </w:rPr>
            <w:t>The evaluation covers the whole EU and the period from 2009 to 2016. The assessment is based on evidence gathered by a public consultation, a E</w:t>
          </w:r>
          <w:r>
            <w:rPr>
              <w:rFonts w:ascii="Times New Roman" w:hAnsi="Times New Roman"/>
              <w:noProof/>
              <w:sz w:val="24"/>
            </w:rPr>
            <w:t>urobarometer, structured dialogues, external studies, monitoring reports, policy documents of the Commission and other relevant literature. Robust economic data to support the assessment have been difficult to find. Statistics and other quantitative data</w:t>
          </w:r>
          <w:r>
            <w:rPr>
              <w:rFonts w:ascii="Times New Roman" w:eastAsia="Times New Roman" w:hAnsi="Times New Roman"/>
              <w:noProof/>
              <w:color w:val="000000"/>
              <w:sz w:val="24"/>
              <w:lang w:eastAsia="en-GB"/>
            </w:rPr>
            <w:t xml:space="preserve"> o</w:t>
          </w:r>
          <w:r>
            <w:rPr>
              <w:rFonts w:ascii="Times New Roman" w:eastAsia="Times New Roman" w:hAnsi="Times New Roman"/>
              <w:noProof/>
              <w:color w:val="000000"/>
              <w:sz w:val="24"/>
              <w:lang w:eastAsia="en-GB"/>
            </w:rPr>
            <w:t xml:space="preserve">n the compliance costs stemming from the ePrivacy Directive either do not exist, or are not disclosed by the entities subject to the obligations. </w:t>
          </w:r>
          <w:r>
            <w:rPr>
              <w:rFonts w:ascii="Times New Roman" w:hAnsi="Times New Roman"/>
              <w:noProof/>
              <w:sz w:val="24"/>
            </w:rPr>
            <w:t>To corroborate the findings of the evaluation, the evaluation process has therefore built on the sources menti</w:t>
          </w:r>
          <w:r>
            <w:rPr>
              <w:rFonts w:ascii="Times New Roman" w:hAnsi="Times New Roman"/>
              <w:noProof/>
              <w:sz w:val="24"/>
            </w:rPr>
            <w:t xml:space="preserve">oned before. </w:t>
          </w:r>
        </w:p>
        <w:p w:rsidR="0077224F" w:rsidRDefault="0077224F">
          <w:pPr>
            <w:spacing w:after="240"/>
            <w:rPr>
              <w:rFonts w:ascii="Times New Roman" w:hAnsi="Times New Roman"/>
              <w:b/>
              <w:noProof/>
              <w:sz w:val="24"/>
              <w:u w:val="single"/>
            </w:rPr>
          </w:pPr>
        </w:p>
        <w:p w:rsidR="0077224F" w:rsidRDefault="00D973EE">
          <w:pPr>
            <w:spacing w:after="240"/>
            <w:rPr>
              <w:rFonts w:ascii="Times New Roman" w:hAnsi="Times New Roman"/>
              <w:b/>
              <w:noProof/>
              <w:sz w:val="24"/>
              <w:u w:val="single"/>
            </w:rPr>
          </w:pPr>
          <w:r>
            <w:rPr>
              <w:rFonts w:ascii="Times New Roman" w:hAnsi="Times New Roman"/>
              <w:b/>
              <w:noProof/>
              <w:sz w:val="24"/>
              <w:u w:val="single"/>
            </w:rPr>
            <w:t>Findings</w:t>
          </w:r>
        </w:p>
        <w:p w:rsidR="0077224F" w:rsidRDefault="00D973EE">
          <w:pPr>
            <w:spacing w:after="240"/>
            <w:rPr>
              <w:rFonts w:ascii="Times New Roman" w:eastAsia="Times New Roman" w:hAnsi="Times New Roman"/>
              <w:noProof/>
              <w:color w:val="000000"/>
              <w:sz w:val="24"/>
              <w:lang w:eastAsia="en-GB"/>
            </w:rPr>
          </w:pPr>
          <w:r>
            <w:rPr>
              <w:rFonts w:ascii="Times New Roman" w:eastAsia="Times New Roman" w:hAnsi="Times New Roman"/>
              <w:noProof/>
              <w:sz w:val="24"/>
              <w:lang w:eastAsia="en-GB"/>
            </w:rPr>
            <w:t xml:space="preserve">The provisions of the Directive remain fully </w:t>
          </w:r>
          <w:r>
            <w:rPr>
              <w:rFonts w:ascii="Times New Roman" w:eastAsia="Times New Roman" w:hAnsi="Times New Roman"/>
              <w:b/>
              <w:noProof/>
              <w:sz w:val="24"/>
              <w:lang w:eastAsia="en-GB"/>
            </w:rPr>
            <w:t xml:space="preserve">relevant </w:t>
          </w:r>
          <w:r>
            <w:rPr>
              <w:rFonts w:ascii="Times New Roman" w:eastAsia="Times New Roman" w:hAnsi="Times New Roman"/>
              <w:noProof/>
              <w:sz w:val="24"/>
              <w:lang w:eastAsia="en-GB"/>
            </w:rPr>
            <w:t>to meet the objectives of ensuring privacy and confidentiality of communications but s</w:t>
          </w:r>
          <w:r>
            <w:rPr>
              <w:rFonts w:ascii="Times New Roman" w:eastAsia="Times New Roman" w:hAnsi="Times New Roman"/>
              <w:noProof/>
              <w:color w:val="000000"/>
              <w:sz w:val="24"/>
              <w:lang w:eastAsia="en-GB"/>
            </w:rPr>
            <w:t xml:space="preserve">ome of its rules are no longer fit for purpose in light of technological and market developments and changes in the legal framework. This is the case for the rules on security and notification of personal data breaches </w:t>
          </w:r>
          <w:r>
            <w:rPr>
              <w:rFonts w:ascii="Times New Roman" w:hAnsi="Times New Roman"/>
              <w:noProof/>
              <w:sz w:val="24"/>
              <w:lang w:eastAsia="en-GB"/>
            </w:rPr>
            <w:t xml:space="preserve">which are entirely mirrored in the </w:t>
          </w:r>
          <w:r>
            <w:rPr>
              <w:rFonts w:ascii="Times New Roman" w:eastAsia="Times New Roman" w:hAnsi="Times New Roman"/>
              <w:noProof/>
              <w:color w:val="000000"/>
              <w:sz w:val="24"/>
              <w:lang w:eastAsia="en-GB"/>
            </w:rPr>
            <w:t>Ge</w:t>
          </w:r>
          <w:r>
            <w:rPr>
              <w:rFonts w:ascii="Times New Roman" w:eastAsia="Times New Roman" w:hAnsi="Times New Roman"/>
              <w:noProof/>
              <w:color w:val="000000"/>
              <w:sz w:val="24"/>
              <w:lang w:eastAsia="en-GB"/>
            </w:rPr>
            <w:t>neral Data Protection Regulation adopted in April 2016, making them redundant. As regards confidentiality of communications, the rules have achieved their objectives vis-à-vis providers of electronic communication services, but have failed to ensure an ade</w:t>
          </w:r>
          <w:r>
            <w:rPr>
              <w:rFonts w:ascii="Times New Roman" w:eastAsia="Times New Roman" w:hAnsi="Times New Roman"/>
              <w:noProof/>
              <w:color w:val="000000"/>
              <w:sz w:val="24"/>
              <w:lang w:eastAsia="en-GB"/>
            </w:rPr>
            <w:t>quate protection of citizens when they use 'Over-the-Top services' (e.g. voice over IP or instant messaging), given that the Directive does not apply to such services. This regulatory asymmetry has placed electronic communication service providers at a com</w:t>
          </w:r>
          <w:r>
            <w:rPr>
              <w:rFonts w:ascii="Times New Roman" w:eastAsia="Times New Roman" w:hAnsi="Times New Roman"/>
              <w:noProof/>
              <w:color w:val="000000"/>
              <w:sz w:val="24"/>
              <w:lang w:eastAsia="en-GB"/>
            </w:rPr>
            <w:t xml:space="preserve">petitive disadvantage </w:t>
          </w:r>
          <w:r>
            <w:rPr>
              <w:rFonts w:ascii="Times New Roman" w:eastAsia="Times New Roman" w:hAnsi="Times New Roman"/>
              <w:i/>
              <w:noProof/>
              <w:color w:val="000000"/>
              <w:sz w:val="24"/>
              <w:lang w:eastAsia="en-GB"/>
            </w:rPr>
            <w:t>vis-à-vis</w:t>
          </w:r>
          <w:r>
            <w:rPr>
              <w:rFonts w:ascii="Times New Roman" w:eastAsia="Times New Roman" w:hAnsi="Times New Roman"/>
              <w:noProof/>
              <w:color w:val="000000"/>
              <w:sz w:val="24"/>
              <w:lang w:eastAsia="en-GB"/>
            </w:rPr>
            <w:t xml:space="preserve"> these new players and led to varying degrees of protection according to the means of communications used.</w:t>
          </w:r>
        </w:p>
        <w:p w:rsidR="0077224F" w:rsidRDefault="00D973EE">
          <w:pPr>
            <w:spacing w:after="240"/>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Overall, the Directive appears to have provided an appropriate framework for protecting privacy and confidentiality of</w:t>
          </w:r>
          <w:r>
            <w:rPr>
              <w:rFonts w:ascii="Times New Roman" w:eastAsia="Times New Roman" w:hAnsi="Times New Roman"/>
              <w:noProof/>
              <w:color w:val="000000"/>
              <w:sz w:val="24"/>
              <w:lang w:eastAsia="en-GB"/>
            </w:rPr>
            <w:t xml:space="preserve"> communications in the EU; but a series of issues were encountered with respect to its </w:t>
          </w:r>
          <w:r>
            <w:rPr>
              <w:rFonts w:ascii="Times New Roman" w:eastAsia="Times New Roman" w:hAnsi="Times New Roman"/>
              <w:b/>
              <w:noProof/>
              <w:color w:val="000000"/>
              <w:sz w:val="24"/>
              <w:lang w:eastAsia="en-GB"/>
            </w:rPr>
            <w:t>effectiveness</w:t>
          </w:r>
          <w:r>
            <w:rPr>
              <w:rFonts w:ascii="Times New Roman" w:eastAsia="Times New Roman" w:hAnsi="Times New Roman"/>
              <w:noProof/>
              <w:color w:val="000000"/>
              <w:sz w:val="24"/>
              <w:lang w:eastAsia="en-GB"/>
            </w:rPr>
            <w:t>.</w:t>
          </w:r>
        </w:p>
        <w:p w:rsidR="0077224F" w:rsidRDefault="00D973EE">
          <w:pPr>
            <w:rPr>
              <w:rFonts w:ascii="Times New Roman" w:hAnsi="Times New Roman"/>
              <w:noProof/>
              <w:color w:val="000000"/>
              <w:sz w:val="24"/>
              <w:lang w:eastAsia="en-GB"/>
            </w:rPr>
          </w:pPr>
          <w:r>
            <w:rPr>
              <w:rFonts w:ascii="Times New Roman" w:hAnsi="Times New Roman"/>
              <w:noProof/>
              <w:sz w:val="24"/>
            </w:rPr>
            <w:t xml:space="preserve">The practical application and enforcement of the principles (e.g. confidentiality of communications and of terminal equipment) set forth in the Directive </w:t>
          </w:r>
          <w:r>
            <w:rPr>
              <w:rFonts w:ascii="Times New Roman" w:hAnsi="Times New Roman"/>
              <w:noProof/>
              <w:sz w:val="24"/>
            </w:rPr>
            <w:t xml:space="preserve">has proven to be challenging in a number of ways. </w:t>
          </w:r>
          <w:r>
            <w:rPr>
              <w:rFonts w:ascii="Times New Roman" w:eastAsia="Times New Roman" w:hAnsi="Times New Roman"/>
              <w:noProof/>
              <w:color w:val="000000"/>
              <w:sz w:val="24"/>
              <w:lang w:eastAsia="en-GB"/>
            </w:rPr>
            <w:t>A majority of Member States have established multiple authorities competent for the ePrivacy Directive, sometimes with overlapping competences, thereby creating confusion as to which body is responsible for</w:t>
          </w:r>
          <w:r>
            <w:rPr>
              <w:rFonts w:ascii="Times New Roman" w:eastAsia="Times New Roman" w:hAnsi="Times New Roman"/>
              <w:noProof/>
              <w:color w:val="000000"/>
              <w:sz w:val="24"/>
              <w:lang w:eastAsia="en-GB"/>
            </w:rPr>
            <w:t xml:space="preserve"> enforcement</w:t>
          </w:r>
          <w:r>
            <w:rPr>
              <w:rFonts w:ascii="Times New Roman" w:hAnsi="Times New Roman"/>
              <w:noProof/>
              <w:color w:val="000000"/>
              <w:sz w:val="24"/>
              <w:lang w:eastAsia="en-GB"/>
            </w:rPr>
            <w:t xml:space="preserve">. The evaluation also found that the application of the consent </w:t>
          </w:r>
          <w:r>
            <w:rPr>
              <w:rFonts w:ascii="Times New Roman" w:eastAsia="Times New Roman" w:hAnsi="Times New Roman"/>
              <w:noProof/>
              <w:color w:val="000000"/>
              <w:sz w:val="24"/>
              <w:lang w:eastAsia="en-GB"/>
            </w:rPr>
            <w:t>rules on the confidentiality of terminal equipment</w:t>
          </w:r>
          <w:r>
            <w:rPr>
              <w:rStyle w:val="FootnoteReference"/>
              <w:rFonts w:ascii="Times New Roman" w:eastAsia="Times New Roman" w:hAnsi="Times New Roman"/>
              <w:noProof/>
              <w:color w:val="000000"/>
              <w:sz w:val="24"/>
              <w:lang w:eastAsia="en-GB"/>
            </w:rPr>
            <w:footnoteReference w:id="19"/>
          </w:r>
          <w:r>
            <w:rPr>
              <w:rFonts w:ascii="Times New Roman" w:eastAsia="Times New Roman" w:hAnsi="Times New Roman"/>
              <w:noProof/>
              <w:color w:val="000000"/>
              <w:sz w:val="24"/>
              <w:lang w:eastAsia="en-GB"/>
            </w:rPr>
            <w:t>, often referred to as the "cookie rule" and aimed at empowering individuals, has not been fully effective. Citizens are presente</w:t>
          </w:r>
          <w:r>
            <w:rPr>
              <w:rFonts w:ascii="Times New Roman" w:eastAsia="Times New Roman" w:hAnsi="Times New Roman"/>
              <w:noProof/>
              <w:color w:val="000000"/>
              <w:sz w:val="24"/>
              <w:lang w:eastAsia="en-GB"/>
            </w:rPr>
            <w:t>d with requests to accept tracking cookies without understanding their meaning because of complex language and in some cases, are even exposed to cookies being set without their consent. Furthermore, the consent rule has been assessed as being over-inclusi</w:t>
          </w:r>
          <w:r>
            <w:rPr>
              <w:rFonts w:ascii="Times New Roman" w:eastAsia="Times New Roman" w:hAnsi="Times New Roman"/>
              <w:noProof/>
              <w:color w:val="000000"/>
              <w:sz w:val="24"/>
              <w:lang w:eastAsia="en-GB"/>
            </w:rPr>
            <w:t>ve, as it also applies to non-privacy intrusive practices such as first party analytic cookies, and under-inclusive, as it does not clearly cover some tracking techniques (e.g. device fingerprinting) which may not entail access/storage in the device.</w:t>
          </w:r>
          <w:r>
            <w:rPr>
              <w:rFonts w:ascii="Times New Roman" w:hAnsi="Times New Roman"/>
              <w:noProof/>
              <w:color w:val="000000"/>
              <w:sz w:val="24"/>
              <w:lang w:eastAsia="en-GB"/>
            </w:rPr>
            <w:t xml:space="preserve"> </w:t>
          </w:r>
          <w:r>
            <w:rPr>
              <w:rFonts w:ascii="Times New Roman" w:eastAsia="Times New Roman" w:hAnsi="Times New Roman"/>
              <w:noProof/>
              <w:color w:val="000000"/>
              <w:sz w:val="24"/>
              <w:lang w:eastAsia="en-GB"/>
            </w:rPr>
            <w:t>In th</w:t>
          </w:r>
          <w:r>
            <w:rPr>
              <w:rFonts w:ascii="Times New Roman" w:eastAsia="Times New Roman" w:hAnsi="Times New Roman"/>
              <w:noProof/>
              <w:color w:val="000000"/>
              <w:sz w:val="24"/>
              <w:lang w:eastAsia="en-GB"/>
            </w:rPr>
            <w:t xml:space="preserve">e context of unsolicited commercial communications </w:t>
          </w:r>
          <w:r>
            <w:rPr>
              <w:rFonts w:ascii="Times New Roman" w:hAnsi="Times New Roman"/>
              <w:bCs/>
              <w:iCs/>
              <w:noProof/>
              <w:sz w:val="24"/>
              <w:lang w:eastAsia="en-GB"/>
            </w:rPr>
            <w:t xml:space="preserve">the sheer number of complaints from citizens indicates that the rules may not deliver its intended goals. </w:t>
          </w:r>
        </w:p>
        <w:p w:rsidR="0077224F" w:rsidRDefault="00D973EE">
          <w:pPr>
            <w:rPr>
              <w:rFonts w:ascii="Times New Roman" w:hAnsi="Times New Roman"/>
              <w:noProof/>
              <w:sz w:val="24"/>
            </w:rPr>
          </w:pPr>
          <w:r>
            <w:rPr>
              <w:rFonts w:ascii="Times New Roman" w:eastAsia="Times New Roman" w:hAnsi="Times New Roman"/>
              <w:noProof/>
              <w:sz w:val="24"/>
              <w:lang w:eastAsia="en-GB"/>
            </w:rPr>
            <w:t xml:space="preserve">As regards the </w:t>
          </w:r>
          <w:r>
            <w:rPr>
              <w:rFonts w:ascii="Times New Roman" w:eastAsia="Times New Roman" w:hAnsi="Times New Roman"/>
              <w:b/>
              <w:noProof/>
              <w:sz w:val="24"/>
              <w:lang w:eastAsia="en-GB"/>
            </w:rPr>
            <w:t xml:space="preserve">efficiency, </w:t>
          </w:r>
          <w:r>
            <w:rPr>
              <w:rFonts w:ascii="Times New Roman" w:eastAsia="Times New Roman" w:hAnsi="Times New Roman"/>
              <w:noProof/>
              <w:sz w:val="24"/>
              <w:lang w:eastAsia="en-GB"/>
            </w:rPr>
            <w:t xml:space="preserve">it is necessary to acknowledge the difficulty to obtain reliable and representative quantitative data. </w:t>
          </w:r>
          <w:r>
            <w:rPr>
              <w:rFonts w:ascii="Times New Roman" w:hAnsi="Times New Roman"/>
              <w:noProof/>
              <w:sz w:val="24"/>
            </w:rPr>
            <w:t>The majority of stakeholders consulted were not able to estimate relevant figures for the provisions of the Directive such as for example the costs relat</w:t>
          </w:r>
          <w:r>
            <w:rPr>
              <w:rFonts w:ascii="Times New Roman" w:hAnsi="Times New Roman"/>
              <w:noProof/>
              <w:sz w:val="24"/>
            </w:rPr>
            <w:t xml:space="preserve">ed to the requirement to set up security measures and the requirement to place cookie banners (to collect consent). </w:t>
          </w:r>
          <w:r>
            <w:rPr>
              <w:rFonts w:ascii="Times New Roman" w:hAnsi="Times New Roman"/>
              <w:noProof/>
              <w:color w:val="000000"/>
              <w:sz w:val="24"/>
              <w:lang w:eastAsia="en-GB"/>
            </w:rPr>
            <w:t>According to the supporting study to this REFIT, it appears that the</w:t>
          </w:r>
          <w:r>
            <w:rPr>
              <w:rFonts w:ascii="Times New Roman" w:eastAsia="Times New Roman" w:hAnsi="Times New Roman"/>
              <w:noProof/>
              <w:sz w:val="24"/>
              <w:lang w:eastAsia="en-GB"/>
            </w:rPr>
            <w:t xml:space="preserve"> </w:t>
          </w:r>
          <w:r>
            <w:rPr>
              <w:rFonts w:ascii="Times New Roman" w:hAnsi="Times New Roman"/>
              <w:noProof/>
              <w:sz w:val="24"/>
            </w:rPr>
            <w:t xml:space="preserve">compliance costs would be around </w:t>
          </w:r>
          <w:r>
            <w:rPr>
              <w:rFonts w:ascii="Times New Roman" w:eastAsia="Times New Roman" w:hAnsi="Times New Roman"/>
              <w:noProof/>
              <w:color w:val="000000"/>
              <w:sz w:val="24"/>
              <w:lang w:eastAsia="en-GB"/>
            </w:rPr>
            <w:t>EUR 658 per business</w:t>
          </w:r>
          <w:r>
            <w:rPr>
              <w:rStyle w:val="FootnoteReference"/>
              <w:rFonts w:ascii="Times New Roman" w:eastAsia="Times New Roman" w:hAnsi="Times New Roman"/>
              <w:noProof/>
              <w:color w:val="000000"/>
              <w:sz w:val="24"/>
              <w:lang w:eastAsia="en-GB"/>
            </w:rPr>
            <w:footnoteReference w:id="20"/>
          </w:r>
          <w:r>
            <w:rPr>
              <w:rFonts w:ascii="Times New Roman" w:hAnsi="Times New Roman"/>
              <w:noProof/>
              <w:sz w:val="24"/>
            </w:rPr>
            <w:t xml:space="preserve">. </w:t>
          </w:r>
        </w:p>
        <w:p w:rsidR="0077224F" w:rsidRDefault="00D973EE">
          <w:pPr>
            <w:rPr>
              <w:rFonts w:ascii="Times New Roman" w:eastAsia="Times New Roman" w:hAnsi="Times New Roman"/>
              <w:noProof/>
              <w:sz w:val="24"/>
              <w:lang w:eastAsia="en-GB"/>
            </w:rPr>
          </w:pPr>
          <w:r>
            <w:rPr>
              <w:rFonts w:ascii="Times New Roman" w:eastAsia="Times New Roman" w:hAnsi="Times New Roman"/>
              <w:noProof/>
              <w:sz w:val="24"/>
              <w:lang w:eastAsia="en-GB"/>
            </w:rPr>
            <w:t>The evaluation</w:t>
          </w:r>
          <w:r>
            <w:rPr>
              <w:rFonts w:ascii="Times New Roman" w:eastAsia="Times New Roman" w:hAnsi="Times New Roman"/>
              <w:noProof/>
              <w:sz w:val="24"/>
              <w:lang w:eastAsia="en-GB"/>
            </w:rPr>
            <w:t xml:space="preserve"> found no evidence of major inconsistencies between the Directive and the other relevant EU piece of legislation with which it interacts. However, a series of redundancies have been identified in particular with the General Data Protection Regulation (e.g.</w:t>
          </w:r>
          <w:r>
            <w:rPr>
              <w:rFonts w:ascii="Times New Roman" w:eastAsia="Times New Roman" w:hAnsi="Times New Roman"/>
              <w:noProof/>
              <w:sz w:val="24"/>
              <w:lang w:eastAsia="en-GB"/>
            </w:rPr>
            <w:t xml:space="preserve"> the security rule). Finally, the evaluation concludes that the ePrivacy has </w:t>
          </w:r>
          <w:r>
            <w:rPr>
              <w:rFonts w:ascii="Times New Roman" w:eastAsia="Times New Roman" w:hAnsi="Times New Roman"/>
              <w:b/>
              <w:noProof/>
              <w:sz w:val="24"/>
              <w:lang w:eastAsia="en-GB"/>
            </w:rPr>
            <w:t>EU</w:t>
          </w:r>
          <w:r>
            <w:rPr>
              <w:rFonts w:ascii="Times New Roman" w:eastAsia="Times New Roman" w:hAnsi="Times New Roman"/>
              <w:noProof/>
              <w:sz w:val="24"/>
              <w:lang w:eastAsia="en-GB"/>
            </w:rPr>
            <w:t xml:space="preserve"> </w:t>
          </w:r>
          <w:r>
            <w:rPr>
              <w:rFonts w:ascii="Times New Roman" w:eastAsia="Times New Roman" w:hAnsi="Times New Roman"/>
              <w:b/>
              <w:noProof/>
              <w:sz w:val="24"/>
              <w:lang w:eastAsia="en-GB"/>
            </w:rPr>
            <w:t>added-value</w:t>
          </w:r>
          <w:r>
            <w:rPr>
              <w:rFonts w:ascii="Times New Roman" w:eastAsia="Times New Roman" w:hAnsi="Times New Roman"/>
              <w:noProof/>
              <w:sz w:val="24"/>
              <w:lang w:eastAsia="en-GB"/>
            </w:rPr>
            <w:t xml:space="preserve"> as it imposes harmonised provisions on confidentiality of communications and traffic data which, in the light of an increasingly transnational electronic communicat</w:t>
          </w:r>
          <w:r>
            <w:rPr>
              <w:rFonts w:ascii="Times New Roman" w:eastAsia="Times New Roman" w:hAnsi="Times New Roman"/>
              <w:noProof/>
              <w:sz w:val="24"/>
              <w:lang w:eastAsia="en-GB"/>
            </w:rPr>
            <w:t xml:space="preserve">ions market, are becoming ever more important. </w:t>
          </w:r>
        </w:p>
        <w:p w:rsidR="0077224F" w:rsidRDefault="00D973EE">
          <w:pPr>
            <w:rPr>
              <w:rFonts w:ascii="Times New Roman" w:eastAsia="Times New Roman" w:hAnsi="Times New Roman"/>
              <w:noProof/>
              <w:sz w:val="24"/>
              <w:lang w:eastAsia="en-GB"/>
            </w:rPr>
          </w:pPr>
          <w:r>
            <w:rPr>
              <w:rFonts w:ascii="Times New Roman" w:eastAsia="Times New Roman" w:hAnsi="Times New Roman"/>
              <w:noProof/>
              <w:sz w:val="24"/>
              <w:lang w:eastAsia="en-GB"/>
            </w:rPr>
            <w:t>Lastly, based on the fact that the quantitative evidence remain scarce, the evaluation also shows that an effective system for monitoring the application of the Directive is currently lacking and should be pu</w:t>
          </w:r>
          <w:r>
            <w:rPr>
              <w:rFonts w:ascii="Times New Roman" w:eastAsia="Times New Roman" w:hAnsi="Times New Roman"/>
              <w:noProof/>
              <w:sz w:val="24"/>
              <w:lang w:eastAsia="en-GB"/>
            </w:rPr>
            <w:t>t in place in the future.</w:t>
          </w:r>
        </w:p>
        <w:p w:rsidR="0077224F" w:rsidRDefault="0077224F">
          <w:pPr>
            <w:spacing w:before="0"/>
            <w:rPr>
              <w:rFonts w:ascii="Times New Roman" w:eastAsia="Times New Roman" w:hAnsi="Times New Roman"/>
              <w:noProof/>
              <w:sz w:val="24"/>
              <w:lang w:eastAsia="en-GB"/>
            </w:rPr>
          </w:pPr>
        </w:p>
        <w:p w:rsidR="0077224F" w:rsidRDefault="00D973EE">
          <w:pPr>
            <w:spacing w:before="0" w:after="0"/>
            <w:jc w:val="left"/>
            <w:rPr>
              <w:rFonts w:ascii="Times New Roman" w:eastAsia="Times New Roman" w:hAnsi="Times New Roman"/>
              <w:b/>
              <w:bCs/>
              <w:smallCaps/>
              <w:noProof/>
              <w:sz w:val="28"/>
            </w:rPr>
          </w:pPr>
          <w:bookmarkStart w:id="62" w:name="_Toc430097548"/>
          <w:bookmarkStart w:id="63" w:name="_Toc450056779"/>
          <w:bookmarkStart w:id="64" w:name="_Toc468455295"/>
          <w:r>
            <w:rPr>
              <w:rFonts w:ascii="Times New Roman" w:eastAsia="Times New Roman" w:hAnsi="Times New Roman"/>
              <w:noProof/>
              <w:sz w:val="24"/>
              <w:szCs w:val="20"/>
            </w:rPr>
            <w:br w:type="page"/>
          </w:r>
        </w:p>
        <w:p w:rsidR="0077224F" w:rsidRDefault="00D973EE">
          <w:pPr>
            <w:pStyle w:val="ManualHeading1"/>
            <w:pBdr>
              <w:top w:val="single" w:sz="4" w:space="0" w:color="auto"/>
            </w:pBdr>
          </w:pPr>
          <w:bookmarkStart w:id="65" w:name="_Toc468795152"/>
          <w:r>
            <w:t>Annex 3: Stakeholder consultation</w:t>
          </w:r>
          <w:bookmarkEnd w:id="62"/>
          <w:bookmarkEnd w:id="63"/>
          <w:bookmarkEnd w:id="64"/>
          <w:bookmarkEnd w:id="65"/>
        </w:p>
        <w:p w:rsidR="0077224F" w:rsidRDefault="00D973EE">
          <w:pPr>
            <w:keepNext/>
            <w:tabs>
              <w:tab w:val="left" w:pos="850"/>
            </w:tabs>
            <w:ind w:left="850" w:hanging="850"/>
            <w:outlineLvl w:val="1"/>
            <w:rPr>
              <w:rFonts w:ascii="Times New Roman" w:eastAsia="Times New Roman" w:hAnsi="Times New Roman"/>
              <w:b/>
              <w:noProof/>
              <w:sz w:val="24"/>
              <w:lang w:eastAsia="en-GB"/>
            </w:rPr>
          </w:pPr>
          <w:bookmarkStart w:id="66" w:name="_Toc460847383"/>
          <w:bookmarkStart w:id="67" w:name="_Toc460847691"/>
          <w:bookmarkStart w:id="68" w:name="_Toc460847773"/>
          <w:bookmarkStart w:id="69" w:name="_Toc460848139"/>
          <w:bookmarkStart w:id="70" w:name="_Toc460848683"/>
          <w:bookmarkStart w:id="71" w:name="_Toc460923257"/>
          <w:bookmarkStart w:id="72" w:name="_Toc460927060"/>
          <w:bookmarkStart w:id="73" w:name="_Toc460927862"/>
          <w:bookmarkStart w:id="74" w:name="_Toc468453396"/>
          <w:bookmarkStart w:id="75" w:name="_Toc468455296"/>
          <w:bookmarkStart w:id="76" w:name="_Toc468790013"/>
          <w:bookmarkStart w:id="77" w:name="_Toc468794845"/>
          <w:bookmarkStart w:id="78" w:name="_Toc468795153"/>
          <w:r>
            <w:rPr>
              <w:rFonts w:ascii="Times New Roman" w:eastAsia="Times New Roman" w:hAnsi="Times New Roman"/>
              <w:b/>
              <w:noProof/>
              <w:sz w:val="24"/>
              <w:lang w:eastAsia="en-GB"/>
            </w:rPr>
            <w:t>3.1. Stakeholder strategy</w:t>
          </w:r>
          <w:bookmarkEnd w:id="66"/>
          <w:bookmarkEnd w:id="67"/>
          <w:bookmarkEnd w:id="68"/>
          <w:bookmarkEnd w:id="69"/>
          <w:bookmarkEnd w:id="70"/>
          <w:bookmarkEnd w:id="71"/>
          <w:bookmarkEnd w:id="72"/>
          <w:bookmarkEnd w:id="73"/>
          <w:bookmarkEnd w:id="74"/>
          <w:bookmarkEnd w:id="75"/>
          <w:bookmarkEnd w:id="76"/>
          <w:bookmarkEnd w:id="77"/>
          <w:bookmarkEnd w:id="78"/>
          <w:r>
            <w:rPr>
              <w:rFonts w:ascii="Times New Roman" w:eastAsia="Times New Roman" w:hAnsi="Times New Roman"/>
              <w:b/>
              <w:noProof/>
              <w:sz w:val="24"/>
              <w:lang w:eastAsia="en-GB"/>
            </w:rPr>
            <w:t xml:space="preserve"> </w:t>
          </w:r>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 xml:space="preserve">In order to ensure that the general public interest of the Union - as opposed to special interests of a narrow range of stakeholder groups - is well reflected in the </w:t>
          </w:r>
          <w:r>
            <w:rPr>
              <w:rFonts w:ascii="Times New Roman" w:eastAsia="Times New Roman" w:hAnsi="Times New Roman"/>
              <w:noProof/>
              <w:sz w:val="24"/>
              <w:lang w:eastAsia="en-GB"/>
            </w:rPr>
            <w:t>review of the ePrivacy Directive, the Commission developed a stakeholder strategy with the view to ensure the widest possible consultation.</w:t>
          </w:r>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The aim of the stakeholder consultation was (i) to deliver a high quality and credible evaluation of the ePD by allo</w:t>
          </w:r>
          <w:r>
            <w:rPr>
              <w:rFonts w:ascii="Times New Roman" w:eastAsia="Times New Roman" w:hAnsi="Times New Roman"/>
              <w:noProof/>
              <w:sz w:val="24"/>
              <w:lang w:eastAsia="en-GB"/>
            </w:rPr>
            <w:t>wing interested parties to provide feedback and (ii) to invite stakeholders to contribute with suggestions for possible policy options to revise the directive. This also ensures transparency and accountability in the Commission's work.</w:t>
          </w:r>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The stakeholder consultation process took place through two main activities. On the one hand, we ran an online public consultation (Section 3.2) and on the other hand, we organized targeted consultations with key EU expert groups, workshops and informal me</w:t>
          </w:r>
          <w:r>
            <w:rPr>
              <w:rFonts w:ascii="Times New Roman" w:eastAsia="Times New Roman" w:hAnsi="Times New Roman"/>
              <w:noProof/>
              <w:sz w:val="24"/>
              <w:lang w:eastAsia="en-GB"/>
            </w:rPr>
            <w:t xml:space="preserve">etings (see Section 3.3). In addition, we ran a Eurobarometer survey in order to receive citizens views (see Section 3.4). </w:t>
          </w:r>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In view of the wide variety of sources and stakeholders consulted and the relatively high degree of responses and input received fro</w:t>
          </w:r>
          <w:r>
            <w:rPr>
              <w:rFonts w:ascii="Times New Roman" w:eastAsia="Times New Roman" w:hAnsi="Times New Roman"/>
              <w:noProof/>
              <w:sz w:val="24"/>
              <w:lang w:eastAsia="en-GB"/>
            </w:rPr>
            <w:t xml:space="preserve">m all stakeholders' group, the stakeholders views hereby discussed are considered as representative.  </w:t>
          </w:r>
        </w:p>
        <w:p w:rsidR="0077224F" w:rsidRDefault="00D973EE">
          <w:pPr>
            <w:keepNext/>
            <w:tabs>
              <w:tab w:val="left" w:pos="850"/>
            </w:tabs>
            <w:ind w:left="850" w:hanging="850"/>
            <w:outlineLvl w:val="1"/>
            <w:rPr>
              <w:rFonts w:ascii="Times New Roman" w:eastAsia="Times New Roman" w:hAnsi="Times New Roman"/>
              <w:b/>
              <w:noProof/>
              <w:sz w:val="24"/>
              <w:lang w:eastAsia="en-GB"/>
            </w:rPr>
          </w:pPr>
          <w:bookmarkStart w:id="79" w:name="_Toc460847384"/>
          <w:bookmarkStart w:id="80" w:name="_Toc460847692"/>
          <w:bookmarkStart w:id="81" w:name="_Toc460847774"/>
          <w:bookmarkStart w:id="82" w:name="_Toc460848140"/>
          <w:bookmarkStart w:id="83" w:name="_Toc460848684"/>
          <w:bookmarkStart w:id="84" w:name="_Toc460923258"/>
          <w:bookmarkStart w:id="85" w:name="_Toc460927061"/>
          <w:bookmarkStart w:id="86" w:name="_Toc460927863"/>
          <w:bookmarkStart w:id="87" w:name="_Toc468453397"/>
          <w:bookmarkStart w:id="88" w:name="_Toc468455297"/>
          <w:bookmarkStart w:id="89" w:name="_Toc468790014"/>
          <w:bookmarkStart w:id="90" w:name="_Toc468794846"/>
          <w:bookmarkStart w:id="91" w:name="_Toc468795154"/>
          <w:r>
            <w:rPr>
              <w:rFonts w:ascii="Times New Roman" w:eastAsia="Times New Roman" w:hAnsi="Times New Roman"/>
              <w:b/>
              <w:noProof/>
              <w:sz w:val="24"/>
              <w:lang w:eastAsia="en-GB"/>
            </w:rPr>
            <w:t>3.2. Results of the Public consultation</w:t>
          </w:r>
          <w:bookmarkEnd w:id="79"/>
          <w:bookmarkEnd w:id="80"/>
          <w:bookmarkEnd w:id="81"/>
          <w:bookmarkEnd w:id="82"/>
          <w:bookmarkEnd w:id="83"/>
          <w:bookmarkEnd w:id="84"/>
          <w:bookmarkEnd w:id="85"/>
          <w:bookmarkEnd w:id="86"/>
          <w:bookmarkEnd w:id="87"/>
          <w:bookmarkEnd w:id="88"/>
          <w:bookmarkEnd w:id="89"/>
          <w:bookmarkEnd w:id="90"/>
          <w:bookmarkEnd w:id="91"/>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 xml:space="preserve">The public consultation on the review of the ePrivacy Directive took place between </w:t>
          </w:r>
          <w:r>
            <w:rPr>
              <w:rFonts w:ascii="Times New Roman" w:eastAsia="Times New Roman" w:hAnsi="Times New Roman"/>
              <w:b/>
              <w:noProof/>
              <w:sz w:val="24"/>
              <w:lang w:eastAsia="en-GB"/>
            </w:rPr>
            <w:t xml:space="preserve">12 April 2016 </w:t>
          </w:r>
          <w:r>
            <w:rPr>
              <w:rFonts w:ascii="Times New Roman" w:eastAsia="Times New Roman" w:hAnsi="Times New Roman"/>
              <w:noProof/>
              <w:sz w:val="24"/>
              <w:lang w:eastAsia="en-GB"/>
            </w:rPr>
            <w:t>and</w:t>
          </w:r>
          <w:r>
            <w:rPr>
              <w:rFonts w:ascii="Times New Roman" w:eastAsia="Times New Roman" w:hAnsi="Times New Roman"/>
              <w:b/>
              <w:noProof/>
              <w:sz w:val="24"/>
              <w:lang w:eastAsia="en-GB"/>
            </w:rPr>
            <w:t xml:space="preserve"> 5 July 2016</w:t>
          </w:r>
          <w:r>
            <w:rPr>
              <w:rFonts w:ascii="Times New Roman" w:eastAsia="Times New Roman" w:hAnsi="Times New Roman"/>
              <w:noProof/>
              <w:sz w:val="24"/>
              <w:lang w:eastAsia="en-GB"/>
            </w:rPr>
            <w:t>.</w:t>
          </w:r>
          <w:r>
            <w:rPr>
              <w:rFonts w:ascii="Times New Roman" w:eastAsia="Times New Roman" w:hAnsi="Times New Roman"/>
              <w:noProof/>
              <w:sz w:val="24"/>
              <w:lang w:eastAsia="en-GB"/>
            </w:rPr>
            <w:t xml:space="preserve"> The consultation aimed to gather input for the REFIT evaluation of the Directive and to seek views on the possible changes to the ePD.</w:t>
          </w:r>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 xml:space="preserve">The consultation gathered a total of </w:t>
          </w:r>
          <w:r>
            <w:rPr>
              <w:rFonts w:ascii="Times New Roman" w:eastAsia="Times New Roman" w:hAnsi="Times New Roman"/>
              <w:b/>
              <w:noProof/>
              <w:sz w:val="24"/>
              <w:lang w:eastAsia="en-GB"/>
            </w:rPr>
            <w:t>421</w:t>
          </w:r>
          <w:r>
            <w:rPr>
              <w:rFonts w:ascii="Times New Roman" w:eastAsia="Times New Roman" w:hAnsi="Times New Roman"/>
              <w:noProof/>
              <w:sz w:val="24"/>
              <w:lang w:eastAsia="en-GB"/>
            </w:rPr>
            <w:t xml:space="preserve"> replies, </w:t>
          </w:r>
          <w:r>
            <w:rPr>
              <w:rFonts w:ascii="Times New Roman" w:eastAsia="Times New Roman" w:hAnsi="Times New Roman"/>
              <w:b/>
              <w:noProof/>
              <w:sz w:val="24"/>
              <w:lang w:eastAsia="en-GB"/>
            </w:rPr>
            <w:t>162</w:t>
          </w:r>
          <w:r>
            <w:rPr>
              <w:rFonts w:ascii="Times New Roman" w:eastAsia="Times New Roman" w:hAnsi="Times New Roman"/>
              <w:noProof/>
              <w:sz w:val="24"/>
              <w:lang w:eastAsia="en-GB"/>
            </w:rPr>
            <w:t xml:space="preserve"> contributions from citizens, </w:t>
          </w:r>
          <w:r>
            <w:rPr>
              <w:rFonts w:ascii="Times New Roman" w:eastAsia="Times New Roman" w:hAnsi="Times New Roman"/>
              <w:b/>
              <w:noProof/>
              <w:sz w:val="24"/>
              <w:lang w:eastAsia="en-GB"/>
            </w:rPr>
            <w:t>33</w:t>
          </w:r>
          <w:r>
            <w:rPr>
              <w:rFonts w:ascii="Times New Roman" w:eastAsia="Times New Roman" w:hAnsi="Times New Roman"/>
              <w:noProof/>
              <w:sz w:val="24"/>
              <w:lang w:eastAsia="en-GB"/>
            </w:rPr>
            <w:t xml:space="preserve"> from civil society and consumer or</w:t>
          </w:r>
          <w:r>
            <w:rPr>
              <w:rFonts w:ascii="Times New Roman" w:eastAsia="Times New Roman" w:hAnsi="Times New Roman"/>
              <w:noProof/>
              <w:sz w:val="24"/>
              <w:lang w:eastAsia="en-GB"/>
            </w:rPr>
            <w:t xml:space="preserve">ganisations; </w:t>
          </w:r>
          <w:r>
            <w:rPr>
              <w:rFonts w:ascii="Times New Roman" w:eastAsia="Times New Roman" w:hAnsi="Times New Roman"/>
              <w:b/>
              <w:noProof/>
              <w:sz w:val="24"/>
              <w:lang w:eastAsia="en-GB"/>
            </w:rPr>
            <w:t>186</w:t>
          </w:r>
          <w:r>
            <w:rPr>
              <w:rFonts w:ascii="Times New Roman" w:eastAsia="Times New Roman" w:hAnsi="Times New Roman"/>
              <w:noProof/>
              <w:sz w:val="24"/>
              <w:lang w:eastAsia="en-GB"/>
            </w:rPr>
            <w:t xml:space="preserve"> from industry and </w:t>
          </w:r>
          <w:r>
            <w:rPr>
              <w:rFonts w:ascii="Times New Roman" w:eastAsia="Times New Roman" w:hAnsi="Times New Roman"/>
              <w:b/>
              <w:noProof/>
              <w:sz w:val="24"/>
              <w:lang w:eastAsia="en-GB"/>
            </w:rPr>
            <w:t>40</w:t>
          </w:r>
          <w:r>
            <w:rPr>
              <w:rFonts w:ascii="Times New Roman" w:eastAsia="Times New Roman" w:hAnsi="Times New Roman"/>
              <w:noProof/>
              <w:sz w:val="24"/>
              <w:lang w:eastAsia="en-GB"/>
            </w:rPr>
            <w:t xml:space="preserve"> from public bodies, including competent authorities to enforce the ePD.</w:t>
          </w:r>
        </w:p>
        <w:p w:rsidR="0077224F" w:rsidRDefault="00D973EE">
          <w:pPr>
            <w:spacing w:before="0"/>
            <w:rPr>
              <w:rFonts w:ascii="Times New Roman" w:eastAsia="Times New Roman" w:hAnsi="Times New Roman"/>
              <w:noProof/>
              <w:sz w:val="24"/>
              <w:u w:val="single"/>
              <w:lang w:eastAsia="en-GB"/>
            </w:rPr>
          </w:pPr>
          <w:r>
            <w:rPr>
              <w:rFonts w:ascii="Times New Roman" w:eastAsia="Times New Roman" w:hAnsi="Times New Roman"/>
              <w:noProof/>
              <w:sz w:val="24"/>
              <w:u w:val="single"/>
              <w:lang w:eastAsia="en-GB"/>
            </w:rPr>
            <w:t xml:space="preserve">The key findings of the public consultation as to the </w:t>
          </w:r>
          <w:r>
            <w:rPr>
              <w:rFonts w:ascii="Times New Roman" w:eastAsia="Times New Roman" w:hAnsi="Times New Roman"/>
              <w:b/>
              <w:noProof/>
              <w:sz w:val="24"/>
              <w:u w:val="single"/>
              <w:lang w:eastAsia="en-GB"/>
            </w:rPr>
            <w:t>way forward</w:t>
          </w:r>
          <w:r>
            <w:rPr>
              <w:rFonts w:ascii="Times New Roman" w:eastAsia="Times New Roman" w:hAnsi="Times New Roman"/>
              <w:noProof/>
              <w:sz w:val="24"/>
              <w:u w:val="single"/>
              <w:lang w:eastAsia="en-GB"/>
            </w:rPr>
            <w:t xml:space="preserve"> are the following:</w:t>
          </w:r>
        </w:p>
        <w:p w:rsidR="0077224F" w:rsidRDefault="00D973EE">
          <w:pPr>
            <w:numPr>
              <w:ilvl w:val="0"/>
              <w:numId w:val="68"/>
            </w:numPr>
            <w:spacing w:before="0" w:after="240"/>
            <w:contextualSpacing/>
            <w:rPr>
              <w:rFonts w:ascii="Times New Roman" w:eastAsia="Calibri" w:hAnsi="Times New Roman"/>
              <w:i/>
              <w:noProof/>
              <w:sz w:val="24"/>
              <w:lang w:eastAsia="en-GB"/>
            </w:rPr>
          </w:pPr>
          <w:r>
            <w:rPr>
              <w:rFonts w:ascii="Times New Roman" w:eastAsia="Calibri" w:hAnsi="Times New Roman"/>
              <w:i/>
              <w:noProof/>
              <w:sz w:val="24"/>
              <w:lang w:eastAsia="en-GB"/>
            </w:rPr>
            <w:t>Are special privacy rules for the electronic communications s</w:t>
          </w:r>
          <w:r>
            <w:rPr>
              <w:rFonts w:ascii="Times New Roman" w:eastAsia="Calibri" w:hAnsi="Times New Roman"/>
              <w:i/>
              <w:noProof/>
              <w:sz w:val="24"/>
              <w:lang w:eastAsia="en-GB"/>
            </w:rPr>
            <w:t>ector still necessary?</w:t>
          </w:r>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 xml:space="preserve">83% of the responding citizens and civil society believe that there is a clear added value in having special rules for the electronic communications sector to ensure the confidentiality of electronic communications, which is a basic </w:t>
          </w:r>
          <w:r>
            <w:rPr>
              <w:rFonts w:ascii="Times New Roman" w:eastAsia="Times New Roman" w:hAnsi="Times New Roman"/>
              <w:noProof/>
              <w:sz w:val="24"/>
              <w:lang w:eastAsia="en-GB"/>
            </w:rPr>
            <w:t>element underpinning trust in technological developments and the digital society and economy.73% believe this is the case also for traffic and location data. They also support the need for special rules on billing, calling and connected line identification</w:t>
          </w:r>
          <w:r>
            <w:rPr>
              <w:rFonts w:ascii="Times New Roman" w:eastAsia="Times New Roman" w:hAnsi="Times New Roman"/>
              <w:noProof/>
              <w:sz w:val="24"/>
              <w:lang w:eastAsia="en-GB"/>
            </w:rPr>
            <w:t>, automatic call forwarding and directories, but these areas seem to be less essential to them than the other areas mentioned. Industry responses were much more sceptical on the need for special rules; 31% see a need for rules on confidentiality and 26% se</w:t>
          </w:r>
          <w:r>
            <w:rPr>
              <w:rFonts w:ascii="Times New Roman" w:eastAsia="Times New Roman" w:hAnsi="Times New Roman"/>
              <w:noProof/>
              <w:sz w:val="24"/>
              <w:lang w:eastAsia="en-GB"/>
            </w:rPr>
            <w:t>e a need for rules on traffic data. Almost all public authorities responding to the consultation see the need for special rules in all of the areas listed.</w:t>
          </w:r>
        </w:p>
        <w:p w:rsidR="0077224F" w:rsidRDefault="00D973EE">
          <w:pPr>
            <w:numPr>
              <w:ilvl w:val="0"/>
              <w:numId w:val="68"/>
            </w:numPr>
            <w:spacing w:before="0" w:after="240"/>
            <w:contextualSpacing/>
            <w:outlineLvl w:val="2"/>
            <w:rPr>
              <w:rFonts w:ascii="Times New Roman" w:eastAsia="Calibri" w:hAnsi="Times New Roman"/>
              <w:i/>
              <w:noProof/>
              <w:sz w:val="24"/>
              <w:lang w:eastAsia="en-GB"/>
            </w:rPr>
          </w:pPr>
          <w:bookmarkStart w:id="92" w:name="_Toc460847385"/>
          <w:bookmarkStart w:id="93" w:name="_Toc460847693"/>
          <w:bookmarkStart w:id="94" w:name="_Toc460847775"/>
          <w:bookmarkStart w:id="95" w:name="_Toc460848141"/>
          <w:bookmarkStart w:id="96" w:name="_Toc460848685"/>
          <w:bookmarkStart w:id="97" w:name="_Toc460923259"/>
          <w:bookmarkStart w:id="98" w:name="_Toc460927062"/>
          <w:bookmarkStart w:id="99" w:name="_Toc460927864"/>
          <w:bookmarkStart w:id="100" w:name="_Toc468453398"/>
          <w:bookmarkStart w:id="101" w:name="_Toc468455298"/>
          <w:bookmarkStart w:id="102" w:name="_Toc468790015"/>
          <w:bookmarkStart w:id="103" w:name="_Toc468794847"/>
          <w:bookmarkStart w:id="104" w:name="_Toc468795155"/>
          <w:r>
            <w:rPr>
              <w:rFonts w:ascii="Times New Roman" w:eastAsia="Calibri" w:hAnsi="Times New Roman"/>
              <w:i/>
              <w:noProof/>
              <w:sz w:val="24"/>
              <w:lang w:eastAsia="en-GB"/>
            </w:rPr>
            <w:t>Should a new instrument cover new communication services (instant messaging, VoIP)?</w:t>
          </w:r>
          <w:bookmarkEnd w:id="92"/>
          <w:bookmarkEnd w:id="93"/>
          <w:bookmarkEnd w:id="94"/>
          <w:bookmarkEnd w:id="95"/>
          <w:bookmarkEnd w:id="96"/>
          <w:bookmarkEnd w:id="97"/>
          <w:bookmarkEnd w:id="98"/>
          <w:bookmarkEnd w:id="99"/>
          <w:bookmarkEnd w:id="100"/>
          <w:bookmarkEnd w:id="101"/>
          <w:bookmarkEnd w:id="102"/>
          <w:bookmarkEnd w:id="103"/>
          <w:bookmarkEnd w:id="104"/>
        </w:p>
        <w:p w:rsidR="0077224F" w:rsidRDefault="00D973EE">
          <w:pPr>
            <w:spacing w:before="0" w:line="270" w:lineRule="atLeast"/>
            <w:rPr>
              <w:rFonts w:ascii="Times New Roman" w:eastAsia="Times New Roman" w:hAnsi="Times New Roman"/>
              <w:noProof/>
              <w:sz w:val="24"/>
              <w:lang w:eastAsia="en-GB"/>
            </w:rPr>
          </w:pPr>
          <w:r>
            <w:rPr>
              <w:rFonts w:ascii="Times New Roman" w:eastAsia="Times New Roman" w:hAnsi="Times New Roman"/>
              <w:noProof/>
              <w:sz w:val="24"/>
              <w:lang w:eastAsia="en-GB"/>
            </w:rPr>
            <w:t xml:space="preserve">76% of citizens </w:t>
          </w:r>
          <w:r>
            <w:rPr>
              <w:rFonts w:ascii="Times New Roman" w:eastAsia="Times New Roman" w:hAnsi="Times New Roman"/>
              <w:noProof/>
              <w:sz w:val="24"/>
              <w:lang w:eastAsia="en-GB"/>
            </w:rPr>
            <w:t>and civil society believe that the scope of the rules should be broadened to cover the so-called over-the-top service providers (OTT) when they offer communications services such as VoIP or instant messaging. 43% of respondents from industry also believe t</w:t>
          </w:r>
          <w:r>
            <w:rPr>
              <w:rFonts w:ascii="Times New Roman" w:eastAsia="Times New Roman" w:hAnsi="Times New Roman"/>
              <w:noProof/>
              <w:sz w:val="24"/>
              <w:lang w:eastAsia="en-GB"/>
            </w:rPr>
            <w:t>hat the rules should be extended, 42% of the industry are against extension, while 5% do not have an opinion. 93% of public authorities believe that some or all of the provisions should be broadened to cover over-the-top players.</w:t>
          </w:r>
        </w:p>
        <w:p w:rsidR="0077224F" w:rsidRDefault="00D973EE">
          <w:pPr>
            <w:numPr>
              <w:ilvl w:val="0"/>
              <w:numId w:val="68"/>
            </w:numPr>
            <w:spacing w:before="0" w:after="240"/>
            <w:contextualSpacing/>
            <w:outlineLvl w:val="2"/>
            <w:rPr>
              <w:rFonts w:ascii="Times New Roman" w:eastAsia="Calibri" w:hAnsi="Times New Roman"/>
              <w:i/>
              <w:noProof/>
              <w:sz w:val="24"/>
              <w:lang w:eastAsia="en-GB"/>
            </w:rPr>
          </w:pPr>
          <w:bookmarkStart w:id="105" w:name="_Toc460847386"/>
          <w:bookmarkStart w:id="106" w:name="_Toc460847694"/>
          <w:bookmarkStart w:id="107" w:name="_Toc460847776"/>
          <w:bookmarkStart w:id="108" w:name="_Toc460848142"/>
          <w:bookmarkStart w:id="109" w:name="_Toc460848686"/>
          <w:bookmarkStart w:id="110" w:name="_Toc460923260"/>
          <w:bookmarkStart w:id="111" w:name="_Toc460927063"/>
          <w:bookmarkStart w:id="112" w:name="_Toc460927865"/>
          <w:bookmarkStart w:id="113" w:name="_Toc468453399"/>
          <w:bookmarkStart w:id="114" w:name="_Toc468455299"/>
          <w:bookmarkStart w:id="115" w:name="_Toc468790016"/>
          <w:bookmarkStart w:id="116" w:name="_Toc468794848"/>
          <w:bookmarkStart w:id="117" w:name="_Toc468795156"/>
          <w:r>
            <w:rPr>
              <w:rFonts w:ascii="Times New Roman" w:eastAsia="Calibri" w:hAnsi="Times New Roman"/>
              <w:i/>
              <w:noProof/>
              <w:sz w:val="24"/>
              <w:lang w:eastAsia="en-GB"/>
            </w:rPr>
            <w:t>Is there a need to allocat</w:t>
          </w:r>
          <w:r>
            <w:rPr>
              <w:rFonts w:ascii="Times New Roman" w:eastAsia="Calibri" w:hAnsi="Times New Roman"/>
              <w:i/>
              <w:noProof/>
              <w:sz w:val="24"/>
              <w:lang w:eastAsia="en-GB"/>
            </w:rPr>
            <w:t>e enforcement to one single authority? Which one?</w:t>
          </w:r>
          <w:bookmarkEnd w:id="105"/>
          <w:bookmarkEnd w:id="106"/>
          <w:bookmarkEnd w:id="107"/>
          <w:bookmarkEnd w:id="108"/>
          <w:bookmarkEnd w:id="109"/>
          <w:bookmarkEnd w:id="110"/>
          <w:bookmarkEnd w:id="111"/>
          <w:bookmarkEnd w:id="112"/>
          <w:bookmarkEnd w:id="113"/>
          <w:bookmarkEnd w:id="114"/>
          <w:bookmarkEnd w:id="115"/>
          <w:bookmarkEnd w:id="116"/>
          <w:bookmarkEnd w:id="117"/>
        </w:p>
        <w:p w:rsidR="0077224F" w:rsidRDefault="00D973EE">
          <w:pPr>
            <w:spacing w:before="0" w:line="270" w:lineRule="atLeast"/>
            <w:rPr>
              <w:rFonts w:ascii="Times New Roman" w:eastAsia="Times New Roman" w:hAnsi="Times New Roman"/>
              <w:noProof/>
              <w:sz w:val="24"/>
              <w:lang w:eastAsia="en-GB"/>
            </w:rPr>
          </w:pPr>
          <w:r>
            <w:rPr>
              <w:rFonts w:ascii="Times New Roman" w:eastAsia="Times New Roman" w:hAnsi="Times New Roman"/>
              <w:noProof/>
              <w:sz w:val="24"/>
              <w:lang w:eastAsia="en-GB"/>
            </w:rPr>
            <w:t>Close to 70% of the combined total responses from industry, citizens and civil society say that one single national authority should be entrusted to enforce the rules, while half of the public bodies who re</w:t>
          </w:r>
          <w:r>
            <w:rPr>
              <w:rFonts w:ascii="Times New Roman" w:eastAsia="Times New Roman" w:hAnsi="Times New Roman"/>
              <w:noProof/>
              <w:sz w:val="24"/>
              <w:lang w:eastAsia="en-GB"/>
            </w:rPr>
            <w:t xml:space="preserve">sponded to the consultation are not convinced that this is needed. For respondents who consider that one single authority should enforce ePrivacy rules, a majority, across all categories, find that the national data protection authority is the best suited </w:t>
          </w:r>
          <w:r>
            <w:rPr>
              <w:rFonts w:ascii="Times New Roman" w:eastAsia="Times New Roman" w:hAnsi="Times New Roman"/>
              <w:noProof/>
              <w:sz w:val="24"/>
              <w:lang w:eastAsia="en-GB"/>
            </w:rPr>
            <w:t>authority.</w:t>
          </w:r>
        </w:p>
        <w:p w:rsidR="0077224F" w:rsidRDefault="00D973EE">
          <w:pPr>
            <w:numPr>
              <w:ilvl w:val="0"/>
              <w:numId w:val="68"/>
            </w:numPr>
            <w:spacing w:before="0" w:after="240"/>
            <w:contextualSpacing/>
            <w:outlineLvl w:val="2"/>
            <w:rPr>
              <w:rFonts w:ascii="Times New Roman" w:eastAsia="Calibri" w:hAnsi="Times New Roman"/>
              <w:i/>
              <w:noProof/>
              <w:sz w:val="24"/>
              <w:lang w:eastAsia="en-GB"/>
            </w:rPr>
          </w:pPr>
          <w:bookmarkStart w:id="118" w:name="_Toc460847387"/>
          <w:bookmarkStart w:id="119" w:name="_Toc460847695"/>
          <w:bookmarkStart w:id="120" w:name="_Toc460847777"/>
          <w:bookmarkStart w:id="121" w:name="_Toc460848143"/>
          <w:bookmarkStart w:id="122" w:name="_Toc460848687"/>
          <w:bookmarkStart w:id="123" w:name="_Toc460923261"/>
          <w:bookmarkStart w:id="124" w:name="_Toc460927064"/>
          <w:bookmarkStart w:id="125" w:name="_Toc460927866"/>
          <w:bookmarkStart w:id="126" w:name="_Toc468453400"/>
          <w:bookmarkStart w:id="127" w:name="_Toc468455300"/>
          <w:bookmarkStart w:id="128" w:name="_Toc468790017"/>
          <w:bookmarkStart w:id="129" w:name="_Toc468794849"/>
          <w:bookmarkStart w:id="130" w:name="_Toc468795157"/>
          <w:r>
            <w:rPr>
              <w:rFonts w:ascii="Times New Roman" w:eastAsia="Calibri" w:hAnsi="Times New Roman"/>
              <w:i/>
              <w:noProof/>
              <w:sz w:val="24"/>
              <w:lang w:eastAsia="en-GB"/>
            </w:rPr>
            <w:t>How to deal with tracking cookies?</w:t>
          </w:r>
          <w:bookmarkEnd w:id="118"/>
          <w:bookmarkEnd w:id="119"/>
          <w:bookmarkEnd w:id="120"/>
          <w:bookmarkEnd w:id="121"/>
          <w:bookmarkEnd w:id="122"/>
          <w:bookmarkEnd w:id="123"/>
          <w:bookmarkEnd w:id="124"/>
          <w:bookmarkEnd w:id="125"/>
          <w:bookmarkEnd w:id="126"/>
          <w:bookmarkEnd w:id="127"/>
          <w:bookmarkEnd w:id="128"/>
          <w:bookmarkEnd w:id="129"/>
          <w:bookmarkEnd w:id="130"/>
        </w:p>
        <w:p w:rsidR="0077224F" w:rsidRDefault="00D973EE">
          <w:pPr>
            <w:spacing w:before="0" w:line="270" w:lineRule="atLeast"/>
            <w:rPr>
              <w:rFonts w:ascii="Times New Roman" w:eastAsia="Times New Roman" w:hAnsi="Times New Roman"/>
              <w:noProof/>
              <w:color w:val="333333"/>
              <w:sz w:val="24"/>
              <w:lang w:eastAsia="en-GB"/>
            </w:rPr>
          </w:pPr>
          <w:r>
            <w:rPr>
              <w:rFonts w:ascii="Times New Roman" w:eastAsia="Times New Roman" w:hAnsi="Times New Roman"/>
              <w:noProof/>
              <w:color w:val="333333"/>
              <w:sz w:val="24"/>
              <w:lang w:eastAsia="en-GB"/>
            </w:rPr>
            <w:t xml:space="preserve">77% of citizens and civil society and 70% of public authorities believe that information service providers should not have the right to prevent access to their services if users refuse the storing of </w:t>
          </w:r>
          <w:r>
            <w:rPr>
              <w:rFonts w:ascii="Times New Roman" w:eastAsia="Times New Roman" w:hAnsi="Times New Roman"/>
              <w:noProof/>
              <w:color w:val="333333"/>
              <w:sz w:val="24"/>
              <w:lang w:eastAsia="en-GB"/>
            </w:rPr>
            <w:t>identifiers, such as tracking cookies, in their terminal equipment. Three quarters of industry on the other hand disagree with this statement.</w:t>
          </w:r>
        </w:p>
        <w:p w:rsidR="0077224F" w:rsidRDefault="00D973EE">
          <w:pPr>
            <w:numPr>
              <w:ilvl w:val="0"/>
              <w:numId w:val="68"/>
            </w:numPr>
            <w:spacing w:before="0" w:after="240"/>
            <w:contextualSpacing/>
            <w:outlineLvl w:val="2"/>
            <w:rPr>
              <w:rFonts w:ascii="Times New Roman" w:eastAsia="Calibri" w:hAnsi="Times New Roman"/>
              <w:i/>
              <w:noProof/>
              <w:sz w:val="24"/>
              <w:lang w:eastAsia="en-GB"/>
            </w:rPr>
          </w:pPr>
          <w:bookmarkStart w:id="131" w:name="_Toc460847388"/>
          <w:bookmarkStart w:id="132" w:name="_Toc460847696"/>
          <w:bookmarkStart w:id="133" w:name="_Toc460847778"/>
          <w:bookmarkStart w:id="134" w:name="_Toc460848144"/>
          <w:bookmarkStart w:id="135" w:name="_Toc460848688"/>
          <w:bookmarkStart w:id="136" w:name="_Toc460923262"/>
          <w:bookmarkStart w:id="137" w:name="_Toc460927065"/>
          <w:bookmarkStart w:id="138" w:name="_Toc460927867"/>
          <w:bookmarkStart w:id="139" w:name="_Toc468453401"/>
          <w:bookmarkStart w:id="140" w:name="_Toc468455301"/>
          <w:bookmarkStart w:id="141" w:name="_Toc468790018"/>
          <w:bookmarkStart w:id="142" w:name="_Toc468794850"/>
          <w:bookmarkStart w:id="143" w:name="_Toc468795158"/>
          <w:r>
            <w:rPr>
              <w:rFonts w:ascii="Times New Roman" w:eastAsia="Calibri" w:hAnsi="Times New Roman"/>
              <w:i/>
              <w:noProof/>
              <w:sz w:val="24"/>
              <w:lang w:eastAsia="en-GB"/>
            </w:rPr>
            <w:t>Opt-in or opt-out for direct marketing calls?</w:t>
          </w:r>
          <w:bookmarkEnd w:id="131"/>
          <w:bookmarkEnd w:id="132"/>
          <w:bookmarkEnd w:id="133"/>
          <w:bookmarkEnd w:id="134"/>
          <w:bookmarkEnd w:id="135"/>
          <w:bookmarkEnd w:id="136"/>
          <w:bookmarkEnd w:id="137"/>
          <w:bookmarkEnd w:id="138"/>
          <w:bookmarkEnd w:id="139"/>
          <w:bookmarkEnd w:id="140"/>
          <w:bookmarkEnd w:id="141"/>
          <w:bookmarkEnd w:id="142"/>
          <w:bookmarkEnd w:id="143"/>
        </w:p>
        <w:p w:rsidR="0077224F" w:rsidRDefault="00D973EE">
          <w:pPr>
            <w:spacing w:before="0" w:line="270" w:lineRule="atLeast"/>
            <w:rPr>
              <w:rFonts w:ascii="Times New Roman" w:eastAsia="Times New Roman" w:hAnsi="Times New Roman"/>
              <w:noProof/>
              <w:color w:val="333333"/>
              <w:sz w:val="24"/>
              <w:lang w:eastAsia="en-GB"/>
            </w:rPr>
          </w:pPr>
          <w:r>
            <w:rPr>
              <w:rFonts w:ascii="Times New Roman" w:eastAsia="Times New Roman" w:hAnsi="Times New Roman"/>
              <w:noProof/>
              <w:color w:val="333333"/>
              <w:sz w:val="24"/>
              <w:lang w:eastAsia="en-GB"/>
            </w:rPr>
            <w:t>All groups of respondents agree that Member States should not retai</w:t>
          </w:r>
          <w:r>
            <w:rPr>
              <w:rFonts w:ascii="Times New Roman" w:eastAsia="Times New Roman" w:hAnsi="Times New Roman"/>
              <w:noProof/>
              <w:color w:val="333333"/>
              <w:sz w:val="24"/>
              <w:lang w:eastAsia="en-GB"/>
            </w:rPr>
            <w:t>n the possibility to choose between a prior consent (opt-in) and a right to object (opt-out) regime for direct marketing calls to citizens. The stakeholder groups are however split on which regime should apply: close to 90% of citizens, civil society and p</w:t>
          </w:r>
          <w:r>
            <w:rPr>
              <w:rFonts w:ascii="Times New Roman" w:eastAsia="Times New Roman" w:hAnsi="Times New Roman"/>
              <w:noProof/>
              <w:color w:val="333333"/>
              <w:sz w:val="24"/>
              <w:lang w:eastAsia="en-GB"/>
            </w:rPr>
            <w:t>ublic authorities favour an opt-in regime whereas 73% of industry favour an opt-out regime.</w:t>
          </w:r>
        </w:p>
        <w:p w:rsidR="0077224F" w:rsidRDefault="00D973EE">
          <w:pPr>
            <w:keepNext/>
            <w:tabs>
              <w:tab w:val="left" w:pos="850"/>
            </w:tabs>
            <w:ind w:left="850" w:hanging="850"/>
            <w:outlineLvl w:val="1"/>
            <w:rPr>
              <w:rFonts w:ascii="Times New Roman" w:eastAsia="Times New Roman" w:hAnsi="Times New Roman"/>
              <w:b/>
              <w:noProof/>
              <w:sz w:val="24"/>
              <w:lang w:eastAsia="en-GB"/>
            </w:rPr>
          </w:pPr>
          <w:bookmarkStart w:id="144" w:name="_Toc460847389"/>
          <w:bookmarkStart w:id="145" w:name="_Toc460847697"/>
          <w:bookmarkStart w:id="146" w:name="_Toc460847779"/>
          <w:bookmarkStart w:id="147" w:name="_Toc460848145"/>
          <w:bookmarkStart w:id="148" w:name="_Toc460848689"/>
          <w:bookmarkStart w:id="149" w:name="_Toc460923263"/>
          <w:bookmarkStart w:id="150" w:name="_Toc460927066"/>
          <w:bookmarkStart w:id="151" w:name="_Toc460927868"/>
          <w:bookmarkStart w:id="152" w:name="_Toc468453402"/>
          <w:bookmarkStart w:id="153" w:name="_Toc468455302"/>
          <w:bookmarkStart w:id="154" w:name="_Toc468790019"/>
          <w:bookmarkStart w:id="155" w:name="_Toc468794851"/>
          <w:bookmarkStart w:id="156" w:name="_Toc468795159"/>
          <w:r>
            <w:rPr>
              <w:rFonts w:ascii="Times New Roman" w:eastAsia="Times New Roman" w:hAnsi="Times New Roman"/>
              <w:b/>
              <w:noProof/>
              <w:sz w:val="24"/>
              <w:lang w:eastAsia="en-GB"/>
            </w:rPr>
            <w:t>2.3 Ad hoc consultations of EU expert groups and workshops</w:t>
          </w:r>
          <w:bookmarkEnd w:id="144"/>
          <w:bookmarkEnd w:id="145"/>
          <w:bookmarkEnd w:id="146"/>
          <w:bookmarkEnd w:id="147"/>
          <w:bookmarkEnd w:id="148"/>
          <w:bookmarkEnd w:id="149"/>
          <w:bookmarkEnd w:id="150"/>
          <w:bookmarkEnd w:id="151"/>
          <w:bookmarkEnd w:id="152"/>
          <w:bookmarkEnd w:id="153"/>
          <w:bookmarkEnd w:id="154"/>
          <w:bookmarkEnd w:id="155"/>
          <w:bookmarkEnd w:id="156"/>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In parallel to the public consultation, the European Commission conducted ad hoc consultations of the fol</w:t>
          </w:r>
          <w:r>
            <w:rPr>
              <w:rFonts w:ascii="Times New Roman" w:eastAsia="Times New Roman" w:hAnsi="Times New Roman"/>
              <w:noProof/>
              <w:sz w:val="24"/>
              <w:lang w:eastAsia="en-GB"/>
            </w:rPr>
            <w:t>lowing EU expert groups in the course of the summer 2016. It also organised a series of workshops to receive additional inputs from stakeholders.</w:t>
          </w:r>
        </w:p>
        <w:p w:rsidR="0077224F" w:rsidRDefault="00D973EE">
          <w:pPr>
            <w:keepNext/>
            <w:tabs>
              <w:tab w:val="left" w:pos="850"/>
            </w:tabs>
            <w:ind w:left="1700" w:hanging="850"/>
            <w:outlineLvl w:val="2"/>
            <w:rPr>
              <w:rFonts w:ascii="Times New Roman" w:eastAsia="Times New Roman" w:hAnsi="Times New Roman"/>
              <w:i/>
              <w:noProof/>
              <w:sz w:val="24"/>
              <w:lang w:eastAsia="en-GB"/>
            </w:rPr>
          </w:pPr>
          <w:bookmarkStart w:id="157" w:name="_Toc460847390"/>
          <w:bookmarkStart w:id="158" w:name="_Toc460847698"/>
          <w:bookmarkStart w:id="159" w:name="_Toc460847780"/>
          <w:bookmarkStart w:id="160" w:name="_Toc460848146"/>
          <w:bookmarkStart w:id="161" w:name="_Toc460848690"/>
          <w:bookmarkStart w:id="162" w:name="_Toc460923264"/>
          <w:bookmarkStart w:id="163" w:name="_Toc460927067"/>
          <w:bookmarkStart w:id="164" w:name="_Toc460927869"/>
          <w:bookmarkStart w:id="165" w:name="_Toc468453403"/>
          <w:bookmarkStart w:id="166" w:name="_Toc468455303"/>
          <w:bookmarkStart w:id="167" w:name="_Toc468790020"/>
          <w:bookmarkStart w:id="168" w:name="_Toc468794852"/>
          <w:bookmarkStart w:id="169" w:name="_Toc468795160"/>
          <w:r>
            <w:rPr>
              <w:rFonts w:ascii="Times New Roman" w:eastAsia="Times New Roman" w:hAnsi="Times New Roman"/>
              <w:i/>
              <w:noProof/>
              <w:sz w:val="24"/>
              <w:lang w:eastAsia="en-GB"/>
            </w:rPr>
            <w:t>3.3.1. REFIT platform groups</w:t>
          </w:r>
          <w:bookmarkEnd w:id="157"/>
          <w:bookmarkEnd w:id="158"/>
          <w:bookmarkEnd w:id="159"/>
          <w:bookmarkEnd w:id="160"/>
          <w:bookmarkEnd w:id="161"/>
          <w:bookmarkEnd w:id="162"/>
          <w:bookmarkEnd w:id="163"/>
          <w:bookmarkEnd w:id="164"/>
          <w:bookmarkEnd w:id="165"/>
          <w:bookmarkEnd w:id="166"/>
          <w:bookmarkEnd w:id="167"/>
          <w:bookmarkEnd w:id="168"/>
          <w:bookmarkEnd w:id="169"/>
        </w:p>
        <w:p w:rsidR="0077224F" w:rsidRDefault="00D973EE">
          <w:pPr>
            <w:spacing w:before="0"/>
            <w:rPr>
              <w:rFonts w:ascii="Times New Roman" w:eastAsia="Times New Roman" w:hAnsi="Times New Roman"/>
              <w:b/>
              <w:noProof/>
              <w:sz w:val="24"/>
              <w:lang w:eastAsia="en-GB"/>
            </w:rPr>
          </w:pPr>
          <w:r>
            <w:rPr>
              <w:rFonts w:ascii="Times New Roman" w:eastAsia="Times New Roman" w:hAnsi="Times New Roman"/>
              <w:noProof/>
              <w:sz w:val="24"/>
              <w:lang w:eastAsia="en-GB"/>
            </w:rPr>
            <w:t>On 29 June 2016, the REFIT platform groups advising the European Commission adopt</w:t>
          </w:r>
          <w:r>
            <w:rPr>
              <w:rFonts w:ascii="Times New Roman" w:eastAsia="Times New Roman" w:hAnsi="Times New Roman"/>
              <w:noProof/>
              <w:sz w:val="24"/>
              <w:lang w:eastAsia="en-GB"/>
            </w:rPr>
            <w:t>ed 2 opinions on the review of the ePrivacy Directive: one from the REFIT stakeholder group and one from the REFIT governance group.</w:t>
          </w:r>
        </w:p>
        <w:p w:rsidR="0077224F" w:rsidRDefault="00D973EE">
          <w:pPr>
            <w:spacing w:before="0"/>
            <w:rPr>
              <w:rFonts w:ascii="Times New Roman" w:eastAsia="Times New Roman" w:hAnsi="Times New Roman"/>
              <w:i/>
              <w:noProof/>
              <w:sz w:val="24"/>
              <w:u w:val="single"/>
              <w:lang w:eastAsia="en-GB"/>
            </w:rPr>
          </w:pPr>
          <w:r>
            <w:rPr>
              <w:rFonts w:ascii="Times New Roman" w:eastAsia="Times New Roman" w:hAnsi="Times New Roman"/>
              <w:i/>
              <w:noProof/>
              <w:sz w:val="24"/>
              <w:u w:val="single"/>
              <w:lang w:eastAsia="en-GB"/>
            </w:rPr>
            <w:t>a) – REFIT stakeholder group</w:t>
          </w:r>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 xml:space="preserve">The opinion, which was led by </w:t>
          </w:r>
          <w:r>
            <w:rPr>
              <w:rFonts w:ascii="Times New Roman" w:eastAsia="Times New Roman" w:hAnsi="Times New Roman"/>
              <w:noProof/>
              <w:sz w:val="24"/>
              <w:lang w:val="en-US" w:eastAsia="en-GB"/>
            </w:rPr>
            <w:t xml:space="preserve">the Danish Business Forum (DBF), overall recommended that </w:t>
          </w:r>
          <w:r>
            <w:rPr>
              <w:rFonts w:ascii="Times New Roman" w:eastAsia="Times New Roman" w:hAnsi="Times New Roman"/>
              <w:noProof/>
              <w:sz w:val="24"/>
              <w:lang w:eastAsia="en-GB"/>
            </w:rPr>
            <w:t xml:space="preserve">the </w:t>
          </w:r>
          <w:r>
            <w:rPr>
              <w:rFonts w:ascii="Times New Roman" w:eastAsia="Times New Roman" w:hAnsi="Times New Roman"/>
              <w:noProof/>
              <w:sz w:val="24"/>
              <w:lang w:eastAsia="en-GB"/>
            </w:rPr>
            <w:t>rule should be amended in a manner which will both decrease industry costs of implementation and raise awareness of privacy among users. The Commission, Member States and Data Protection Authorities should ensure that the future instrument is aligned and c</w:t>
          </w:r>
          <w:r>
            <w:rPr>
              <w:rFonts w:ascii="Times New Roman" w:eastAsia="Times New Roman" w:hAnsi="Times New Roman"/>
              <w:noProof/>
              <w:sz w:val="24"/>
              <w:lang w:eastAsia="en-GB"/>
            </w:rPr>
            <w:t>onsistent with the GDPR, in terms of approach and of choice of legal instrument.</w:t>
          </w:r>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The Commission and Member States should seek greater harmonisation in the implementation and enforcement of the rules, including the provisions related to cookies and the enfo</w:t>
          </w:r>
          <w:r>
            <w:rPr>
              <w:rFonts w:ascii="Times New Roman" w:eastAsia="Times New Roman" w:hAnsi="Times New Roman"/>
              <w:noProof/>
              <w:sz w:val="24"/>
              <w:lang w:eastAsia="en-GB"/>
            </w:rPr>
            <w:t xml:space="preserve">rcement mechanisms, while promoting the use of </w:t>
          </w:r>
          <w:r>
            <w:rPr>
              <w:rFonts w:ascii="Times New Roman" w:eastAsia="Times New Roman" w:hAnsi="Times New Roman"/>
              <w:noProof/>
              <w:sz w:val="24"/>
              <w:lang w:val="en-US" w:eastAsia="en-GB"/>
            </w:rPr>
            <w:t>European standards</w:t>
          </w:r>
          <w:r>
            <w:rPr>
              <w:rFonts w:ascii="Times New Roman" w:eastAsia="Times New Roman" w:hAnsi="Times New Roman"/>
              <w:noProof/>
              <w:sz w:val="24"/>
              <w:lang w:eastAsia="en-GB"/>
            </w:rPr>
            <w:t>. The rules related to cookies and tracking technologies, as well as the rules on unsolicited communications, should be reviewed to ensure that they are future proof. Reforming the legislatio</w:t>
          </w:r>
          <w:r>
            <w:rPr>
              <w:rFonts w:ascii="Times New Roman" w:eastAsia="Times New Roman" w:hAnsi="Times New Roman"/>
              <w:noProof/>
              <w:sz w:val="24"/>
              <w:lang w:eastAsia="en-GB"/>
            </w:rPr>
            <w:t xml:space="preserve">n should not open any back doors for tracking users and any exceptions to the consent rule should only affect cookies which do not create any privacy risks. </w:t>
          </w:r>
        </w:p>
        <w:p w:rsidR="0077224F" w:rsidRDefault="00D973EE">
          <w:pPr>
            <w:spacing w:before="0"/>
            <w:rPr>
              <w:rFonts w:ascii="Times New Roman" w:eastAsia="Times New Roman" w:hAnsi="Times New Roman"/>
              <w:i/>
              <w:noProof/>
              <w:sz w:val="24"/>
              <w:u w:val="single"/>
              <w:lang w:eastAsia="en-GB"/>
            </w:rPr>
          </w:pPr>
          <w:r>
            <w:rPr>
              <w:rFonts w:ascii="Times New Roman" w:eastAsia="Times New Roman" w:hAnsi="Times New Roman"/>
              <w:i/>
              <w:noProof/>
              <w:sz w:val="24"/>
              <w:u w:val="single"/>
              <w:lang w:eastAsia="en-GB"/>
            </w:rPr>
            <w:t>b) – REFIT governance group</w:t>
          </w:r>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The opinion of the REFIT governance group, which was led by Spain, dre</w:t>
          </w:r>
          <w:r>
            <w:rPr>
              <w:rFonts w:ascii="Times New Roman" w:eastAsia="Times New Roman" w:hAnsi="Times New Roman"/>
              <w:noProof/>
              <w:sz w:val="24"/>
              <w:lang w:eastAsia="en-GB"/>
            </w:rPr>
            <w:t xml:space="preserve">w a special attention to the so called "cookie" provision. It stressed the importance of assessing whether that rule has achieved its specific objective of raising citizens' awareness, in the light of the costs incurred by businesses. In this respect, the </w:t>
          </w:r>
          <w:r>
            <w:rPr>
              <w:rFonts w:ascii="Times New Roman" w:eastAsia="Times New Roman" w:hAnsi="Times New Roman"/>
              <w:noProof/>
              <w:sz w:val="24"/>
              <w:lang w:eastAsia="en-GB"/>
            </w:rPr>
            <w:t>group underlined the importance of taking into account the feedback gathered throughout the consultation exercise. The opinion recommends that the Commission amend Article 5.3 when putting forward a legislative proposal; while other institutions are invite</w:t>
          </w:r>
          <w:r>
            <w:rPr>
              <w:rFonts w:ascii="Times New Roman" w:eastAsia="Times New Roman" w:hAnsi="Times New Roman"/>
              <w:noProof/>
              <w:sz w:val="24"/>
              <w:lang w:eastAsia="en-GB"/>
            </w:rPr>
            <w:t>d to speed-up the legislative process on this file and competent authorities to share best practices on enforcement.</w:t>
          </w:r>
        </w:p>
        <w:p w:rsidR="0077224F" w:rsidRDefault="00D973EE">
          <w:pPr>
            <w:keepNext/>
            <w:tabs>
              <w:tab w:val="left" w:pos="850"/>
            </w:tabs>
            <w:ind w:left="1700" w:hanging="850"/>
            <w:outlineLvl w:val="2"/>
            <w:rPr>
              <w:rFonts w:ascii="Times New Roman" w:eastAsia="Times New Roman" w:hAnsi="Times New Roman"/>
              <w:i/>
              <w:noProof/>
              <w:sz w:val="24"/>
              <w:lang w:eastAsia="en-GB"/>
            </w:rPr>
          </w:pPr>
          <w:bookmarkStart w:id="170" w:name="_Toc460847391"/>
          <w:bookmarkStart w:id="171" w:name="_Toc460847699"/>
          <w:bookmarkStart w:id="172" w:name="_Toc460847781"/>
          <w:bookmarkStart w:id="173" w:name="_Toc460848147"/>
          <w:bookmarkStart w:id="174" w:name="_Toc460848691"/>
          <w:bookmarkStart w:id="175" w:name="_Toc460923265"/>
          <w:bookmarkStart w:id="176" w:name="_Toc460927068"/>
          <w:bookmarkStart w:id="177" w:name="_Toc460927870"/>
          <w:bookmarkStart w:id="178" w:name="_Toc468453404"/>
          <w:bookmarkStart w:id="179" w:name="_Toc468455304"/>
          <w:bookmarkStart w:id="180" w:name="_Toc468790021"/>
          <w:bookmarkStart w:id="181" w:name="_Toc468794853"/>
          <w:bookmarkStart w:id="182" w:name="_Toc468795161"/>
          <w:r>
            <w:rPr>
              <w:rFonts w:ascii="Times New Roman" w:eastAsia="Times New Roman" w:hAnsi="Times New Roman"/>
              <w:i/>
              <w:noProof/>
              <w:sz w:val="24"/>
              <w:lang w:eastAsia="en-GB"/>
            </w:rPr>
            <w:t>3.3.2. Article 29 Working Party</w:t>
          </w:r>
          <w:bookmarkEnd w:id="170"/>
          <w:bookmarkEnd w:id="171"/>
          <w:bookmarkEnd w:id="172"/>
          <w:bookmarkEnd w:id="173"/>
          <w:bookmarkEnd w:id="174"/>
          <w:bookmarkEnd w:id="175"/>
          <w:bookmarkEnd w:id="176"/>
          <w:bookmarkEnd w:id="177"/>
          <w:bookmarkEnd w:id="178"/>
          <w:bookmarkEnd w:id="179"/>
          <w:bookmarkEnd w:id="180"/>
          <w:bookmarkEnd w:id="181"/>
          <w:bookmarkEnd w:id="182"/>
        </w:p>
        <w:p w:rsidR="0077224F" w:rsidRDefault="00D973EE">
          <w:pPr>
            <w:autoSpaceDE w:val="0"/>
            <w:autoSpaceDN w:val="0"/>
            <w:adjustRightInd w:val="0"/>
            <w:spacing w:before="0"/>
            <w:rPr>
              <w:rFonts w:ascii="Times New Roman" w:eastAsia="Times New Roman" w:hAnsi="Times New Roman"/>
              <w:bCs/>
              <w:noProof/>
              <w:color w:val="000000"/>
              <w:sz w:val="24"/>
              <w:lang w:eastAsia="en-GB"/>
            </w:rPr>
          </w:pPr>
          <w:r>
            <w:rPr>
              <w:rFonts w:ascii="Times New Roman" w:eastAsia="Times New Roman" w:hAnsi="Times New Roman"/>
              <w:noProof/>
              <w:color w:val="000000"/>
              <w:sz w:val="24"/>
              <w:lang w:eastAsia="en-GB"/>
            </w:rPr>
            <w:t xml:space="preserve">The Article 29 Working Party was expressly consulted by the Commission. The latter adopted an opinion </w:t>
          </w:r>
          <w:r>
            <w:rPr>
              <w:rFonts w:ascii="Times New Roman" w:eastAsia="Times New Roman" w:hAnsi="Times New Roman"/>
              <w:bCs/>
              <w:noProof/>
              <w:color w:val="000000"/>
              <w:sz w:val="24"/>
              <w:lang w:eastAsia="en-GB"/>
            </w:rPr>
            <w:t>on th</w:t>
          </w:r>
          <w:r>
            <w:rPr>
              <w:rFonts w:ascii="Times New Roman" w:eastAsia="Times New Roman" w:hAnsi="Times New Roman"/>
              <w:bCs/>
              <w:noProof/>
              <w:color w:val="000000"/>
              <w:sz w:val="24"/>
              <w:lang w:eastAsia="en-GB"/>
            </w:rPr>
            <w:t>e evaluation and review of the ePrivacy Directive (2002/58/EC)</w:t>
          </w:r>
          <w:r>
            <w:rPr>
              <w:rFonts w:ascii="Times New Roman" w:eastAsia="Times New Roman" w:hAnsi="Times New Roman"/>
              <w:bCs/>
              <w:noProof/>
              <w:color w:val="000000"/>
              <w:sz w:val="24"/>
              <w:vertAlign w:val="superscript"/>
              <w:lang w:eastAsia="en-GB"/>
            </w:rPr>
            <w:footnoteReference w:id="21"/>
          </w:r>
          <w:r>
            <w:rPr>
              <w:rFonts w:ascii="Times New Roman" w:eastAsia="Times New Roman" w:hAnsi="Times New Roman"/>
              <w:bCs/>
              <w:noProof/>
              <w:color w:val="000000"/>
              <w:sz w:val="24"/>
              <w:lang w:eastAsia="en-GB"/>
            </w:rPr>
            <w:t>. The key findings of this opinion are the following:</w:t>
          </w:r>
        </w:p>
        <w:p w:rsidR="0077224F" w:rsidRDefault="00D973EE">
          <w:pPr>
            <w:numPr>
              <w:ilvl w:val="0"/>
              <w:numId w:val="67"/>
            </w:numPr>
            <w:autoSpaceDE w:val="0"/>
            <w:autoSpaceDN w:val="0"/>
            <w:adjustRightInd w:val="0"/>
            <w:spacing w:before="0" w:after="240"/>
            <w:rPr>
              <w:rFonts w:ascii="Times New Roman" w:eastAsia="Times New Roman" w:hAnsi="Times New Roman"/>
              <w:bCs/>
              <w:noProof/>
              <w:color w:val="000000"/>
              <w:sz w:val="24"/>
              <w:lang w:eastAsia="en-GB"/>
            </w:rPr>
          </w:pPr>
          <w:r>
            <w:rPr>
              <w:rFonts w:ascii="Times New Roman" w:eastAsia="Times New Roman" w:hAnsi="Times New Roman"/>
              <w:bCs/>
              <w:noProof/>
              <w:color w:val="000000"/>
              <w:sz w:val="24"/>
              <w:lang w:eastAsia="en-GB"/>
            </w:rPr>
            <w:t>It supports maintaining specific rules on confidentiality of communications;</w:t>
          </w:r>
        </w:p>
        <w:p w:rsidR="0077224F" w:rsidRDefault="00D973EE">
          <w:pPr>
            <w:numPr>
              <w:ilvl w:val="0"/>
              <w:numId w:val="67"/>
            </w:numPr>
            <w:autoSpaceDE w:val="0"/>
            <w:autoSpaceDN w:val="0"/>
            <w:adjustRightInd w:val="0"/>
            <w:spacing w:before="0" w:after="240"/>
            <w:rPr>
              <w:rFonts w:ascii="Times New Roman" w:eastAsia="Times New Roman" w:hAnsi="Times New Roman"/>
              <w:bCs/>
              <w:noProof/>
              <w:color w:val="000000"/>
              <w:sz w:val="24"/>
              <w:lang w:eastAsia="en-GB"/>
            </w:rPr>
          </w:pPr>
          <w:r>
            <w:rPr>
              <w:rFonts w:ascii="Times New Roman" w:eastAsia="Times New Roman" w:hAnsi="Times New Roman"/>
              <w:bCs/>
              <w:noProof/>
              <w:color w:val="000000"/>
              <w:sz w:val="24"/>
              <w:lang w:eastAsia="en-GB"/>
            </w:rPr>
            <w:t>It clarifies that the GDPR will not apply "</w:t>
          </w:r>
          <w:r>
            <w:rPr>
              <w:rFonts w:ascii="Times New Roman" w:eastAsia="Times New Roman" w:hAnsi="Times New Roman"/>
              <w:bCs/>
              <w:i/>
              <w:noProof/>
              <w:color w:val="000000"/>
              <w:sz w:val="24"/>
              <w:lang w:eastAsia="en-GB"/>
            </w:rPr>
            <w:t xml:space="preserve">in cases where the </w:t>
          </w:r>
          <w:r>
            <w:rPr>
              <w:rFonts w:ascii="Times New Roman" w:eastAsia="Times New Roman" w:hAnsi="Times New Roman"/>
              <w:bCs/>
              <w:i/>
              <w:noProof/>
              <w:color w:val="000000"/>
              <w:sz w:val="24"/>
              <w:lang w:eastAsia="en-GB"/>
            </w:rPr>
            <w:t>ePrivacy Directive contains specific obligations with the same objective</w:t>
          </w:r>
          <w:r>
            <w:rPr>
              <w:rFonts w:ascii="Times New Roman" w:eastAsia="Times New Roman" w:hAnsi="Times New Roman"/>
              <w:bCs/>
              <w:noProof/>
              <w:color w:val="000000"/>
              <w:sz w:val="24"/>
              <w:lang w:eastAsia="en-GB"/>
            </w:rPr>
            <w:t>";</w:t>
          </w:r>
        </w:p>
        <w:p w:rsidR="0077224F" w:rsidRDefault="00D973EE">
          <w:pPr>
            <w:numPr>
              <w:ilvl w:val="0"/>
              <w:numId w:val="67"/>
            </w:numPr>
            <w:autoSpaceDE w:val="0"/>
            <w:autoSpaceDN w:val="0"/>
            <w:adjustRightInd w:val="0"/>
            <w:spacing w:before="0" w:after="240"/>
            <w:rPr>
              <w:rFonts w:ascii="Times New Roman" w:eastAsia="Times New Roman" w:hAnsi="Times New Roman"/>
              <w:bCs/>
              <w:noProof/>
              <w:color w:val="000000"/>
              <w:sz w:val="24"/>
              <w:lang w:eastAsia="en-GB"/>
            </w:rPr>
          </w:pPr>
          <w:r>
            <w:rPr>
              <w:rFonts w:ascii="Times New Roman" w:eastAsia="Times New Roman" w:hAnsi="Times New Roman"/>
              <w:bCs/>
              <w:noProof/>
              <w:color w:val="000000"/>
              <w:sz w:val="24"/>
              <w:lang w:eastAsia="en-GB"/>
            </w:rPr>
            <w:t>The new ePrivacy instrument should at least maintain and reinforce its current principles, to guarantee the confidentiality of electronic communications;</w:t>
          </w:r>
        </w:p>
        <w:p w:rsidR="0077224F" w:rsidRDefault="00D973EE">
          <w:pPr>
            <w:numPr>
              <w:ilvl w:val="0"/>
              <w:numId w:val="67"/>
            </w:numPr>
            <w:autoSpaceDE w:val="0"/>
            <w:autoSpaceDN w:val="0"/>
            <w:adjustRightInd w:val="0"/>
            <w:spacing w:before="0" w:after="240"/>
            <w:rPr>
              <w:rFonts w:ascii="Times New Roman" w:eastAsia="Times New Roman" w:hAnsi="Times New Roman"/>
              <w:bCs/>
              <w:noProof/>
              <w:color w:val="000000"/>
              <w:sz w:val="24"/>
              <w:lang w:eastAsia="en-GB"/>
            </w:rPr>
          </w:pPr>
          <w:r>
            <w:rPr>
              <w:rFonts w:ascii="Times New Roman" w:eastAsia="Times New Roman" w:hAnsi="Times New Roman"/>
              <w:bCs/>
              <w:noProof/>
              <w:color w:val="000000"/>
              <w:sz w:val="24"/>
              <w:lang w:eastAsia="en-GB"/>
            </w:rPr>
            <w:t>The scope of the rules on g</w:t>
          </w:r>
          <w:r>
            <w:rPr>
              <w:rFonts w:ascii="Times New Roman" w:eastAsia="Times New Roman" w:hAnsi="Times New Roman"/>
              <w:bCs/>
              <w:noProof/>
              <w:color w:val="000000"/>
              <w:sz w:val="24"/>
              <w:lang w:eastAsia="en-GB"/>
            </w:rPr>
            <w:t>eolocation and traffic data should be extended to all parties;</w:t>
          </w:r>
        </w:p>
        <w:p w:rsidR="0077224F" w:rsidRDefault="00D973EE">
          <w:pPr>
            <w:numPr>
              <w:ilvl w:val="0"/>
              <w:numId w:val="67"/>
            </w:numPr>
            <w:autoSpaceDE w:val="0"/>
            <w:autoSpaceDN w:val="0"/>
            <w:adjustRightInd w:val="0"/>
            <w:spacing w:before="0" w:after="240"/>
            <w:rPr>
              <w:rFonts w:ascii="Times New Roman" w:eastAsia="Times New Roman" w:hAnsi="Times New Roman"/>
              <w:bCs/>
              <w:noProof/>
              <w:color w:val="000000"/>
              <w:sz w:val="24"/>
              <w:lang w:eastAsia="en-GB"/>
            </w:rPr>
          </w:pPr>
          <w:r>
            <w:rPr>
              <w:rFonts w:ascii="Times New Roman" w:eastAsia="Times New Roman" w:hAnsi="Times New Roman"/>
              <w:bCs/>
              <w:noProof/>
              <w:color w:val="000000"/>
              <w:sz w:val="24"/>
              <w:lang w:eastAsia="en-GB"/>
            </w:rPr>
            <w:t>The new instrument must seek to protect the confidentiality of functionally equivalent electronic communication services</w:t>
          </w:r>
          <w:r>
            <w:rPr>
              <w:rFonts w:ascii="Times New Roman" w:eastAsia="Times New Roman" w:hAnsi="Times New Roman"/>
              <w:b/>
              <w:bCs/>
              <w:noProof/>
              <w:color w:val="000000"/>
              <w:sz w:val="24"/>
              <w:lang w:eastAsia="en-GB"/>
            </w:rPr>
            <w:t xml:space="preserve"> </w:t>
          </w:r>
          <w:r>
            <w:rPr>
              <w:rFonts w:ascii="Times New Roman" w:eastAsia="Times New Roman" w:hAnsi="Times New Roman"/>
              <w:bCs/>
              <w:noProof/>
              <w:color w:val="000000"/>
              <w:sz w:val="24"/>
              <w:lang w:eastAsia="en-GB"/>
            </w:rPr>
            <w:t>(such as, for example, WhatsApp, Google, GMail, Skype and Facebook Messe</w:t>
          </w:r>
          <w:r>
            <w:rPr>
              <w:rFonts w:ascii="Times New Roman" w:eastAsia="Times New Roman" w:hAnsi="Times New Roman"/>
              <w:bCs/>
              <w:noProof/>
              <w:color w:val="000000"/>
              <w:sz w:val="24"/>
              <w:lang w:eastAsia="en-GB"/>
            </w:rPr>
            <w:t>nger)</w:t>
          </w:r>
          <w:r>
            <w:rPr>
              <w:rFonts w:ascii="Times New Roman" w:eastAsia="Times New Roman" w:hAnsi="Times New Roman"/>
              <w:b/>
              <w:bCs/>
              <w:noProof/>
              <w:color w:val="000000"/>
              <w:sz w:val="24"/>
              <w:lang w:eastAsia="en-GB"/>
            </w:rPr>
            <w:t>;</w:t>
          </w:r>
        </w:p>
        <w:p w:rsidR="0077224F" w:rsidRDefault="00D973EE">
          <w:pPr>
            <w:numPr>
              <w:ilvl w:val="0"/>
              <w:numId w:val="67"/>
            </w:numPr>
            <w:autoSpaceDE w:val="0"/>
            <w:autoSpaceDN w:val="0"/>
            <w:adjustRightInd w:val="0"/>
            <w:spacing w:before="0" w:after="240"/>
            <w:rPr>
              <w:rFonts w:ascii="Times New Roman" w:eastAsia="Times New Roman" w:hAnsi="Times New Roman"/>
              <w:bCs/>
              <w:noProof/>
              <w:color w:val="000000"/>
              <w:sz w:val="24"/>
              <w:lang w:eastAsia="en-GB"/>
            </w:rPr>
          </w:pPr>
          <w:r>
            <w:rPr>
              <w:rFonts w:ascii="Times New Roman" w:eastAsia="Times New Roman" w:hAnsi="Times New Roman"/>
              <w:bCs/>
              <w:noProof/>
              <w:color w:val="000000"/>
              <w:sz w:val="24"/>
              <w:lang w:eastAsia="en-GB"/>
            </w:rPr>
            <w:t>The broad scope of the consent requirement under Article 5(3) should be clarified while there is a need to create more specific exceptions to allow for the processing of data that causes little or no impact on the privacy of users;</w:t>
          </w:r>
        </w:p>
        <w:p w:rsidR="0077224F" w:rsidRDefault="00D973EE">
          <w:pPr>
            <w:numPr>
              <w:ilvl w:val="0"/>
              <w:numId w:val="67"/>
            </w:numPr>
            <w:autoSpaceDE w:val="0"/>
            <w:autoSpaceDN w:val="0"/>
            <w:adjustRightInd w:val="0"/>
            <w:spacing w:before="0" w:after="240"/>
            <w:rPr>
              <w:rFonts w:ascii="Times New Roman" w:eastAsia="Times New Roman" w:hAnsi="Times New Roman"/>
              <w:bCs/>
              <w:noProof/>
              <w:color w:val="000000"/>
              <w:sz w:val="24"/>
              <w:lang w:eastAsia="en-GB"/>
            </w:rPr>
          </w:pPr>
          <w:r>
            <w:rPr>
              <w:rFonts w:ascii="Times New Roman" w:eastAsia="Times New Roman" w:hAnsi="Times New Roman"/>
              <w:bCs/>
              <w:noProof/>
              <w:color w:val="000000"/>
              <w:sz w:val="24"/>
              <w:lang w:eastAsia="en-GB"/>
            </w:rPr>
            <w:t>It acknowledges t</w:t>
          </w:r>
          <w:r>
            <w:rPr>
              <w:rFonts w:ascii="Times New Roman" w:eastAsia="Times New Roman" w:hAnsi="Times New Roman"/>
              <w:bCs/>
              <w:noProof/>
              <w:color w:val="000000"/>
              <w:sz w:val="24"/>
              <w:lang w:eastAsia="en-GB"/>
            </w:rPr>
            <w:t>he high intrusiveness of tracking over time of traffic and location data and call on a uniformed regime suggesting the merger of the current Articles 6 and 9 and the introduction of more exceptions to the consent rule;</w:t>
          </w:r>
        </w:p>
        <w:p w:rsidR="0077224F" w:rsidRDefault="00D973EE">
          <w:pPr>
            <w:numPr>
              <w:ilvl w:val="0"/>
              <w:numId w:val="67"/>
            </w:numPr>
            <w:autoSpaceDE w:val="0"/>
            <w:autoSpaceDN w:val="0"/>
            <w:adjustRightInd w:val="0"/>
            <w:spacing w:before="0" w:after="240"/>
            <w:rPr>
              <w:rFonts w:ascii="Times New Roman" w:eastAsia="Times New Roman" w:hAnsi="Times New Roman"/>
              <w:bCs/>
              <w:noProof/>
              <w:color w:val="000000"/>
              <w:sz w:val="24"/>
              <w:lang w:eastAsia="en-GB"/>
            </w:rPr>
          </w:pPr>
          <w:r>
            <w:rPr>
              <w:rFonts w:ascii="Times New Roman" w:eastAsia="Times New Roman" w:hAnsi="Times New Roman"/>
              <w:bCs/>
              <w:noProof/>
              <w:color w:val="000000"/>
              <w:sz w:val="24"/>
              <w:lang w:eastAsia="en-GB"/>
            </w:rPr>
            <w:t xml:space="preserve">When consent is the applicable legal </w:t>
          </w:r>
          <w:r>
            <w:rPr>
              <w:rFonts w:ascii="Times New Roman" w:eastAsia="Times New Roman" w:hAnsi="Times New Roman"/>
              <w:bCs/>
              <w:noProof/>
              <w:color w:val="000000"/>
              <w:sz w:val="24"/>
              <w:lang w:eastAsia="en-GB"/>
            </w:rPr>
            <w:t>basis, users must be provided with truly easy (user friendly) means to provide and revoke consent.</w:t>
          </w:r>
        </w:p>
        <w:p w:rsidR="0077224F" w:rsidRDefault="00D973EE">
          <w:pPr>
            <w:keepNext/>
            <w:tabs>
              <w:tab w:val="left" w:pos="850"/>
            </w:tabs>
            <w:ind w:left="1700" w:hanging="850"/>
            <w:outlineLvl w:val="2"/>
            <w:rPr>
              <w:rFonts w:ascii="Times New Roman" w:eastAsia="Times New Roman" w:hAnsi="Times New Roman"/>
              <w:i/>
              <w:noProof/>
              <w:sz w:val="24"/>
              <w:lang w:eastAsia="en-GB"/>
            </w:rPr>
          </w:pPr>
          <w:bookmarkStart w:id="183" w:name="_Toc460847392"/>
          <w:bookmarkStart w:id="184" w:name="_Toc460847700"/>
          <w:bookmarkStart w:id="185" w:name="_Toc460847782"/>
          <w:bookmarkStart w:id="186" w:name="_Toc460848148"/>
          <w:bookmarkStart w:id="187" w:name="_Toc460848692"/>
          <w:bookmarkStart w:id="188" w:name="_Toc460923266"/>
          <w:bookmarkStart w:id="189" w:name="_Toc460927069"/>
          <w:bookmarkStart w:id="190" w:name="_Toc460927871"/>
          <w:bookmarkStart w:id="191" w:name="_Toc468453405"/>
          <w:bookmarkStart w:id="192" w:name="_Toc468455305"/>
          <w:bookmarkStart w:id="193" w:name="_Toc468790022"/>
          <w:bookmarkStart w:id="194" w:name="_Toc468794854"/>
          <w:bookmarkStart w:id="195" w:name="_Toc468795162"/>
          <w:r>
            <w:rPr>
              <w:rFonts w:ascii="Times New Roman" w:eastAsia="Times New Roman" w:hAnsi="Times New Roman"/>
              <w:i/>
              <w:noProof/>
              <w:color w:val="000000"/>
              <w:sz w:val="24"/>
              <w:lang w:eastAsia="en-GB"/>
            </w:rPr>
            <w:t>3.3.3.</w:t>
          </w:r>
          <w:r>
            <w:rPr>
              <w:rFonts w:ascii="Times New Roman" w:eastAsia="Times New Roman" w:hAnsi="Times New Roman"/>
              <w:i/>
              <w:noProof/>
              <w:sz w:val="24"/>
              <w:lang w:eastAsia="en-GB"/>
            </w:rPr>
            <w:t xml:space="preserve"> European Data Protection Supervisor</w:t>
          </w:r>
          <w:bookmarkEnd w:id="183"/>
          <w:bookmarkEnd w:id="184"/>
          <w:bookmarkEnd w:id="185"/>
          <w:bookmarkEnd w:id="186"/>
          <w:bookmarkEnd w:id="187"/>
          <w:bookmarkEnd w:id="188"/>
          <w:bookmarkEnd w:id="189"/>
          <w:bookmarkEnd w:id="190"/>
          <w:bookmarkEnd w:id="191"/>
          <w:bookmarkEnd w:id="192"/>
          <w:bookmarkEnd w:id="193"/>
          <w:bookmarkEnd w:id="194"/>
          <w:bookmarkEnd w:id="195"/>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The views of the EDPS were expressly requested by the European Commission.</w:t>
          </w:r>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 xml:space="preserve">In his opinion on the review, the EDPS </w:t>
          </w:r>
          <w:r>
            <w:rPr>
              <w:rFonts w:ascii="Times New Roman" w:eastAsia="Times New Roman" w:hAnsi="Times New Roman"/>
              <w:noProof/>
              <w:sz w:val="24"/>
              <w:lang w:eastAsia="en-GB"/>
            </w:rPr>
            <w:t xml:space="preserve">expresses similar views than those of the Article 29 Working Party, of which he is a member. In particular, the EDPS also endorses the need to </w:t>
          </w:r>
          <w:r>
            <w:rPr>
              <w:rFonts w:ascii="Times New Roman" w:eastAsia="Times New Roman" w:hAnsi="Times New Roman"/>
              <w:b/>
              <w:noProof/>
              <w:sz w:val="24"/>
              <w:lang w:eastAsia="en-GB"/>
            </w:rPr>
            <w:t>keep specific rules to ensure confidentiality of communications</w:t>
          </w:r>
          <w:r>
            <w:rPr>
              <w:rFonts w:ascii="Times New Roman" w:eastAsia="Times New Roman" w:hAnsi="Times New Roman"/>
              <w:noProof/>
              <w:sz w:val="24"/>
              <w:lang w:eastAsia="en-GB"/>
            </w:rPr>
            <w:t xml:space="preserve"> at EU level that would complement the GDPR. In th</w:t>
          </w:r>
          <w:r>
            <w:rPr>
              <w:rFonts w:ascii="Times New Roman" w:eastAsia="Times New Roman" w:hAnsi="Times New Roman"/>
              <w:noProof/>
              <w:sz w:val="24"/>
              <w:lang w:eastAsia="en-GB"/>
            </w:rPr>
            <w:t>is respect, he made the following recommendations:</w:t>
          </w:r>
        </w:p>
        <w:p w:rsidR="0077224F" w:rsidRDefault="00D973EE">
          <w:pPr>
            <w:numPr>
              <w:ilvl w:val="0"/>
              <w:numId w:val="67"/>
            </w:numPr>
            <w:autoSpaceDE w:val="0"/>
            <w:autoSpaceDN w:val="0"/>
            <w:adjustRightInd w:val="0"/>
            <w:spacing w:before="0" w:after="240"/>
            <w:rPr>
              <w:rFonts w:ascii="Times New Roman" w:eastAsia="Calibri" w:hAnsi="Times New Roman"/>
              <w:noProof/>
              <w:color w:val="000000"/>
              <w:sz w:val="24"/>
              <w:szCs w:val="20"/>
              <w:lang w:eastAsia="en-GB"/>
            </w:rPr>
          </w:pPr>
          <w:r>
            <w:rPr>
              <w:rFonts w:ascii="Times New Roman" w:eastAsia="Calibri" w:hAnsi="Times New Roman"/>
              <w:noProof/>
              <w:sz w:val="24"/>
              <w:lang w:eastAsia="en-GB"/>
            </w:rPr>
            <w:t>The scope of new ePrivacy rules needs to be broad enough to cover all forms of electronic communications irrespective of network (public or private</w:t>
          </w:r>
          <w:r>
            <w:rPr>
              <w:rFonts w:ascii="Times New Roman" w:eastAsia="Calibri" w:hAnsi="Times New Roman"/>
              <w:noProof/>
              <w:sz w:val="24"/>
              <w:vertAlign w:val="superscript"/>
              <w:lang w:eastAsia="en-GB"/>
            </w:rPr>
            <w:footnoteReference w:id="22"/>
          </w:r>
          <w:r>
            <w:rPr>
              <w:rFonts w:ascii="Times New Roman" w:eastAsia="Calibri" w:hAnsi="Times New Roman"/>
              <w:noProof/>
              <w:sz w:val="24"/>
              <w:lang w:eastAsia="en-GB"/>
            </w:rPr>
            <w:t xml:space="preserve">) or communication services </w:t>
          </w:r>
          <w:r>
            <w:rPr>
              <w:rFonts w:ascii="Times New Roman" w:eastAsia="Calibri" w:hAnsi="Times New Roman"/>
              <w:noProof/>
              <w:color w:val="000000"/>
              <w:sz w:val="24"/>
              <w:szCs w:val="20"/>
              <w:lang w:eastAsia="en-GB"/>
            </w:rPr>
            <w:t>used</w:t>
          </w:r>
          <w:r>
            <w:rPr>
              <w:rFonts w:ascii="Times New Roman" w:eastAsia="Times New Roman" w:hAnsi="Times New Roman"/>
              <w:bCs/>
              <w:noProof/>
              <w:color w:val="000000"/>
              <w:sz w:val="24"/>
              <w:lang w:eastAsia="en-GB"/>
            </w:rPr>
            <w:t>;</w:t>
          </w:r>
        </w:p>
        <w:p w:rsidR="0077224F" w:rsidRDefault="00D973EE">
          <w:pPr>
            <w:numPr>
              <w:ilvl w:val="0"/>
              <w:numId w:val="67"/>
            </w:numPr>
            <w:autoSpaceDE w:val="0"/>
            <w:autoSpaceDN w:val="0"/>
            <w:adjustRightInd w:val="0"/>
            <w:spacing w:before="0" w:after="240"/>
            <w:rPr>
              <w:rFonts w:ascii="Times New Roman" w:eastAsia="Calibri" w:hAnsi="Times New Roman"/>
              <w:noProof/>
              <w:sz w:val="24"/>
              <w:lang w:eastAsia="en-GB"/>
            </w:rPr>
          </w:pPr>
          <w:r>
            <w:rPr>
              <w:rFonts w:ascii="Times New Roman" w:eastAsia="Calibri" w:hAnsi="Times New Roman"/>
              <w:noProof/>
              <w:color w:val="000000"/>
              <w:sz w:val="24"/>
              <w:szCs w:val="20"/>
              <w:lang w:eastAsia="en-GB"/>
            </w:rPr>
            <w:t>Individuals must be aff</w:t>
          </w:r>
          <w:r>
            <w:rPr>
              <w:rFonts w:ascii="Times New Roman" w:eastAsia="Calibri" w:hAnsi="Times New Roman"/>
              <w:noProof/>
              <w:sz w:val="24"/>
              <w:lang w:eastAsia="en-GB"/>
            </w:rPr>
            <w:t>orded the same level of protection for all types of communications regardless of the technology used (e.g. telephone, Voice over IP, services, mobile phone messaging app, Internet of Things);</w:t>
          </w:r>
        </w:p>
        <w:p w:rsidR="0077224F" w:rsidRDefault="00D973EE">
          <w:pPr>
            <w:numPr>
              <w:ilvl w:val="0"/>
              <w:numId w:val="67"/>
            </w:numPr>
            <w:autoSpaceDE w:val="0"/>
            <w:autoSpaceDN w:val="0"/>
            <w:adjustRightInd w:val="0"/>
            <w:spacing w:before="0" w:after="240"/>
            <w:rPr>
              <w:rFonts w:ascii="Times New Roman" w:eastAsia="Calibri" w:hAnsi="Times New Roman"/>
              <w:noProof/>
              <w:color w:val="000000"/>
              <w:sz w:val="24"/>
              <w:szCs w:val="20"/>
              <w:lang w:eastAsia="en-GB"/>
            </w:rPr>
          </w:pPr>
          <w:r>
            <w:rPr>
              <w:rFonts w:ascii="Times New Roman" w:eastAsia="Calibri" w:hAnsi="Times New Roman"/>
              <w:noProof/>
              <w:sz w:val="24"/>
              <w:lang w:eastAsia="en-GB"/>
            </w:rPr>
            <w:t>No communications should be subject to unlawful tracking and mon</w:t>
          </w:r>
          <w:r>
            <w:rPr>
              <w:rFonts w:ascii="Times New Roman" w:eastAsia="Calibri" w:hAnsi="Times New Roman"/>
              <w:noProof/>
              <w:sz w:val="24"/>
              <w:lang w:eastAsia="en-GB"/>
            </w:rPr>
            <w:t xml:space="preserve">itoring without freely given consent, whether by cookies, device-fingerprinting, or other technological means. This means that the so called cookie rule should be revised </w:t>
          </w:r>
          <w:r>
            <w:rPr>
              <w:rFonts w:ascii="Times New Roman" w:eastAsia="Calibri" w:hAnsi="Times New Roman"/>
              <w:noProof/>
              <w:color w:val="000000"/>
              <w:sz w:val="24"/>
              <w:szCs w:val="20"/>
              <w:lang w:eastAsia="en-GB"/>
            </w:rPr>
            <w:t>to address any tracking techniques</w:t>
          </w:r>
          <w:r>
            <w:rPr>
              <w:rFonts w:ascii="Times New Roman" w:eastAsia="Times New Roman" w:hAnsi="Times New Roman"/>
              <w:bCs/>
              <w:noProof/>
              <w:color w:val="000000"/>
              <w:sz w:val="24"/>
              <w:lang w:eastAsia="en-GB"/>
            </w:rPr>
            <w:t>;</w:t>
          </w:r>
          <w:r>
            <w:rPr>
              <w:rFonts w:ascii="Times New Roman" w:eastAsia="Calibri" w:hAnsi="Times New Roman"/>
              <w:noProof/>
              <w:color w:val="000000"/>
              <w:sz w:val="24"/>
              <w:szCs w:val="20"/>
              <w:lang w:eastAsia="en-GB"/>
            </w:rPr>
            <w:t xml:space="preserve"> </w:t>
          </w:r>
        </w:p>
        <w:p w:rsidR="0077224F" w:rsidRDefault="00D973EE">
          <w:pPr>
            <w:numPr>
              <w:ilvl w:val="0"/>
              <w:numId w:val="67"/>
            </w:numPr>
            <w:autoSpaceDE w:val="0"/>
            <w:autoSpaceDN w:val="0"/>
            <w:adjustRightInd w:val="0"/>
            <w:spacing w:before="0" w:after="240"/>
            <w:rPr>
              <w:rFonts w:ascii="Times New Roman" w:eastAsia="Calibri" w:hAnsi="Times New Roman"/>
              <w:noProof/>
              <w:color w:val="000000"/>
              <w:sz w:val="24"/>
              <w:szCs w:val="20"/>
              <w:lang w:eastAsia="en-GB"/>
            </w:rPr>
          </w:pPr>
          <w:r>
            <w:rPr>
              <w:rFonts w:ascii="Times New Roman" w:eastAsia="Calibri" w:hAnsi="Times New Roman"/>
              <w:noProof/>
              <w:color w:val="000000"/>
              <w:sz w:val="24"/>
              <w:szCs w:val="20"/>
              <w:lang w:eastAsia="en-GB"/>
            </w:rPr>
            <w:t>Users</w:t>
          </w:r>
          <w:r>
            <w:rPr>
              <w:rFonts w:ascii="Times New Roman" w:eastAsia="Calibri" w:hAnsi="Times New Roman"/>
              <w:noProof/>
              <w:sz w:val="24"/>
              <w:lang w:eastAsia="en-GB"/>
            </w:rPr>
            <w:t xml:space="preserve"> must also have user-friendly and effective</w:t>
          </w:r>
          <w:r>
            <w:rPr>
              <w:rFonts w:ascii="Times New Roman" w:eastAsia="Calibri" w:hAnsi="Times New Roman"/>
              <w:noProof/>
              <w:sz w:val="24"/>
              <w:lang w:eastAsia="en-GB"/>
            </w:rPr>
            <w:t xml:space="preserve"> mechanisms to give their </w:t>
          </w:r>
          <w:r>
            <w:rPr>
              <w:rFonts w:ascii="Times New Roman" w:eastAsia="Calibri" w:hAnsi="Times New Roman"/>
              <w:noProof/>
              <w:color w:val="000000"/>
              <w:sz w:val="24"/>
              <w:szCs w:val="20"/>
              <w:lang w:eastAsia="en-GB"/>
            </w:rPr>
            <w:t>consent. In this respect cookie walls (where users are forced to give their consent to access a webpage) should be prohibited</w:t>
          </w:r>
          <w:r>
            <w:rPr>
              <w:rFonts w:ascii="Times New Roman" w:eastAsia="Times New Roman" w:hAnsi="Times New Roman"/>
              <w:bCs/>
              <w:noProof/>
              <w:color w:val="000000"/>
              <w:sz w:val="24"/>
              <w:lang w:eastAsia="en-GB"/>
            </w:rPr>
            <w:t>;</w:t>
          </w:r>
        </w:p>
        <w:p w:rsidR="0077224F" w:rsidRDefault="00D973EE">
          <w:pPr>
            <w:numPr>
              <w:ilvl w:val="0"/>
              <w:numId w:val="67"/>
            </w:numPr>
            <w:autoSpaceDE w:val="0"/>
            <w:autoSpaceDN w:val="0"/>
            <w:adjustRightInd w:val="0"/>
            <w:spacing w:before="0" w:after="240"/>
            <w:rPr>
              <w:rFonts w:ascii="Times New Roman" w:eastAsia="Calibri" w:hAnsi="Times New Roman"/>
              <w:noProof/>
              <w:color w:val="000000"/>
              <w:sz w:val="24"/>
              <w:szCs w:val="20"/>
              <w:lang w:eastAsia="en-GB"/>
            </w:rPr>
          </w:pPr>
          <w:r>
            <w:rPr>
              <w:rFonts w:ascii="Times New Roman" w:eastAsia="Calibri" w:hAnsi="Times New Roman"/>
              <w:noProof/>
              <w:color w:val="000000"/>
              <w:sz w:val="24"/>
              <w:szCs w:val="20"/>
              <w:lang w:eastAsia="en-GB"/>
            </w:rPr>
            <w:t>In order</w:t>
          </w:r>
          <w:r>
            <w:rPr>
              <w:rFonts w:ascii="Times New Roman" w:eastAsia="Calibri" w:hAnsi="Times New Roman"/>
              <w:noProof/>
              <w:sz w:val="24"/>
              <w:lang w:eastAsia="en-GB"/>
            </w:rPr>
            <w:t xml:space="preserve"> to increase confidentiality and security of electronic communications, the </w:t>
          </w:r>
          <w:r>
            <w:rPr>
              <w:rFonts w:ascii="Times New Roman" w:eastAsia="Calibri" w:hAnsi="Times New Roman"/>
              <w:noProof/>
              <w:color w:val="000000"/>
              <w:sz w:val="24"/>
              <w:szCs w:val="20"/>
              <w:lang w:eastAsia="en-GB"/>
            </w:rPr>
            <w:t>consent requirement</w:t>
          </w:r>
          <w:r>
            <w:rPr>
              <w:rFonts w:ascii="Times New Roman" w:eastAsia="Calibri" w:hAnsi="Times New Roman"/>
              <w:noProof/>
              <w:color w:val="000000"/>
              <w:sz w:val="24"/>
              <w:szCs w:val="20"/>
              <w:lang w:eastAsia="en-GB"/>
            </w:rPr>
            <w:t xml:space="preserve"> for traffic and location data must be strengthened and apply horizontally (i.e. to any processing of such data</w:t>
          </w:r>
          <w:r>
            <w:rPr>
              <w:rFonts w:ascii="Times New Roman" w:eastAsia="Times New Roman" w:hAnsi="Times New Roman"/>
              <w:bCs/>
              <w:noProof/>
              <w:color w:val="000000"/>
              <w:sz w:val="24"/>
              <w:lang w:eastAsia="en-GB"/>
            </w:rPr>
            <w:t>);</w:t>
          </w:r>
        </w:p>
        <w:p w:rsidR="0077224F" w:rsidRDefault="00D973EE">
          <w:pPr>
            <w:numPr>
              <w:ilvl w:val="0"/>
              <w:numId w:val="67"/>
            </w:numPr>
            <w:autoSpaceDE w:val="0"/>
            <w:autoSpaceDN w:val="0"/>
            <w:adjustRightInd w:val="0"/>
            <w:spacing w:before="0" w:after="240"/>
            <w:rPr>
              <w:rFonts w:ascii="Times New Roman" w:eastAsia="Calibri" w:hAnsi="Times New Roman"/>
              <w:noProof/>
              <w:color w:val="000000"/>
              <w:sz w:val="24"/>
              <w:szCs w:val="20"/>
              <w:lang w:eastAsia="en-GB"/>
            </w:rPr>
          </w:pPr>
          <w:r>
            <w:rPr>
              <w:rFonts w:ascii="Times New Roman" w:eastAsia="Calibri" w:hAnsi="Times New Roman"/>
              <w:noProof/>
              <w:color w:val="000000"/>
              <w:sz w:val="24"/>
              <w:szCs w:val="20"/>
              <w:lang w:eastAsia="en-GB"/>
            </w:rPr>
            <w:t>The new</w:t>
          </w:r>
          <w:r>
            <w:rPr>
              <w:rFonts w:ascii="Times New Roman" w:eastAsia="Calibri" w:hAnsi="Times New Roman"/>
              <w:noProof/>
              <w:sz w:val="24"/>
              <w:lang w:eastAsia="en-GB"/>
            </w:rPr>
            <w:t xml:space="preserve"> rules should complement, and where necessary, specify the protections </w:t>
          </w:r>
          <w:r>
            <w:rPr>
              <w:rFonts w:ascii="Times New Roman" w:eastAsia="Calibri" w:hAnsi="Times New Roman"/>
              <w:noProof/>
              <w:color w:val="000000"/>
              <w:sz w:val="24"/>
              <w:szCs w:val="20"/>
              <w:lang w:eastAsia="en-GB"/>
            </w:rPr>
            <w:t>available under the GDPR</w:t>
          </w:r>
          <w:r>
            <w:rPr>
              <w:rFonts w:ascii="Times New Roman" w:eastAsia="Times New Roman" w:hAnsi="Times New Roman"/>
              <w:bCs/>
              <w:noProof/>
              <w:color w:val="000000"/>
              <w:sz w:val="24"/>
              <w:lang w:eastAsia="en-GB"/>
            </w:rPr>
            <w:t>;</w:t>
          </w:r>
          <w:r>
            <w:rPr>
              <w:rFonts w:ascii="Times New Roman" w:eastAsia="Calibri" w:hAnsi="Times New Roman"/>
              <w:noProof/>
              <w:color w:val="000000"/>
              <w:sz w:val="24"/>
              <w:szCs w:val="20"/>
              <w:lang w:eastAsia="en-GB"/>
            </w:rPr>
            <w:t xml:space="preserve"> </w:t>
          </w:r>
        </w:p>
        <w:p w:rsidR="0077224F" w:rsidRDefault="00D973EE">
          <w:pPr>
            <w:numPr>
              <w:ilvl w:val="0"/>
              <w:numId w:val="67"/>
            </w:numPr>
            <w:autoSpaceDE w:val="0"/>
            <w:autoSpaceDN w:val="0"/>
            <w:adjustRightInd w:val="0"/>
            <w:spacing w:before="0" w:after="240"/>
            <w:rPr>
              <w:rFonts w:ascii="Times New Roman" w:eastAsia="Calibri" w:hAnsi="Times New Roman"/>
              <w:noProof/>
              <w:color w:val="000000"/>
              <w:sz w:val="24"/>
              <w:szCs w:val="20"/>
              <w:lang w:eastAsia="en-GB"/>
            </w:rPr>
          </w:pPr>
          <w:r>
            <w:rPr>
              <w:rFonts w:ascii="Times New Roman" w:eastAsia="Calibri" w:hAnsi="Times New Roman"/>
              <w:noProof/>
              <w:color w:val="000000"/>
              <w:sz w:val="24"/>
              <w:szCs w:val="20"/>
              <w:lang w:eastAsia="en-GB"/>
            </w:rPr>
            <w:t>The</w:t>
          </w:r>
          <w:r>
            <w:rPr>
              <w:rFonts w:ascii="Times New Roman" w:eastAsia="Calibri" w:hAnsi="Times New Roman"/>
              <w:noProof/>
              <w:sz w:val="24"/>
              <w:lang w:eastAsia="en-GB"/>
            </w:rPr>
            <w:t xml:space="preserve"> rules should also maintain the ex</w:t>
          </w:r>
          <w:r>
            <w:rPr>
              <w:rFonts w:ascii="Times New Roman" w:eastAsia="Calibri" w:hAnsi="Times New Roman"/>
              <w:noProof/>
              <w:sz w:val="24"/>
              <w:lang w:eastAsia="en-GB"/>
            </w:rPr>
            <w:t xml:space="preserve">isting, higher level of protection in those instances where the ePrivacy Directive offers more specific safeguards than in the GDPR. In this respect, the EDPS supports maintaining the rules on subscribers' </w:t>
          </w:r>
          <w:r>
            <w:rPr>
              <w:rFonts w:ascii="Times New Roman" w:eastAsia="Calibri" w:hAnsi="Times New Roman"/>
              <w:noProof/>
              <w:color w:val="000000"/>
              <w:sz w:val="24"/>
              <w:szCs w:val="20"/>
              <w:lang w:eastAsia="en-GB"/>
            </w:rPr>
            <w:t>directories and calling and connected line identif</w:t>
          </w:r>
          <w:r>
            <w:rPr>
              <w:rFonts w:ascii="Times New Roman" w:eastAsia="Calibri" w:hAnsi="Times New Roman"/>
              <w:noProof/>
              <w:color w:val="000000"/>
              <w:sz w:val="24"/>
              <w:szCs w:val="20"/>
              <w:lang w:eastAsia="en-GB"/>
            </w:rPr>
            <w:t>ication</w:t>
          </w:r>
          <w:r>
            <w:rPr>
              <w:rFonts w:ascii="Times New Roman" w:eastAsia="Times New Roman" w:hAnsi="Times New Roman"/>
              <w:bCs/>
              <w:noProof/>
              <w:color w:val="000000"/>
              <w:sz w:val="24"/>
              <w:lang w:eastAsia="en-GB"/>
            </w:rPr>
            <w:t>;</w:t>
          </w:r>
        </w:p>
        <w:p w:rsidR="0077224F" w:rsidRDefault="00D973EE">
          <w:pPr>
            <w:numPr>
              <w:ilvl w:val="0"/>
              <w:numId w:val="67"/>
            </w:numPr>
            <w:autoSpaceDE w:val="0"/>
            <w:autoSpaceDN w:val="0"/>
            <w:adjustRightInd w:val="0"/>
            <w:spacing w:before="0" w:after="240"/>
            <w:rPr>
              <w:rFonts w:ascii="Times New Roman" w:eastAsia="Calibri" w:hAnsi="Times New Roman"/>
              <w:noProof/>
              <w:sz w:val="24"/>
              <w:lang w:eastAsia="en-GB"/>
            </w:rPr>
          </w:pPr>
          <w:r>
            <w:rPr>
              <w:rFonts w:ascii="Times New Roman" w:eastAsia="Calibri" w:hAnsi="Times New Roman"/>
              <w:noProof/>
              <w:color w:val="000000"/>
              <w:sz w:val="24"/>
              <w:szCs w:val="20"/>
              <w:lang w:eastAsia="en-GB"/>
            </w:rPr>
            <w:t>Th</w:t>
          </w:r>
          <w:r>
            <w:rPr>
              <w:rFonts w:ascii="Times New Roman" w:eastAsia="Calibri" w:hAnsi="Times New Roman"/>
              <w:noProof/>
              <w:sz w:val="24"/>
              <w:lang w:eastAsia="en-GB"/>
            </w:rPr>
            <w:t xml:space="preserve">e rules protecting against unsolicited communications, such as advertising or promotional messages, should be updated, made technology neutral and strengthened by mandating the recipient's prior consent for all forms of unsolicited electronic </w:t>
          </w:r>
          <w:r>
            <w:rPr>
              <w:rFonts w:ascii="Times New Roman" w:eastAsia="Calibri" w:hAnsi="Times New Roman"/>
              <w:noProof/>
              <w:sz w:val="24"/>
              <w:lang w:eastAsia="en-GB"/>
            </w:rPr>
            <w:t>communications.</w:t>
          </w:r>
        </w:p>
        <w:p w:rsidR="0077224F" w:rsidRDefault="00D973EE">
          <w:pPr>
            <w:keepNext/>
            <w:tabs>
              <w:tab w:val="left" w:pos="850"/>
            </w:tabs>
            <w:ind w:left="1700" w:hanging="850"/>
            <w:outlineLvl w:val="2"/>
            <w:rPr>
              <w:rFonts w:ascii="Times New Roman" w:eastAsia="Times New Roman" w:hAnsi="Times New Roman"/>
              <w:i/>
              <w:noProof/>
              <w:sz w:val="24"/>
              <w:lang w:eastAsia="en-GB"/>
            </w:rPr>
          </w:pPr>
          <w:bookmarkStart w:id="196" w:name="_Toc460847393"/>
          <w:bookmarkStart w:id="197" w:name="_Toc460847701"/>
          <w:bookmarkStart w:id="198" w:name="_Toc460847783"/>
          <w:bookmarkStart w:id="199" w:name="_Toc460848149"/>
          <w:bookmarkStart w:id="200" w:name="_Toc460848693"/>
          <w:bookmarkStart w:id="201" w:name="_Toc460923267"/>
          <w:bookmarkStart w:id="202" w:name="_Toc460927070"/>
          <w:bookmarkStart w:id="203" w:name="_Toc460927872"/>
          <w:bookmarkStart w:id="204" w:name="_Toc468453406"/>
          <w:bookmarkStart w:id="205" w:name="_Toc468455306"/>
          <w:bookmarkStart w:id="206" w:name="_Toc468790023"/>
          <w:bookmarkStart w:id="207" w:name="_Toc468794855"/>
          <w:bookmarkStart w:id="208" w:name="_Toc468795163"/>
          <w:r>
            <w:rPr>
              <w:rFonts w:ascii="Times New Roman" w:eastAsia="Times New Roman" w:hAnsi="Times New Roman"/>
              <w:i/>
              <w:noProof/>
              <w:sz w:val="24"/>
              <w:lang w:eastAsia="en-GB"/>
            </w:rPr>
            <w:t>3.3.4. CPC Network</w:t>
          </w:r>
          <w:bookmarkEnd w:id="196"/>
          <w:bookmarkEnd w:id="197"/>
          <w:bookmarkEnd w:id="198"/>
          <w:bookmarkEnd w:id="199"/>
          <w:bookmarkEnd w:id="200"/>
          <w:bookmarkEnd w:id="201"/>
          <w:bookmarkEnd w:id="202"/>
          <w:bookmarkEnd w:id="203"/>
          <w:bookmarkEnd w:id="204"/>
          <w:bookmarkEnd w:id="205"/>
          <w:bookmarkEnd w:id="206"/>
          <w:bookmarkEnd w:id="207"/>
          <w:bookmarkEnd w:id="208"/>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The European Commission also specifically consulted the Consumer Protection Cooperation Network through a tailored questionnaire. The network was not in a position to provide a coordinated reply and invited its members to</w:t>
          </w:r>
          <w:r>
            <w:rPr>
              <w:rFonts w:ascii="Times New Roman" w:eastAsia="Times New Roman" w:hAnsi="Times New Roman"/>
              <w:noProof/>
              <w:sz w:val="24"/>
              <w:lang w:eastAsia="en-GB"/>
            </w:rPr>
            <w:t xml:space="preserve"> reply individually.</w:t>
          </w:r>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Replies were received from consumer authorities from Spain, Romania, Norway, and Denmark. The key points of their replies are summarised below:</w:t>
          </w:r>
        </w:p>
        <w:p w:rsidR="0077224F" w:rsidRDefault="00D973EE">
          <w:pPr>
            <w:numPr>
              <w:ilvl w:val="0"/>
              <w:numId w:val="67"/>
            </w:numPr>
            <w:autoSpaceDE w:val="0"/>
            <w:autoSpaceDN w:val="0"/>
            <w:adjustRightInd w:val="0"/>
            <w:spacing w:before="0" w:after="240"/>
            <w:rPr>
              <w:rFonts w:ascii="Times New Roman" w:eastAsia="Calibri" w:hAnsi="Times New Roman"/>
              <w:noProof/>
              <w:color w:val="000000"/>
              <w:sz w:val="24"/>
              <w:szCs w:val="20"/>
              <w:lang w:eastAsia="en-GB"/>
            </w:rPr>
          </w:pPr>
          <w:r>
            <w:rPr>
              <w:rFonts w:ascii="Times New Roman" w:eastAsia="Calibri" w:hAnsi="Times New Roman"/>
              <w:noProof/>
              <w:color w:val="000000"/>
              <w:sz w:val="24"/>
              <w:szCs w:val="20"/>
              <w:lang w:eastAsia="en-GB"/>
            </w:rPr>
            <w:t>All respondents considered that the ePD only partially achieved its objectives;</w:t>
          </w:r>
        </w:p>
        <w:p w:rsidR="0077224F" w:rsidRDefault="00D973EE">
          <w:pPr>
            <w:numPr>
              <w:ilvl w:val="0"/>
              <w:numId w:val="67"/>
            </w:numPr>
            <w:autoSpaceDE w:val="0"/>
            <w:autoSpaceDN w:val="0"/>
            <w:adjustRightInd w:val="0"/>
            <w:spacing w:before="0" w:after="240"/>
            <w:rPr>
              <w:rFonts w:ascii="Times New Roman" w:eastAsia="Calibri" w:hAnsi="Times New Roman"/>
              <w:noProof/>
              <w:sz w:val="24"/>
              <w:lang w:eastAsia="en-GB"/>
            </w:rPr>
          </w:pPr>
          <w:r>
            <w:rPr>
              <w:rFonts w:ascii="Times New Roman" w:eastAsia="Calibri" w:hAnsi="Times New Roman"/>
              <w:noProof/>
              <w:color w:val="000000"/>
              <w:sz w:val="24"/>
              <w:szCs w:val="20"/>
              <w:lang w:eastAsia="en-GB"/>
            </w:rPr>
            <w:t>As</w:t>
          </w:r>
          <w:r>
            <w:rPr>
              <w:rFonts w:ascii="Times New Roman" w:eastAsia="Calibri" w:hAnsi="Times New Roman"/>
              <w:noProof/>
              <w:sz w:val="24"/>
              <w:lang w:eastAsia="en-GB"/>
            </w:rPr>
            <w:t xml:space="preserve"> to which</w:t>
          </w:r>
          <w:r>
            <w:rPr>
              <w:rFonts w:ascii="Times New Roman" w:eastAsia="Calibri" w:hAnsi="Times New Roman"/>
              <w:noProof/>
              <w:sz w:val="24"/>
              <w:lang w:eastAsia="en-GB"/>
            </w:rPr>
            <w:t xml:space="preserve"> provision in particular is problematic, several authorities refer to Article 13. Some considered that the high number of complaints received on unsolicited calls show the need to review. Others emphasised some flaws of the rules, such as difficulties to a</w:t>
          </w:r>
          <w:r>
            <w:rPr>
              <w:rFonts w:ascii="Times New Roman" w:eastAsia="Calibri" w:hAnsi="Times New Roman"/>
              <w:noProof/>
              <w:sz w:val="24"/>
              <w:lang w:eastAsia="en-GB"/>
            </w:rPr>
            <w:t>pply the rules to new technological development such as social media; difficulties to prove unsubscribing to a mailing list and difficulties for companies to understand the rules;</w:t>
          </w:r>
        </w:p>
        <w:p w:rsidR="0077224F" w:rsidRDefault="00D973EE">
          <w:pPr>
            <w:numPr>
              <w:ilvl w:val="0"/>
              <w:numId w:val="67"/>
            </w:numPr>
            <w:autoSpaceDE w:val="0"/>
            <w:autoSpaceDN w:val="0"/>
            <w:adjustRightInd w:val="0"/>
            <w:spacing w:before="0" w:after="240"/>
            <w:rPr>
              <w:rFonts w:ascii="Times New Roman" w:eastAsia="Calibri" w:hAnsi="Times New Roman"/>
              <w:noProof/>
              <w:color w:val="000000"/>
              <w:sz w:val="24"/>
              <w:szCs w:val="20"/>
              <w:lang w:eastAsia="en-GB"/>
            </w:rPr>
          </w:pPr>
          <w:r>
            <w:rPr>
              <w:rFonts w:ascii="Times New Roman" w:eastAsia="Calibri" w:hAnsi="Times New Roman"/>
              <w:noProof/>
              <w:sz w:val="24"/>
              <w:lang w:eastAsia="en-GB"/>
            </w:rPr>
            <w:t>One authority considered that Article 5.3 failed to achieve its objectives i</w:t>
          </w:r>
          <w:r>
            <w:rPr>
              <w:rFonts w:ascii="Times New Roman" w:eastAsia="Calibri" w:hAnsi="Times New Roman"/>
              <w:noProof/>
              <w:sz w:val="24"/>
              <w:lang w:eastAsia="en-GB"/>
            </w:rPr>
            <w:t xml:space="preserve">n the </w:t>
          </w:r>
          <w:r>
            <w:rPr>
              <w:rFonts w:ascii="Times New Roman" w:eastAsia="Calibri" w:hAnsi="Times New Roman"/>
              <w:noProof/>
              <w:color w:val="000000"/>
              <w:sz w:val="24"/>
              <w:szCs w:val="20"/>
              <w:lang w:eastAsia="en-GB"/>
            </w:rPr>
            <w:t>light of diverging interpretation and enforcement;</w:t>
          </w:r>
        </w:p>
        <w:p w:rsidR="0077224F" w:rsidRDefault="00D973EE">
          <w:pPr>
            <w:numPr>
              <w:ilvl w:val="0"/>
              <w:numId w:val="67"/>
            </w:numPr>
            <w:autoSpaceDE w:val="0"/>
            <w:autoSpaceDN w:val="0"/>
            <w:adjustRightInd w:val="0"/>
            <w:spacing w:before="0" w:after="240"/>
            <w:rPr>
              <w:rFonts w:ascii="Times New Roman" w:eastAsia="Calibri" w:hAnsi="Times New Roman"/>
              <w:noProof/>
              <w:sz w:val="24"/>
              <w:lang w:eastAsia="en-GB"/>
            </w:rPr>
          </w:pPr>
          <w:r>
            <w:rPr>
              <w:rFonts w:ascii="Times New Roman" w:eastAsia="Calibri" w:hAnsi="Times New Roman"/>
              <w:noProof/>
              <w:color w:val="000000"/>
              <w:sz w:val="24"/>
              <w:szCs w:val="20"/>
              <w:lang w:eastAsia="en-GB"/>
            </w:rPr>
            <w:t>Overall</w:t>
          </w:r>
          <w:r>
            <w:rPr>
              <w:rFonts w:ascii="Times New Roman" w:eastAsia="Calibri" w:hAnsi="Times New Roman"/>
              <w:noProof/>
              <w:sz w:val="24"/>
              <w:lang w:eastAsia="en-GB"/>
            </w:rPr>
            <w:t xml:space="preserve"> the respondents agreed that the wide diversity of competent authorities has created difficulties that have led to diverging interpretation and/or fragmented enforcement. One authority specifi</w:t>
          </w:r>
          <w:r>
            <w:rPr>
              <w:rFonts w:ascii="Times New Roman" w:eastAsia="Calibri" w:hAnsi="Times New Roman"/>
              <w:noProof/>
              <w:sz w:val="24"/>
              <w:lang w:eastAsia="en-GB"/>
            </w:rPr>
            <w:t>cally referred to the uncertainty that this created among competent authorities as to which authority should act. Another considered that this may cause a concurrent action of authorities leading to increased cost of enforcement;</w:t>
          </w:r>
        </w:p>
        <w:p w:rsidR="0077224F" w:rsidRDefault="00D973EE">
          <w:pPr>
            <w:numPr>
              <w:ilvl w:val="0"/>
              <w:numId w:val="67"/>
            </w:numPr>
            <w:autoSpaceDE w:val="0"/>
            <w:autoSpaceDN w:val="0"/>
            <w:adjustRightInd w:val="0"/>
            <w:spacing w:before="0" w:after="240"/>
            <w:rPr>
              <w:rFonts w:ascii="Times New Roman" w:eastAsia="Calibri" w:hAnsi="Times New Roman"/>
              <w:noProof/>
              <w:color w:val="000000"/>
              <w:sz w:val="24"/>
              <w:szCs w:val="20"/>
              <w:lang w:eastAsia="en-GB"/>
            </w:rPr>
          </w:pPr>
          <w:r>
            <w:rPr>
              <w:rFonts w:ascii="Times New Roman" w:eastAsia="Calibri" w:hAnsi="Times New Roman"/>
              <w:noProof/>
              <w:sz w:val="24"/>
              <w:lang w:eastAsia="en-GB"/>
            </w:rPr>
            <w:t xml:space="preserve">A majority of respondents </w:t>
          </w:r>
          <w:r>
            <w:rPr>
              <w:rFonts w:ascii="Times New Roman" w:eastAsia="Calibri" w:hAnsi="Times New Roman"/>
              <w:noProof/>
              <w:sz w:val="24"/>
              <w:lang w:eastAsia="en-GB"/>
            </w:rPr>
            <w:t xml:space="preserve">agreed that a regulation would be the better suited </w:t>
          </w:r>
          <w:r>
            <w:rPr>
              <w:rFonts w:ascii="Times New Roman" w:eastAsia="Calibri" w:hAnsi="Times New Roman"/>
              <w:noProof/>
              <w:color w:val="000000"/>
              <w:sz w:val="24"/>
              <w:szCs w:val="20"/>
              <w:lang w:eastAsia="en-GB"/>
            </w:rPr>
            <w:t>instrument to achieve the objectives of the current ePD;</w:t>
          </w:r>
        </w:p>
        <w:p w:rsidR="0077224F" w:rsidRDefault="00D973EE">
          <w:pPr>
            <w:numPr>
              <w:ilvl w:val="0"/>
              <w:numId w:val="67"/>
            </w:numPr>
            <w:autoSpaceDE w:val="0"/>
            <w:autoSpaceDN w:val="0"/>
            <w:adjustRightInd w:val="0"/>
            <w:spacing w:before="0" w:after="240"/>
            <w:rPr>
              <w:rFonts w:ascii="Times New Roman" w:eastAsia="Calibri" w:hAnsi="Times New Roman"/>
              <w:noProof/>
              <w:sz w:val="24"/>
              <w:lang w:eastAsia="en-GB"/>
            </w:rPr>
          </w:pPr>
          <w:r>
            <w:rPr>
              <w:rFonts w:ascii="Times New Roman" w:eastAsia="Calibri" w:hAnsi="Times New Roman"/>
              <w:noProof/>
              <w:color w:val="000000"/>
              <w:sz w:val="24"/>
              <w:szCs w:val="20"/>
              <w:lang w:eastAsia="en-GB"/>
            </w:rPr>
            <w:t>They</w:t>
          </w:r>
          <w:r>
            <w:rPr>
              <w:rFonts w:ascii="Times New Roman" w:eastAsia="Calibri" w:hAnsi="Times New Roman"/>
              <w:noProof/>
              <w:sz w:val="24"/>
              <w:lang w:eastAsia="en-GB"/>
            </w:rPr>
            <w:t xml:space="preserve"> all agreed that the rule on unsolicited communications should be reviewed and that the choice left to Member States between opt-in and opt-out</w:t>
          </w:r>
          <w:r>
            <w:rPr>
              <w:rFonts w:ascii="Times New Roman" w:eastAsia="Calibri" w:hAnsi="Times New Roman"/>
              <w:noProof/>
              <w:sz w:val="24"/>
              <w:lang w:eastAsia="en-GB"/>
            </w:rPr>
            <w:t xml:space="preserve"> is not coherent under Article 13.3 with the opt-in rule under Article 13.1. While a majority of them considered that opt-in should apply to all situations for unsolicited communications towards individuals; the position is not clearly defined for legal pe</w:t>
          </w:r>
          <w:r>
            <w:rPr>
              <w:rFonts w:ascii="Times New Roman" w:eastAsia="Calibri" w:hAnsi="Times New Roman"/>
              <w:noProof/>
              <w:sz w:val="24"/>
              <w:lang w:eastAsia="en-GB"/>
            </w:rPr>
            <w:t xml:space="preserve">rsons. A majority support the opt-in rule to apply to social media; </w:t>
          </w:r>
        </w:p>
        <w:p w:rsidR="0077224F" w:rsidRDefault="00D973EE">
          <w:pPr>
            <w:numPr>
              <w:ilvl w:val="0"/>
              <w:numId w:val="69"/>
            </w:numPr>
            <w:spacing w:before="0" w:after="240"/>
            <w:contextualSpacing/>
            <w:rPr>
              <w:rFonts w:ascii="Times New Roman" w:eastAsia="Calibri" w:hAnsi="Times New Roman"/>
              <w:noProof/>
              <w:sz w:val="24"/>
              <w:lang w:eastAsia="en-GB"/>
            </w:rPr>
          </w:pPr>
          <w:r>
            <w:rPr>
              <w:rFonts w:ascii="Times New Roman" w:eastAsia="Calibri" w:hAnsi="Times New Roman"/>
              <w:noProof/>
              <w:sz w:val="24"/>
              <w:lang w:eastAsia="en-GB"/>
            </w:rPr>
            <w:t>All respondents that expressed a view, considered that member states should not retain the possibility to choose between opt-in and opt-out for individuals (under Article 13.3), while 2 o</w:t>
          </w:r>
          <w:r>
            <w:rPr>
              <w:rFonts w:ascii="Times New Roman" w:eastAsia="Calibri" w:hAnsi="Times New Roman"/>
              <w:noProof/>
              <w:sz w:val="24"/>
              <w:lang w:eastAsia="en-GB"/>
            </w:rPr>
            <w:t>ut of 3 considered that they should not retain this possibility for legal person as well</w:t>
          </w:r>
          <w:r>
            <w:rPr>
              <w:rFonts w:ascii="Times New Roman" w:eastAsia="Calibri" w:hAnsi="Times New Roman"/>
              <w:noProof/>
              <w:sz w:val="24"/>
              <w:vertAlign w:val="superscript"/>
              <w:lang w:eastAsia="en-GB"/>
            </w:rPr>
            <w:footnoteReference w:id="23"/>
          </w:r>
          <w:r>
            <w:rPr>
              <w:rFonts w:ascii="Times New Roman" w:eastAsia="Calibri" w:hAnsi="Times New Roman"/>
              <w:noProof/>
              <w:sz w:val="24"/>
              <w:lang w:eastAsia="en-GB"/>
            </w:rPr>
            <w:t>.</w:t>
          </w:r>
        </w:p>
        <w:p w:rsidR="0077224F" w:rsidRDefault="00D973EE">
          <w:pPr>
            <w:keepNext/>
            <w:tabs>
              <w:tab w:val="left" w:pos="850"/>
            </w:tabs>
            <w:ind w:left="1700" w:hanging="850"/>
            <w:outlineLvl w:val="2"/>
            <w:rPr>
              <w:rFonts w:ascii="Times New Roman" w:eastAsia="Times New Roman" w:hAnsi="Times New Roman"/>
              <w:i/>
              <w:noProof/>
              <w:sz w:val="24"/>
              <w:lang w:eastAsia="en-GB"/>
            </w:rPr>
          </w:pPr>
          <w:bookmarkStart w:id="209" w:name="_Toc460847394"/>
          <w:bookmarkStart w:id="210" w:name="_Toc460847702"/>
          <w:bookmarkStart w:id="211" w:name="_Toc460847784"/>
          <w:bookmarkStart w:id="212" w:name="_Toc460848150"/>
          <w:bookmarkStart w:id="213" w:name="_Toc460848694"/>
          <w:bookmarkStart w:id="214" w:name="_Toc460923268"/>
          <w:bookmarkStart w:id="215" w:name="_Toc460927071"/>
          <w:bookmarkStart w:id="216" w:name="_Toc460927873"/>
          <w:bookmarkStart w:id="217" w:name="_Toc468453407"/>
          <w:bookmarkStart w:id="218" w:name="_Toc468455307"/>
          <w:bookmarkStart w:id="219" w:name="_Toc468790024"/>
          <w:bookmarkStart w:id="220" w:name="_Toc468794856"/>
          <w:bookmarkStart w:id="221" w:name="_Toc468795164"/>
          <w:r>
            <w:rPr>
              <w:rFonts w:ascii="Times New Roman" w:eastAsia="Times New Roman" w:hAnsi="Times New Roman"/>
              <w:i/>
              <w:noProof/>
              <w:sz w:val="24"/>
              <w:lang w:eastAsia="en-GB"/>
            </w:rPr>
            <w:t>3.3.5. BEREC</w:t>
          </w:r>
          <w:bookmarkEnd w:id="209"/>
          <w:bookmarkEnd w:id="210"/>
          <w:bookmarkEnd w:id="211"/>
          <w:bookmarkEnd w:id="212"/>
          <w:bookmarkEnd w:id="213"/>
          <w:bookmarkEnd w:id="214"/>
          <w:bookmarkEnd w:id="215"/>
          <w:bookmarkEnd w:id="216"/>
          <w:bookmarkEnd w:id="217"/>
          <w:bookmarkEnd w:id="218"/>
          <w:bookmarkEnd w:id="219"/>
          <w:bookmarkEnd w:id="220"/>
          <w:bookmarkEnd w:id="221"/>
          <w:r>
            <w:rPr>
              <w:rFonts w:ascii="Times New Roman" w:eastAsia="Times New Roman" w:hAnsi="Times New Roman"/>
              <w:i/>
              <w:noProof/>
              <w:sz w:val="24"/>
              <w:lang w:eastAsia="en-GB"/>
            </w:rPr>
            <w:t xml:space="preserve"> </w:t>
          </w:r>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BEREC, the EU body gathering NRAs (competent telecom authorities) was expressly consulted by the Commission and sent its views on the 31</w:t>
          </w:r>
          <w:r>
            <w:rPr>
              <w:rFonts w:ascii="Times New Roman" w:eastAsia="Times New Roman" w:hAnsi="Times New Roman"/>
              <w:noProof/>
              <w:sz w:val="24"/>
              <w:vertAlign w:val="superscript"/>
              <w:lang w:eastAsia="en-GB"/>
            </w:rPr>
            <w:t>st</w:t>
          </w:r>
          <w:r>
            <w:rPr>
              <w:rFonts w:ascii="Times New Roman" w:eastAsia="Times New Roman" w:hAnsi="Times New Roman"/>
              <w:noProof/>
              <w:sz w:val="24"/>
              <w:lang w:eastAsia="en-GB"/>
            </w:rPr>
            <w:t xml:space="preserve"> of July.</w:t>
          </w:r>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Ove</w:t>
          </w:r>
          <w:r>
            <w:rPr>
              <w:rFonts w:ascii="Times New Roman" w:eastAsia="Times New Roman" w:hAnsi="Times New Roman"/>
              <w:noProof/>
              <w:sz w:val="24"/>
              <w:lang w:eastAsia="en-GB"/>
            </w:rPr>
            <w:t>rall, BEREC considered that:</w:t>
          </w:r>
        </w:p>
        <w:p w:rsidR="0077224F" w:rsidRDefault="00D973EE">
          <w:pPr>
            <w:numPr>
              <w:ilvl w:val="0"/>
              <w:numId w:val="67"/>
            </w:numPr>
            <w:autoSpaceDE w:val="0"/>
            <w:autoSpaceDN w:val="0"/>
            <w:adjustRightInd w:val="0"/>
            <w:spacing w:before="0" w:after="240"/>
            <w:rPr>
              <w:rFonts w:ascii="Times New Roman" w:eastAsia="Calibri" w:hAnsi="Times New Roman"/>
              <w:noProof/>
              <w:color w:val="000000"/>
              <w:sz w:val="24"/>
              <w:szCs w:val="20"/>
              <w:lang w:eastAsia="en-GB"/>
            </w:rPr>
          </w:pPr>
          <w:r>
            <w:rPr>
              <w:rFonts w:ascii="Times New Roman" w:eastAsia="Calibri" w:hAnsi="Times New Roman"/>
              <w:noProof/>
              <w:sz w:val="24"/>
              <w:lang w:eastAsia="en-GB"/>
            </w:rPr>
            <w:t xml:space="preserve">There is still a need to have data protection rules and privacy rules addressing the </w:t>
          </w:r>
          <w:r>
            <w:rPr>
              <w:rFonts w:ascii="Times New Roman" w:eastAsia="Calibri" w:hAnsi="Times New Roman"/>
              <w:noProof/>
              <w:color w:val="000000"/>
              <w:sz w:val="24"/>
              <w:szCs w:val="20"/>
              <w:lang w:eastAsia="en-GB"/>
            </w:rPr>
            <w:t>electronic communications sector;</w:t>
          </w:r>
        </w:p>
        <w:p w:rsidR="0077224F" w:rsidRDefault="00D973EE">
          <w:pPr>
            <w:numPr>
              <w:ilvl w:val="0"/>
              <w:numId w:val="67"/>
            </w:numPr>
            <w:autoSpaceDE w:val="0"/>
            <w:autoSpaceDN w:val="0"/>
            <w:adjustRightInd w:val="0"/>
            <w:spacing w:before="0" w:after="240"/>
            <w:rPr>
              <w:rFonts w:ascii="Times New Roman" w:eastAsia="Calibri" w:hAnsi="Times New Roman"/>
              <w:noProof/>
              <w:sz w:val="24"/>
              <w:lang w:eastAsia="en-GB"/>
            </w:rPr>
          </w:pPr>
          <w:r>
            <w:rPr>
              <w:rFonts w:ascii="Times New Roman" w:eastAsia="Calibri" w:hAnsi="Times New Roman"/>
              <w:noProof/>
              <w:color w:val="000000"/>
              <w:sz w:val="24"/>
              <w:szCs w:val="20"/>
              <w:lang w:eastAsia="en-GB"/>
            </w:rPr>
            <w:t>The</w:t>
          </w:r>
          <w:r>
            <w:rPr>
              <w:rFonts w:ascii="Times New Roman" w:eastAsia="Calibri" w:hAnsi="Times New Roman"/>
              <w:noProof/>
              <w:sz w:val="24"/>
              <w:lang w:eastAsia="en-GB"/>
            </w:rPr>
            <w:t xml:space="preserve"> rule on confidentiality of communications should apply equally to ECS and new OTT players (so called OCS) while its wording should be adapted to technological changes;</w:t>
          </w:r>
        </w:p>
        <w:p w:rsidR="0077224F" w:rsidRDefault="00D973EE">
          <w:pPr>
            <w:numPr>
              <w:ilvl w:val="0"/>
              <w:numId w:val="67"/>
            </w:numPr>
            <w:autoSpaceDE w:val="0"/>
            <w:autoSpaceDN w:val="0"/>
            <w:adjustRightInd w:val="0"/>
            <w:spacing w:before="0" w:after="240"/>
            <w:rPr>
              <w:rFonts w:ascii="Times New Roman" w:eastAsia="Calibri" w:hAnsi="Times New Roman"/>
              <w:noProof/>
              <w:sz w:val="24"/>
              <w:lang w:eastAsia="en-GB"/>
            </w:rPr>
          </w:pPr>
          <w:r>
            <w:rPr>
              <w:rFonts w:ascii="Times New Roman" w:eastAsia="Calibri" w:hAnsi="Times New Roman"/>
              <w:noProof/>
              <w:sz w:val="24"/>
              <w:lang w:eastAsia="en-GB"/>
            </w:rPr>
            <w:t>There is a still a special interest to regulated traffic and location data over the GDP</w:t>
          </w:r>
          <w:r>
            <w:rPr>
              <w:rFonts w:ascii="Times New Roman" w:eastAsia="Calibri" w:hAnsi="Times New Roman"/>
              <w:noProof/>
              <w:sz w:val="24"/>
              <w:lang w:eastAsia="en-GB"/>
            </w:rPr>
            <w:t>R given the sensitiveness of these data</w:t>
          </w:r>
          <w:r>
            <w:rPr>
              <w:rFonts w:ascii="Times New Roman" w:eastAsia="Calibri" w:hAnsi="Times New Roman"/>
              <w:noProof/>
              <w:sz w:val="24"/>
              <w:szCs w:val="20"/>
              <w:vertAlign w:val="superscript"/>
              <w:lang w:eastAsia="en-GB"/>
            </w:rPr>
            <w:footnoteReference w:id="24"/>
          </w:r>
          <w:r>
            <w:rPr>
              <w:rFonts w:ascii="Times New Roman" w:eastAsia="Calibri" w:hAnsi="Times New Roman"/>
              <w:noProof/>
              <w:sz w:val="24"/>
              <w:lang w:eastAsia="en-GB"/>
            </w:rPr>
            <w:t>;</w:t>
          </w:r>
        </w:p>
        <w:p w:rsidR="0077224F" w:rsidRDefault="00D973EE">
          <w:pPr>
            <w:numPr>
              <w:ilvl w:val="0"/>
              <w:numId w:val="67"/>
            </w:numPr>
            <w:autoSpaceDE w:val="0"/>
            <w:autoSpaceDN w:val="0"/>
            <w:adjustRightInd w:val="0"/>
            <w:spacing w:before="0" w:after="240"/>
            <w:rPr>
              <w:rFonts w:ascii="Times New Roman" w:eastAsia="Calibri" w:hAnsi="Times New Roman"/>
              <w:noProof/>
              <w:sz w:val="24"/>
              <w:lang w:eastAsia="en-GB"/>
            </w:rPr>
          </w:pPr>
          <w:r>
            <w:rPr>
              <w:rFonts w:ascii="Times New Roman" w:eastAsia="Calibri" w:hAnsi="Times New Roman"/>
              <w:noProof/>
              <w:sz w:val="24"/>
              <w:lang w:eastAsia="en-GB"/>
            </w:rPr>
            <w:t>So called consumer provisions (on itemised bill, calling &amp; connected line identification etc.) should be maintained and extended to new OTT players;</w:t>
          </w:r>
        </w:p>
        <w:p w:rsidR="0077224F" w:rsidRDefault="00D973EE">
          <w:pPr>
            <w:numPr>
              <w:ilvl w:val="0"/>
              <w:numId w:val="67"/>
            </w:numPr>
            <w:autoSpaceDE w:val="0"/>
            <w:autoSpaceDN w:val="0"/>
            <w:adjustRightInd w:val="0"/>
            <w:spacing w:before="0" w:after="240"/>
            <w:rPr>
              <w:rFonts w:ascii="Times New Roman" w:eastAsia="Calibri" w:hAnsi="Times New Roman"/>
              <w:noProof/>
              <w:sz w:val="24"/>
              <w:lang w:eastAsia="en-GB"/>
            </w:rPr>
          </w:pPr>
          <w:r>
            <w:rPr>
              <w:rFonts w:ascii="Times New Roman" w:eastAsia="Calibri" w:hAnsi="Times New Roman"/>
              <w:noProof/>
              <w:sz w:val="24"/>
              <w:lang w:eastAsia="en-GB"/>
            </w:rPr>
            <w:t>The security rule including notification requirement should be ma</w:t>
          </w:r>
          <w:r>
            <w:rPr>
              <w:rFonts w:ascii="Times New Roman" w:eastAsia="Calibri" w:hAnsi="Times New Roman"/>
              <w:noProof/>
              <w:sz w:val="24"/>
              <w:lang w:eastAsia="en-GB"/>
            </w:rPr>
            <w:t>intained and aligned with the ones of the GDPR;</w:t>
          </w:r>
        </w:p>
        <w:p w:rsidR="0077224F" w:rsidRDefault="00D973EE">
          <w:pPr>
            <w:numPr>
              <w:ilvl w:val="0"/>
              <w:numId w:val="67"/>
            </w:numPr>
            <w:autoSpaceDE w:val="0"/>
            <w:autoSpaceDN w:val="0"/>
            <w:adjustRightInd w:val="0"/>
            <w:spacing w:before="0" w:after="240"/>
            <w:rPr>
              <w:rFonts w:ascii="Times New Roman" w:eastAsia="Calibri" w:hAnsi="Times New Roman"/>
              <w:noProof/>
              <w:sz w:val="24"/>
              <w:lang w:eastAsia="en-GB"/>
            </w:rPr>
          </w:pPr>
          <w:r>
            <w:rPr>
              <w:rFonts w:ascii="Times New Roman" w:eastAsia="Calibri" w:hAnsi="Times New Roman"/>
              <w:noProof/>
              <w:sz w:val="24"/>
              <w:lang w:eastAsia="en-GB"/>
            </w:rPr>
            <w:t>Regarding the question of extending the protection of the rules to semi-private network (e.g. airport, cafes etc.), the authority underlined the need to ensure that the rules should be adjusted so that they d</w:t>
          </w:r>
          <w:r>
            <w:rPr>
              <w:rFonts w:ascii="Times New Roman" w:eastAsia="Calibri" w:hAnsi="Times New Roman"/>
              <w:noProof/>
              <w:sz w:val="24"/>
              <w:lang w:eastAsia="en-GB"/>
            </w:rPr>
            <w:t>o not act as a detriment to the further development of non-commercial Wi-Fi-access;</w:t>
          </w:r>
        </w:p>
        <w:p w:rsidR="0077224F" w:rsidRDefault="00D973EE">
          <w:pPr>
            <w:numPr>
              <w:ilvl w:val="0"/>
              <w:numId w:val="67"/>
            </w:numPr>
            <w:autoSpaceDE w:val="0"/>
            <w:autoSpaceDN w:val="0"/>
            <w:adjustRightInd w:val="0"/>
            <w:spacing w:before="0" w:after="240"/>
            <w:rPr>
              <w:rFonts w:ascii="Times New Roman" w:eastAsia="Calibri" w:hAnsi="Times New Roman"/>
              <w:noProof/>
              <w:sz w:val="24"/>
              <w:lang w:eastAsia="en-GB"/>
            </w:rPr>
          </w:pPr>
          <w:r>
            <w:rPr>
              <w:rFonts w:ascii="Times New Roman" w:eastAsia="Calibri" w:hAnsi="Times New Roman"/>
              <w:noProof/>
              <w:sz w:val="24"/>
              <w:lang w:eastAsia="en-GB"/>
            </w:rPr>
            <w:t>Regarding Article 5.3 the authority underlines that the current system does not allow a meaningful consent and that the rules need to be revised and focus more on the purpo</w:t>
          </w:r>
          <w:r>
            <w:rPr>
              <w:rFonts w:ascii="Times New Roman" w:eastAsia="Calibri" w:hAnsi="Times New Roman"/>
              <w:noProof/>
              <w:sz w:val="24"/>
              <w:lang w:eastAsia="en-GB"/>
            </w:rPr>
            <w:t>se of tracking rather than on the access and storing of information.</w:t>
          </w:r>
        </w:p>
        <w:p w:rsidR="0077224F" w:rsidRDefault="00D973EE">
          <w:pPr>
            <w:keepNext/>
            <w:tabs>
              <w:tab w:val="left" w:pos="850"/>
            </w:tabs>
            <w:ind w:left="1700" w:hanging="850"/>
            <w:outlineLvl w:val="2"/>
            <w:rPr>
              <w:rFonts w:ascii="Times New Roman" w:eastAsia="Times New Roman" w:hAnsi="Times New Roman"/>
              <w:i/>
              <w:noProof/>
              <w:sz w:val="24"/>
              <w:lang w:eastAsia="en-GB"/>
            </w:rPr>
          </w:pPr>
          <w:bookmarkStart w:id="222" w:name="_Toc460847395"/>
          <w:bookmarkStart w:id="223" w:name="_Toc460847703"/>
          <w:bookmarkStart w:id="224" w:name="_Toc460847785"/>
          <w:bookmarkStart w:id="225" w:name="_Toc460848151"/>
          <w:bookmarkStart w:id="226" w:name="_Toc460848695"/>
          <w:bookmarkStart w:id="227" w:name="_Toc460923269"/>
          <w:bookmarkStart w:id="228" w:name="_Toc460927072"/>
          <w:bookmarkStart w:id="229" w:name="_Toc460927874"/>
          <w:bookmarkStart w:id="230" w:name="_Toc468453408"/>
          <w:bookmarkStart w:id="231" w:name="_Toc468455308"/>
          <w:bookmarkStart w:id="232" w:name="_Toc468790025"/>
          <w:bookmarkStart w:id="233" w:name="_Toc468794857"/>
          <w:bookmarkStart w:id="234" w:name="_Toc468795165"/>
          <w:r>
            <w:rPr>
              <w:rFonts w:ascii="Times New Roman" w:eastAsia="Times New Roman" w:hAnsi="Times New Roman"/>
              <w:i/>
              <w:noProof/>
              <w:sz w:val="24"/>
              <w:lang w:eastAsia="en-GB"/>
            </w:rPr>
            <w:t>3.3.6. Workshops and meetings with stakeholders</w:t>
          </w:r>
          <w:bookmarkEnd w:id="222"/>
          <w:bookmarkEnd w:id="223"/>
          <w:bookmarkEnd w:id="224"/>
          <w:bookmarkEnd w:id="225"/>
          <w:bookmarkEnd w:id="226"/>
          <w:bookmarkEnd w:id="227"/>
          <w:bookmarkEnd w:id="228"/>
          <w:bookmarkEnd w:id="229"/>
          <w:bookmarkEnd w:id="230"/>
          <w:bookmarkEnd w:id="231"/>
          <w:bookmarkEnd w:id="232"/>
          <w:bookmarkEnd w:id="233"/>
          <w:bookmarkEnd w:id="234"/>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 xml:space="preserve">The European Commission organised </w:t>
          </w:r>
          <w:r>
            <w:rPr>
              <w:rFonts w:ascii="Times New Roman" w:eastAsia="Times New Roman" w:hAnsi="Times New Roman"/>
              <w:b/>
              <w:noProof/>
              <w:sz w:val="24"/>
              <w:lang w:eastAsia="en-GB"/>
            </w:rPr>
            <w:t>two workshops</w:t>
          </w:r>
          <w:r>
            <w:rPr>
              <w:rFonts w:ascii="Times New Roman" w:eastAsia="Times New Roman" w:hAnsi="Times New Roman"/>
              <w:noProof/>
              <w:sz w:val="24"/>
              <w:lang w:eastAsia="en-GB"/>
            </w:rPr>
            <w:t xml:space="preserve"> in April 2016 to collect further views of stakeholders, using participatory techniques. </w:t>
          </w:r>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Th</w:t>
          </w:r>
          <w:r>
            <w:rPr>
              <w:rFonts w:ascii="Times New Roman" w:eastAsia="Times New Roman" w:hAnsi="Times New Roman"/>
              <w:noProof/>
              <w:sz w:val="24"/>
              <w:lang w:eastAsia="en-GB"/>
            </w:rPr>
            <w:t xml:space="preserve">e </w:t>
          </w:r>
          <w:r>
            <w:rPr>
              <w:rFonts w:ascii="Times New Roman" w:eastAsia="Times New Roman" w:hAnsi="Times New Roman"/>
              <w:b/>
              <w:noProof/>
              <w:sz w:val="24"/>
              <w:lang w:eastAsia="en-GB"/>
            </w:rPr>
            <w:t>first workshop</w:t>
          </w:r>
          <w:r>
            <w:rPr>
              <w:rFonts w:ascii="Times New Roman" w:eastAsia="Times New Roman" w:hAnsi="Times New Roman"/>
              <w:noProof/>
              <w:sz w:val="24"/>
              <w:lang w:eastAsia="en-GB"/>
            </w:rPr>
            <w:t xml:space="preserve"> was open to all stakeholders and took place on 12 April. There were around 120 participants, representing industry, competent authorities and civil society. The main views that were expressed are summarised below:</w:t>
          </w:r>
        </w:p>
        <w:p w:rsidR="0077224F" w:rsidRDefault="00D973EE">
          <w:pPr>
            <w:numPr>
              <w:ilvl w:val="0"/>
              <w:numId w:val="67"/>
            </w:numPr>
            <w:autoSpaceDE w:val="0"/>
            <w:autoSpaceDN w:val="0"/>
            <w:adjustRightInd w:val="0"/>
            <w:spacing w:before="0" w:after="240"/>
            <w:rPr>
              <w:rFonts w:ascii="Times New Roman" w:eastAsia="Calibri" w:hAnsi="Times New Roman"/>
              <w:bCs/>
              <w:noProof/>
              <w:sz w:val="24"/>
              <w:lang w:eastAsia="en-GB"/>
            </w:rPr>
          </w:pPr>
          <w:r>
            <w:rPr>
              <w:rFonts w:ascii="Times New Roman" w:eastAsia="Calibri" w:hAnsi="Times New Roman"/>
              <w:bCs/>
              <w:noProof/>
              <w:sz w:val="24"/>
              <w:lang w:eastAsia="en-GB"/>
            </w:rPr>
            <w:t xml:space="preserve">Representatives of the </w:t>
          </w:r>
          <w:r>
            <w:rPr>
              <w:rFonts w:ascii="Times New Roman" w:eastAsia="Calibri" w:hAnsi="Times New Roman"/>
              <w:bCs/>
              <w:noProof/>
              <w:sz w:val="24"/>
              <w:lang w:eastAsia="en-GB"/>
            </w:rPr>
            <w:t>telecom industry argued for the need to push for the economic growth, emphasising job opportunities and innovation by removing specific provisions of the ePD, such as those on traffic and location data;</w:t>
          </w:r>
          <w:r>
            <w:rPr>
              <w:rFonts w:ascii="Times New Roman" w:eastAsia="Calibri" w:hAnsi="Times New Roman"/>
              <w:noProof/>
              <w:sz w:val="24"/>
              <w:lang w:eastAsia="en-GB"/>
            </w:rPr>
            <w:t xml:space="preserve"> </w:t>
          </w:r>
        </w:p>
        <w:p w:rsidR="0077224F" w:rsidRDefault="00D973EE">
          <w:pPr>
            <w:numPr>
              <w:ilvl w:val="0"/>
              <w:numId w:val="67"/>
            </w:numPr>
            <w:autoSpaceDE w:val="0"/>
            <w:autoSpaceDN w:val="0"/>
            <w:adjustRightInd w:val="0"/>
            <w:spacing w:before="0" w:after="240"/>
            <w:rPr>
              <w:rFonts w:ascii="Times New Roman" w:eastAsia="Calibri" w:hAnsi="Times New Roman"/>
              <w:bCs/>
              <w:noProof/>
              <w:sz w:val="24"/>
              <w:lang w:eastAsia="en-GB"/>
            </w:rPr>
          </w:pPr>
          <w:r>
            <w:rPr>
              <w:rFonts w:ascii="Times New Roman" w:eastAsia="Calibri" w:hAnsi="Times New Roman"/>
              <w:bCs/>
              <w:noProof/>
              <w:sz w:val="24"/>
              <w:lang w:eastAsia="en-GB"/>
            </w:rPr>
            <w:t>Representatives from the OTT industry underlined the</w:t>
          </w:r>
          <w:r>
            <w:rPr>
              <w:rFonts w:ascii="Times New Roman" w:eastAsia="Calibri" w:hAnsi="Times New Roman"/>
              <w:bCs/>
              <w:noProof/>
              <w:sz w:val="24"/>
              <w:lang w:eastAsia="en-GB"/>
            </w:rPr>
            <w:t xml:space="preserve"> difficulties for these companies operating across border to comply with different national rules on access to communications by law enforcement authorities; </w:t>
          </w:r>
        </w:p>
        <w:p w:rsidR="0077224F" w:rsidRDefault="00D973EE">
          <w:pPr>
            <w:numPr>
              <w:ilvl w:val="0"/>
              <w:numId w:val="67"/>
            </w:numPr>
            <w:autoSpaceDE w:val="0"/>
            <w:autoSpaceDN w:val="0"/>
            <w:adjustRightInd w:val="0"/>
            <w:spacing w:before="0" w:after="240"/>
            <w:rPr>
              <w:rFonts w:ascii="Times New Roman" w:eastAsia="Calibri" w:hAnsi="Times New Roman"/>
              <w:bCs/>
              <w:noProof/>
              <w:sz w:val="24"/>
              <w:lang w:eastAsia="en-GB"/>
            </w:rPr>
          </w:pPr>
          <w:r>
            <w:rPr>
              <w:rFonts w:ascii="Times New Roman" w:eastAsia="Calibri" w:hAnsi="Times New Roman"/>
              <w:bCs/>
              <w:noProof/>
              <w:sz w:val="24"/>
              <w:lang w:eastAsia="en-GB"/>
            </w:rPr>
            <w:t>Representatives from consumer organizations argued for keeping the requirement for user consent o</w:t>
          </w:r>
          <w:r>
            <w:rPr>
              <w:rFonts w:ascii="Times New Roman" w:eastAsia="Calibri" w:hAnsi="Times New Roman"/>
              <w:bCs/>
              <w:noProof/>
              <w:sz w:val="24"/>
              <w:lang w:eastAsia="en-GB"/>
            </w:rPr>
            <w:t>n tracking, location and traffic data while promoting privacy by design/default;</w:t>
          </w:r>
        </w:p>
        <w:p w:rsidR="0077224F" w:rsidRDefault="00D973EE">
          <w:pPr>
            <w:numPr>
              <w:ilvl w:val="0"/>
              <w:numId w:val="67"/>
            </w:numPr>
            <w:autoSpaceDE w:val="0"/>
            <w:autoSpaceDN w:val="0"/>
            <w:adjustRightInd w:val="0"/>
            <w:spacing w:before="0" w:after="240"/>
            <w:rPr>
              <w:rFonts w:ascii="Times New Roman" w:eastAsia="Calibri" w:hAnsi="Times New Roman"/>
              <w:bCs/>
              <w:noProof/>
              <w:sz w:val="24"/>
              <w:lang w:eastAsia="en-GB"/>
            </w:rPr>
          </w:pPr>
          <w:r>
            <w:rPr>
              <w:rFonts w:ascii="Times New Roman" w:eastAsia="Calibri" w:hAnsi="Times New Roman"/>
              <w:bCs/>
              <w:noProof/>
              <w:sz w:val="24"/>
              <w:lang w:eastAsia="en-GB"/>
            </w:rPr>
            <w:t>Representatives from competent authorities underlined the benefit of supporting</w:t>
          </w:r>
          <w:r>
            <w:rPr>
              <w:rFonts w:ascii="Times New Roman" w:eastAsia="Calibri" w:hAnsi="Times New Roman"/>
              <w:b/>
              <w:bCs/>
              <w:noProof/>
              <w:sz w:val="24"/>
              <w:lang w:eastAsia="en-GB"/>
            </w:rPr>
            <w:t xml:space="preserve"> </w:t>
          </w:r>
          <w:r>
            <w:rPr>
              <w:rFonts w:ascii="Times New Roman" w:eastAsia="Calibri" w:hAnsi="Times New Roman"/>
              <w:bCs/>
              <w:noProof/>
              <w:sz w:val="24"/>
              <w:lang w:eastAsia="en-GB"/>
            </w:rPr>
            <w:t>user friendly measures such as Do-Not-Track (DNT) to protect privacy and called for fully harmo</w:t>
          </w:r>
          <w:r>
            <w:rPr>
              <w:rFonts w:ascii="Times New Roman" w:eastAsia="Calibri" w:hAnsi="Times New Roman"/>
              <w:bCs/>
              <w:noProof/>
              <w:sz w:val="24"/>
              <w:lang w:eastAsia="en-GB"/>
            </w:rPr>
            <w:t>nising privacy rules in a regulation;</w:t>
          </w:r>
        </w:p>
        <w:p w:rsidR="0077224F" w:rsidRDefault="00D973EE">
          <w:pPr>
            <w:numPr>
              <w:ilvl w:val="0"/>
              <w:numId w:val="67"/>
            </w:numPr>
            <w:autoSpaceDE w:val="0"/>
            <w:autoSpaceDN w:val="0"/>
            <w:adjustRightInd w:val="0"/>
            <w:spacing w:before="0" w:after="240"/>
            <w:rPr>
              <w:rFonts w:ascii="Times New Roman" w:eastAsia="Calibri" w:hAnsi="Times New Roman"/>
              <w:bCs/>
              <w:noProof/>
              <w:sz w:val="24"/>
              <w:lang w:eastAsia="en-GB"/>
            </w:rPr>
          </w:pPr>
          <w:r>
            <w:rPr>
              <w:rFonts w:ascii="Times New Roman" w:eastAsia="Calibri" w:hAnsi="Times New Roman"/>
              <w:bCs/>
              <w:noProof/>
              <w:sz w:val="24"/>
              <w:lang w:eastAsia="en-GB"/>
            </w:rPr>
            <w:t xml:space="preserve">Academics supported an extension of the ePrivacy rules to OTT services, while stressing the interdependence of privacy with other fundamental rights like the freedom of expression or right to private property. </w:t>
          </w:r>
        </w:p>
        <w:p w:rsidR="0077224F" w:rsidRDefault="00D973EE">
          <w:pPr>
            <w:autoSpaceDE w:val="0"/>
            <w:autoSpaceDN w:val="0"/>
            <w:adjustRightInd w:val="0"/>
            <w:spacing w:before="0"/>
            <w:rPr>
              <w:rFonts w:ascii="Times New Roman" w:eastAsia="Times New Roman" w:hAnsi="Times New Roman"/>
              <w:noProof/>
              <w:sz w:val="24"/>
              <w:lang w:eastAsia="en-GB"/>
            </w:rPr>
          </w:pPr>
          <w:r>
            <w:rPr>
              <w:rFonts w:ascii="Times New Roman" w:eastAsia="Calibri" w:hAnsi="Times New Roman"/>
              <w:noProof/>
              <w:sz w:val="24"/>
              <w:szCs w:val="20"/>
              <w:lang w:eastAsia="en-GB"/>
            </w:rPr>
            <w:t xml:space="preserve">The </w:t>
          </w:r>
          <w:r>
            <w:rPr>
              <w:rFonts w:ascii="Times New Roman" w:eastAsia="Times New Roman" w:hAnsi="Times New Roman"/>
              <w:b/>
              <w:noProof/>
              <w:sz w:val="24"/>
              <w:lang w:eastAsia="en-GB"/>
            </w:rPr>
            <w:t>sec</w:t>
          </w:r>
          <w:r>
            <w:rPr>
              <w:rFonts w:ascii="Times New Roman" w:eastAsia="Times New Roman" w:hAnsi="Times New Roman"/>
              <w:b/>
              <w:noProof/>
              <w:sz w:val="24"/>
              <w:lang w:eastAsia="en-GB"/>
            </w:rPr>
            <w:t>ond workshop</w:t>
          </w:r>
          <w:r>
            <w:rPr>
              <w:rFonts w:ascii="Times New Roman" w:eastAsia="Times New Roman" w:hAnsi="Times New Roman"/>
              <w:noProof/>
              <w:sz w:val="24"/>
              <w:lang w:eastAsia="en-GB"/>
            </w:rPr>
            <w:t xml:space="preserve"> gathered the </w:t>
          </w:r>
          <w:r>
            <w:rPr>
              <w:rFonts w:ascii="Times New Roman" w:eastAsia="Times New Roman" w:hAnsi="Times New Roman"/>
              <w:b/>
              <w:noProof/>
              <w:sz w:val="24"/>
              <w:lang w:eastAsia="en-GB"/>
            </w:rPr>
            <w:t>national competent authorities</w:t>
          </w:r>
          <w:r>
            <w:rPr>
              <w:rFonts w:ascii="Times New Roman" w:eastAsia="Times New Roman" w:hAnsi="Times New Roman"/>
              <w:noProof/>
              <w:sz w:val="24"/>
              <w:lang w:eastAsia="en-GB"/>
            </w:rPr>
            <w:t xml:space="preserve"> in order to receive their specific inputs to the review. The discussions focused on Article 5.3, the rules on traffic and location data, the need of a security provision and the provisions on subscri</w:t>
          </w:r>
          <w:r>
            <w:rPr>
              <w:rFonts w:ascii="Times New Roman" w:eastAsia="Times New Roman" w:hAnsi="Times New Roman"/>
              <w:noProof/>
              <w:sz w:val="24"/>
              <w:lang w:eastAsia="en-GB"/>
            </w:rPr>
            <w:t xml:space="preserve">bers directories and unsolicited communications. </w:t>
          </w:r>
          <w:r>
            <w:rPr>
              <w:rFonts w:ascii="Times New Roman" w:eastAsia="Times New Roman" w:hAnsi="Times New Roman"/>
              <w:bCs/>
              <w:noProof/>
              <w:sz w:val="24"/>
            </w:rPr>
            <w:t>At the meeting with the competent authorities of 19</w:t>
          </w:r>
          <w:r>
            <w:rPr>
              <w:rFonts w:ascii="Times New Roman" w:eastAsia="Times New Roman" w:hAnsi="Times New Roman"/>
              <w:bCs/>
              <w:noProof/>
              <w:sz w:val="24"/>
              <w:vertAlign w:val="superscript"/>
            </w:rPr>
            <w:t>th</w:t>
          </w:r>
          <w:r>
            <w:rPr>
              <w:rFonts w:ascii="Times New Roman" w:eastAsia="Times New Roman" w:hAnsi="Times New Roman"/>
              <w:bCs/>
              <w:noProof/>
              <w:sz w:val="24"/>
            </w:rPr>
            <w:t xml:space="preserve"> April no specific policy options were presented by the Commission, but it enabled national competent authorities (DPAs, NRAs or other) to give their view</w:t>
          </w:r>
          <w:r>
            <w:rPr>
              <w:rFonts w:ascii="Times New Roman" w:eastAsia="Times New Roman" w:hAnsi="Times New Roman"/>
              <w:bCs/>
              <w:noProof/>
              <w:sz w:val="24"/>
            </w:rPr>
            <w:t>s on the review and to highlight the problems they encounter. The meeting allowed them to give input at an early stage. On top of the stakeholder meeting, the Commission consulted the Article 29 Working Party, which encompasses all DPAs, and BEREC, which e</w:t>
          </w:r>
          <w:r>
            <w:rPr>
              <w:rFonts w:ascii="Times New Roman" w:eastAsia="Times New Roman" w:hAnsi="Times New Roman"/>
              <w:bCs/>
              <w:noProof/>
              <w:sz w:val="24"/>
            </w:rPr>
            <w:t>ncompasses all NRAs – the authorities of the stakeholders meeting of 19</w:t>
          </w:r>
          <w:r>
            <w:rPr>
              <w:rFonts w:ascii="Times New Roman" w:eastAsia="Times New Roman" w:hAnsi="Times New Roman"/>
              <w:bCs/>
              <w:noProof/>
              <w:sz w:val="24"/>
              <w:vertAlign w:val="superscript"/>
            </w:rPr>
            <w:t>th</w:t>
          </w:r>
          <w:r>
            <w:rPr>
              <w:rFonts w:ascii="Times New Roman" w:eastAsia="Times New Roman" w:hAnsi="Times New Roman"/>
              <w:bCs/>
              <w:noProof/>
              <w:sz w:val="24"/>
            </w:rPr>
            <w:t xml:space="preserve"> April. Both bodies gave an extensive contribution in which they presented their views on the review. A summary of these contributions, representing broadly the views of Member States</w:t>
          </w:r>
          <w:r>
            <w:rPr>
              <w:rFonts w:ascii="Times New Roman" w:eastAsia="Times New Roman" w:hAnsi="Times New Roman"/>
              <w:bCs/>
              <w:noProof/>
              <w:sz w:val="24"/>
            </w:rPr>
            <w:t>, is provided above.</w:t>
          </w:r>
        </w:p>
        <w:p w:rsidR="0077224F" w:rsidRDefault="00D973EE">
          <w:pPr>
            <w:keepNext/>
            <w:tabs>
              <w:tab w:val="left" w:pos="850"/>
            </w:tabs>
            <w:ind w:left="850" w:hanging="850"/>
            <w:outlineLvl w:val="1"/>
            <w:rPr>
              <w:rFonts w:ascii="Times New Roman" w:eastAsia="Times New Roman" w:hAnsi="Times New Roman"/>
              <w:b/>
              <w:noProof/>
              <w:sz w:val="24"/>
              <w:lang w:eastAsia="en-GB"/>
            </w:rPr>
          </w:pPr>
          <w:bookmarkStart w:id="235" w:name="_Toc460847396"/>
          <w:bookmarkStart w:id="236" w:name="_Toc460847704"/>
          <w:bookmarkStart w:id="237" w:name="_Toc460847786"/>
          <w:bookmarkStart w:id="238" w:name="_Toc460848152"/>
          <w:bookmarkStart w:id="239" w:name="_Toc460848696"/>
          <w:bookmarkStart w:id="240" w:name="_Toc460923270"/>
          <w:bookmarkStart w:id="241" w:name="_Toc460927073"/>
          <w:bookmarkStart w:id="242" w:name="_Toc460927875"/>
          <w:bookmarkStart w:id="243" w:name="_Toc468453409"/>
          <w:bookmarkStart w:id="244" w:name="_Toc468455309"/>
          <w:bookmarkStart w:id="245" w:name="_Toc468790026"/>
          <w:bookmarkStart w:id="246" w:name="_Toc468794858"/>
          <w:bookmarkStart w:id="247" w:name="_Toc468795166"/>
          <w:r>
            <w:rPr>
              <w:rFonts w:ascii="Times New Roman" w:eastAsia="Times New Roman" w:hAnsi="Times New Roman"/>
              <w:b/>
              <w:noProof/>
              <w:sz w:val="24"/>
              <w:lang w:eastAsia="en-GB"/>
            </w:rPr>
            <w:t>3.4. The Eurobarometer on e-Privacy</w:t>
          </w:r>
          <w:bookmarkEnd w:id="235"/>
          <w:bookmarkEnd w:id="236"/>
          <w:bookmarkEnd w:id="237"/>
          <w:bookmarkEnd w:id="238"/>
          <w:bookmarkEnd w:id="239"/>
          <w:bookmarkEnd w:id="240"/>
          <w:bookmarkEnd w:id="241"/>
          <w:bookmarkEnd w:id="242"/>
          <w:bookmarkEnd w:id="243"/>
          <w:bookmarkEnd w:id="244"/>
          <w:bookmarkEnd w:id="245"/>
          <w:bookmarkEnd w:id="246"/>
          <w:bookmarkEnd w:id="247"/>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Between the 7</w:t>
          </w:r>
          <w:r>
            <w:rPr>
              <w:rFonts w:ascii="Times New Roman" w:eastAsia="Times New Roman" w:hAnsi="Times New Roman"/>
              <w:noProof/>
              <w:sz w:val="24"/>
              <w:vertAlign w:val="superscript"/>
              <w:lang w:eastAsia="en-GB"/>
            </w:rPr>
            <w:t>th</w:t>
          </w:r>
          <w:r>
            <w:rPr>
              <w:rFonts w:ascii="Times New Roman" w:eastAsia="Times New Roman" w:hAnsi="Times New Roman"/>
              <w:noProof/>
              <w:sz w:val="24"/>
              <w:lang w:eastAsia="en-GB"/>
            </w:rPr>
            <w:t xml:space="preserve"> and 8</w:t>
          </w:r>
          <w:r>
            <w:rPr>
              <w:rFonts w:ascii="Times New Roman" w:eastAsia="Times New Roman" w:hAnsi="Times New Roman"/>
              <w:noProof/>
              <w:sz w:val="24"/>
              <w:vertAlign w:val="superscript"/>
              <w:lang w:eastAsia="en-GB"/>
            </w:rPr>
            <w:t>th</w:t>
          </w:r>
          <w:r>
            <w:rPr>
              <w:rFonts w:ascii="Times New Roman" w:eastAsia="Times New Roman" w:hAnsi="Times New Roman"/>
              <w:noProof/>
              <w:sz w:val="24"/>
              <w:lang w:eastAsia="en-GB"/>
            </w:rPr>
            <w:t xml:space="preserve"> July 2016, around 27,000 citizens from different social and demographic groups were interviewed throughout the EU via telephone (mobile and fixed line) on questions related to the protection of their privacy. Below is a summary of the results of this Euro</w:t>
          </w:r>
          <w:r>
            <w:rPr>
              <w:rFonts w:ascii="Times New Roman" w:eastAsia="Times New Roman" w:hAnsi="Times New Roman"/>
              <w:noProof/>
              <w:sz w:val="24"/>
              <w:lang w:eastAsia="en-GB"/>
            </w:rPr>
            <w:t>barometer survey</w:t>
          </w:r>
          <w:r>
            <w:rPr>
              <w:rFonts w:ascii="Times New Roman" w:eastAsia="Times New Roman" w:hAnsi="Times New Roman"/>
              <w:noProof/>
              <w:sz w:val="24"/>
              <w:vertAlign w:val="superscript"/>
              <w:lang w:eastAsia="en-GB"/>
            </w:rPr>
            <w:footnoteReference w:id="25"/>
          </w:r>
          <w:r>
            <w:rPr>
              <w:rFonts w:ascii="Times New Roman" w:eastAsia="Times New Roman" w:hAnsi="Times New Roman"/>
              <w:noProof/>
              <w:sz w:val="24"/>
              <w:lang w:eastAsia="en-GB"/>
            </w:rPr>
            <w:t>.</w:t>
          </w:r>
        </w:p>
        <w:p w:rsidR="0077224F" w:rsidRDefault="00D973EE">
          <w:pPr>
            <w:spacing w:before="0"/>
            <w:rPr>
              <w:rFonts w:ascii="Times New Roman" w:eastAsia="Times New Roman" w:hAnsi="Times New Roman"/>
              <w:noProof/>
              <w:sz w:val="24"/>
              <w:u w:val="single"/>
              <w:lang w:eastAsia="en-GB"/>
            </w:rPr>
          </w:pPr>
          <w:r>
            <w:rPr>
              <w:rFonts w:ascii="Times New Roman" w:eastAsia="Times New Roman" w:hAnsi="Times New Roman"/>
              <w:noProof/>
              <w:sz w:val="24"/>
              <w:u w:val="single"/>
              <w:lang w:eastAsia="en-GB"/>
            </w:rPr>
            <w:t>Citizens' use of tools to protect their privacy online:</w:t>
          </w:r>
        </w:p>
        <w:p w:rsidR="0077224F" w:rsidRDefault="00D973EE">
          <w:pPr>
            <w:numPr>
              <w:ilvl w:val="0"/>
              <w:numId w:val="64"/>
            </w:numPr>
            <w:spacing w:before="0" w:after="240"/>
            <w:rPr>
              <w:rFonts w:ascii="Times New Roman" w:eastAsia="Times New Roman" w:hAnsi="Times New Roman"/>
              <w:noProof/>
              <w:sz w:val="24"/>
              <w:lang w:eastAsia="en-GB"/>
            </w:rPr>
          </w:pPr>
          <w:r>
            <w:rPr>
              <w:rFonts w:ascii="Times New Roman" w:eastAsia="Times New Roman" w:hAnsi="Times New Roman"/>
              <w:noProof/>
              <w:sz w:val="24"/>
              <w:lang w:eastAsia="en-GB"/>
            </w:rPr>
            <w:t xml:space="preserve">A 60% of the respondents acknowledge that they have </w:t>
          </w:r>
          <w:r>
            <w:rPr>
              <w:rFonts w:ascii="Times New Roman" w:eastAsia="Times New Roman" w:hAnsi="Times New Roman"/>
              <w:noProof/>
              <w:sz w:val="24"/>
              <w:lang w:val="en-US" w:eastAsia="en-GB"/>
            </w:rPr>
            <w:t>changed their privacy settings of their internet browser for instance to delete browsing history or delete cookies;</w:t>
          </w:r>
          <w:r>
            <w:rPr>
              <w:rFonts w:ascii="Times New Roman" w:eastAsia="Times New Roman" w:hAnsi="Times New Roman"/>
              <w:noProof/>
              <w:sz w:val="24"/>
              <w:lang w:eastAsia="en-GB"/>
            </w:rPr>
            <w:t xml:space="preserve"> </w:t>
          </w:r>
        </w:p>
        <w:p w:rsidR="0077224F" w:rsidRDefault="00D973EE">
          <w:pPr>
            <w:numPr>
              <w:ilvl w:val="0"/>
              <w:numId w:val="64"/>
            </w:numPr>
            <w:spacing w:before="0" w:after="240"/>
            <w:rPr>
              <w:rFonts w:ascii="Times New Roman" w:eastAsia="Times New Roman" w:hAnsi="Times New Roman"/>
              <w:noProof/>
              <w:sz w:val="24"/>
              <w:lang w:eastAsia="en-GB"/>
            </w:rPr>
          </w:pPr>
          <w:r>
            <w:rPr>
              <w:rFonts w:ascii="Times New Roman" w:eastAsia="Times New Roman" w:hAnsi="Times New Roman"/>
              <w:noProof/>
              <w:sz w:val="24"/>
              <w:lang w:eastAsia="en-GB"/>
            </w:rPr>
            <w:t>41% of respo</w:t>
          </w:r>
          <w:r>
            <w:rPr>
              <w:rFonts w:ascii="Times New Roman" w:eastAsia="Times New Roman" w:hAnsi="Times New Roman"/>
              <w:noProof/>
              <w:sz w:val="24"/>
              <w:lang w:eastAsia="en-GB"/>
            </w:rPr>
            <w:t xml:space="preserve">ndents avoid certain websites because they are worried their online activities would be monitored while roughly a third of the respondents acknowledge using software that protects them from seeing online adverts and/or being monitored online. </w:t>
          </w:r>
        </w:p>
        <w:p w:rsidR="0077224F" w:rsidRDefault="00D973EE">
          <w:pPr>
            <w:spacing w:before="0"/>
            <w:rPr>
              <w:rFonts w:ascii="Times New Roman" w:eastAsia="Times New Roman" w:hAnsi="Times New Roman"/>
              <w:b/>
              <w:i/>
              <w:noProof/>
              <w:sz w:val="24"/>
              <w:lang w:eastAsia="en-GB"/>
            </w:rPr>
          </w:pPr>
          <w:r>
            <w:rPr>
              <w:rFonts w:ascii="Times New Roman" w:eastAsia="Times New Roman" w:hAnsi="Times New Roman"/>
              <w:noProof/>
              <w:sz w:val="24"/>
              <w:u w:val="single"/>
              <w:lang w:eastAsia="en-GB"/>
            </w:rPr>
            <w:t>Citizens' as</w:t>
          </w:r>
          <w:r>
            <w:rPr>
              <w:rFonts w:ascii="Times New Roman" w:eastAsia="Times New Roman" w:hAnsi="Times New Roman"/>
              <w:noProof/>
              <w:sz w:val="24"/>
              <w:u w:val="single"/>
              <w:lang w:eastAsia="en-GB"/>
            </w:rPr>
            <w:t>sessment of importance of measures protecting their privacy online and confidentiality of their communication</w:t>
          </w:r>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More than nine in ten respondents throughout the EU consider the following as important:</w:t>
          </w:r>
        </w:p>
        <w:p w:rsidR="0077224F" w:rsidRDefault="00D973EE">
          <w:pPr>
            <w:numPr>
              <w:ilvl w:val="0"/>
              <w:numId w:val="65"/>
            </w:numPr>
            <w:spacing w:before="0" w:after="240"/>
            <w:rPr>
              <w:rFonts w:ascii="Times New Roman" w:eastAsia="Times New Roman" w:hAnsi="Times New Roman"/>
              <w:noProof/>
              <w:sz w:val="24"/>
              <w:lang w:eastAsia="en-GB"/>
            </w:rPr>
          </w:pPr>
          <w:r>
            <w:rPr>
              <w:rFonts w:ascii="Times New Roman" w:eastAsia="Times New Roman" w:hAnsi="Times New Roman"/>
              <w:noProof/>
              <w:sz w:val="24"/>
              <w:lang w:eastAsia="en-GB"/>
            </w:rPr>
            <w:t>Personal information (e.g. photos, calendar, contacts) on</w:t>
          </w:r>
          <w:r>
            <w:rPr>
              <w:rFonts w:ascii="Times New Roman" w:eastAsia="Times New Roman" w:hAnsi="Times New Roman"/>
              <w:noProof/>
              <w:sz w:val="24"/>
              <w:lang w:eastAsia="en-GB"/>
            </w:rPr>
            <w:t xml:space="preserve"> their computer, smartphone or tablet can only be accessed with their permission</w:t>
          </w:r>
          <w:r>
            <w:rPr>
              <w:rFonts w:ascii="Times New Roman" w:eastAsia="Times New Roman" w:hAnsi="Times New Roman"/>
              <w:noProof/>
              <w:sz w:val="24"/>
              <w:vertAlign w:val="superscript"/>
              <w:lang w:eastAsia="en-GB"/>
            </w:rPr>
            <w:footnoteReference w:id="26"/>
          </w:r>
          <w:r>
            <w:rPr>
              <w:rFonts w:ascii="Times New Roman" w:eastAsia="Times New Roman" w:hAnsi="Times New Roman"/>
              <w:noProof/>
              <w:sz w:val="24"/>
              <w:lang w:eastAsia="en-GB"/>
            </w:rPr>
            <w:t>;</w:t>
          </w:r>
        </w:p>
        <w:p w:rsidR="0077224F" w:rsidRDefault="00D973EE">
          <w:pPr>
            <w:numPr>
              <w:ilvl w:val="0"/>
              <w:numId w:val="65"/>
            </w:numPr>
            <w:spacing w:before="0" w:after="240"/>
            <w:rPr>
              <w:rFonts w:ascii="Times New Roman" w:eastAsia="Times New Roman" w:hAnsi="Times New Roman"/>
              <w:noProof/>
              <w:sz w:val="24"/>
              <w:lang w:eastAsia="en-GB"/>
            </w:rPr>
          </w:pPr>
          <w:r>
            <w:rPr>
              <w:rFonts w:ascii="Times New Roman" w:eastAsia="Times New Roman" w:hAnsi="Times New Roman"/>
              <w:noProof/>
              <w:sz w:val="24"/>
              <w:lang w:eastAsia="en-GB"/>
            </w:rPr>
            <w:t>The confidentiality of their emails and online instant messaging is guaranteed</w:t>
          </w:r>
          <w:r>
            <w:rPr>
              <w:rFonts w:ascii="Times New Roman" w:eastAsia="Times New Roman" w:hAnsi="Times New Roman"/>
              <w:noProof/>
              <w:sz w:val="24"/>
              <w:vertAlign w:val="superscript"/>
              <w:lang w:eastAsia="en-GB"/>
            </w:rPr>
            <w:footnoteReference w:id="27"/>
          </w:r>
          <w:r>
            <w:rPr>
              <w:rFonts w:ascii="Times New Roman" w:eastAsia="Times New Roman" w:hAnsi="Times New Roman"/>
              <w:noProof/>
              <w:sz w:val="24"/>
              <w:lang w:eastAsia="en-GB"/>
            </w:rPr>
            <w:t>;</w:t>
          </w:r>
        </w:p>
        <w:p w:rsidR="0077224F" w:rsidRDefault="00D973EE">
          <w:pPr>
            <w:numPr>
              <w:ilvl w:val="0"/>
              <w:numId w:val="65"/>
            </w:numPr>
            <w:spacing w:before="0" w:after="240"/>
            <w:rPr>
              <w:rFonts w:ascii="Times New Roman" w:eastAsia="Times New Roman" w:hAnsi="Times New Roman"/>
              <w:noProof/>
              <w:sz w:val="24"/>
              <w:lang w:eastAsia="en-GB"/>
            </w:rPr>
          </w:pPr>
          <w:r>
            <w:rPr>
              <w:rFonts w:ascii="Times New Roman" w:eastAsia="Times New Roman" w:hAnsi="Times New Roman"/>
              <w:noProof/>
              <w:sz w:val="24"/>
              <w:lang w:eastAsia="en-GB"/>
            </w:rPr>
            <w:t>Tools for monitoring their activities online (such as cookies) can only be used with their p</w:t>
          </w:r>
          <w:r>
            <w:rPr>
              <w:rFonts w:ascii="Times New Roman" w:eastAsia="Times New Roman" w:hAnsi="Times New Roman"/>
              <w:noProof/>
              <w:sz w:val="24"/>
              <w:lang w:eastAsia="en-GB"/>
            </w:rPr>
            <w:t>ermission</w:t>
          </w:r>
          <w:r>
            <w:rPr>
              <w:rFonts w:ascii="Times New Roman" w:eastAsia="Times New Roman" w:hAnsi="Times New Roman"/>
              <w:noProof/>
              <w:sz w:val="24"/>
              <w:vertAlign w:val="superscript"/>
              <w:lang w:eastAsia="en-GB"/>
            </w:rPr>
            <w:footnoteReference w:id="28"/>
          </w:r>
          <w:r>
            <w:rPr>
              <w:rFonts w:ascii="Times New Roman" w:eastAsia="Times New Roman" w:hAnsi="Times New Roman"/>
              <w:noProof/>
              <w:sz w:val="24"/>
              <w:lang w:eastAsia="en-GB"/>
            </w:rPr>
            <w:t>.</w:t>
          </w:r>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Almost nine in ten respondents</w:t>
          </w:r>
          <w:r>
            <w:rPr>
              <w:rFonts w:ascii="Times New Roman" w:eastAsia="Times New Roman" w:hAnsi="Times New Roman"/>
              <w:noProof/>
              <w:sz w:val="24"/>
              <w:vertAlign w:val="superscript"/>
              <w:lang w:eastAsia="en-GB"/>
            </w:rPr>
            <w:t xml:space="preserve"> </w:t>
          </w:r>
          <w:r>
            <w:rPr>
              <w:rFonts w:ascii="Times New Roman" w:eastAsia="Times New Roman" w:hAnsi="Times New Roman"/>
              <w:noProof/>
              <w:sz w:val="24"/>
              <w:lang w:eastAsia="en-GB"/>
            </w:rPr>
            <w:t xml:space="preserve">(89%) agree with the proposal that the default settings of their browser should stop their information from being shared. </w:t>
          </w:r>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Nine in ten agree they should be able to encrypt their messages and calls, so they are onl</w:t>
          </w:r>
          <w:r>
            <w:rPr>
              <w:rFonts w:ascii="Times New Roman" w:eastAsia="Times New Roman" w:hAnsi="Times New Roman"/>
              <w:noProof/>
              <w:sz w:val="24"/>
              <w:lang w:eastAsia="en-GB"/>
            </w:rPr>
            <w:t xml:space="preserve">y read by the recipient (90%), with 65% saying they totally agree with this. </w:t>
          </w:r>
        </w:p>
        <w:p w:rsidR="0077224F" w:rsidRDefault="00D973EE">
          <w:pPr>
            <w:spacing w:before="0"/>
            <w:rPr>
              <w:rFonts w:ascii="Times New Roman" w:eastAsia="Times New Roman" w:hAnsi="Times New Roman"/>
              <w:noProof/>
              <w:sz w:val="24"/>
              <w:u w:val="single"/>
              <w:lang w:eastAsia="en-GB"/>
            </w:rPr>
          </w:pPr>
          <w:r>
            <w:rPr>
              <w:rFonts w:ascii="Times New Roman" w:eastAsia="Times New Roman" w:hAnsi="Times New Roman"/>
              <w:noProof/>
              <w:sz w:val="24"/>
              <w:u w:val="single"/>
              <w:lang w:eastAsia="en-GB"/>
            </w:rPr>
            <w:t>Citizens' views on the acceptability of business models around access to information:</w:t>
          </w:r>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A strong majority of respondents do consider it not really acceptable</w:t>
          </w:r>
          <w:r>
            <w:rPr>
              <w:rFonts w:ascii="Times New Roman" w:eastAsia="Times New Roman" w:hAnsi="Times New Roman"/>
              <w:noProof/>
              <w:sz w:val="24"/>
              <w:vertAlign w:val="superscript"/>
              <w:lang w:eastAsia="en-GB"/>
            </w:rPr>
            <w:t xml:space="preserve"> </w:t>
          </w:r>
          <w:r>
            <w:rPr>
              <w:rFonts w:ascii="Times New Roman" w:eastAsia="Times New Roman" w:hAnsi="Times New Roman"/>
              <w:noProof/>
              <w:sz w:val="24"/>
              <w:lang w:eastAsia="en-GB"/>
            </w:rPr>
            <w:t>or not acceptable at a</w:t>
          </w:r>
          <w:r>
            <w:rPr>
              <w:rFonts w:ascii="Times New Roman" w:eastAsia="Times New Roman" w:hAnsi="Times New Roman"/>
              <w:noProof/>
              <w:sz w:val="24"/>
              <w:lang w:eastAsia="en-GB"/>
            </w:rPr>
            <w:t>ll to:</w:t>
          </w:r>
        </w:p>
        <w:p w:rsidR="0077224F" w:rsidRDefault="00D973EE">
          <w:pPr>
            <w:numPr>
              <w:ilvl w:val="0"/>
              <w:numId w:val="66"/>
            </w:numPr>
            <w:spacing w:before="0" w:after="240"/>
            <w:rPr>
              <w:rFonts w:ascii="Times New Roman" w:eastAsia="Times New Roman" w:hAnsi="Times New Roman"/>
              <w:noProof/>
              <w:sz w:val="24"/>
              <w:lang w:eastAsia="en-GB"/>
            </w:rPr>
          </w:pPr>
          <w:r>
            <w:rPr>
              <w:rFonts w:ascii="Times New Roman" w:eastAsia="Times New Roman" w:hAnsi="Times New Roman"/>
              <w:noProof/>
              <w:sz w:val="24"/>
              <w:lang w:eastAsia="en-GB"/>
            </w:rPr>
            <w:t>Have their online activities monitored (for example what they read, the websites they visit) in exchange for unrestricted access to a certain website (i.e. 67%);</w:t>
          </w:r>
        </w:p>
        <w:p w:rsidR="0077224F" w:rsidRDefault="00D973EE">
          <w:pPr>
            <w:numPr>
              <w:ilvl w:val="0"/>
              <w:numId w:val="66"/>
            </w:numPr>
            <w:spacing w:before="0" w:after="240"/>
            <w:rPr>
              <w:rFonts w:ascii="Times New Roman" w:eastAsia="Times New Roman" w:hAnsi="Times New Roman"/>
              <w:noProof/>
              <w:sz w:val="24"/>
              <w:lang w:eastAsia="en-GB"/>
            </w:rPr>
          </w:pPr>
          <w:r>
            <w:rPr>
              <w:rFonts w:ascii="Times New Roman" w:eastAsia="Times New Roman" w:hAnsi="Times New Roman"/>
              <w:noProof/>
              <w:sz w:val="24"/>
              <w:lang w:eastAsia="en-GB"/>
            </w:rPr>
            <w:t xml:space="preserve">Have companies sharing information about them without their permission (even) if this </w:t>
          </w:r>
          <w:r>
            <w:rPr>
              <w:rFonts w:ascii="Times New Roman" w:eastAsia="Times New Roman" w:hAnsi="Times New Roman"/>
              <w:noProof/>
              <w:sz w:val="24"/>
              <w:lang w:eastAsia="en-GB"/>
            </w:rPr>
            <w:t>helps these companies to provide them with new services they may like (i.e. 71%).</w:t>
          </w:r>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76% of respondents do not want to pay as an alternative not to be monitored when being on a website.</w:t>
          </w:r>
        </w:p>
        <w:p w:rsidR="0077224F" w:rsidRDefault="00D973EE">
          <w:pPr>
            <w:spacing w:before="0"/>
            <w:rPr>
              <w:rFonts w:ascii="Times New Roman" w:eastAsia="Times New Roman" w:hAnsi="Times New Roman"/>
              <w:noProof/>
              <w:sz w:val="24"/>
              <w:u w:val="single"/>
              <w:lang w:eastAsia="en-GB"/>
            </w:rPr>
          </w:pPr>
          <w:r>
            <w:rPr>
              <w:rFonts w:ascii="Times New Roman" w:eastAsia="Times New Roman" w:hAnsi="Times New Roman"/>
              <w:noProof/>
              <w:sz w:val="24"/>
              <w:u w:val="single"/>
              <w:lang w:eastAsia="en-GB"/>
            </w:rPr>
            <w:t>Citizens' views on unsolicited communications</w:t>
          </w:r>
        </w:p>
        <w:p w:rsidR="0077224F" w:rsidRDefault="00D973EE">
          <w:pPr>
            <w:numPr>
              <w:ilvl w:val="0"/>
              <w:numId w:val="66"/>
            </w:numPr>
            <w:spacing w:before="0" w:after="240"/>
            <w:rPr>
              <w:rFonts w:ascii="Times New Roman" w:eastAsia="Times New Roman" w:hAnsi="Times New Roman"/>
              <w:noProof/>
              <w:sz w:val="24"/>
              <w:lang w:eastAsia="en-GB"/>
            </w:rPr>
          </w:pPr>
          <w:r>
            <w:rPr>
              <w:rFonts w:ascii="Times New Roman" w:eastAsia="Times New Roman" w:hAnsi="Times New Roman"/>
              <w:noProof/>
              <w:sz w:val="24"/>
              <w:lang w:eastAsia="en-GB"/>
            </w:rPr>
            <w:t xml:space="preserve">61% of respondents agree </w:t>
          </w:r>
          <w:r>
            <w:rPr>
              <w:rFonts w:ascii="Times New Roman" w:eastAsia="Times New Roman" w:hAnsi="Times New Roman"/>
              <w:noProof/>
              <w:sz w:val="24"/>
              <w:lang w:eastAsia="en-GB"/>
            </w:rPr>
            <w:t>they receive too many unsolicited calls offering them goods or services;</w:t>
          </w:r>
        </w:p>
        <w:p w:rsidR="0077224F" w:rsidRDefault="00D973EE">
          <w:pPr>
            <w:numPr>
              <w:ilvl w:val="0"/>
              <w:numId w:val="66"/>
            </w:numPr>
            <w:spacing w:before="0" w:after="240"/>
            <w:rPr>
              <w:rFonts w:ascii="Times New Roman" w:eastAsia="Times New Roman" w:hAnsi="Times New Roman"/>
              <w:noProof/>
              <w:sz w:val="24"/>
              <w:lang w:eastAsia="en-GB"/>
            </w:rPr>
          </w:pPr>
          <w:r>
            <w:rPr>
              <w:rFonts w:ascii="Times New Roman" w:eastAsia="Times New Roman" w:hAnsi="Times New Roman"/>
              <w:noProof/>
              <w:sz w:val="24"/>
              <w:lang w:eastAsia="en-GB"/>
            </w:rPr>
            <w:t>Respondents in the UK (78%), Italy (76%) and France (74%) are the most likely to agree they receive too many unsolicited calls offering them goods or services, where the regime of the</w:t>
          </w:r>
          <w:r>
            <w:rPr>
              <w:rFonts w:ascii="Times New Roman" w:eastAsia="Times New Roman" w:hAnsi="Times New Roman"/>
              <w:noProof/>
              <w:sz w:val="24"/>
              <w:lang w:eastAsia="en-GB"/>
            </w:rPr>
            <w:t>se calls is under opt-out;</w:t>
          </w:r>
        </w:p>
        <w:p w:rsidR="0077224F" w:rsidRDefault="00D973EE">
          <w:pPr>
            <w:numPr>
              <w:ilvl w:val="0"/>
              <w:numId w:val="66"/>
            </w:numPr>
            <w:spacing w:before="0" w:after="240"/>
            <w:rPr>
              <w:rFonts w:ascii="Times New Roman" w:eastAsia="Times New Roman" w:hAnsi="Times New Roman"/>
              <w:noProof/>
              <w:sz w:val="24"/>
              <w:lang w:eastAsia="en-GB"/>
            </w:rPr>
          </w:pPr>
          <w:r>
            <w:rPr>
              <w:rFonts w:ascii="Times New Roman" w:eastAsia="Times New Roman" w:hAnsi="Times New Roman"/>
              <w:noProof/>
              <w:sz w:val="24"/>
              <w:lang w:eastAsia="en-GB"/>
            </w:rPr>
            <w:t>Respondents who use a landline or mobile phone were asked their preferred approach for people telephoning them to sell goods or services</w:t>
          </w:r>
          <w:r>
            <w:rPr>
              <w:rFonts w:ascii="Times New Roman" w:eastAsia="Times New Roman" w:hAnsi="Times New Roman"/>
              <w:noProof/>
              <w:sz w:val="24"/>
              <w:lang w:eastAsia="en-GB"/>
            </w:rPr>
            <w:footnoteReference w:id="29"/>
          </w:r>
          <w:r>
            <w:rPr>
              <w:rFonts w:ascii="Times New Roman" w:eastAsia="Times New Roman" w:hAnsi="Times New Roman"/>
              <w:noProof/>
              <w:sz w:val="24"/>
              <w:lang w:eastAsia="en-GB"/>
            </w:rPr>
            <w:t xml:space="preserve">. The majority of respondents think commercial calls should always display a special prefix </w:t>
          </w:r>
          <w:r>
            <w:rPr>
              <w:rFonts w:ascii="Times New Roman" w:eastAsia="Times New Roman" w:hAnsi="Times New Roman"/>
              <w:noProof/>
              <w:sz w:val="24"/>
              <w:lang w:eastAsia="en-GB"/>
            </w:rPr>
            <w:t xml:space="preserve">(59%), while just over one in five (22%) think these calls should be allowed as long as they display their phone number. </w:t>
          </w:r>
        </w:p>
        <w:p w:rsidR="0077224F" w:rsidRDefault="0077224F">
          <w:pPr>
            <w:spacing w:before="0"/>
            <w:rPr>
              <w:rFonts w:ascii="Times New Roman" w:eastAsia="Times New Roman" w:hAnsi="Times New Roman"/>
              <w:noProof/>
              <w:sz w:val="24"/>
              <w:lang w:eastAsia="en-GB"/>
            </w:rPr>
          </w:pPr>
        </w:p>
        <w:p w:rsidR="0077224F" w:rsidRDefault="0077224F">
          <w:pPr>
            <w:spacing w:before="0"/>
            <w:rPr>
              <w:rFonts w:ascii="Times New Roman" w:eastAsia="Times New Roman" w:hAnsi="Times New Roman"/>
              <w:noProof/>
              <w:sz w:val="24"/>
              <w:lang w:eastAsia="en-GB"/>
            </w:rPr>
          </w:pPr>
        </w:p>
        <w:p w:rsidR="0077224F" w:rsidRDefault="0077224F">
          <w:pPr>
            <w:spacing w:before="0"/>
            <w:rPr>
              <w:rFonts w:ascii="Times New Roman" w:eastAsia="Times New Roman" w:hAnsi="Times New Roman"/>
              <w:noProof/>
              <w:sz w:val="24"/>
              <w:lang w:eastAsia="en-GB"/>
            </w:rPr>
          </w:pPr>
        </w:p>
        <w:p w:rsidR="0077224F" w:rsidRDefault="0077224F">
          <w:pPr>
            <w:spacing w:before="0"/>
            <w:rPr>
              <w:rFonts w:ascii="Times New Roman" w:eastAsia="Times New Roman" w:hAnsi="Times New Roman"/>
              <w:noProof/>
              <w:sz w:val="24"/>
              <w:lang w:eastAsia="en-GB"/>
            </w:rPr>
          </w:pPr>
        </w:p>
        <w:p w:rsidR="0077224F" w:rsidRDefault="0077224F">
          <w:pPr>
            <w:spacing w:before="0"/>
            <w:rPr>
              <w:rFonts w:ascii="Times New Roman" w:eastAsia="Times New Roman" w:hAnsi="Times New Roman"/>
              <w:noProof/>
              <w:sz w:val="24"/>
              <w:lang w:eastAsia="en-GB"/>
            </w:rPr>
          </w:pPr>
        </w:p>
        <w:p w:rsidR="0077224F" w:rsidRDefault="00D973EE">
          <w:pPr>
            <w:spacing w:before="0" w:after="0"/>
            <w:jc w:val="left"/>
            <w:rPr>
              <w:rFonts w:ascii="Times New Roman" w:eastAsia="Times New Roman" w:hAnsi="Times New Roman"/>
              <w:b/>
              <w:bCs/>
              <w:smallCaps/>
              <w:noProof/>
              <w:sz w:val="28"/>
            </w:rPr>
          </w:pPr>
          <w:bookmarkStart w:id="248" w:name="_Toc433571018"/>
          <w:bookmarkStart w:id="249" w:name="_Toc450056794"/>
          <w:bookmarkStart w:id="250" w:name="_Toc468455310"/>
          <w:r>
            <w:rPr>
              <w:rFonts w:ascii="Times New Roman" w:eastAsia="Times New Roman" w:hAnsi="Times New Roman"/>
              <w:noProof/>
              <w:sz w:val="24"/>
              <w:szCs w:val="20"/>
            </w:rPr>
            <w:br w:type="page"/>
          </w:r>
        </w:p>
        <w:p w:rsidR="0077224F" w:rsidRDefault="00D973EE">
          <w:pPr>
            <w:pStyle w:val="ManualHeading1"/>
            <w:pBdr>
              <w:top w:val="single" w:sz="4" w:space="0" w:color="auto"/>
            </w:pBdr>
          </w:pPr>
          <w:bookmarkStart w:id="251" w:name="_Toc468795167"/>
          <w:r>
            <w:t xml:space="preserve">Annex 4: Legal </w:t>
          </w:r>
          <w:bookmarkEnd w:id="248"/>
          <w:bookmarkEnd w:id="249"/>
          <w:r>
            <w:t>and socio-economic context</w:t>
          </w:r>
          <w:bookmarkEnd w:id="250"/>
          <w:bookmarkEnd w:id="251"/>
        </w:p>
        <w:p w:rsidR="0077224F" w:rsidRDefault="00D973EE">
          <w:pPr>
            <w:keepNext/>
            <w:tabs>
              <w:tab w:val="left" w:pos="850"/>
            </w:tabs>
            <w:ind w:left="850" w:hanging="850"/>
            <w:outlineLvl w:val="1"/>
            <w:rPr>
              <w:rFonts w:ascii="Times New Roman" w:eastAsia="Times New Roman" w:hAnsi="Times New Roman"/>
              <w:b/>
              <w:noProof/>
              <w:sz w:val="24"/>
              <w:lang w:eastAsia="en-GB"/>
            </w:rPr>
          </w:pPr>
          <w:bookmarkStart w:id="252" w:name="_Toc460847398"/>
          <w:bookmarkStart w:id="253" w:name="_Toc460847706"/>
          <w:bookmarkStart w:id="254" w:name="_Toc460847788"/>
          <w:bookmarkStart w:id="255" w:name="_Toc460848154"/>
          <w:bookmarkStart w:id="256" w:name="_Toc460848698"/>
          <w:bookmarkStart w:id="257" w:name="_Toc460923272"/>
          <w:bookmarkStart w:id="258" w:name="_Toc460927075"/>
          <w:bookmarkStart w:id="259" w:name="_Toc460927877"/>
          <w:bookmarkStart w:id="260" w:name="_Toc468453411"/>
          <w:bookmarkStart w:id="261" w:name="_Toc468455311"/>
          <w:bookmarkStart w:id="262" w:name="_Toc468790028"/>
          <w:bookmarkStart w:id="263" w:name="_Toc468794860"/>
          <w:bookmarkStart w:id="264" w:name="_Toc468795168"/>
          <w:r>
            <w:rPr>
              <w:rFonts w:ascii="Times New Roman" w:eastAsia="Times New Roman" w:hAnsi="Times New Roman"/>
              <w:b/>
              <w:noProof/>
              <w:sz w:val="24"/>
              <w:lang w:eastAsia="en-GB"/>
            </w:rPr>
            <w:t>4.1. Legal context</w:t>
          </w:r>
          <w:bookmarkEnd w:id="252"/>
          <w:bookmarkEnd w:id="253"/>
          <w:bookmarkEnd w:id="254"/>
          <w:bookmarkEnd w:id="255"/>
          <w:bookmarkEnd w:id="256"/>
          <w:bookmarkEnd w:id="257"/>
          <w:bookmarkEnd w:id="258"/>
          <w:bookmarkEnd w:id="259"/>
          <w:bookmarkEnd w:id="260"/>
          <w:bookmarkEnd w:id="261"/>
          <w:bookmarkEnd w:id="262"/>
          <w:bookmarkEnd w:id="263"/>
          <w:bookmarkEnd w:id="264"/>
        </w:p>
        <w:p w:rsidR="0077224F" w:rsidRDefault="00D973EE">
          <w:pPr>
            <w:keepNext/>
            <w:tabs>
              <w:tab w:val="left" w:pos="850"/>
            </w:tabs>
            <w:ind w:left="1700" w:hanging="850"/>
            <w:outlineLvl w:val="2"/>
            <w:rPr>
              <w:rFonts w:ascii="Times New Roman" w:eastAsia="Times New Roman" w:hAnsi="Times New Roman"/>
              <w:i/>
              <w:noProof/>
              <w:sz w:val="24"/>
            </w:rPr>
          </w:pPr>
          <w:bookmarkStart w:id="265" w:name="_Toc460847399"/>
          <w:bookmarkStart w:id="266" w:name="_Toc460847707"/>
          <w:bookmarkStart w:id="267" w:name="_Toc460847789"/>
          <w:bookmarkStart w:id="268" w:name="_Toc460848155"/>
          <w:bookmarkStart w:id="269" w:name="_Toc460848699"/>
          <w:bookmarkStart w:id="270" w:name="_Toc460923273"/>
          <w:bookmarkStart w:id="271" w:name="_Toc460927076"/>
          <w:bookmarkStart w:id="272" w:name="_Toc460927878"/>
          <w:bookmarkStart w:id="273" w:name="_Toc468453412"/>
          <w:bookmarkStart w:id="274" w:name="_Toc468455312"/>
          <w:bookmarkStart w:id="275" w:name="_Toc468790029"/>
          <w:bookmarkStart w:id="276" w:name="_Toc468794861"/>
          <w:bookmarkStart w:id="277" w:name="_Toc468795169"/>
          <w:r>
            <w:rPr>
              <w:rFonts w:ascii="Times New Roman" w:eastAsia="Times New Roman" w:hAnsi="Times New Roman"/>
              <w:i/>
              <w:noProof/>
              <w:sz w:val="24"/>
            </w:rPr>
            <w:t>4.1.1. Historical background</w:t>
          </w:r>
          <w:bookmarkEnd w:id="265"/>
          <w:bookmarkEnd w:id="266"/>
          <w:bookmarkEnd w:id="267"/>
          <w:bookmarkEnd w:id="268"/>
          <w:bookmarkEnd w:id="269"/>
          <w:bookmarkEnd w:id="270"/>
          <w:bookmarkEnd w:id="271"/>
          <w:bookmarkEnd w:id="272"/>
          <w:bookmarkEnd w:id="273"/>
          <w:bookmarkEnd w:id="274"/>
          <w:bookmarkEnd w:id="275"/>
          <w:bookmarkEnd w:id="276"/>
          <w:bookmarkEnd w:id="277"/>
        </w:p>
        <w:p w:rsidR="0077224F" w:rsidRDefault="00D973EE">
          <w:pPr>
            <w:spacing w:before="0"/>
            <w:ind w:right="-29"/>
            <w:rPr>
              <w:rFonts w:ascii="Times New Roman" w:eastAsia="Times New Roman" w:hAnsi="Times New Roman"/>
              <w:noProof/>
              <w:color w:val="000000" w:themeColor="text1"/>
              <w:sz w:val="24"/>
            </w:rPr>
          </w:pPr>
          <w:r>
            <w:rPr>
              <w:rFonts w:ascii="Times New Roman" w:eastAsia="Times New Roman" w:hAnsi="Times New Roman"/>
              <w:noProof/>
              <w:color w:val="000000"/>
              <w:sz w:val="24"/>
              <w:lang w:eastAsia="en-GB"/>
            </w:rPr>
            <w:t>The ePrivacy Directive lays down a fr</w:t>
          </w:r>
          <w:r>
            <w:rPr>
              <w:rFonts w:ascii="Times New Roman" w:eastAsia="Times New Roman" w:hAnsi="Times New Roman"/>
              <w:noProof/>
              <w:color w:val="000000"/>
              <w:sz w:val="24"/>
              <w:lang w:eastAsia="en-GB"/>
            </w:rPr>
            <w:t>amework governing the protection of privacy and personal data in the electronic communications sector in the EU. It complements and particularises the</w:t>
          </w:r>
          <w:r>
            <w:rPr>
              <w:rFonts w:ascii="Times New Roman" w:eastAsia="Times New Roman" w:hAnsi="Times New Roman"/>
              <w:noProof/>
              <w:color w:val="000000" w:themeColor="text1"/>
              <w:sz w:val="24"/>
            </w:rPr>
            <w:t xml:space="preserve"> Data Protection Directive 95/46/EC ("</w:t>
          </w:r>
          <w:r>
            <w:rPr>
              <w:rFonts w:ascii="Times New Roman" w:eastAsia="Times New Roman" w:hAnsi="Times New Roman"/>
              <w:b/>
              <w:noProof/>
              <w:color w:val="000000" w:themeColor="text1"/>
              <w:sz w:val="24"/>
            </w:rPr>
            <w:t>DPD</w:t>
          </w:r>
          <w:r>
            <w:rPr>
              <w:rFonts w:ascii="Times New Roman" w:eastAsia="Times New Roman" w:hAnsi="Times New Roman"/>
              <w:noProof/>
              <w:color w:val="000000" w:themeColor="text1"/>
              <w:sz w:val="24"/>
            </w:rPr>
            <w:t>")</w:t>
          </w:r>
          <w:r>
            <w:rPr>
              <w:rFonts w:ascii="Times New Roman" w:eastAsia="Times New Roman" w:hAnsi="Times New Roman"/>
              <w:noProof/>
              <w:sz w:val="24"/>
              <w:vertAlign w:val="superscript"/>
            </w:rPr>
            <w:footnoteReference w:id="30"/>
          </w:r>
          <w:r>
            <w:rPr>
              <w:rFonts w:ascii="Times New Roman" w:eastAsia="Times New Roman" w:hAnsi="Times New Roman"/>
              <w:noProof/>
              <w:color w:val="000000" w:themeColor="text1"/>
              <w:sz w:val="24"/>
            </w:rPr>
            <w:t>, which</w:t>
          </w:r>
          <w:r>
            <w:rPr>
              <w:rFonts w:ascii="Times New Roman" w:eastAsia="Times New Roman" w:hAnsi="Times New Roman"/>
              <w:noProof/>
              <w:sz w:val="24"/>
            </w:rPr>
            <w:t xml:space="preserve"> is the central legislative instrument in the protection of personal data in Europe</w:t>
          </w:r>
          <w:r>
            <w:rPr>
              <w:rFonts w:ascii="Times New Roman" w:eastAsia="Times New Roman" w:hAnsi="Times New Roman"/>
              <w:noProof/>
              <w:sz w:val="24"/>
              <w:vertAlign w:val="superscript"/>
            </w:rPr>
            <w:footnoteReference w:id="31"/>
          </w:r>
          <w:r>
            <w:rPr>
              <w:rFonts w:ascii="Times New Roman" w:eastAsia="Times New Roman" w:hAnsi="Times New Roman"/>
              <w:noProof/>
              <w:sz w:val="24"/>
            </w:rPr>
            <w:t>. The General Data Protection Regulation ("</w:t>
          </w:r>
          <w:r>
            <w:rPr>
              <w:rFonts w:ascii="Times New Roman" w:eastAsia="Times New Roman" w:hAnsi="Times New Roman"/>
              <w:b/>
              <w:noProof/>
              <w:sz w:val="24"/>
            </w:rPr>
            <w:t>GDPR</w:t>
          </w:r>
          <w:r>
            <w:rPr>
              <w:rFonts w:ascii="Times New Roman" w:eastAsia="Times New Roman" w:hAnsi="Times New Roman"/>
              <w:noProof/>
              <w:sz w:val="24"/>
            </w:rPr>
            <w:t>") will replace the DPD in 2018 with new modernised rules fit for the digital age.</w:t>
          </w:r>
        </w:p>
        <w:p w:rsidR="0077224F" w:rsidRDefault="00D973EE">
          <w:pPr>
            <w:spacing w:before="0"/>
            <w:ind w:right="-29"/>
            <w:rPr>
              <w:rFonts w:ascii="Times New Roman" w:eastAsia="Times New Roman" w:hAnsi="Times New Roman"/>
              <w:noProof/>
              <w:sz w:val="24"/>
            </w:rPr>
          </w:pPr>
          <w:r>
            <w:rPr>
              <w:rFonts w:ascii="Times New Roman" w:eastAsia="Times New Roman" w:hAnsi="Times New Roman"/>
              <w:noProof/>
              <w:sz w:val="24"/>
            </w:rPr>
            <w:t>Following the adoption of the DPD in 1995,</w:t>
          </w:r>
          <w:r>
            <w:rPr>
              <w:rFonts w:ascii="Times New Roman" w:eastAsia="Times New Roman" w:hAnsi="Times New Roman"/>
              <w:noProof/>
              <w:sz w:val="24"/>
            </w:rPr>
            <w:t xml:space="preserve"> more detailed rules were considered necessary for the protection of privacy and data protection in the </w:t>
          </w:r>
          <w:r>
            <w:rPr>
              <w:rFonts w:ascii="Times New Roman" w:eastAsia="Times New Roman" w:hAnsi="Times New Roman"/>
              <w:b/>
              <w:noProof/>
              <w:sz w:val="24"/>
            </w:rPr>
            <w:t>electronic communications sector</w:t>
          </w:r>
          <w:r>
            <w:rPr>
              <w:rFonts w:ascii="Times New Roman" w:eastAsia="Times New Roman" w:hAnsi="Times New Roman"/>
              <w:noProof/>
              <w:sz w:val="24"/>
            </w:rPr>
            <w:t>, which led in 1997 to the adoption of the first incarnation of the ePD.</w:t>
          </w:r>
          <w:r>
            <w:rPr>
              <w:rFonts w:ascii="Times New Roman" w:eastAsia="Times New Roman" w:hAnsi="Times New Roman"/>
              <w:noProof/>
              <w:sz w:val="24"/>
              <w:vertAlign w:val="superscript"/>
            </w:rPr>
            <w:footnoteReference w:id="32"/>
          </w:r>
          <w:r>
            <w:rPr>
              <w:rFonts w:ascii="Times New Roman" w:eastAsia="Times New Roman" w:hAnsi="Times New Roman"/>
              <w:noProof/>
              <w:sz w:val="24"/>
            </w:rPr>
            <w:t xml:space="preserve">  </w:t>
          </w:r>
        </w:p>
        <w:p w:rsidR="0077224F" w:rsidRDefault="00D973EE">
          <w:pPr>
            <w:spacing w:before="0"/>
            <w:ind w:right="-29"/>
            <w:rPr>
              <w:rFonts w:ascii="Times New Roman" w:eastAsia="Times New Roman" w:hAnsi="Times New Roman"/>
              <w:noProof/>
              <w:sz w:val="24"/>
            </w:rPr>
          </w:pPr>
          <w:r>
            <w:rPr>
              <w:rFonts w:ascii="Times New Roman" w:eastAsia="Times New Roman" w:hAnsi="Times New Roman"/>
              <w:noProof/>
              <w:sz w:val="24"/>
            </w:rPr>
            <w:t>The EU legislator considered that the new te</w:t>
          </w:r>
          <w:r>
            <w:rPr>
              <w:rFonts w:ascii="Times New Roman" w:eastAsia="Times New Roman" w:hAnsi="Times New Roman"/>
              <w:noProof/>
              <w:sz w:val="24"/>
            </w:rPr>
            <w:t>chnologies in public telecommunications networks gave rise to specific requirements concerning the protection of personal data and privacy of the user, which in turn required specific protection of the fundamental right of confidentiality of communications</w:t>
          </w:r>
          <w:r>
            <w:rPr>
              <w:rFonts w:ascii="Times New Roman" w:eastAsia="Times New Roman" w:hAnsi="Times New Roman"/>
              <w:noProof/>
              <w:sz w:val="24"/>
              <w:vertAlign w:val="superscript"/>
            </w:rPr>
            <w:footnoteReference w:id="33"/>
          </w:r>
          <w:r>
            <w:rPr>
              <w:rFonts w:ascii="Times New Roman" w:eastAsia="Times New Roman" w:hAnsi="Times New Roman"/>
              <w:noProof/>
              <w:sz w:val="24"/>
            </w:rPr>
            <w:t xml:space="preserve">.  </w:t>
          </w:r>
        </w:p>
        <w:p w:rsidR="0077224F" w:rsidRDefault="00D973EE">
          <w:pPr>
            <w:spacing w:before="0"/>
            <w:ind w:right="-29"/>
            <w:rPr>
              <w:rFonts w:ascii="Times New Roman" w:eastAsia="Times New Roman" w:hAnsi="Times New Roman"/>
              <w:noProof/>
              <w:sz w:val="24"/>
            </w:rPr>
          </w:pPr>
          <w:r>
            <w:rPr>
              <w:rFonts w:ascii="Times New Roman" w:eastAsia="Times New Roman" w:hAnsi="Times New Roman"/>
              <w:noProof/>
              <w:sz w:val="24"/>
            </w:rPr>
            <w:t>With the same objectives in mind, in 2002 the EU legislator adopted a new ePD, considering that the old ePD had to be adapted to developments in markets and technologies in order to provide an equal level of protection of users, regardless of the tech</w:t>
          </w:r>
          <w:r>
            <w:rPr>
              <w:rFonts w:ascii="Times New Roman" w:eastAsia="Times New Roman" w:hAnsi="Times New Roman"/>
              <w:noProof/>
              <w:sz w:val="24"/>
            </w:rPr>
            <w:t>nology used, broadening its application from traditional voice telephony to include data transmission and use of the Internet.  In 2009, the ePD was amended by Directive 2009/136/EC</w:t>
          </w:r>
          <w:r>
            <w:rPr>
              <w:rFonts w:ascii="Times New Roman" w:eastAsia="Times New Roman" w:hAnsi="Times New Roman"/>
              <w:noProof/>
              <w:sz w:val="24"/>
              <w:vertAlign w:val="superscript"/>
            </w:rPr>
            <w:footnoteReference w:id="34"/>
          </w:r>
          <w:r>
            <w:rPr>
              <w:rFonts w:ascii="Times New Roman" w:eastAsia="Times New Roman" w:hAnsi="Times New Roman"/>
              <w:noProof/>
              <w:sz w:val="24"/>
            </w:rPr>
            <w:t>.</w:t>
          </w:r>
        </w:p>
        <w:p w:rsidR="0077224F" w:rsidRDefault="00D973EE">
          <w:pPr>
            <w:keepNext/>
            <w:tabs>
              <w:tab w:val="left" w:pos="850"/>
            </w:tabs>
            <w:ind w:left="1700" w:hanging="850"/>
            <w:outlineLvl w:val="2"/>
            <w:rPr>
              <w:rFonts w:ascii="Times New Roman" w:eastAsia="Times New Roman" w:hAnsi="Times New Roman"/>
              <w:i/>
              <w:noProof/>
              <w:sz w:val="24"/>
            </w:rPr>
          </w:pPr>
          <w:bookmarkStart w:id="278" w:name="_Toc460847400"/>
          <w:bookmarkStart w:id="279" w:name="_Toc460847708"/>
          <w:bookmarkStart w:id="280" w:name="_Toc460847790"/>
          <w:bookmarkStart w:id="281" w:name="_Toc460848156"/>
          <w:bookmarkStart w:id="282" w:name="_Toc460848700"/>
          <w:bookmarkStart w:id="283" w:name="_Toc460923274"/>
          <w:bookmarkStart w:id="284" w:name="_Toc460927077"/>
          <w:bookmarkStart w:id="285" w:name="_Toc460927879"/>
          <w:bookmarkStart w:id="286" w:name="_Toc468453413"/>
          <w:bookmarkStart w:id="287" w:name="_Toc468455313"/>
          <w:bookmarkStart w:id="288" w:name="_Toc468790030"/>
          <w:bookmarkStart w:id="289" w:name="_Toc468794862"/>
          <w:bookmarkStart w:id="290" w:name="_Toc468795170"/>
          <w:r>
            <w:rPr>
              <w:rFonts w:ascii="Times New Roman" w:eastAsia="Times New Roman" w:hAnsi="Times New Roman"/>
              <w:i/>
              <w:noProof/>
              <w:sz w:val="24"/>
            </w:rPr>
            <w:t>4.1.2. Objectives</w:t>
          </w:r>
          <w:bookmarkEnd w:id="278"/>
          <w:bookmarkEnd w:id="279"/>
          <w:bookmarkEnd w:id="280"/>
          <w:bookmarkEnd w:id="281"/>
          <w:bookmarkEnd w:id="282"/>
          <w:bookmarkEnd w:id="283"/>
          <w:bookmarkEnd w:id="284"/>
          <w:bookmarkEnd w:id="285"/>
          <w:r>
            <w:rPr>
              <w:rFonts w:ascii="Times New Roman" w:eastAsia="Times New Roman" w:hAnsi="Times New Roman"/>
              <w:i/>
              <w:noProof/>
              <w:sz w:val="24"/>
            </w:rPr>
            <w:t>, scope and main content</w:t>
          </w:r>
          <w:bookmarkEnd w:id="286"/>
          <w:bookmarkEnd w:id="287"/>
          <w:bookmarkEnd w:id="288"/>
          <w:bookmarkEnd w:id="289"/>
          <w:bookmarkEnd w:id="290"/>
        </w:p>
        <w:p w:rsidR="0077224F" w:rsidRDefault="00D973EE">
          <w:pPr>
            <w:spacing w:before="0"/>
            <w:rPr>
              <w:rFonts w:ascii="Times New Roman" w:eastAsia="Times New Roman" w:hAnsi="Times New Roman"/>
              <w:noProof/>
              <w:sz w:val="24"/>
              <w:szCs w:val="20"/>
            </w:rPr>
          </w:pPr>
          <w:r>
            <w:rPr>
              <w:rFonts w:ascii="Times New Roman" w:eastAsia="Times New Roman" w:hAnsi="Times New Roman"/>
              <w:noProof/>
              <w:sz w:val="24"/>
              <w:szCs w:val="20"/>
            </w:rPr>
            <w:t>The ePD sets forth rules conce</w:t>
          </w:r>
          <w:r>
            <w:rPr>
              <w:rFonts w:ascii="Times New Roman" w:eastAsia="Times New Roman" w:hAnsi="Times New Roman"/>
              <w:noProof/>
              <w:sz w:val="24"/>
              <w:szCs w:val="20"/>
            </w:rPr>
            <w:t>rning the protection of privacy in the electronic communications sector. One of the main elements of the ePD is to ensure protection of confidentiality of communications, in line with the fundamental right to the respect of private and family life (includi</w:t>
          </w:r>
          <w:r>
            <w:rPr>
              <w:rFonts w:ascii="Times New Roman" w:eastAsia="Times New Roman" w:hAnsi="Times New Roman"/>
              <w:noProof/>
              <w:sz w:val="24"/>
              <w:szCs w:val="20"/>
            </w:rPr>
            <w:t>ng communications) enshrined in Article 7 of the EU Charter of Fundamental Rights (hereinafter the "</w:t>
          </w:r>
          <w:r>
            <w:rPr>
              <w:rFonts w:ascii="Times New Roman" w:eastAsia="Times New Roman" w:hAnsi="Times New Roman"/>
              <w:b/>
              <w:noProof/>
              <w:sz w:val="24"/>
              <w:szCs w:val="20"/>
            </w:rPr>
            <w:t>Charter</w:t>
          </w:r>
          <w:r>
            <w:rPr>
              <w:rFonts w:ascii="Times New Roman" w:eastAsia="Times New Roman" w:hAnsi="Times New Roman"/>
              <w:noProof/>
              <w:sz w:val="24"/>
              <w:szCs w:val="20"/>
            </w:rPr>
            <w:t>").</w:t>
          </w:r>
        </w:p>
        <w:p w:rsidR="0077224F" w:rsidRDefault="00D973EE">
          <w:pPr>
            <w:keepNext/>
            <w:numPr>
              <w:ilvl w:val="0"/>
              <w:numId w:val="95"/>
            </w:numPr>
            <w:spacing w:before="0" w:after="240"/>
            <w:outlineLvl w:val="2"/>
            <w:rPr>
              <w:rFonts w:ascii="Times New Roman" w:eastAsia="Times New Roman" w:hAnsi="Times New Roman"/>
              <w:noProof/>
              <w:sz w:val="24"/>
              <w:szCs w:val="20"/>
            </w:rPr>
          </w:pPr>
          <w:bookmarkStart w:id="291" w:name="_Toc468453414"/>
          <w:bookmarkStart w:id="292" w:name="_Toc468455314"/>
          <w:bookmarkStart w:id="293" w:name="_Toc468790031"/>
          <w:bookmarkStart w:id="294" w:name="_Toc468794863"/>
          <w:bookmarkStart w:id="295" w:name="_Toc468795171"/>
          <w:r>
            <w:rPr>
              <w:rFonts w:ascii="Times New Roman" w:eastAsia="Times New Roman" w:hAnsi="Times New Roman"/>
              <w:noProof/>
              <w:sz w:val="24"/>
              <w:szCs w:val="20"/>
            </w:rPr>
            <w:t>Objectives</w:t>
          </w:r>
          <w:bookmarkEnd w:id="291"/>
          <w:bookmarkEnd w:id="292"/>
          <w:bookmarkEnd w:id="293"/>
          <w:bookmarkEnd w:id="294"/>
          <w:bookmarkEnd w:id="295"/>
        </w:p>
        <w:p w:rsidR="0077224F" w:rsidRDefault="00D973EE">
          <w:pPr>
            <w:spacing w:before="0"/>
            <w:rPr>
              <w:rFonts w:ascii="Times New Roman" w:eastAsia="Times New Roman" w:hAnsi="Times New Roman"/>
              <w:noProof/>
              <w:sz w:val="24"/>
              <w:szCs w:val="20"/>
            </w:rPr>
          </w:pPr>
          <w:r>
            <w:rPr>
              <w:rFonts w:ascii="Times New Roman" w:eastAsia="Times New Roman" w:hAnsi="Times New Roman"/>
              <w:noProof/>
              <w:sz w:val="24"/>
              <w:szCs w:val="20"/>
            </w:rPr>
            <w:t xml:space="preserve">According to its Article 1, the ePD provides for the harmonisation of the national provisions required to ensure an equivalent level </w:t>
          </w:r>
          <w:r>
            <w:rPr>
              <w:rFonts w:ascii="Times New Roman" w:eastAsia="Times New Roman" w:hAnsi="Times New Roman"/>
              <w:noProof/>
              <w:sz w:val="24"/>
              <w:szCs w:val="20"/>
            </w:rPr>
            <w:t>of protection of fundamental rights and freedoms, and in particular the right to privacy and confidentiality, with respect to the processing of personal data and the electronic communications sector and to ensure the free movement of such data and of elect</w:t>
          </w:r>
          <w:r>
            <w:rPr>
              <w:rFonts w:ascii="Times New Roman" w:eastAsia="Times New Roman" w:hAnsi="Times New Roman"/>
              <w:noProof/>
              <w:sz w:val="24"/>
              <w:szCs w:val="20"/>
            </w:rPr>
            <w:t>ronic communications equipment and services in the EU. Moreover, it provides for protection of the legitimate interests of subscribers who are legal persons.</w:t>
          </w:r>
        </w:p>
        <w:p w:rsidR="0077224F" w:rsidRDefault="00D973EE">
          <w:pPr>
            <w:spacing w:before="0"/>
            <w:rPr>
              <w:rFonts w:ascii="Times New Roman" w:eastAsia="Times New Roman" w:hAnsi="Times New Roman"/>
              <w:noProof/>
              <w:sz w:val="24"/>
              <w:szCs w:val="20"/>
            </w:rPr>
          </w:pPr>
          <w:r>
            <w:rPr>
              <w:rFonts w:ascii="Times New Roman" w:eastAsia="Times New Roman" w:hAnsi="Times New Roman"/>
              <w:noProof/>
              <w:sz w:val="24"/>
              <w:szCs w:val="20"/>
            </w:rPr>
            <w:t xml:space="preserve">The ePD serves therefore three main objectives. </w:t>
          </w:r>
          <w:r>
            <w:rPr>
              <w:rFonts w:ascii="Times New Roman" w:eastAsia="Times New Roman" w:hAnsi="Times New Roman"/>
              <w:b/>
              <w:bCs/>
              <w:i/>
              <w:iCs/>
              <w:noProof/>
              <w:sz w:val="24"/>
              <w:szCs w:val="20"/>
            </w:rPr>
            <w:t>First</w:t>
          </w:r>
          <w:r>
            <w:rPr>
              <w:rFonts w:ascii="Times New Roman" w:eastAsia="Times New Roman" w:hAnsi="Times New Roman"/>
              <w:b/>
              <w:bCs/>
              <w:iCs/>
              <w:noProof/>
              <w:sz w:val="24"/>
              <w:szCs w:val="20"/>
            </w:rPr>
            <w:t>,</w:t>
          </w:r>
          <w:r>
            <w:rPr>
              <w:rFonts w:ascii="Times New Roman" w:eastAsia="Times New Roman" w:hAnsi="Times New Roman"/>
              <w:noProof/>
              <w:sz w:val="24"/>
              <w:szCs w:val="20"/>
            </w:rPr>
            <w:t xml:space="preserve"> it seeks to ensure respect of fundamental rights set out in Articles 7 on the respect for private life and communications</w:t>
          </w:r>
          <w:r>
            <w:rPr>
              <w:rFonts w:ascii="Times New Roman" w:eastAsia="Times New Roman" w:hAnsi="Times New Roman"/>
              <w:noProof/>
              <w:sz w:val="24"/>
              <w:szCs w:val="20"/>
              <w:vertAlign w:val="superscript"/>
            </w:rPr>
            <w:footnoteReference w:id="35"/>
          </w:r>
          <w:r>
            <w:rPr>
              <w:rFonts w:ascii="Times New Roman" w:eastAsia="Times New Roman" w:hAnsi="Times New Roman"/>
              <w:noProof/>
              <w:sz w:val="24"/>
              <w:szCs w:val="20"/>
            </w:rPr>
            <w:t xml:space="preserve"> and 8 of the Charter on the protection of personal data</w:t>
          </w:r>
          <w:r>
            <w:rPr>
              <w:rFonts w:ascii="Times New Roman" w:eastAsia="Times New Roman" w:hAnsi="Times New Roman"/>
              <w:noProof/>
              <w:sz w:val="24"/>
              <w:szCs w:val="20"/>
              <w:vertAlign w:val="superscript"/>
            </w:rPr>
            <w:footnoteReference w:id="36"/>
          </w:r>
          <w:r>
            <w:rPr>
              <w:rFonts w:ascii="Times New Roman" w:eastAsia="Times New Roman" w:hAnsi="Times New Roman"/>
              <w:noProof/>
              <w:sz w:val="24"/>
              <w:szCs w:val="20"/>
            </w:rPr>
            <w:t>. In particular, one of its main objectives is the protection of the right t</w:t>
          </w:r>
          <w:r>
            <w:rPr>
              <w:rFonts w:ascii="Times New Roman" w:eastAsia="Times New Roman" w:hAnsi="Times New Roman"/>
              <w:noProof/>
              <w:sz w:val="24"/>
              <w:szCs w:val="20"/>
            </w:rPr>
            <w:t>o privacy and confidentiality with respect to the electronic communications sector, as guaranteed under Article 7 of the Charter, Article 8 of the European Convention on Human Rights as well as under other international instruments relating to human rights</w:t>
          </w:r>
          <w:r>
            <w:rPr>
              <w:rFonts w:ascii="Times New Roman" w:eastAsia="Times New Roman" w:hAnsi="Times New Roman"/>
              <w:noProof/>
              <w:sz w:val="24"/>
              <w:szCs w:val="20"/>
            </w:rPr>
            <w:t>.</w:t>
          </w:r>
        </w:p>
        <w:p w:rsidR="0077224F" w:rsidRDefault="00D973EE">
          <w:pPr>
            <w:spacing w:before="0"/>
            <w:rPr>
              <w:rFonts w:ascii="Times New Roman" w:eastAsia="Times New Roman" w:hAnsi="Times New Roman"/>
              <w:noProof/>
              <w:sz w:val="24"/>
              <w:szCs w:val="20"/>
            </w:rPr>
          </w:pPr>
          <w:r>
            <w:rPr>
              <w:rFonts w:ascii="Times New Roman" w:eastAsia="Times New Roman" w:hAnsi="Times New Roman"/>
              <w:noProof/>
              <w:sz w:val="24"/>
              <w:szCs w:val="20"/>
            </w:rPr>
            <w:t xml:space="preserve">Next to the fundamental rights aim, the ePD pursues also important internal market objectives. The </w:t>
          </w:r>
          <w:r>
            <w:rPr>
              <w:rFonts w:ascii="Times New Roman" w:eastAsia="Times New Roman" w:hAnsi="Times New Roman"/>
              <w:b/>
              <w:bCs/>
              <w:i/>
              <w:iCs/>
              <w:noProof/>
              <w:sz w:val="24"/>
              <w:szCs w:val="20"/>
            </w:rPr>
            <w:t>second</w:t>
          </w:r>
          <w:r>
            <w:rPr>
              <w:rFonts w:ascii="Times New Roman" w:eastAsia="Times New Roman" w:hAnsi="Times New Roman"/>
              <w:noProof/>
              <w:sz w:val="24"/>
              <w:szCs w:val="20"/>
            </w:rPr>
            <w:t xml:space="preserve"> objective of the ePD is to ensure free movement of data processed in the electronic communications sector. Just as Directive 95/46/EC, the ePD aims </w:t>
          </w:r>
          <w:r>
            <w:rPr>
              <w:rFonts w:ascii="Times New Roman" w:eastAsia="Times New Roman" w:hAnsi="Times New Roman"/>
              <w:noProof/>
              <w:sz w:val="24"/>
              <w:szCs w:val="20"/>
            </w:rPr>
            <w:t>to harmonise legal, regulatory and technical provisions adopted by the Member States ("</w:t>
          </w:r>
          <w:r>
            <w:rPr>
              <w:rFonts w:ascii="Times New Roman" w:eastAsia="Times New Roman" w:hAnsi="Times New Roman"/>
              <w:b/>
              <w:noProof/>
              <w:sz w:val="24"/>
              <w:szCs w:val="20"/>
            </w:rPr>
            <w:t>MS</w:t>
          </w:r>
          <w:r>
            <w:rPr>
              <w:rFonts w:ascii="Times New Roman" w:eastAsia="Times New Roman" w:hAnsi="Times New Roman"/>
              <w:noProof/>
              <w:sz w:val="24"/>
              <w:szCs w:val="20"/>
            </w:rPr>
            <w:t>") concerning the protection of personal data, privacy and legitimate interests of legal persons, in order to avoid obstacles to the internal market for electronic com</w:t>
          </w:r>
          <w:r>
            <w:rPr>
              <w:rFonts w:ascii="Times New Roman" w:eastAsia="Times New Roman" w:hAnsi="Times New Roman"/>
              <w:noProof/>
              <w:sz w:val="24"/>
              <w:szCs w:val="20"/>
            </w:rPr>
            <w:t xml:space="preserve">munications. </w:t>
          </w:r>
        </w:p>
        <w:p w:rsidR="0077224F" w:rsidRDefault="00D973EE">
          <w:pPr>
            <w:spacing w:before="0"/>
            <w:rPr>
              <w:rFonts w:ascii="Times New Roman" w:eastAsia="Times New Roman" w:hAnsi="Times New Roman"/>
              <w:noProof/>
              <w:sz w:val="24"/>
              <w:szCs w:val="20"/>
            </w:rPr>
          </w:pPr>
          <w:r>
            <w:rPr>
              <w:rFonts w:ascii="Times New Roman" w:eastAsia="Times New Roman" w:hAnsi="Times New Roman"/>
              <w:noProof/>
              <w:sz w:val="24"/>
              <w:szCs w:val="20"/>
            </w:rPr>
            <w:t xml:space="preserve">The </w:t>
          </w:r>
          <w:r>
            <w:rPr>
              <w:rFonts w:ascii="Times New Roman" w:eastAsia="Times New Roman" w:hAnsi="Times New Roman"/>
              <w:b/>
              <w:bCs/>
              <w:i/>
              <w:iCs/>
              <w:noProof/>
              <w:sz w:val="24"/>
              <w:szCs w:val="20"/>
            </w:rPr>
            <w:t>third</w:t>
          </w:r>
          <w:r>
            <w:rPr>
              <w:rFonts w:ascii="Times New Roman" w:eastAsia="Times New Roman" w:hAnsi="Times New Roman"/>
              <w:noProof/>
              <w:sz w:val="24"/>
              <w:szCs w:val="20"/>
            </w:rPr>
            <w:t xml:space="preserve"> main objective of the ePD, which is also connected with the EU internal market, is ensuring the free movement of electronic communication terminal equipment and services in the EU. The ePD pursues this objective by harmonising the r</w:t>
          </w:r>
          <w:r>
            <w:rPr>
              <w:rFonts w:ascii="Times New Roman" w:eastAsia="Times New Roman" w:hAnsi="Times New Roman"/>
              <w:noProof/>
              <w:sz w:val="24"/>
              <w:szCs w:val="20"/>
            </w:rPr>
            <w:t>ules on privacy and confidentiality in the electronic communication sector in the EU, but also by providing specific rules on technical features and standardisation. For example, Article 14 of the ePD provides that in implementing the provisions of the ePD</w:t>
          </w:r>
          <w:r>
            <w:rPr>
              <w:rFonts w:ascii="Times New Roman" w:eastAsia="Times New Roman" w:hAnsi="Times New Roman"/>
              <w:noProof/>
              <w:sz w:val="24"/>
              <w:szCs w:val="20"/>
            </w:rPr>
            <w:t>, MS may not impose mandatory requirements for specific technical features on terminal or other electronic communication equipment which could hinder the free circulation of such equipment in the EU.</w:t>
          </w:r>
        </w:p>
        <w:p w:rsidR="0077224F" w:rsidRDefault="00D973EE">
          <w:pPr>
            <w:keepNext/>
            <w:numPr>
              <w:ilvl w:val="0"/>
              <w:numId w:val="95"/>
            </w:numPr>
            <w:spacing w:before="0" w:after="240"/>
            <w:outlineLvl w:val="2"/>
            <w:rPr>
              <w:rFonts w:ascii="Times New Roman" w:eastAsia="Times New Roman" w:hAnsi="Times New Roman"/>
              <w:noProof/>
              <w:sz w:val="24"/>
              <w:szCs w:val="20"/>
            </w:rPr>
          </w:pPr>
          <w:bookmarkStart w:id="296" w:name="_Toc468453415"/>
          <w:bookmarkStart w:id="297" w:name="_Toc468455315"/>
          <w:bookmarkStart w:id="298" w:name="_Toc468790032"/>
          <w:bookmarkStart w:id="299" w:name="_Toc468794864"/>
          <w:bookmarkStart w:id="300" w:name="_Toc468795172"/>
          <w:r>
            <w:rPr>
              <w:rFonts w:ascii="Times New Roman" w:eastAsia="Times New Roman" w:hAnsi="Times New Roman"/>
              <w:noProof/>
              <w:sz w:val="24"/>
              <w:szCs w:val="20"/>
            </w:rPr>
            <w:t>Scope</w:t>
          </w:r>
          <w:bookmarkEnd w:id="296"/>
          <w:bookmarkEnd w:id="297"/>
          <w:bookmarkEnd w:id="298"/>
          <w:bookmarkEnd w:id="299"/>
          <w:bookmarkEnd w:id="300"/>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The ePrivacy Directive applies to “</w:t>
          </w:r>
          <w:r>
            <w:rPr>
              <w:rFonts w:ascii="Times New Roman" w:eastAsia="Times New Roman" w:hAnsi="Times New Roman"/>
              <w:i/>
              <w:noProof/>
              <w:sz w:val="24"/>
              <w:lang w:eastAsia="en-GB"/>
            </w:rPr>
            <w:t xml:space="preserve">the processing </w:t>
          </w:r>
          <w:r>
            <w:rPr>
              <w:rFonts w:ascii="Times New Roman" w:eastAsia="Times New Roman" w:hAnsi="Times New Roman"/>
              <w:i/>
              <w:noProof/>
              <w:sz w:val="24"/>
              <w:lang w:eastAsia="en-GB"/>
            </w:rPr>
            <w:t>of personal data in connection with the provision of publicly available electronic communications services in public communications networks in the Community</w:t>
          </w:r>
          <w:r>
            <w:rPr>
              <w:rFonts w:ascii="Times New Roman" w:eastAsia="Times New Roman" w:hAnsi="Times New Roman"/>
              <w:noProof/>
              <w:sz w:val="24"/>
              <w:lang w:eastAsia="en-GB"/>
            </w:rPr>
            <w:t>”</w:t>
          </w:r>
          <w:r>
            <w:rPr>
              <w:rFonts w:ascii="Times New Roman" w:eastAsia="Times New Roman" w:hAnsi="Times New Roman"/>
              <w:noProof/>
              <w:sz w:val="24"/>
              <w:vertAlign w:val="superscript"/>
              <w:lang w:eastAsia="en-GB"/>
            </w:rPr>
            <w:footnoteReference w:id="37"/>
          </w:r>
          <w:r>
            <w:rPr>
              <w:rFonts w:ascii="Times New Roman" w:eastAsia="Times New Roman" w:hAnsi="Times New Roman"/>
              <w:noProof/>
              <w:sz w:val="24"/>
              <w:lang w:eastAsia="en-GB"/>
            </w:rPr>
            <w:t>. In particular, its provisions apply to providers of “electronic communications networks and ser</w:t>
          </w:r>
          <w:r>
            <w:rPr>
              <w:rFonts w:ascii="Times New Roman" w:eastAsia="Times New Roman" w:hAnsi="Times New Roman"/>
              <w:noProof/>
              <w:sz w:val="24"/>
              <w:lang w:eastAsia="en-GB"/>
            </w:rPr>
            <w:t>vices”</w:t>
          </w:r>
          <w:r>
            <w:rPr>
              <w:rFonts w:ascii="Times New Roman" w:eastAsia="Times New Roman" w:hAnsi="Times New Roman"/>
              <w:noProof/>
              <w:sz w:val="24"/>
              <w:vertAlign w:val="superscript"/>
              <w:lang w:eastAsia="en-GB"/>
            </w:rPr>
            <w:footnoteReference w:id="38"/>
          </w:r>
          <w:r>
            <w:rPr>
              <w:rFonts w:ascii="Times New Roman" w:eastAsia="Times New Roman" w:hAnsi="Times New Roman"/>
              <w:noProof/>
              <w:sz w:val="24"/>
              <w:lang w:eastAsia="en-GB"/>
            </w:rPr>
            <w:t xml:space="preserve">. </w:t>
          </w:r>
        </w:p>
        <w:p w:rsidR="0077224F" w:rsidRDefault="00D973EE">
          <w:pPr>
            <w:spacing w:before="0"/>
            <w:rPr>
              <w:rFonts w:ascii="Times New Roman" w:eastAsia="Times New Roman" w:hAnsi="Times New Roman"/>
              <w:noProof/>
              <w:sz w:val="24"/>
              <w:lang w:eastAsia="en-GB"/>
            </w:rPr>
          </w:pPr>
          <w:r>
            <w:rPr>
              <w:rFonts w:ascii="Times New Roman" w:eastAsia="Times New Roman" w:hAnsi="Times New Roman"/>
              <w:noProof/>
              <w:sz w:val="24"/>
              <w:lang w:eastAsia="en-GB"/>
            </w:rPr>
            <w:t>To be covered by the Directive:</w:t>
          </w:r>
        </w:p>
        <w:p w:rsidR="0077224F" w:rsidRDefault="00D973EE">
          <w:pPr>
            <w:numPr>
              <w:ilvl w:val="0"/>
              <w:numId w:val="93"/>
            </w:numPr>
            <w:spacing w:before="0" w:after="240" w:line="276" w:lineRule="auto"/>
            <w:contextualSpacing/>
            <w:jc w:val="left"/>
            <w:rPr>
              <w:rFonts w:ascii="Times New Roman" w:eastAsia="Times New Roman" w:hAnsi="Times New Roman"/>
              <w:noProof/>
              <w:sz w:val="24"/>
              <w:lang w:eastAsia="en-GB"/>
            </w:rPr>
          </w:pPr>
          <w:r>
            <w:rPr>
              <w:rFonts w:ascii="Times New Roman" w:eastAsia="Times New Roman" w:hAnsi="Times New Roman"/>
              <w:noProof/>
              <w:sz w:val="24"/>
              <w:lang w:eastAsia="en-GB"/>
            </w:rPr>
            <w:t xml:space="preserve">the service should be an </w:t>
          </w:r>
          <w:r>
            <w:rPr>
              <w:rFonts w:ascii="Times New Roman" w:eastAsia="Times New Roman" w:hAnsi="Times New Roman"/>
              <w:i/>
              <w:iCs/>
              <w:noProof/>
              <w:sz w:val="24"/>
              <w:lang w:eastAsia="en-GB"/>
            </w:rPr>
            <w:t>electronic communications service</w:t>
          </w:r>
          <w:r>
            <w:rPr>
              <w:rFonts w:ascii="Times New Roman" w:eastAsia="Times New Roman" w:hAnsi="Times New Roman"/>
              <w:noProof/>
              <w:sz w:val="24"/>
              <w:lang w:eastAsia="en-GB"/>
            </w:rPr>
            <w:t>,</w:t>
          </w:r>
        </w:p>
        <w:p w:rsidR="0077224F" w:rsidRDefault="00D973EE">
          <w:pPr>
            <w:numPr>
              <w:ilvl w:val="0"/>
              <w:numId w:val="93"/>
            </w:numPr>
            <w:spacing w:before="0" w:after="240" w:line="276" w:lineRule="auto"/>
            <w:contextualSpacing/>
            <w:jc w:val="left"/>
            <w:rPr>
              <w:rFonts w:ascii="Times New Roman" w:eastAsia="Times New Roman" w:hAnsi="Times New Roman"/>
              <w:noProof/>
              <w:sz w:val="24"/>
              <w:lang w:eastAsia="en-GB"/>
            </w:rPr>
          </w:pPr>
          <w:r>
            <w:rPr>
              <w:rFonts w:ascii="Times New Roman" w:eastAsia="Times New Roman" w:hAnsi="Times New Roman"/>
              <w:noProof/>
              <w:sz w:val="24"/>
              <w:lang w:eastAsia="en-GB"/>
            </w:rPr>
            <w:t xml:space="preserve">the service should be offered in an </w:t>
          </w:r>
          <w:r>
            <w:rPr>
              <w:rFonts w:ascii="Times New Roman" w:eastAsia="Times New Roman" w:hAnsi="Times New Roman"/>
              <w:i/>
              <w:iCs/>
              <w:noProof/>
              <w:sz w:val="24"/>
              <w:lang w:eastAsia="en-GB"/>
            </w:rPr>
            <w:t>electronic communications network</w:t>
          </w:r>
          <w:r>
            <w:rPr>
              <w:rFonts w:ascii="Times New Roman" w:eastAsia="Times New Roman" w:hAnsi="Times New Roman"/>
              <w:noProof/>
              <w:sz w:val="24"/>
              <w:lang w:eastAsia="en-GB"/>
            </w:rPr>
            <w:t>,</w:t>
          </w:r>
        </w:p>
        <w:p w:rsidR="0077224F" w:rsidRDefault="00D973EE">
          <w:pPr>
            <w:numPr>
              <w:ilvl w:val="0"/>
              <w:numId w:val="93"/>
            </w:numPr>
            <w:spacing w:before="0" w:after="240" w:line="276" w:lineRule="auto"/>
            <w:contextualSpacing/>
            <w:jc w:val="left"/>
            <w:rPr>
              <w:rFonts w:ascii="Times New Roman" w:eastAsia="Times New Roman" w:hAnsi="Times New Roman"/>
              <w:noProof/>
              <w:sz w:val="24"/>
              <w:lang w:eastAsia="en-GB"/>
            </w:rPr>
          </w:pPr>
          <w:r>
            <w:rPr>
              <w:rFonts w:ascii="Times New Roman" w:eastAsia="Times New Roman" w:hAnsi="Times New Roman"/>
              <w:noProof/>
              <w:sz w:val="24"/>
              <w:lang w:eastAsia="en-GB"/>
            </w:rPr>
            <w:t xml:space="preserve">the aforementioned service and network should be </w:t>
          </w:r>
          <w:r>
            <w:rPr>
              <w:rFonts w:ascii="Times New Roman" w:eastAsia="Times New Roman" w:hAnsi="Times New Roman"/>
              <w:i/>
              <w:iCs/>
              <w:noProof/>
              <w:sz w:val="24"/>
              <w:lang w:eastAsia="en-GB"/>
            </w:rPr>
            <w:t xml:space="preserve">public(ly available), </w:t>
          </w:r>
          <w:r>
            <w:rPr>
              <w:rFonts w:ascii="Times New Roman" w:eastAsia="Times New Roman" w:hAnsi="Times New Roman"/>
              <w:noProof/>
              <w:sz w:val="24"/>
              <w:lang w:eastAsia="en-GB"/>
            </w:rPr>
            <w:t>and</w:t>
          </w:r>
        </w:p>
        <w:p w:rsidR="0077224F" w:rsidRDefault="00D973EE">
          <w:pPr>
            <w:numPr>
              <w:ilvl w:val="0"/>
              <w:numId w:val="93"/>
            </w:numPr>
            <w:spacing w:before="0" w:after="240" w:line="276" w:lineRule="auto"/>
            <w:contextualSpacing/>
            <w:jc w:val="left"/>
            <w:rPr>
              <w:rFonts w:ascii="Times New Roman" w:eastAsia="Times New Roman" w:hAnsi="Times New Roman"/>
              <w:noProof/>
              <w:sz w:val="24"/>
              <w:lang w:eastAsia="en-GB"/>
            </w:rPr>
          </w:pPr>
          <w:r>
            <w:rPr>
              <w:rFonts w:ascii="Times New Roman" w:eastAsia="Times New Roman" w:hAnsi="Times New Roman"/>
              <w:noProof/>
              <w:sz w:val="24"/>
              <w:lang w:eastAsia="en-GB"/>
            </w:rPr>
            <w:t xml:space="preserve">the network or service should be provided </w:t>
          </w:r>
          <w:r>
            <w:rPr>
              <w:rFonts w:ascii="Times New Roman" w:eastAsia="Times New Roman" w:hAnsi="Times New Roman"/>
              <w:i/>
              <w:iCs/>
              <w:noProof/>
              <w:sz w:val="24"/>
              <w:lang w:eastAsia="en-GB"/>
            </w:rPr>
            <w:t>in the Community</w:t>
          </w:r>
          <w:r>
            <w:rPr>
              <w:rFonts w:ascii="Times New Roman" w:eastAsia="Times New Roman" w:hAnsi="Times New Roman"/>
              <w:noProof/>
              <w:sz w:val="24"/>
              <w:lang w:eastAsia="en-GB"/>
            </w:rPr>
            <w:t>.</w:t>
          </w:r>
        </w:p>
        <w:p w:rsidR="0077224F" w:rsidRDefault="00D973EE">
          <w:pPr>
            <w:spacing w:before="0"/>
            <w:rPr>
              <w:rFonts w:ascii="Times New Roman" w:eastAsia="Times New Roman" w:hAnsi="Times New Roman"/>
              <w:noProof/>
              <w:color w:val="000000"/>
              <w:sz w:val="24"/>
              <w:lang w:eastAsia="en-GB"/>
            </w:rPr>
          </w:pPr>
          <w:r>
            <w:rPr>
              <w:rFonts w:ascii="Times New Roman" w:eastAsia="Times New Roman" w:hAnsi="Times New Roman"/>
              <w:noProof/>
              <w:color w:val="000000"/>
              <w:sz w:val="24"/>
              <w:lang w:eastAsia="en-GB"/>
            </w:rPr>
            <w:t>Therefore, the Directive applies to electronic communication services such as voice telephony, access to the Internet, etc., provided by ECS providers, i.e., traditional telecommunication operator</w:t>
          </w:r>
          <w:r>
            <w:rPr>
              <w:rFonts w:ascii="Times New Roman" w:eastAsia="Times New Roman" w:hAnsi="Times New Roman"/>
              <w:noProof/>
              <w:color w:val="000000"/>
              <w:sz w:val="24"/>
              <w:lang w:eastAsia="en-GB"/>
            </w:rPr>
            <w:t xml:space="preserve">s. On the basis of the above definition, information society services providing communication services over the Internet </w:t>
          </w:r>
          <w:r>
            <w:rPr>
              <w:rFonts w:ascii="Times New Roman" w:eastAsia="Times New Roman" w:hAnsi="Times New Roman"/>
              <w:noProof/>
              <w:sz w:val="24"/>
              <w:szCs w:val="20"/>
              <w:lang w:eastAsia="en-GB"/>
            </w:rPr>
            <w:t>are not subject to the ePD, as the latter have no control and responsibility of the conveyance of signals over the networks (a function</w:t>
          </w:r>
          <w:r>
            <w:rPr>
              <w:rFonts w:ascii="Times New Roman" w:eastAsia="Times New Roman" w:hAnsi="Times New Roman"/>
              <w:noProof/>
              <w:sz w:val="24"/>
              <w:szCs w:val="20"/>
              <w:lang w:eastAsia="en-GB"/>
            </w:rPr>
            <w:t xml:space="preserve"> which is performed by ECS).</w:t>
          </w:r>
        </w:p>
        <w:p w:rsidR="0077224F" w:rsidRDefault="00D973EE">
          <w:pPr>
            <w:spacing w:before="0"/>
            <w:rPr>
              <w:rFonts w:ascii="Times New Roman" w:eastAsia="Times New Roman" w:hAnsi="Times New Roman"/>
              <w:noProof/>
              <w:sz w:val="24"/>
            </w:rPr>
          </w:pPr>
          <w:r>
            <w:rPr>
              <w:rFonts w:ascii="Times New Roman" w:eastAsia="Times New Roman" w:hAnsi="Times New Roman"/>
              <w:bCs/>
              <w:noProof/>
              <w:sz w:val="24"/>
            </w:rPr>
            <w:t xml:space="preserve">Furthermore, as the ePD only applies to </w:t>
          </w:r>
          <w:r>
            <w:rPr>
              <w:rFonts w:ascii="Times New Roman" w:eastAsia="Times New Roman" w:hAnsi="Times New Roman"/>
              <w:bCs/>
              <w:i/>
              <w:noProof/>
              <w:sz w:val="24"/>
            </w:rPr>
            <w:t xml:space="preserve">publicly available </w:t>
          </w:r>
          <w:r>
            <w:rPr>
              <w:rFonts w:ascii="Times New Roman" w:eastAsia="Times New Roman" w:hAnsi="Times New Roman"/>
              <w:bCs/>
              <w:noProof/>
              <w:sz w:val="24"/>
            </w:rPr>
            <w:t xml:space="preserve">electronic communications networks, this means that </w:t>
          </w:r>
          <w:r>
            <w:rPr>
              <w:rFonts w:ascii="Times New Roman" w:eastAsia="Times New Roman" w:hAnsi="Times New Roman"/>
              <w:b/>
              <w:noProof/>
              <w:sz w:val="24"/>
              <w:szCs w:val="20"/>
            </w:rPr>
            <w:t>closed (private) user groups and corporate networks</w:t>
          </w:r>
          <w:r>
            <w:rPr>
              <w:rFonts w:ascii="Times New Roman" w:eastAsia="Times New Roman" w:hAnsi="Times New Roman"/>
              <w:noProof/>
              <w:sz w:val="24"/>
              <w:szCs w:val="20"/>
            </w:rPr>
            <w:t xml:space="preserve"> are in principle excluded from the scope of the ePD. In this con</w:t>
          </w:r>
          <w:r>
            <w:rPr>
              <w:rFonts w:ascii="Times New Roman" w:eastAsia="Times New Roman" w:hAnsi="Times New Roman"/>
              <w:noProof/>
              <w:sz w:val="24"/>
              <w:szCs w:val="20"/>
            </w:rPr>
            <w:t xml:space="preserve">text, there is a lack of clarity as to which services qualify as a publicly available electronic communications services in public communications networks. Indeed, MS have diverging views on whether </w:t>
          </w:r>
          <w:r>
            <w:rPr>
              <w:rFonts w:ascii="Times New Roman" w:eastAsia="Times New Roman" w:hAnsi="Times New Roman"/>
              <w:b/>
              <w:noProof/>
              <w:sz w:val="24"/>
              <w:szCs w:val="20"/>
            </w:rPr>
            <w:t>Wi-Fi Internet access offered at airports, in internet ca</w:t>
          </w:r>
          <w:r>
            <w:rPr>
              <w:rFonts w:ascii="Times New Roman" w:eastAsia="Times New Roman" w:hAnsi="Times New Roman"/>
              <w:b/>
              <w:noProof/>
              <w:sz w:val="24"/>
              <w:szCs w:val="20"/>
            </w:rPr>
            <w:t>fes or shopping malls</w:t>
          </w:r>
          <w:r>
            <w:rPr>
              <w:rFonts w:ascii="Times New Roman" w:eastAsia="Times New Roman" w:hAnsi="Times New Roman"/>
              <w:noProof/>
              <w:sz w:val="24"/>
              <w:szCs w:val="20"/>
            </w:rPr>
            <w:t xml:space="preserve"> qualifies as publicly available electronic communications services in public communications networks</w:t>
          </w:r>
          <w:r>
            <w:rPr>
              <w:rFonts w:ascii="Times New Roman" w:eastAsia="Times New Roman" w:hAnsi="Times New Roman"/>
              <w:noProof/>
              <w:sz w:val="24"/>
              <w:szCs w:val="20"/>
              <w:vertAlign w:val="superscript"/>
            </w:rPr>
            <w:footnoteReference w:id="39"/>
          </w:r>
          <w:r>
            <w:rPr>
              <w:rFonts w:ascii="Times New Roman" w:eastAsia="Times New Roman" w:hAnsi="Times New Roman"/>
              <w:noProof/>
              <w:sz w:val="24"/>
              <w:szCs w:val="20"/>
            </w:rPr>
            <w:t xml:space="preserve">. </w:t>
          </w:r>
        </w:p>
        <w:p w:rsidR="0077224F" w:rsidRDefault="00D973EE">
          <w:pPr>
            <w:spacing w:before="0"/>
            <w:rPr>
              <w:rFonts w:ascii="Times New Roman" w:eastAsia="Times New Roman" w:hAnsi="Times New Roman"/>
              <w:noProof/>
              <w:color w:val="000000"/>
              <w:sz w:val="23"/>
              <w:szCs w:val="23"/>
              <w:lang w:eastAsia="en-GB"/>
            </w:rPr>
          </w:pPr>
          <w:r>
            <w:rPr>
              <w:rFonts w:ascii="Times New Roman" w:eastAsia="Times New Roman" w:hAnsi="Times New Roman"/>
              <w:noProof/>
              <w:sz w:val="24"/>
            </w:rPr>
            <w:t xml:space="preserve">Finally, it remains unclear to which extent the </w:t>
          </w:r>
          <w:r>
            <w:rPr>
              <w:rFonts w:ascii="Times New Roman" w:eastAsia="Times New Roman" w:hAnsi="Times New Roman"/>
              <w:b/>
              <w:noProof/>
              <w:sz w:val="24"/>
            </w:rPr>
            <w:t>electronic communications</w:t>
          </w:r>
          <w:r>
            <w:rPr>
              <w:rFonts w:ascii="Times New Roman" w:eastAsia="Times New Roman" w:hAnsi="Times New Roman"/>
              <w:noProof/>
              <w:sz w:val="24"/>
            </w:rPr>
            <w:t xml:space="preserve"> of the </w:t>
          </w:r>
          <w:r>
            <w:rPr>
              <w:rFonts w:ascii="Times New Roman" w:eastAsia="Times New Roman" w:hAnsi="Times New Roman"/>
              <w:b/>
              <w:noProof/>
              <w:sz w:val="24"/>
            </w:rPr>
            <w:t>Internet of Things</w:t>
          </w:r>
          <w:r>
            <w:rPr>
              <w:rFonts w:ascii="Times New Roman" w:eastAsia="Times New Roman" w:hAnsi="Times New Roman"/>
              <w:b/>
              <w:noProof/>
              <w:sz w:val="24"/>
              <w:vertAlign w:val="superscript"/>
            </w:rPr>
            <w:footnoteReference w:id="40"/>
          </w:r>
          <w:r>
            <w:rPr>
              <w:rFonts w:ascii="Times New Roman" w:eastAsia="Times New Roman" w:hAnsi="Times New Roman"/>
              <w:b/>
              <w:noProof/>
              <w:sz w:val="24"/>
            </w:rPr>
            <w:t xml:space="preserve"> ("IoT")</w:t>
          </w:r>
          <w:r>
            <w:rPr>
              <w:rFonts w:ascii="Times New Roman" w:eastAsia="Times New Roman" w:hAnsi="Times New Roman"/>
              <w:noProof/>
              <w:sz w:val="24"/>
            </w:rPr>
            <w:t xml:space="preserve"> are covered by the ePD as its Article 3 expressly refers to "</w:t>
          </w:r>
          <w:r>
            <w:rPr>
              <w:rFonts w:ascii="Times New Roman" w:eastAsia="Times New Roman" w:hAnsi="Times New Roman"/>
              <w:i/>
              <w:noProof/>
              <w:sz w:val="24"/>
            </w:rPr>
            <w:t>public communication networks supporting identification devices</w:t>
          </w:r>
          <w:r>
            <w:rPr>
              <w:rFonts w:ascii="Times New Roman" w:eastAsia="Times New Roman" w:hAnsi="Times New Roman"/>
              <w:noProof/>
              <w:sz w:val="24"/>
            </w:rPr>
            <w:t>"</w:t>
          </w:r>
          <w:r>
            <w:rPr>
              <w:rFonts w:ascii="Times New Roman" w:eastAsia="Times New Roman" w:hAnsi="Times New Roman"/>
              <w:noProof/>
              <w:sz w:val="24"/>
              <w:vertAlign w:val="superscript"/>
            </w:rPr>
            <w:footnoteReference w:id="41"/>
          </w:r>
          <w:r>
            <w:rPr>
              <w:rFonts w:ascii="Times New Roman" w:eastAsia="Times New Roman" w:hAnsi="Times New Roman"/>
              <w:noProof/>
              <w:sz w:val="24"/>
            </w:rPr>
            <w:t>. According to the European Data Protection Supervisor ("</w:t>
          </w:r>
          <w:r>
            <w:rPr>
              <w:rFonts w:ascii="Times New Roman" w:eastAsia="Times New Roman" w:hAnsi="Times New Roman"/>
              <w:b/>
              <w:noProof/>
              <w:sz w:val="24"/>
            </w:rPr>
            <w:t>EDPS</w:t>
          </w:r>
          <w:r>
            <w:rPr>
              <w:rFonts w:ascii="Times New Roman" w:eastAsia="Times New Roman" w:hAnsi="Times New Roman"/>
              <w:noProof/>
              <w:sz w:val="24"/>
            </w:rPr>
            <w:t>"), this seeks to clarify that the protection of communications priv</w:t>
          </w:r>
          <w:r>
            <w:rPr>
              <w:rFonts w:ascii="Times New Roman" w:eastAsia="Times New Roman" w:hAnsi="Times New Roman"/>
              <w:noProof/>
              <w:sz w:val="24"/>
            </w:rPr>
            <w:t xml:space="preserve">acy is not dependent on whether humans speak or listen, type or read the content of a communication, but that they may rely on the increasingly smart features of their terminal devices to communicate content on their behalf, enjoying the expected level of </w:t>
          </w:r>
          <w:r>
            <w:rPr>
              <w:rFonts w:ascii="Times New Roman" w:eastAsia="Times New Roman" w:hAnsi="Times New Roman"/>
              <w:noProof/>
              <w:sz w:val="24"/>
            </w:rPr>
            <w:t>protection</w:t>
          </w:r>
          <w:r>
            <w:rPr>
              <w:rFonts w:ascii="Times New Roman" w:eastAsia="Times New Roman" w:hAnsi="Times New Roman"/>
              <w:noProof/>
              <w:sz w:val="24"/>
              <w:vertAlign w:val="superscript"/>
            </w:rPr>
            <w:footnoteReference w:id="42"/>
          </w:r>
          <w:r>
            <w:rPr>
              <w:rFonts w:ascii="Times New Roman" w:eastAsia="Times New Roman" w:hAnsi="Times New Roman"/>
              <w:noProof/>
              <w:sz w:val="24"/>
            </w:rPr>
            <w:t xml:space="preserve">. Moreover, </w:t>
          </w:r>
          <w:r>
            <w:rPr>
              <w:rFonts w:ascii="Times New Roman" w:eastAsia="Times New Roman" w:hAnsi="Times New Roman"/>
              <w:noProof/>
              <w:color w:val="000000"/>
              <w:sz w:val="24"/>
              <w:lang w:eastAsia="en-GB"/>
            </w:rPr>
            <w:t xml:space="preserve">Recital 56 of Directive 2009/136/EC provides that the provisions of the ePD, in particular those on </w:t>
          </w:r>
          <w:r>
            <w:rPr>
              <w:rFonts w:ascii="Times New Roman" w:eastAsia="Times New Roman" w:hAnsi="Times New Roman"/>
              <w:b/>
              <w:noProof/>
              <w:color w:val="000000"/>
              <w:sz w:val="24"/>
              <w:lang w:eastAsia="en-GB"/>
            </w:rPr>
            <w:t xml:space="preserve">security, traffic and location data and on confidentiality of </w:t>
          </w:r>
          <w:r>
            <w:rPr>
              <w:rFonts w:ascii="Times New Roman" w:eastAsia="Times New Roman" w:hAnsi="Times New Roman"/>
              <w:b/>
              <w:noProof/>
              <w:sz w:val="24"/>
            </w:rPr>
            <w:t>communications</w:t>
          </w:r>
          <w:r>
            <w:rPr>
              <w:rFonts w:ascii="Times New Roman" w:eastAsia="Times New Roman" w:hAnsi="Times New Roman"/>
              <w:noProof/>
              <w:sz w:val="24"/>
            </w:rPr>
            <w:t xml:space="preserve"> apply to RFID.</w:t>
          </w:r>
          <w:r>
            <w:rPr>
              <w:rFonts w:ascii="Times New Roman" w:eastAsia="Times New Roman" w:hAnsi="Times New Roman"/>
              <w:noProof/>
              <w:color w:val="000000"/>
              <w:sz w:val="23"/>
              <w:szCs w:val="23"/>
              <w:lang w:eastAsia="en-GB"/>
            </w:rPr>
            <w:t xml:space="preserve"> </w:t>
          </w:r>
        </w:p>
        <w:p w:rsidR="0077224F" w:rsidRDefault="00D973EE">
          <w:pPr>
            <w:keepNext/>
            <w:numPr>
              <w:ilvl w:val="0"/>
              <w:numId w:val="95"/>
            </w:numPr>
            <w:tabs>
              <w:tab w:val="left" w:pos="850"/>
            </w:tabs>
            <w:spacing w:before="0" w:after="240"/>
            <w:outlineLvl w:val="2"/>
            <w:rPr>
              <w:rFonts w:ascii="Times New Roman" w:eastAsia="Times New Roman" w:hAnsi="Times New Roman"/>
              <w:noProof/>
              <w:sz w:val="24"/>
            </w:rPr>
          </w:pPr>
          <w:bookmarkStart w:id="301" w:name="_Toc468453416"/>
          <w:bookmarkStart w:id="302" w:name="_Toc468455316"/>
          <w:bookmarkStart w:id="303" w:name="_Toc468790033"/>
          <w:bookmarkStart w:id="304" w:name="_Toc468794865"/>
          <w:bookmarkStart w:id="305" w:name="_Toc468795173"/>
          <w:r>
            <w:rPr>
              <w:rFonts w:ascii="Times New Roman" w:eastAsia="Times New Roman" w:hAnsi="Times New Roman"/>
              <w:noProof/>
              <w:sz w:val="24"/>
            </w:rPr>
            <w:t>Main content</w:t>
          </w:r>
          <w:bookmarkEnd w:id="301"/>
          <w:bookmarkEnd w:id="302"/>
          <w:bookmarkEnd w:id="303"/>
          <w:bookmarkEnd w:id="304"/>
          <w:bookmarkEnd w:id="305"/>
        </w:p>
        <w:p w:rsidR="0077224F" w:rsidRDefault="00D973EE">
          <w:pPr>
            <w:spacing w:before="0"/>
            <w:ind w:right="-29"/>
            <w:rPr>
              <w:rFonts w:ascii="Times New Roman" w:eastAsia="Times New Roman" w:hAnsi="Times New Roman"/>
              <w:noProof/>
              <w:sz w:val="24"/>
            </w:rPr>
          </w:pPr>
          <w:r>
            <w:rPr>
              <w:rFonts w:ascii="Times New Roman" w:eastAsia="Times New Roman" w:hAnsi="Times New Roman"/>
              <w:noProof/>
              <w:sz w:val="24"/>
            </w:rPr>
            <w:t xml:space="preserve">The </w:t>
          </w:r>
          <w:r>
            <w:rPr>
              <w:rFonts w:ascii="Times New Roman" w:eastAsia="Times New Roman" w:hAnsi="Times New Roman"/>
              <w:b/>
              <w:noProof/>
              <w:sz w:val="24"/>
            </w:rPr>
            <w:t xml:space="preserve">main content </w:t>
          </w:r>
          <w:r>
            <w:rPr>
              <w:rFonts w:ascii="Times New Roman" w:eastAsia="Times New Roman" w:hAnsi="Times New Roman"/>
              <w:noProof/>
              <w:sz w:val="24"/>
            </w:rPr>
            <w:t>of the ePD</w:t>
          </w:r>
          <w:r>
            <w:rPr>
              <w:rFonts w:ascii="Times New Roman" w:eastAsia="Times New Roman" w:hAnsi="Times New Roman"/>
              <w:noProof/>
              <w:sz w:val="24"/>
            </w:rPr>
            <w:t xml:space="preserve"> can be summarised as follows:</w:t>
          </w:r>
        </w:p>
        <w:p w:rsidR="0077224F" w:rsidRDefault="00D973EE">
          <w:pPr>
            <w:numPr>
              <w:ilvl w:val="0"/>
              <w:numId w:val="71"/>
            </w:numPr>
            <w:spacing w:before="0" w:after="240"/>
            <w:ind w:left="426" w:right="-29"/>
            <w:rPr>
              <w:rFonts w:ascii="Times New Roman" w:eastAsia="Times New Roman" w:hAnsi="Times New Roman"/>
              <w:noProof/>
              <w:sz w:val="24"/>
            </w:rPr>
          </w:pPr>
          <w:r>
            <w:rPr>
              <w:rFonts w:ascii="Times New Roman" w:eastAsia="Times New Roman" w:hAnsi="Times New Roman"/>
              <w:noProof/>
              <w:sz w:val="24"/>
            </w:rPr>
            <w:t>It requires Member States to ensure confidentiality of communications in public communication networks and extends this principle to users' terminal equipment by requiring prior informed consent to store or access information</w:t>
          </w:r>
          <w:r>
            <w:rPr>
              <w:rFonts w:ascii="Times New Roman" w:eastAsia="Times New Roman" w:hAnsi="Times New Roman"/>
              <w:noProof/>
              <w:sz w:val="24"/>
            </w:rPr>
            <w:t xml:space="preserve"> in the users' terminal equipment (phones, tablets, etc.). This applies, for example, to the storage of cookies</w:t>
          </w:r>
          <w:r>
            <w:rPr>
              <w:rFonts w:ascii="Times New Roman" w:eastAsia="Times New Roman" w:hAnsi="Times New Roman"/>
              <w:noProof/>
              <w:sz w:val="24"/>
              <w:vertAlign w:val="superscript"/>
            </w:rPr>
            <w:footnoteReference w:id="43"/>
          </w:r>
          <w:r>
            <w:rPr>
              <w:rFonts w:ascii="Times New Roman" w:eastAsia="Times New Roman" w:hAnsi="Times New Roman"/>
              <w:noProof/>
              <w:sz w:val="24"/>
            </w:rPr>
            <w:t>.</w:t>
          </w:r>
        </w:p>
        <w:p w:rsidR="0077224F" w:rsidRDefault="00D973EE">
          <w:pPr>
            <w:numPr>
              <w:ilvl w:val="0"/>
              <w:numId w:val="71"/>
            </w:numPr>
            <w:spacing w:before="0" w:after="240"/>
            <w:ind w:left="426" w:right="-29"/>
            <w:rPr>
              <w:rFonts w:ascii="Times New Roman" w:eastAsia="Times New Roman" w:hAnsi="Times New Roman"/>
              <w:noProof/>
              <w:sz w:val="24"/>
            </w:rPr>
          </w:pPr>
          <w:r>
            <w:rPr>
              <w:rFonts w:ascii="Times New Roman" w:eastAsia="Times New Roman" w:hAnsi="Times New Roman"/>
              <w:noProof/>
              <w:sz w:val="24"/>
            </w:rPr>
            <w:t>It requires that traffic</w:t>
          </w:r>
          <w:r>
            <w:rPr>
              <w:rFonts w:ascii="Times New Roman" w:eastAsia="Times New Roman" w:hAnsi="Times New Roman"/>
              <w:noProof/>
              <w:sz w:val="24"/>
              <w:vertAlign w:val="superscript"/>
            </w:rPr>
            <w:footnoteReference w:id="44"/>
          </w:r>
          <w:r>
            <w:rPr>
              <w:rFonts w:ascii="Times New Roman" w:eastAsia="Times New Roman" w:hAnsi="Times New Roman"/>
              <w:noProof/>
              <w:sz w:val="24"/>
            </w:rPr>
            <w:t xml:space="preserve"> and location data be erased or made anonymous when they are no longer required for the conveyance of a communication</w:t>
          </w:r>
          <w:r>
            <w:rPr>
              <w:rFonts w:ascii="Times New Roman" w:eastAsia="Times New Roman" w:hAnsi="Times New Roman"/>
              <w:noProof/>
              <w:sz w:val="24"/>
            </w:rPr>
            <w:t xml:space="preserve"> or for billing, except if the subscriber has given their </w:t>
          </w:r>
          <w:r>
            <w:rPr>
              <w:rFonts w:ascii="Times New Roman" w:eastAsia="Times New Roman" w:hAnsi="Times New Roman"/>
              <w:b/>
              <w:noProof/>
              <w:sz w:val="24"/>
            </w:rPr>
            <w:t>consent for another use</w:t>
          </w:r>
          <w:r>
            <w:rPr>
              <w:rFonts w:ascii="Times New Roman" w:eastAsia="Times New Roman" w:hAnsi="Times New Roman"/>
              <w:noProof/>
              <w:sz w:val="24"/>
            </w:rPr>
            <w:t xml:space="preserve"> and to the extent that processing of these data is necessary for providing a value-added service.</w:t>
          </w:r>
        </w:p>
        <w:p w:rsidR="0077224F" w:rsidRDefault="00D973EE">
          <w:pPr>
            <w:numPr>
              <w:ilvl w:val="0"/>
              <w:numId w:val="71"/>
            </w:numPr>
            <w:spacing w:before="0" w:after="240"/>
            <w:ind w:left="426" w:right="-29"/>
            <w:rPr>
              <w:rFonts w:ascii="Times New Roman" w:eastAsia="Times New Roman" w:hAnsi="Times New Roman"/>
              <w:noProof/>
              <w:sz w:val="24"/>
            </w:rPr>
          </w:pPr>
          <w:r>
            <w:rPr>
              <w:rFonts w:ascii="Times New Roman" w:eastAsia="Times New Roman" w:hAnsi="Times New Roman"/>
              <w:noProof/>
              <w:sz w:val="24"/>
            </w:rPr>
            <w:t xml:space="preserve">It requires </w:t>
          </w:r>
          <w:r>
            <w:rPr>
              <w:rFonts w:ascii="Times New Roman" w:eastAsia="Times New Roman" w:hAnsi="Times New Roman"/>
              <w:b/>
              <w:noProof/>
              <w:sz w:val="24"/>
            </w:rPr>
            <w:t>mandatory opt-in rules for unsolicited marketing</w:t>
          </w:r>
          <w:r>
            <w:rPr>
              <w:rFonts w:ascii="Times New Roman" w:eastAsia="Times New Roman" w:hAnsi="Times New Roman"/>
              <w:noProof/>
              <w:sz w:val="24"/>
            </w:rPr>
            <w:t xml:space="preserve"> by means of automated calling machines, telefaxes, and </w:t>
          </w:r>
          <w:r>
            <w:rPr>
              <w:rFonts w:ascii="Times New Roman" w:eastAsia="Times New Roman" w:hAnsi="Times New Roman"/>
              <w:noProof/>
              <w:sz w:val="24"/>
              <w:lang w:val="en"/>
            </w:rPr>
            <w:t xml:space="preserve">e-mails, including SMS messages. </w:t>
          </w:r>
          <w:r>
            <w:rPr>
              <w:rFonts w:ascii="Times New Roman" w:eastAsia="Times New Roman" w:hAnsi="Times New Roman"/>
              <w:noProof/>
              <w:sz w:val="24"/>
            </w:rPr>
            <w:t xml:space="preserve">This means that commercial communications can only be sent if the recipient has taken an affirmative action indicating his consent to receiving marketing emails  (for </w:t>
          </w:r>
          <w:r>
            <w:rPr>
              <w:rFonts w:ascii="Times New Roman" w:eastAsia="Times New Roman" w:hAnsi="Times New Roman"/>
              <w:noProof/>
              <w:sz w:val="24"/>
            </w:rPr>
            <w:t>example, by clicking an unclicked box on a web form).</w:t>
          </w:r>
        </w:p>
        <w:p w:rsidR="0077224F" w:rsidRDefault="00D973EE">
          <w:pPr>
            <w:keepNext/>
            <w:tabs>
              <w:tab w:val="left" w:pos="850"/>
            </w:tabs>
            <w:ind w:left="1700" w:hanging="850"/>
            <w:outlineLvl w:val="2"/>
            <w:rPr>
              <w:rFonts w:ascii="Times New Roman" w:eastAsia="Times New Roman" w:hAnsi="Times New Roman"/>
              <w:i/>
              <w:noProof/>
              <w:sz w:val="24"/>
            </w:rPr>
          </w:pPr>
          <w:bookmarkStart w:id="306" w:name="_Toc468453417"/>
          <w:bookmarkStart w:id="307" w:name="_Toc468455317"/>
          <w:bookmarkStart w:id="308" w:name="_Toc468790034"/>
          <w:bookmarkStart w:id="309" w:name="_Toc468794866"/>
          <w:bookmarkStart w:id="310" w:name="_Toc468795174"/>
          <w:bookmarkStart w:id="311" w:name="_Toc460847401"/>
          <w:bookmarkStart w:id="312" w:name="_Toc460847709"/>
          <w:bookmarkStart w:id="313" w:name="_Toc460847791"/>
          <w:bookmarkStart w:id="314" w:name="_Toc460848157"/>
          <w:bookmarkStart w:id="315" w:name="_Toc460848701"/>
          <w:bookmarkStart w:id="316" w:name="_Toc460923275"/>
          <w:bookmarkStart w:id="317" w:name="_Toc460927078"/>
          <w:bookmarkStart w:id="318" w:name="_Toc460927880"/>
          <w:r>
            <w:rPr>
              <w:rFonts w:ascii="Times New Roman" w:eastAsia="Times New Roman" w:hAnsi="Times New Roman"/>
              <w:i/>
              <w:noProof/>
              <w:sz w:val="24"/>
            </w:rPr>
            <w:t>4.1.3. Relationship with other existing legal instruments</w:t>
          </w:r>
          <w:bookmarkEnd w:id="306"/>
          <w:bookmarkEnd w:id="307"/>
          <w:bookmarkEnd w:id="308"/>
          <w:bookmarkEnd w:id="309"/>
          <w:bookmarkEnd w:id="310"/>
        </w:p>
        <w:p w:rsidR="0077224F" w:rsidRDefault="00D973EE">
          <w:pPr>
            <w:numPr>
              <w:ilvl w:val="0"/>
              <w:numId w:val="96"/>
            </w:numPr>
            <w:spacing w:before="0" w:after="240"/>
            <w:rPr>
              <w:rFonts w:ascii="Times New Roman" w:eastAsia="Times New Roman" w:hAnsi="Times New Roman"/>
              <w:noProof/>
              <w:color w:val="000000" w:themeColor="text1"/>
              <w:sz w:val="24"/>
            </w:rPr>
          </w:pPr>
          <w:r>
            <w:rPr>
              <w:rFonts w:ascii="Times New Roman" w:eastAsia="Times New Roman" w:hAnsi="Times New Roman"/>
              <w:noProof/>
              <w:color w:val="000000" w:themeColor="text1"/>
              <w:sz w:val="24"/>
            </w:rPr>
            <w:t>Data protection legislation</w:t>
          </w:r>
        </w:p>
        <w:p w:rsidR="0077224F" w:rsidRDefault="00D973EE">
          <w:pPr>
            <w:spacing w:before="0"/>
            <w:rPr>
              <w:rFonts w:ascii="Times New Roman" w:eastAsia="Times New Roman" w:hAnsi="Times New Roman"/>
              <w:noProof/>
              <w:sz w:val="24"/>
              <w:szCs w:val="20"/>
            </w:rPr>
          </w:pPr>
          <w:r>
            <w:rPr>
              <w:rFonts w:ascii="Times New Roman" w:eastAsia="Times New Roman" w:hAnsi="Times New Roman"/>
              <w:noProof/>
              <w:color w:val="000000" w:themeColor="text1"/>
              <w:sz w:val="24"/>
              <w:szCs w:val="20"/>
            </w:rPr>
            <w:t>The Data Protection Directive 95/46/EC (hereinafter "</w:t>
          </w:r>
          <w:r>
            <w:rPr>
              <w:rFonts w:ascii="Times New Roman" w:eastAsia="Times New Roman" w:hAnsi="Times New Roman"/>
              <w:b/>
              <w:noProof/>
              <w:color w:val="000000" w:themeColor="text1"/>
              <w:sz w:val="24"/>
              <w:szCs w:val="20"/>
            </w:rPr>
            <w:t>Data Protection Directive</w:t>
          </w:r>
          <w:r>
            <w:rPr>
              <w:rFonts w:ascii="Times New Roman" w:eastAsia="Times New Roman" w:hAnsi="Times New Roman"/>
              <w:noProof/>
              <w:color w:val="000000" w:themeColor="text1"/>
              <w:sz w:val="24"/>
              <w:szCs w:val="20"/>
            </w:rPr>
            <w:t>" or "</w:t>
          </w:r>
          <w:r>
            <w:rPr>
              <w:rFonts w:ascii="Times New Roman" w:eastAsia="Times New Roman" w:hAnsi="Times New Roman"/>
              <w:b/>
              <w:noProof/>
              <w:color w:val="000000" w:themeColor="text1"/>
              <w:sz w:val="24"/>
              <w:szCs w:val="20"/>
            </w:rPr>
            <w:t>Directive 95/46/EC</w:t>
          </w:r>
          <w:r>
            <w:rPr>
              <w:rFonts w:ascii="Times New Roman" w:eastAsia="Times New Roman" w:hAnsi="Times New Roman"/>
              <w:noProof/>
              <w:color w:val="000000" w:themeColor="text1"/>
              <w:sz w:val="24"/>
              <w:szCs w:val="20"/>
            </w:rPr>
            <w:t>")</w:t>
          </w:r>
          <w:r>
            <w:rPr>
              <w:rFonts w:ascii="Times New Roman" w:eastAsia="Times New Roman" w:hAnsi="Times New Roman"/>
              <w:noProof/>
              <w:sz w:val="24"/>
              <w:szCs w:val="20"/>
              <w:vertAlign w:val="superscript"/>
            </w:rPr>
            <w:footnoteReference w:id="45"/>
          </w:r>
          <w:r>
            <w:rPr>
              <w:rFonts w:ascii="Times New Roman" w:eastAsia="Times New Roman" w:hAnsi="Times New Roman"/>
              <w:noProof/>
              <w:sz w:val="24"/>
              <w:szCs w:val="20"/>
            </w:rPr>
            <w:t xml:space="preserve"> is the central legislative instrument in the protection of personal data in Europe. </w:t>
          </w:r>
        </w:p>
        <w:p w:rsidR="0077224F" w:rsidRDefault="00D973EE">
          <w:pPr>
            <w:spacing w:before="0"/>
            <w:rPr>
              <w:rFonts w:ascii="Times New Roman" w:eastAsia="Times New Roman" w:hAnsi="Times New Roman"/>
              <w:noProof/>
              <w:sz w:val="24"/>
              <w:szCs w:val="20"/>
            </w:rPr>
          </w:pPr>
          <w:r>
            <w:rPr>
              <w:rFonts w:ascii="Times New Roman" w:eastAsia="Times New Roman" w:hAnsi="Times New Roman"/>
              <w:noProof/>
              <w:sz w:val="24"/>
              <w:szCs w:val="20"/>
            </w:rPr>
            <w:t xml:space="preserve">Directive 95/46/EC is the legislative basis for two long-standing aims of European integration: the Internal Market (in this case the free movement of personal data) and </w:t>
          </w:r>
          <w:r>
            <w:rPr>
              <w:rFonts w:ascii="Times New Roman" w:eastAsia="Times New Roman" w:hAnsi="Times New Roman"/>
              <w:noProof/>
              <w:sz w:val="24"/>
              <w:szCs w:val="20"/>
            </w:rPr>
            <w:t>the protection of fundamental rights and freedoms of individuals. In the Directive, both objectives are equally important. The General Data Protection Regulation ("</w:t>
          </w:r>
          <w:r>
            <w:rPr>
              <w:rFonts w:ascii="Times New Roman" w:eastAsia="Times New Roman" w:hAnsi="Times New Roman"/>
              <w:b/>
              <w:noProof/>
              <w:sz w:val="24"/>
              <w:szCs w:val="20"/>
            </w:rPr>
            <w:t>GDPR</w:t>
          </w:r>
          <w:r>
            <w:rPr>
              <w:rFonts w:ascii="Times New Roman" w:eastAsia="Times New Roman" w:hAnsi="Times New Roman"/>
              <w:noProof/>
              <w:sz w:val="24"/>
              <w:szCs w:val="20"/>
            </w:rPr>
            <w:t>") will replace Directive 95/46/EC in 2018 with new modernised rules fit for the digital</w:t>
          </w:r>
          <w:r>
            <w:rPr>
              <w:rFonts w:ascii="Times New Roman" w:eastAsia="Times New Roman" w:hAnsi="Times New Roman"/>
              <w:noProof/>
              <w:sz w:val="24"/>
              <w:szCs w:val="20"/>
            </w:rPr>
            <w:t xml:space="preserve"> age.</w:t>
          </w:r>
          <w:r>
            <w:rPr>
              <w:rStyle w:val="FootnoteReference"/>
              <w:rFonts w:ascii="Times New Roman" w:eastAsia="Times New Roman" w:hAnsi="Times New Roman"/>
              <w:noProof/>
              <w:sz w:val="24"/>
              <w:szCs w:val="20"/>
            </w:rPr>
            <w:footnoteReference w:id="46"/>
          </w:r>
        </w:p>
        <w:p w:rsidR="0077224F" w:rsidRDefault="00D973EE">
          <w:pPr>
            <w:spacing w:before="0"/>
            <w:rPr>
              <w:rFonts w:ascii="Times New Roman" w:eastAsia="Times New Roman" w:hAnsi="Times New Roman"/>
              <w:noProof/>
              <w:sz w:val="24"/>
              <w:szCs w:val="20"/>
              <w:lang w:val="en"/>
            </w:rPr>
          </w:pPr>
          <w:r>
            <w:rPr>
              <w:rFonts w:ascii="Times New Roman" w:eastAsia="Times New Roman" w:hAnsi="Times New Roman"/>
              <w:noProof/>
              <w:sz w:val="24"/>
              <w:szCs w:val="20"/>
            </w:rPr>
            <w:t xml:space="preserve">Directive 95/46 protects the rights and freedoms of persons with respect to the processing of personal data by laying down the key criteria for making processing lawful and the principles of data quality. It sets out specific rights of data </w:t>
          </w:r>
          <w:r>
            <w:rPr>
              <w:rFonts w:ascii="Times New Roman" w:eastAsia="Times New Roman" w:hAnsi="Times New Roman"/>
              <w:noProof/>
              <w:sz w:val="24"/>
              <w:szCs w:val="20"/>
            </w:rPr>
            <w:t>subjects, including the right to be informed of the processing and the right to access their personal data, and obligations of data controllers.</w:t>
          </w:r>
        </w:p>
        <w:p w:rsidR="0077224F" w:rsidRDefault="00D973EE">
          <w:pPr>
            <w:spacing w:before="0"/>
            <w:rPr>
              <w:rFonts w:ascii="Times New Roman" w:eastAsia="Times New Roman" w:hAnsi="Times New Roman"/>
              <w:noProof/>
              <w:sz w:val="24"/>
              <w:szCs w:val="20"/>
            </w:rPr>
          </w:pPr>
          <w:r>
            <w:rPr>
              <w:rFonts w:ascii="Times New Roman" w:eastAsia="Times New Roman" w:hAnsi="Times New Roman"/>
              <w:noProof/>
              <w:sz w:val="24"/>
              <w:szCs w:val="20"/>
            </w:rPr>
            <w:t>The ePD particularises and complements Directive 95/46/EC by, among others, setting up specific rules concernin</w:t>
          </w:r>
          <w:r>
            <w:rPr>
              <w:rFonts w:ascii="Times New Roman" w:eastAsia="Times New Roman" w:hAnsi="Times New Roman"/>
              <w:noProof/>
              <w:sz w:val="24"/>
              <w:szCs w:val="20"/>
            </w:rPr>
            <w:t xml:space="preserve">g the processing of personal data in the electronic communication sector. It does so, for example, by requiring users’ consent before their phone numbers can be listed in a public directory. </w:t>
          </w:r>
        </w:p>
        <w:p w:rsidR="0077224F" w:rsidRDefault="00D973EE">
          <w:pPr>
            <w:spacing w:before="0"/>
            <w:rPr>
              <w:rFonts w:ascii="Times New Roman" w:eastAsia="Times New Roman" w:hAnsi="Times New Roman"/>
              <w:noProof/>
              <w:sz w:val="24"/>
              <w:szCs w:val="20"/>
            </w:rPr>
          </w:pPr>
          <w:r>
            <w:rPr>
              <w:rFonts w:ascii="Times New Roman" w:eastAsia="Times New Roman" w:hAnsi="Times New Roman"/>
              <w:noProof/>
              <w:sz w:val="24"/>
              <w:szCs w:val="20"/>
            </w:rPr>
            <w:t>The relationship between Directive 95/46 and the ePD is that exi</w:t>
          </w:r>
          <w:r>
            <w:rPr>
              <w:rFonts w:ascii="Times New Roman" w:eastAsia="Times New Roman" w:hAnsi="Times New Roman"/>
              <w:noProof/>
              <w:sz w:val="24"/>
              <w:szCs w:val="20"/>
            </w:rPr>
            <w:t xml:space="preserve">sting between a </w:t>
          </w:r>
          <w:r>
            <w:rPr>
              <w:rFonts w:ascii="Times New Roman" w:eastAsia="Times New Roman" w:hAnsi="Times New Roman"/>
              <w:i/>
              <w:noProof/>
              <w:sz w:val="24"/>
              <w:szCs w:val="20"/>
            </w:rPr>
            <w:t>lex generalis</w:t>
          </w:r>
          <w:r>
            <w:rPr>
              <w:rFonts w:ascii="Times New Roman" w:eastAsia="Times New Roman" w:hAnsi="Times New Roman"/>
              <w:noProof/>
              <w:sz w:val="24"/>
              <w:szCs w:val="20"/>
            </w:rPr>
            <w:t xml:space="preserve"> (Directive 95/46) and a </w:t>
          </w:r>
          <w:r>
            <w:rPr>
              <w:rFonts w:ascii="Times New Roman" w:eastAsia="Times New Roman" w:hAnsi="Times New Roman"/>
              <w:i/>
              <w:noProof/>
              <w:sz w:val="24"/>
              <w:szCs w:val="20"/>
            </w:rPr>
            <w:t>lex specialis</w:t>
          </w:r>
          <w:r>
            <w:rPr>
              <w:rFonts w:ascii="Times New Roman" w:eastAsia="Times New Roman" w:hAnsi="Times New Roman"/>
              <w:noProof/>
              <w:sz w:val="24"/>
              <w:szCs w:val="20"/>
            </w:rPr>
            <w:t xml:space="preserve"> (the ePD). All matters concerning the protection of personal data in the electronic communications sector which are not specifically addressed by the provisions of the ePD are covered by D</w:t>
          </w:r>
          <w:r>
            <w:rPr>
              <w:rFonts w:ascii="Times New Roman" w:eastAsia="Times New Roman" w:hAnsi="Times New Roman"/>
              <w:noProof/>
              <w:sz w:val="24"/>
              <w:szCs w:val="20"/>
            </w:rPr>
            <w:t>irective 95/46 (and in the future by the GDPR). For example, this covers the rights of individuals such as the right to obtain access to their personal data.</w:t>
          </w:r>
        </w:p>
        <w:p w:rsidR="0077224F" w:rsidRDefault="00D973EE">
          <w:pPr>
            <w:numPr>
              <w:ilvl w:val="0"/>
              <w:numId w:val="96"/>
            </w:numPr>
            <w:spacing w:before="0" w:after="240"/>
            <w:rPr>
              <w:rFonts w:ascii="Times New Roman" w:eastAsia="Times New Roman" w:hAnsi="Times New Roman"/>
              <w:noProof/>
              <w:color w:val="000000" w:themeColor="text1"/>
              <w:sz w:val="24"/>
            </w:rPr>
          </w:pPr>
          <w:r>
            <w:rPr>
              <w:rFonts w:ascii="Times New Roman" w:eastAsia="Times New Roman" w:hAnsi="Times New Roman"/>
              <w:noProof/>
              <w:color w:val="000000" w:themeColor="text1"/>
              <w:sz w:val="24"/>
            </w:rPr>
            <w:t>Telecom Regulatory Framework</w:t>
          </w:r>
        </w:p>
        <w:p w:rsidR="0077224F" w:rsidRDefault="00D973EE">
          <w:pPr>
            <w:spacing w:before="0"/>
            <w:rPr>
              <w:rFonts w:ascii="Times New Roman" w:eastAsia="Times New Roman" w:hAnsi="Times New Roman"/>
              <w:noProof/>
              <w:color w:val="000000" w:themeColor="text1"/>
              <w:sz w:val="24"/>
              <w:szCs w:val="20"/>
            </w:rPr>
          </w:pPr>
          <w:r>
            <w:rPr>
              <w:rFonts w:ascii="Times New Roman" w:eastAsia="Times New Roman" w:hAnsi="Times New Roman"/>
              <w:noProof/>
              <w:sz w:val="24"/>
              <w:szCs w:val="20"/>
            </w:rPr>
            <w:t xml:space="preserve">The ePD is </w:t>
          </w:r>
          <w:r>
            <w:rPr>
              <w:rFonts w:ascii="Times New Roman" w:eastAsia="Times New Roman" w:hAnsi="Times New Roman"/>
              <w:noProof/>
              <w:color w:val="000000" w:themeColor="text1"/>
              <w:sz w:val="24"/>
              <w:szCs w:val="20"/>
            </w:rPr>
            <w:t>part of the Telecom Framework,</w:t>
          </w:r>
          <w:r>
            <w:rPr>
              <w:rFonts w:ascii="Times New Roman" w:eastAsia="Times New Roman" w:hAnsi="Times New Roman"/>
              <w:noProof/>
              <w:sz w:val="16"/>
            </w:rPr>
            <w:t xml:space="preserve"> </w:t>
          </w:r>
          <w:r>
            <w:rPr>
              <w:rFonts w:ascii="Times New Roman" w:eastAsia="Times New Roman" w:hAnsi="Times New Roman"/>
              <w:noProof/>
              <w:sz w:val="24"/>
              <w:szCs w:val="20"/>
            </w:rPr>
            <w:t>which comprises a Framework</w:t>
          </w:r>
          <w:r>
            <w:rPr>
              <w:rFonts w:ascii="Times New Roman" w:eastAsia="Times New Roman" w:hAnsi="Times New Roman"/>
              <w:noProof/>
              <w:sz w:val="24"/>
              <w:szCs w:val="20"/>
            </w:rPr>
            <w:t xml:space="preserve"> Directive 2002/21/EC ("</w:t>
          </w:r>
          <w:r>
            <w:rPr>
              <w:rFonts w:ascii="Times New Roman" w:eastAsia="Times New Roman" w:hAnsi="Times New Roman"/>
              <w:b/>
              <w:noProof/>
              <w:sz w:val="24"/>
              <w:szCs w:val="20"/>
            </w:rPr>
            <w:t>FD</w:t>
          </w:r>
          <w:r>
            <w:rPr>
              <w:rFonts w:ascii="Times New Roman" w:eastAsia="Times New Roman" w:hAnsi="Times New Roman"/>
              <w:noProof/>
              <w:sz w:val="24"/>
              <w:szCs w:val="20"/>
            </w:rPr>
            <w:t xml:space="preserve">") and four specific directives. The Telecom Framework </w:t>
          </w:r>
          <w:r>
            <w:rPr>
              <w:rFonts w:ascii="Times New Roman" w:eastAsia="Times New Roman" w:hAnsi="Times New Roman"/>
              <w:noProof/>
              <w:color w:val="000000" w:themeColor="text1"/>
              <w:sz w:val="24"/>
              <w:szCs w:val="20"/>
            </w:rPr>
            <w:t>was last amended in 2009</w:t>
          </w:r>
          <w:r>
            <w:rPr>
              <w:rFonts w:ascii="Times New Roman" w:eastAsia="Times New Roman" w:hAnsi="Times New Roman"/>
              <w:noProof/>
              <w:color w:val="000000" w:themeColor="text1"/>
              <w:sz w:val="24"/>
              <w:szCs w:val="20"/>
              <w:vertAlign w:val="superscript"/>
            </w:rPr>
            <w:footnoteReference w:id="47"/>
          </w:r>
          <w:r>
            <w:rPr>
              <w:rFonts w:ascii="Times New Roman" w:eastAsia="Times New Roman" w:hAnsi="Times New Roman"/>
              <w:noProof/>
              <w:color w:val="000000" w:themeColor="text1"/>
              <w:sz w:val="24"/>
              <w:szCs w:val="20"/>
            </w:rPr>
            <w:t xml:space="preserve"> and it is currently under revision. The ePD borrows from the telecom framework a number of crucial elements, including the definition of its main scope and some important definitions. The scope of the ePD and the FD coincides in that they both apply to th</w:t>
          </w:r>
          <w:r>
            <w:rPr>
              <w:rFonts w:ascii="Times New Roman" w:eastAsia="Times New Roman" w:hAnsi="Times New Roman"/>
              <w:noProof/>
              <w:color w:val="000000" w:themeColor="text1"/>
              <w:sz w:val="24"/>
              <w:szCs w:val="20"/>
            </w:rPr>
            <w:t>e ECS providers, as defined above. Moreover, the FD provides the definition for some very important terms which are used in the ePD, such as "electronic communication service", "electronic communication network", "user" and "subscriber".</w:t>
          </w:r>
        </w:p>
        <w:p w:rsidR="0077224F" w:rsidRDefault="00D973EE">
          <w:pPr>
            <w:spacing w:before="0"/>
            <w:rPr>
              <w:rFonts w:ascii="Times New Roman" w:eastAsia="Times New Roman" w:hAnsi="Times New Roman"/>
              <w:noProof/>
              <w:sz w:val="24"/>
              <w:szCs w:val="20"/>
            </w:rPr>
          </w:pPr>
          <w:r>
            <w:rPr>
              <w:rFonts w:ascii="Times New Roman" w:eastAsia="Times New Roman" w:hAnsi="Times New Roman"/>
              <w:noProof/>
              <w:sz w:val="24"/>
              <w:szCs w:val="20"/>
            </w:rPr>
            <w:t>It can be argued t</w:t>
          </w:r>
          <w:r>
            <w:rPr>
              <w:rFonts w:ascii="Times New Roman" w:eastAsia="Times New Roman" w:hAnsi="Times New Roman"/>
              <w:noProof/>
              <w:sz w:val="24"/>
              <w:szCs w:val="20"/>
            </w:rPr>
            <w:t>hat the ePD has somewhat a dual nature, given its close links on the one hand with the data protection legislation and, on the other hand, with the telecom regulatory framework. While from a functional perspective, the ePD can be considered to be closer to</w:t>
          </w:r>
          <w:r>
            <w:rPr>
              <w:rFonts w:ascii="Times New Roman" w:eastAsia="Times New Roman" w:hAnsi="Times New Roman"/>
              <w:noProof/>
              <w:sz w:val="24"/>
              <w:szCs w:val="20"/>
            </w:rPr>
            <w:t xml:space="preserve"> the data protection legislation, in that his main objective is to protect fundamental rights, from a technical/sectorial perspective it can be considered closer to the Telecom Framework, as it regulates a specific economic sector/activity.</w:t>
          </w:r>
        </w:p>
        <w:p w:rsidR="0077224F" w:rsidRDefault="00D973EE">
          <w:pPr>
            <w:spacing w:before="0"/>
            <w:rPr>
              <w:rFonts w:ascii="Times New Roman" w:eastAsia="Times New Roman" w:hAnsi="Times New Roman"/>
              <w:noProof/>
              <w:sz w:val="24"/>
              <w:szCs w:val="20"/>
            </w:rPr>
          </w:pPr>
          <w:r>
            <w:rPr>
              <w:rFonts w:ascii="Times New Roman" w:eastAsia="Times New Roman" w:hAnsi="Times New Roman"/>
              <w:noProof/>
              <w:sz w:val="24"/>
              <w:szCs w:val="20"/>
            </w:rPr>
            <w:t>In 2015, the Co</w:t>
          </w:r>
          <w:r>
            <w:rPr>
              <w:rFonts w:ascii="Times New Roman" w:eastAsia="Times New Roman" w:hAnsi="Times New Roman"/>
              <w:noProof/>
              <w:sz w:val="24"/>
              <w:szCs w:val="20"/>
            </w:rPr>
            <w:t>mmission initiated a review of the Telecom Framework which led in September 2016 to the adoption of a Commission's legislative a proposal for a Directive establishing the European Electronic Communications Code.</w:t>
          </w:r>
          <w:r>
            <w:rPr>
              <w:rFonts w:ascii="Times New Roman" w:eastAsia="Times New Roman" w:hAnsi="Times New Roman"/>
              <w:noProof/>
              <w:sz w:val="24"/>
              <w:szCs w:val="20"/>
              <w:vertAlign w:val="superscript"/>
            </w:rPr>
            <w:footnoteReference w:id="48"/>
          </w:r>
          <w:r>
            <w:rPr>
              <w:rFonts w:ascii="Times New Roman" w:eastAsia="Times New Roman" w:hAnsi="Times New Roman"/>
              <w:noProof/>
              <w:sz w:val="24"/>
              <w:szCs w:val="20"/>
            </w:rPr>
            <w:t xml:space="preserve"> In this context, and in view of the close l</w:t>
          </w:r>
          <w:r>
            <w:rPr>
              <w:rFonts w:ascii="Times New Roman" w:eastAsia="Times New Roman" w:hAnsi="Times New Roman"/>
              <w:noProof/>
              <w:sz w:val="24"/>
              <w:szCs w:val="20"/>
            </w:rPr>
            <w:t xml:space="preserve">inks of this instrument with the data protection legislation, it was decided that the ePrivacy Directive would have been subject to a separate review, following the final approval of the GDPR. The rationale of having a separate initiative for the ePrivacy </w:t>
          </w:r>
          <w:r>
            <w:rPr>
              <w:rFonts w:ascii="Times New Roman" w:eastAsia="Times New Roman" w:hAnsi="Times New Roman"/>
              <w:noProof/>
              <w:sz w:val="24"/>
              <w:szCs w:val="20"/>
            </w:rPr>
            <w:t>review reflects, in particular, the dual nature of the ePrivacy rules and the need to ensure full consistency with the GDPR.</w:t>
          </w:r>
        </w:p>
        <w:p w:rsidR="0077224F" w:rsidRDefault="00D973EE">
          <w:pPr>
            <w:numPr>
              <w:ilvl w:val="0"/>
              <w:numId w:val="96"/>
            </w:numPr>
            <w:spacing w:before="0" w:after="240"/>
            <w:rPr>
              <w:rFonts w:ascii="Times New Roman" w:eastAsia="Times New Roman" w:hAnsi="Times New Roman"/>
              <w:noProof/>
              <w:sz w:val="24"/>
            </w:rPr>
          </w:pPr>
          <w:r>
            <w:rPr>
              <w:rFonts w:ascii="Times New Roman" w:eastAsia="Times New Roman" w:hAnsi="Times New Roman"/>
              <w:noProof/>
              <w:sz w:val="24"/>
            </w:rPr>
            <w:t>Radio Equipment Directive</w:t>
          </w:r>
        </w:p>
        <w:p w:rsidR="0077224F" w:rsidRDefault="00D973EE">
          <w:pPr>
            <w:spacing w:before="0"/>
            <w:rPr>
              <w:rFonts w:ascii="Times New Roman" w:eastAsia="Times New Roman" w:hAnsi="Times New Roman"/>
              <w:noProof/>
              <w:sz w:val="24"/>
              <w:szCs w:val="20"/>
            </w:rPr>
          </w:pPr>
          <w:r>
            <w:rPr>
              <w:rFonts w:ascii="Times New Roman" w:eastAsia="Times New Roman" w:hAnsi="Times New Roman"/>
              <w:noProof/>
              <w:sz w:val="24"/>
              <w:szCs w:val="20"/>
            </w:rPr>
            <w:t xml:space="preserve">The RED ensures a single market for radio equipment by setting out essential requirements for safety and </w:t>
          </w:r>
          <w:r>
            <w:rPr>
              <w:rFonts w:ascii="Times New Roman" w:eastAsia="Times New Roman" w:hAnsi="Times New Roman"/>
              <w:noProof/>
              <w:sz w:val="24"/>
              <w:szCs w:val="20"/>
            </w:rPr>
            <w:t>health, electromagnetic compatibility and the efficient use of the radio spectrum. This applies to all products using the radio frequency spectrum and thus includes mobile electronic communication terminal equipment, such as smartphones, tablets, Wi-Fi dev</w:t>
          </w:r>
          <w:r>
            <w:rPr>
              <w:rFonts w:ascii="Times New Roman" w:eastAsia="Times New Roman" w:hAnsi="Times New Roman"/>
              <w:noProof/>
              <w:sz w:val="24"/>
              <w:szCs w:val="20"/>
            </w:rPr>
            <w:t>ices etc. There are strong synergies between the ePD and the RED.</w:t>
          </w:r>
        </w:p>
        <w:p w:rsidR="0077224F" w:rsidRDefault="00D973EE">
          <w:pPr>
            <w:spacing w:before="0"/>
            <w:rPr>
              <w:rFonts w:ascii="Times New Roman" w:eastAsia="Times New Roman" w:hAnsi="Times New Roman"/>
              <w:noProof/>
              <w:sz w:val="24"/>
              <w:szCs w:val="20"/>
            </w:rPr>
          </w:pPr>
          <w:r>
            <w:rPr>
              <w:rFonts w:ascii="Times New Roman" w:eastAsia="Times New Roman" w:hAnsi="Times New Roman"/>
              <w:noProof/>
              <w:sz w:val="24"/>
              <w:szCs w:val="20"/>
            </w:rPr>
            <w:t>Several aspects of the RED are relevant in relation to the ePD and the objective of protecting privacy and confidentiality of electronic communications. In particular, the RED establishes th</w:t>
          </w:r>
          <w:r>
            <w:rPr>
              <w:rFonts w:ascii="Times New Roman" w:eastAsia="Times New Roman" w:hAnsi="Times New Roman"/>
              <w:noProof/>
              <w:sz w:val="24"/>
              <w:szCs w:val="20"/>
            </w:rPr>
            <w:t xml:space="preserve">at, before being put into the market, radio equipment must comply with certain essential requirements. One of these requirements is that radio equipment incorporates safeguards to ensure that the personal data and privacy of the user and of the subscriber </w:t>
          </w:r>
          <w:r>
            <w:rPr>
              <w:rFonts w:ascii="Times New Roman" w:eastAsia="Times New Roman" w:hAnsi="Times New Roman"/>
              <w:noProof/>
              <w:sz w:val="24"/>
              <w:szCs w:val="20"/>
            </w:rPr>
            <w:t xml:space="preserve">are protected. The Commission may adopt delegated acts specifying the categories or classes of radio equipment subject to the above requirement. </w:t>
          </w:r>
        </w:p>
        <w:p w:rsidR="0077224F" w:rsidRDefault="00D973EE">
          <w:pPr>
            <w:spacing w:before="0"/>
            <w:rPr>
              <w:rFonts w:ascii="Times New Roman" w:eastAsia="Times New Roman" w:hAnsi="Times New Roman"/>
              <w:noProof/>
              <w:sz w:val="24"/>
              <w:szCs w:val="20"/>
            </w:rPr>
          </w:pPr>
          <w:r>
            <w:rPr>
              <w:rFonts w:ascii="Times New Roman" w:eastAsia="Times New Roman" w:hAnsi="Times New Roman"/>
              <w:noProof/>
              <w:sz w:val="24"/>
              <w:szCs w:val="20"/>
            </w:rPr>
            <w:t>Compliance with the above requirement is presumed for radio equipment which is in conformity with harmonised s</w:t>
          </w:r>
          <w:r>
            <w:rPr>
              <w:rFonts w:ascii="Times New Roman" w:eastAsia="Times New Roman" w:hAnsi="Times New Roman"/>
              <w:noProof/>
              <w:sz w:val="24"/>
              <w:szCs w:val="20"/>
            </w:rPr>
            <w:t>tandards the references of which have been published in the Official Journal of the European Union. Moreover, in accordance with Regulation (EU) No 1025/2012 on European standardisation ("</w:t>
          </w:r>
          <w:r>
            <w:rPr>
              <w:rFonts w:ascii="Times New Roman" w:eastAsia="Times New Roman" w:hAnsi="Times New Roman"/>
              <w:b/>
              <w:noProof/>
              <w:sz w:val="24"/>
              <w:szCs w:val="20"/>
            </w:rPr>
            <w:t>Regulation 1025/2012</w:t>
          </w:r>
          <w:r>
            <w:rPr>
              <w:rFonts w:ascii="Times New Roman" w:eastAsia="Times New Roman" w:hAnsi="Times New Roman"/>
              <w:noProof/>
              <w:sz w:val="24"/>
              <w:szCs w:val="20"/>
            </w:rPr>
            <w:t>"), the Commission may request European standard</w:t>
          </w:r>
          <w:r>
            <w:rPr>
              <w:rFonts w:ascii="Times New Roman" w:eastAsia="Times New Roman" w:hAnsi="Times New Roman"/>
              <w:noProof/>
              <w:sz w:val="24"/>
              <w:szCs w:val="20"/>
            </w:rPr>
            <w:t xml:space="preserve">isation bodies to issue a standard for the purpose of ensuring conformity with the above essential requirement. </w:t>
          </w:r>
        </w:p>
        <w:p w:rsidR="0077224F" w:rsidRDefault="00D973EE">
          <w:pPr>
            <w:spacing w:before="0"/>
            <w:rPr>
              <w:rFonts w:ascii="Times New Roman" w:eastAsia="Times New Roman" w:hAnsi="Times New Roman"/>
              <w:noProof/>
              <w:sz w:val="24"/>
              <w:szCs w:val="20"/>
            </w:rPr>
          </w:pPr>
          <w:r>
            <w:rPr>
              <w:rFonts w:ascii="Times New Roman" w:eastAsia="Times New Roman" w:hAnsi="Times New Roman"/>
              <w:noProof/>
              <w:sz w:val="24"/>
              <w:szCs w:val="20"/>
            </w:rPr>
            <w:t>The above delegated acts and technical standards are particularly relevant for the ensuring the effective implementation of the ePD provisions.</w:t>
          </w:r>
          <w:r>
            <w:rPr>
              <w:rFonts w:ascii="Times New Roman" w:eastAsia="Times New Roman" w:hAnsi="Times New Roman"/>
              <w:noProof/>
              <w:sz w:val="24"/>
              <w:szCs w:val="20"/>
            </w:rPr>
            <w:t xml:space="preserve"> The interaction between the two instruments is explicitly reflected in Article 14(3) of the ePD, which empowers the Commission to adopt measures under the RED and Regulation 1025/2012 to ensure that terminal equipment is constructed in a way that is compa</w:t>
          </w:r>
          <w:r>
            <w:rPr>
              <w:rFonts w:ascii="Times New Roman" w:eastAsia="Times New Roman" w:hAnsi="Times New Roman"/>
              <w:noProof/>
              <w:sz w:val="24"/>
              <w:szCs w:val="20"/>
            </w:rPr>
            <w:t>tible with the right of users to protect their personal data. No such measure has been adopted so far by the Commission.</w:t>
          </w:r>
        </w:p>
        <w:p w:rsidR="0077224F" w:rsidRDefault="00D973EE">
          <w:pPr>
            <w:numPr>
              <w:ilvl w:val="0"/>
              <w:numId w:val="96"/>
            </w:numPr>
            <w:spacing w:before="0" w:after="240"/>
            <w:rPr>
              <w:rFonts w:ascii="Times New Roman" w:eastAsia="Times New Roman" w:hAnsi="Times New Roman"/>
              <w:noProof/>
              <w:sz w:val="24"/>
            </w:rPr>
          </w:pPr>
          <w:r>
            <w:rPr>
              <w:rFonts w:ascii="Times New Roman" w:eastAsia="Times New Roman" w:hAnsi="Times New Roman"/>
              <w:noProof/>
              <w:sz w:val="24"/>
            </w:rPr>
            <w:t>The former Data Retention Directive</w:t>
          </w:r>
        </w:p>
        <w:p w:rsidR="0077224F" w:rsidRDefault="00D973EE">
          <w:pPr>
            <w:spacing w:before="0"/>
            <w:rPr>
              <w:rFonts w:ascii="Times New Roman" w:eastAsia="Times New Roman" w:hAnsi="Times New Roman"/>
              <w:noProof/>
              <w:sz w:val="24"/>
              <w:szCs w:val="20"/>
            </w:rPr>
          </w:pPr>
          <w:r>
            <w:rPr>
              <w:rFonts w:ascii="Times New Roman" w:eastAsia="Times New Roman" w:hAnsi="Times New Roman"/>
              <w:noProof/>
              <w:sz w:val="24"/>
              <w:szCs w:val="20"/>
            </w:rPr>
            <w:t xml:space="preserve">The former Data Retention Directive 2006/24/EC harmonised national laws concerning the obligations </w:t>
          </w:r>
          <w:r>
            <w:rPr>
              <w:rFonts w:ascii="Times New Roman" w:eastAsia="Times New Roman" w:hAnsi="Times New Roman"/>
              <w:noProof/>
              <w:sz w:val="24"/>
              <w:szCs w:val="20"/>
            </w:rPr>
            <w:t>of the providers of publicly available electronic communications services or of public communications networks with respect to the retention of certain data which are generated or processed by them, in order to ensure that the data are available for the pu</w:t>
          </w:r>
          <w:r>
            <w:rPr>
              <w:rFonts w:ascii="Times New Roman" w:eastAsia="Times New Roman" w:hAnsi="Times New Roman"/>
              <w:noProof/>
              <w:sz w:val="24"/>
              <w:szCs w:val="20"/>
            </w:rPr>
            <w:t>rpose of the investigation, detection and prosecution of serious crime, as defined by each MS in its national law.</w:t>
          </w:r>
        </w:p>
        <w:p w:rsidR="0077224F" w:rsidRDefault="00D973EE">
          <w:pPr>
            <w:spacing w:before="0"/>
            <w:rPr>
              <w:rFonts w:ascii="Times New Roman" w:eastAsia="Times New Roman" w:hAnsi="Times New Roman"/>
              <w:noProof/>
              <w:sz w:val="24"/>
              <w:szCs w:val="20"/>
            </w:rPr>
          </w:pPr>
          <w:r>
            <w:rPr>
              <w:rFonts w:ascii="Times New Roman" w:eastAsia="Times New Roman" w:hAnsi="Times New Roman"/>
              <w:noProof/>
              <w:sz w:val="24"/>
              <w:szCs w:val="20"/>
            </w:rPr>
            <w:t xml:space="preserve">The Data Retention Directive was annulled by the Court of Justice of the European Union in its judgment of 8 April 2014 in the </w:t>
          </w:r>
          <w:r>
            <w:rPr>
              <w:rFonts w:ascii="Times New Roman" w:eastAsia="Times New Roman" w:hAnsi="Times New Roman"/>
              <w:i/>
              <w:noProof/>
              <w:sz w:val="24"/>
              <w:szCs w:val="20"/>
            </w:rPr>
            <w:t>Digital Rights</w:t>
          </w:r>
          <w:r>
            <w:rPr>
              <w:rFonts w:ascii="Times New Roman" w:eastAsia="Times New Roman" w:hAnsi="Times New Roman"/>
              <w:i/>
              <w:noProof/>
              <w:sz w:val="24"/>
              <w:szCs w:val="20"/>
            </w:rPr>
            <w:t xml:space="preserve"> Ireland</w:t>
          </w:r>
          <w:r>
            <w:rPr>
              <w:rFonts w:ascii="Times New Roman" w:eastAsia="Times New Roman" w:hAnsi="Times New Roman"/>
              <w:noProof/>
              <w:sz w:val="24"/>
              <w:szCs w:val="20"/>
            </w:rPr>
            <w:t xml:space="preserve"> case. The Court found, in particular, that the Directive did not comply with Articles 7 and 8 of the Charter on privacy and data protection. The Directive was not considered by the Court as a proportionate interference with the above fundamental r</w:t>
          </w:r>
          <w:r>
            <w:rPr>
              <w:rFonts w:ascii="Times New Roman" w:eastAsia="Times New Roman" w:hAnsi="Times New Roman"/>
              <w:noProof/>
              <w:sz w:val="24"/>
              <w:szCs w:val="20"/>
            </w:rPr>
            <w:t>ights because it did not specify in sufficient detail the limits and the conditions of the interference and did not provide for adequate safeguards against abuse.</w:t>
          </w:r>
        </w:p>
        <w:p w:rsidR="0077224F" w:rsidRDefault="00D973EE">
          <w:pPr>
            <w:spacing w:before="0"/>
            <w:rPr>
              <w:rFonts w:ascii="Times New Roman" w:eastAsia="Times New Roman" w:hAnsi="Times New Roman"/>
              <w:noProof/>
              <w:sz w:val="24"/>
              <w:szCs w:val="20"/>
            </w:rPr>
          </w:pPr>
          <w:r>
            <w:rPr>
              <w:rFonts w:ascii="Times New Roman" w:eastAsia="Times New Roman" w:hAnsi="Times New Roman"/>
              <w:noProof/>
              <w:sz w:val="24"/>
              <w:szCs w:val="20"/>
            </w:rPr>
            <w:t>In the current absence of EU legislation in the field of data retention, MS may still establi</w:t>
          </w:r>
          <w:r>
            <w:rPr>
              <w:rFonts w:ascii="Times New Roman" w:eastAsia="Times New Roman" w:hAnsi="Times New Roman"/>
              <w:noProof/>
              <w:sz w:val="24"/>
              <w:szCs w:val="20"/>
            </w:rPr>
            <w:t>sh or maintain national data retention legislation, based on Article 15(1) of the ePD so far as they comply with the general principles of Union law. Article 15 of the ePD allows MS to derogate to some ePrivacy rules</w:t>
          </w:r>
          <w:r>
            <w:rPr>
              <w:rFonts w:ascii="Times New Roman" w:eastAsia="Times New Roman" w:hAnsi="Times New Roman"/>
              <w:noProof/>
              <w:sz w:val="24"/>
              <w:szCs w:val="20"/>
              <w:vertAlign w:val="superscript"/>
              <w:lang w:eastAsia="en-GB"/>
            </w:rPr>
            <w:footnoteReference w:id="49"/>
          </w:r>
          <w:r>
            <w:rPr>
              <w:rFonts w:ascii="Times New Roman" w:eastAsia="Times New Roman" w:hAnsi="Times New Roman"/>
              <w:noProof/>
              <w:sz w:val="24"/>
              <w:szCs w:val="20"/>
              <w:vertAlign w:val="superscript"/>
              <w:lang w:eastAsia="en-GB"/>
            </w:rPr>
            <w:t xml:space="preserve"> </w:t>
          </w:r>
          <w:r>
            <w:rPr>
              <w:rFonts w:ascii="Times New Roman" w:eastAsia="Times New Roman" w:hAnsi="Times New Roman"/>
              <w:noProof/>
              <w:sz w:val="24"/>
              <w:szCs w:val="20"/>
            </w:rPr>
            <w:t>(e.g. the confidentiality of electroni</w:t>
          </w:r>
          <w:r>
            <w:rPr>
              <w:rFonts w:ascii="Times New Roman" w:eastAsia="Times New Roman" w:hAnsi="Times New Roman"/>
              <w:noProof/>
              <w:sz w:val="24"/>
              <w:szCs w:val="20"/>
            </w:rPr>
            <w:t>c communications) for the purposes of "safeguard(ing) national security, defence, public security, and the prevention, investigation, detection and prosecution of criminal offences or of unauthorized use of the electronic communication system". It also pro</w:t>
          </w:r>
          <w:r>
            <w:rPr>
              <w:rFonts w:ascii="Times New Roman" w:eastAsia="Times New Roman" w:hAnsi="Times New Roman"/>
              <w:noProof/>
              <w:sz w:val="24"/>
              <w:szCs w:val="20"/>
            </w:rPr>
            <w:t>vides that these measures must constitute a necessary, appropriate and proportionate measure within a democratic society, in accordance with the jurisprudence of the Court of Justice of the EU and the European Court of Human Rights ("ECtHR").</w:t>
          </w:r>
        </w:p>
        <w:p w:rsidR="0077224F" w:rsidRDefault="00D973EE">
          <w:pPr>
            <w:spacing w:before="0"/>
            <w:rPr>
              <w:rFonts w:ascii="Times New Roman" w:eastAsia="Times New Roman" w:hAnsi="Times New Roman"/>
              <w:noProof/>
              <w:sz w:val="24"/>
              <w:szCs w:val="20"/>
            </w:rPr>
          </w:pPr>
          <w:r>
            <w:rPr>
              <w:rFonts w:ascii="Times New Roman" w:eastAsia="Times New Roman" w:hAnsi="Times New Roman"/>
              <w:noProof/>
              <w:sz w:val="24"/>
              <w:szCs w:val="20"/>
            </w:rPr>
            <w:t xml:space="preserve">In line with </w:t>
          </w:r>
          <w:r>
            <w:rPr>
              <w:rFonts w:ascii="Times New Roman" w:eastAsia="Times New Roman" w:hAnsi="Times New Roman"/>
              <w:noProof/>
              <w:sz w:val="24"/>
              <w:szCs w:val="20"/>
            </w:rPr>
            <w:t>the European Agenda on Security</w:t>
          </w:r>
          <w:r>
            <w:rPr>
              <w:rFonts w:ascii="Times New Roman" w:eastAsia="Times New Roman" w:hAnsi="Times New Roman"/>
              <w:noProof/>
              <w:sz w:val="24"/>
              <w:szCs w:val="20"/>
              <w:vertAlign w:val="superscript"/>
            </w:rPr>
            <w:footnoteReference w:id="50"/>
          </w:r>
          <w:r>
            <w:rPr>
              <w:rFonts w:ascii="Times New Roman" w:eastAsia="Times New Roman" w:hAnsi="Times New Roman"/>
              <w:noProof/>
              <w:sz w:val="24"/>
              <w:szCs w:val="20"/>
            </w:rPr>
            <w:t>, the Commission does not envisage coming forward with any new initiative on data retention for the time being. Instead, the Commission will continue monitoring legislative developments at national level.</w:t>
          </w:r>
        </w:p>
        <w:p w:rsidR="0077224F" w:rsidRDefault="00D973EE">
          <w:pPr>
            <w:spacing w:before="0"/>
            <w:ind w:right="-29"/>
            <w:rPr>
              <w:rFonts w:ascii="Times New Roman" w:eastAsia="Calibri" w:hAnsi="Times New Roman"/>
              <w:b/>
              <w:noProof/>
              <w:sz w:val="24"/>
              <w:szCs w:val="20"/>
            </w:rPr>
          </w:pPr>
          <w:bookmarkStart w:id="319" w:name="_Toc460847402"/>
          <w:bookmarkStart w:id="320" w:name="_Toc460847710"/>
          <w:bookmarkStart w:id="321" w:name="_Toc460847792"/>
          <w:bookmarkStart w:id="322" w:name="_Toc460848158"/>
          <w:bookmarkStart w:id="323" w:name="_Toc460848702"/>
          <w:bookmarkStart w:id="324" w:name="_Toc460923276"/>
          <w:bookmarkStart w:id="325" w:name="_Toc460927079"/>
          <w:bookmarkStart w:id="326" w:name="_Toc460927881"/>
          <w:bookmarkEnd w:id="311"/>
          <w:bookmarkEnd w:id="312"/>
          <w:bookmarkEnd w:id="313"/>
          <w:bookmarkEnd w:id="314"/>
          <w:bookmarkEnd w:id="315"/>
          <w:bookmarkEnd w:id="316"/>
          <w:bookmarkEnd w:id="317"/>
          <w:bookmarkEnd w:id="318"/>
          <w:r>
            <w:rPr>
              <w:rFonts w:ascii="Times New Roman" w:eastAsia="Times New Roman" w:hAnsi="Times New Roman"/>
              <w:b/>
              <w:noProof/>
              <w:sz w:val="24"/>
              <w:szCs w:val="20"/>
            </w:rPr>
            <w:t>4.2 Market context</w:t>
          </w:r>
          <w:bookmarkEnd w:id="319"/>
          <w:bookmarkEnd w:id="320"/>
          <w:bookmarkEnd w:id="321"/>
          <w:bookmarkEnd w:id="322"/>
          <w:bookmarkEnd w:id="323"/>
          <w:bookmarkEnd w:id="324"/>
          <w:bookmarkEnd w:id="325"/>
          <w:bookmarkEnd w:id="326"/>
        </w:p>
        <w:p w:rsidR="0077224F" w:rsidRDefault="00D973EE">
          <w:pPr>
            <w:keepNext/>
            <w:tabs>
              <w:tab w:val="left" w:pos="850"/>
            </w:tabs>
            <w:ind w:left="1700" w:hanging="850"/>
            <w:outlineLvl w:val="2"/>
            <w:rPr>
              <w:rFonts w:ascii="Times New Roman" w:eastAsia="Times New Roman" w:hAnsi="Times New Roman"/>
              <w:i/>
              <w:noProof/>
              <w:sz w:val="24"/>
            </w:rPr>
          </w:pPr>
          <w:bookmarkStart w:id="327" w:name="_Toc460847404"/>
          <w:bookmarkStart w:id="328" w:name="_Toc460847712"/>
          <w:bookmarkStart w:id="329" w:name="_Toc460847794"/>
          <w:bookmarkStart w:id="330" w:name="_Toc460848160"/>
          <w:bookmarkStart w:id="331" w:name="_Toc460848704"/>
          <w:bookmarkStart w:id="332" w:name="_Toc460923278"/>
          <w:bookmarkStart w:id="333" w:name="_Toc460927081"/>
          <w:bookmarkStart w:id="334" w:name="_Toc460927883"/>
          <w:bookmarkStart w:id="335" w:name="_Toc468453418"/>
          <w:bookmarkStart w:id="336" w:name="_Toc468455318"/>
          <w:bookmarkStart w:id="337" w:name="_Toc468790035"/>
          <w:bookmarkStart w:id="338" w:name="_Toc468794867"/>
          <w:bookmarkStart w:id="339" w:name="_Toc468795175"/>
          <w:r>
            <w:rPr>
              <w:rFonts w:ascii="Times New Roman" w:eastAsia="Times New Roman" w:hAnsi="Times New Roman"/>
              <w:i/>
              <w:noProof/>
              <w:sz w:val="24"/>
            </w:rPr>
            <w:t>4.2.1. Main socio-economic drivers</w:t>
          </w:r>
          <w:bookmarkEnd w:id="327"/>
          <w:bookmarkEnd w:id="328"/>
          <w:bookmarkEnd w:id="329"/>
          <w:bookmarkEnd w:id="330"/>
          <w:bookmarkEnd w:id="331"/>
          <w:bookmarkEnd w:id="332"/>
          <w:bookmarkEnd w:id="333"/>
          <w:bookmarkEnd w:id="334"/>
          <w:bookmarkEnd w:id="335"/>
          <w:bookmarkEnd w:id="336"/>
          <w:bookmarkEnd w:id="337"/>
          <w:bookmarkEnd w:id="338"/>
          <w:bookmarkEnd w:id="339"/>
        </w:p>
        <w:p w:rsidR="0077224F" w:rsidRDefault="00D973EE">
          <w:pPr>
            <w:spacing w:before="0" w:line="240" w:lineRule="atLeast"/>
            <w:ind w:right="-29"/>
            <w:rPr>
              <w:rFonts w:ascii="Times New Roman" w:eastAsia="Times New Roman" w:hAnsi="Times New Roman"/>
              <w:noProof/>
              <w:sz w:val="24"/>
            </w:rPr>
          </w:pPr>
          <w:r>
            <w:rPr>
              <w:rFonts w:ascii="Times New Roman" w:eastAsia="Times New Roman" w:hAnsi="Times New Roman"/>
              <w:noProof/>
              <w:sz w:val="24"/>
            </w:rPr>
            <w:t xml:space="preserve">The past 5-10 years have been characterised by a series of very significant and correlated developments in the field of privacy and electronic communications. The main developments are summarised below: </w:t>
          </w:r>
        </w:p>
        <w:p w:rsidR="0077224F" w:rsidRDefault="00D973EE">
          <w:pPr>
            <w:numPr>
              <w:ilvl w:val="0"/>
              <w:numId w:val="85"/>
            </w:numPr>
            <w:spacing w:before="0" w:after="240" w:line="240" w:lineRule="atLeast"/>
            <w:ind w:right="-29"/>
            <w:rPr>
              <w:rFonts w:ascii="Times New Roman" w:eastAsia="Times New Roman" w:hAnsi="Times New Roman"/>
              <w:noProof/>
              <w:sz w:val="24"/>
            </w:rPr>
          </w:pPr>
          <w:r>
            <w:rPr>
              <w:rFonts w:ascii="Times New Roman" w:eastAsia="Times New Roman" w:hAnsi="Times New Roman"/>
              <w:noProof/>
              <w:sz w:val="24"/>
            </w:rPr>
            <w:t xml:space="preserve">The rise of new business models, the so called </w:t>
          </w:r>
          <w:r>
            <w:rPr>
              <w:rFonts w:ascii="Times New Roman" w:eastAsia="Times New Roman" w:hAnsi="Times New Roman"/>
              <w:b/>
              <w:noProof/>
              <w:sz w:val="24"/>
            </w:rPr>
            <w:t>over-the-top service providers</w:t>
          </w:r>
          <w:r>
            <w:rPr>
              <w:rFonts w:ascii="Times New Roman" w:eastAsia="Times New Roman" w:hAnsi="Times New Roman"/>
              <w:noProof/>
              <w:sz w:val="24"/>
            </w:rPr>
            <w:t xml:space="preserve"> (OTTs) providing communication functions free of charge essentially through an Internet software platform. As outlined above, these providers do not convey the signals over the n</w:t>
          </w:r>
          <w:r>
            <w:rPr>
              <w:rFonts w:ascii="Times New Roman" w:eastAsia="Times New Roman" w:hAnsi="Times New Roman"/>
              <w:noProof/>
              <w:sz w:val="24"/>
            </w:rPr>
            <w:t xml:space="preserve">etwork and are therefore normally considered outside the scope of the Telecom Framework and the ePD. </w:t>
          </w:r>
        </w:p>
        <w:p w:rsidR="0077224F" w:rsidRDefault="00D973EE">
          <w:pPr>
            <w:numPr>
              <w:ilvl w:val="0"/>
              <w:numId w:val="85"/>
            </w:numPr>
            <w:spacing w:before="0" w:after="240" w:line="240" w:lineRule="atLeast"/>
            <w:ind w:right="-29"/>
            <w:rPr>
              <w:rFonts w:ascii="Times New Roman" w:eastAsia="Times New Roman" w:hAnsi="Times New Roman"/>
              <w:noProof/>
              <w:sz w:val="24"/>
            </w:rPr>
          </w:pPr>
          <w:r>
            <w:rPr>
              <w:rFonts w:ascii="Times New Roman" w:eastAsia="Times New Roman" w:hAnsi="Times New Roman"/>
              <w:noProof/>
              <w:sz w:val="24"/>
            </w:rPr>
            <w:t xml:space="preserve">The </w:t>
          </w:r>
          <w:r>
            <w:rPr>
              <w:rFonts w:ascii="Times New Roman" w:eastAsia="Times New Roman" w:hAnsi="Times New Roman"/>
              <w:b/>
              <w:noProof/>
              <w:sz w:val="24"/>
            </w:rPr>
            <w:t>exponential growth of the information processed globally</w:t>
          </w:r>
          <w:r>
            <w:rPr>
              <w:rFonts w:ascii="Times New Roman" w:eastAsia="Times New Roman" w:hAnsi="Times New Roman"/>
              <w:noProof/>
              <w:sz w:val="24"/>
            </w:rPr>
            <w:t>, estimated</w:t>
          </w:r>
          <w:r>
            <w:rPr>
              <w:rFonts w:ascii="Times New Roman" w:eastAsia="Times New Roman" w:hAnsi="Times New Roman"/>
              <w:b/>
              <w:noProof/>
              <w:sz w:val="24"/>
            </w:rPr>
            <w:t xml:space="preserve"> </w:t>
          </w:r>
          <w:r>
            <w:rPr>
              <w:rFonts w:ascii="Times New Roman" w:eastAsia="Times New Roman" w:hAnsi="Times New Roman"/>
              <w:noProof/>
              <w:sz w:val="24"/>
            </w:rPr>
            <w:t>to be in the region of 1.2 zettabytes, or 1,200,000,000,000,000,000 bytes) and gro</w:t>
          </w:r>
          <w:r>
            <w:rPr>
              <w:rFonts w:ascii="Times New Roman" w:eastAsia="Times New Roman" w:hAnsi="Times New Roman"/>
              <w:noProof/>
              <w:sz w:val="24"/>
            </w:rPr>
            <w:t>wing by 60% every year.</w:t>
          </w:r>
          <w:r>
            <w:rPr>
              <w:rFonts w:ascii="Times New Roman" w:eastAsia="Times New Roman" w:hAnsi="Times New Roman"/>
              <w:noProof/>
              <w:sz w:val="24"/>
              <w:vertAlign w:val="superscript"/>
            </w:rPr>
            <w:footnoteReference w:id="51"/>
          </w:r>
          <w:r>
            <w:rPr>
              <w:rFonts w:ascii="Times New Roman" w:eastAsia="Times New Roman" w:hAnsi="Times New Roman"/>
              <w:b/>
              <w:noProof/>
              <w:sz w:val="24"/>
            </w:rPr>
            <w:t xml:space="preserve"> A big contribution to this big data is made by online services </w:t>
          </w:r>
          <w:r>
            <w:rPr>
              <w:rFonts w:ascii="Times New Roman" w:eastAsia="Times New Roman" w:hAnsi="Times New Roman"/>
              <w:noProof/>
              <w:sz w:val="24"/>
            </w:rPr>
            <w:t>that track users' online communications in order to build detailed commercial data-banks, which can be used for online behavioural advertising, marketing campaign or ot</w:t>
          </w:r>
          <w:r>
            <w:rPr>
              <w:rFonts w:ascii="Times New Roman" w:eastAsia="Times New Roman" w:hAnsi="Times New Roman"/>
              <w:noProof/>
              <w:sz w:val="24"/>
            </w:rPr>
            <w:t>her purposes.</w:t>
          </w:r>
        </w:p>
        <w:p w:rsidR="0077224F" w:rsidRDefault="00D973EE">
          <w:pPr>
            <w:numPr>
              <w:ilvl w:val="0"/>
              <w:numId w:val="85"/>
            </w:numPr>
            <w:spacing w:before="0" w:after="240" w:line="240" w:lineRule="atLeast"/>
            <w:ind w:right="-29"/>
            <w:rPr>
              <w:rFonts w:ascii="Times New Roman" w:eastAsia="Times New Roman" w:hAnsi="Times New Roman"/>
              <w:noProof/>
              <w:sz w:val="24"/>
            </w:rPr>
          </w:pPr>
          <w:r>
            <w:rPr>
              <w:rFonts w:ascii="Times New Roman" w:eastAsia="Times New Roman" w:hAnsi="Times New Roman"/>
              <w:noProof/>
              <w:sz w:val="24"/>
            </w:rPr>
            <w:t xml:space="preserve">The rise of free online services has enticed a </w:t>
          </w:r>
          <w:r>
            <w:rPr>
              <w:rFonts w:ascii="Times New Roman" w:eastAsia="Times New Roman" w:hAnsi="Times New Roman"/>
              <w:b/>
              <w:noProof/>
              <w:sz w:val="24"/>
            </w:rPr>
            <w:t>shift in citizens' attitude to share information related to their surfing behaviour</w:t>
          </w:r>
          <w:r>
            <w:rPr>
              <w:rFonts w:ascii="Times New Roman" w:eastAsia="Times New Roman" w:hAnsi="Times New Roman"/>
              <w:noProof/>
              <w:sz w:val="24"/>
            </w:rPr>
            <w:t xml:space="preserve">. While citizens generally value privacy and confidentiality very much, they are prepared to </w:t>
          </w:r>
          <w:r>
            <w:rPr>
              <w:rFonts w:ascii="Times New Roman" w:eastAsia="Times New Roman" w:hAnsi="Times New Roman"/>
              <w:b/>
              <w:noProof/>
              <w:sz w:val="24"/>
            </w:rPr>
            <w:t>give up part of the</w:t>
          </w:r>
          <w:r>
            <w:rPr>
              <w:rFonts w:ascii="Times New Roman" w:eastAsia="Times New Roman" w:hAnsi="Times New Roman"/>
              <w:b/>
              <w:noProof/>
              <w:sz w:val="24"/>
            </w:rPr>
            <w:t>ir privacy for convenience and performance</w:t>
          </w:r>
          <w:r>
            <w:rPr>
              <w:rFonts w:ascii="Times New Roman" w:eastAsia="Times New Roman" w:hAnsi="Times New Roman"/>
              <w:b/>
              <w:noProof/>
              <w:sz w:val="24"/>
              <w:vertAlign w:val="superscript"/>
            </w:rPr>
            <w:footnoteReference w:id="52"/>
          </w:r>
          <w:r>
            <w:rPr>
              <w:rFonts w:ascii="Times New Roman" w:eastAsia="Times New Roman" w:hAnsi="Times New Roman"/>
              <w:noProof/>
              <w:sz w:val="24"/>
            </w:rPr>
            <w:t>.</w:t>
          </w:r>
        </w:p>
        <w:p w:rsidR="0077224F" w:rsidRDefault="00D973EE">
          <w:pPr>
            <w:numPr>
              <w:ilvl w:val="0"/>
              <w:numId w:val="85"/>
            </w:numPr>
            <w:spacing w:before="0" w:after="240" w:line="240" w:lineRule="atLeast"/>
            <w:ind w:right="-29"/>
            <w:rPr>
              <w:rFonts w:ascii="Times New Roman" w:eastAsia="Times New Roman" w:hAnsi="Times New Roman"/>
              <w:noProof/>
              <w:sz w:val="24"/>
            </w:rPr>
          </w:pPr>
          <w:r>
            <w:rPr>
              <w:rFonts w:ascii="Times New Roman" w:eastAsia="Times New Roman" w:hAnsi="Times New Roman"/>
              <w:b/>
              <w:noProof/>
              <w:sz w:val="24"/>
            </w:rPr>
            <w:t>Information asymmetry in the online sphere</w:t>
          </w:r>
          <w:r>
            <w:rPr>
              <w:rFonts w:ascii="Times New Roman" w:eastAsia="Times New Roman" w:hAnsi="Times New Roman"/>
              <w:noProof/>
              <w:sz w:val="24"/>
            </w:rPr>
            <w:t>. Users are very often not aware of what is done with the information about their surfing behaviour and related profiles</w:t>
          </w:r>
          <w:r>
            <w:rPr>
              <w:rFonts w:ascii="Times New Roman" w:eastAsia="Times New Roman" w:hAnsi="Times New Roman"/>
              <w:noProof/>
              <w:sz w:val="24"/>
              <w:vertAlign w:val="superscript"/>
            </w:rPr>
            <w:footnoteReference w:id="53"/>
          </w:r>
          <w:r>
            <w:rPr>
              <w:rFonts w:ascii="Times New Roman" w:eastAsia="Times New Roman" w:hAnsi="Times New Roman"/>
              <w:noProof/>
              <w:sz w:val="24"/>
            </w:rPr>
            <w:t>. Cookie policies are normally complex, long and</w:t>
          </w:r>
          <w:r>
            <w:rPr>
              <w:rFonts w:ascii="Times New Roman" w:eastAsia="Times New Roman" w:hAnsi="Times New Roman"/>
              <w:noProof/>
              <w:sz w:val="24"/>
            </w:rPr>
            <w:t xml:space="preserve"> unclear. Citizens have grown increasingly irritated by the continuous requests for consent online and most likely click them away to get rid of them. Internet has become so widespread that users are virtually obliged to use certain online services, even i</w:t>
          </w:r>
          <w:r>
            <w:rPr>
              <w:rFonts w:ascii="Times New Roman" w:eastAsia="Times New Roman" w:hAnsi="Times New Roman"/>
              <w:noProof/>
              <w:sz w:val="24"/>
            </w:rPr>
            <w:t>f they do not want to be tracked. Nevertheless, they overwhelmingly want to be asked for their permission before their personal information is accessed from their smart devices or before being monitored online</w:t>
          </w:r>
          <w:r>
            <w:rPr>
              <w:rFonts w:ascii="Times New Roman" w:eastAsia="Times New Roman" w:hAnsi="Times New Roman"/>
              <w:noProof/>
              <w:sz w:val="24"/>
              <w:vertAlign w:val="superscript"/>
            </w:rPr>
            <w:footnoteReference w:id="54"/>
          </w:r>
          <w:r>
            <w:rPr>
              <w:rFonts w:ascii="Times New Roman" w:eastAsia="Times New Roman" w:hAnsi="Times New Roman"/>
              <w:noProof/>
              <w:sz w:val="24"/>
            </w:rPr>
            <w:t>.</w:t>
          </w:r>
        </w:p>
        <w:p w:rsidR="0077224F" w:rsidRDefault="00D973EE">
          <w:pPr>
            <w:numPr>
              <w:ilvl w:val="0"/>
              <w:numId w:val="85"/>
            </w:numPr>
            <w:spacing w:before="0" w:after="240" w:line="240" w:lineRule="atLeast"/>
            <w:ind w:right="-29"/>
            <w:rPr>
              <w:rFonts w:ascii="Times New Roman" w:eastAsia="Times New Roman" w:hAnsi="Times New Roman"/>
              <w:noProof/>
              <w:sz w:val="24"/>
            </w:rPr>
          </w:pPr>
          <w:r>
            <w:rPr>
              <w:rFonts w:ascii="Times New Roman" w:eastAsia="Times New Roman" w:hAnsi="Times New Roman"/>
              <w:b/>
              <w:noProof/>
              <w:sz w:val="24"/>
            </w:rPr>
            <w:t>Lack of technical knowledge</w:t>
          </w:r>
          <w:r>
            <w:rPr>
              <w:rFonts w:ascii="Times New Roman" w:eastAsia="Times New Roman" w:hAnsi="Times New Roman"/>
              <w:noProof/>
              <w:sz w:val="24"/>
            </w:rPr>
            <w:t xml:space="preserve"> to control track</w:t>
          </w:r>
          <w:r>
            <w:rPr>
              <w:rFonts w:ascii="Times New Roman" w:eastAsia="Times New Roman" w:hAnsi="Times New Roman"/>
              <w:noProof/>
              <w:sz w:val="24"/>
            </w:rPr>
            <w:t>ing and protect the content of one’s equipment. While surveys of consumers' attitudes consistently show that individuals value their privacy and consider that monitoring their online activities should only occur with their permission, many do not seem to b</w:t>
          </w:r>
          <w:r>
            <w:rPr>
              <w:rFonts w:ascii="Times New Roman" w:eastAsia="Times New Roman" w:hAnsi="Times New Roman"/>
              <w:noProof/>
              <w:sz w:val="24"/>
            </w:rPr>
            <w:t>e able to set up the appropriate tools to protect themselves against tracking and to protect the content of their equipment</w:t>
          </w:r>
          <w:r>
            <w:rPr>
              <w:rFonts w:ascii="Times New Roman" w:eastAsia="Times New Roman" w:hAnsi="Times New Roman"/>
              <w:noProof/>
              <w:sz w:val="24"/>
              <w:vertAlign w:val="superscript"/>
            </w:rPr>
            <w:footnoteReference w:id="55"/>
          </w:r>
          <w:r>
            <w:rPr>
              <w:rFonts w:ascii="Times New Roman" w:eastAsia="Times New Roman" w:hAnsi="Times New Roman"/>
              <w:noProof/>
              <w:sz w:val="24"/>
            </w:rPr>
            <w:t>.</w:t>
          </w:r>
        </w:p>
        <w:p w:rsidR="0077224F" w:rsidRDefault="00D973EE">
          <w:pPr>
            <w:numPr>
              <w:ilvl w:val="0"/>
              <w:numId w:val="85"/>
            </w:numPr>
            <w:spacing w:before="0" w:after="240" w:line="240" w:lineRule="atLeast"/>
            <w:ind w:right="-29"/>
            <w:rPr>
              <w:rFonts w:ascii="Times New Roman" w:eastAsia="Times New Roman" w:hAnsi="Times New Roman"/>
              <w:noProof/>
              <w:sz w:val="24"/>
            </w:rPr>
          </w:pPr>
          <w:r>
            <w:rPr>
              <w:rFonts w:ascii="Times New Roman" w:eastAsia="Times New Roman" w:hAnsi="Times New Roman"/>
              <w:b/>
              <w:noProof/>
              <w:sz w:val="24"/>
            </w:rPr>
            <w:t>T</w:t>
          </w:r>
          <w:r>
            <w:rPr>
              <w:rFonts w:ascii="Times New Roman" w:eastAsia="Times New Roman" w:hAnsi="Times New Roman"/>
              <w:b/>
              <w:noProof/>
              <w:sz w:val="24"/>
              <w:lang w:eastAsia="en-GB"/>
            </w:rPr>
            <w:t>he increasing social and economic importance of online communications</w:t>
          </w:r>
          <w:r>
            <w:rPr>
              <w:rFonts w:ascii="Times New Roman" w:eastAsia="Times New Roman" w:hAnsi="Times New Roman"/>
              <w:noProof/>
              <w:sz w:val="24"/>
              <w:lang w:eastAsia="en-GB"/>
            </w:rPr>
            <w:t>. Citizens are increasingly dependent on these services. Com</w:t>
          </w:r>
          <w:r>
            <w:rPr>
              <w:rFonts w:ascii="Times New Roman" w:eastAsia="Times New Roman" w:hAnsi="Times New Roman"/>
              <w:noProof/>
              <w:sz w:val="24"/>
              <w:lang w:eastAsia="en-GB"/>
            </w:rPr>
            <w:t xml:space="preserve">municating online, sharing pictures, videos, links or other information has become a primary social need. Having a phone number, an Internet connection and an email address is an indispensable requirement for working and communicating with others. Certain </w:t>
          </w:r>
          <w:r>
            <w:rPr>
              <w:rFonts w:ascii="Times New Roman" w:eastAsia="Times New Roman" w:hAnsi="Times New Roman"/>
              <w:noProof/>
              <w:sz w:val="24"/>
              <w:lang w:eastAsia="en-GB"/>
            </w:rPr>
            <w:t>schools require their students to have a social account.</w:t>
          </w:r>
        </w:p>
        <w:p w:rsidR="0077224F" w:rsidRDefault="00D973EE">
          <w:pPr>
            <w:numPr>
              <w:ilvl w:val="0"/>
              <w:numId w:val="85"/>
            </w:numPr>
            <w:spacing w:before="0" w:after="240" w:line="240" w:lineRule="atLeast"/>
            <w:ind w:right="-29"/>
            <w:rPr>
              <w:rFonts w:ascii="Times New Roman" w:eastAsia="Times New Roman" w:hAnsi="Times New Roman"/>
              <w:noProof/>
              <w:sz w:val="24"/>
            </w:rPr>
          </w:pPr>
          <w:r>
            <w:rPr>
              <w:rFonts w:ascii="Times New Roman" w:eastAsia="Times New Roman" w:hAnsi="Times New Roman"/>
              <w:noProof/>
              <w:sz w:val="24"/>
              <w:lang w:eastAsia="en-GB"/>
            </w:rPr>
            <w:t xml:space="preserve">The </w:t>
          </w:r>
          <w:r>
            <w:rPr>
              <w:rFonts w:ascii="Times New Roman" w:eastAsia="Times New Roman" w:hAnsi="Times New Roman"/>
              <w:b/>
              <w:noProof/>
              <w:sz w:val="24"/>
              <w:lang w:eastAsia="en-GB"/>
            </w:rPr>
            <w:t>prevalence of the "free-of-charge" model</w:t>
          </w:r>
          <w:r>
            <w:rPr>
              <w:rFonts w:ascii="Times New Roman" w:eastAsia="Times New Roman" w:hAnsi="Times New Roman"/>
              <w:noProof/>
              <w:sz w:val="24"/>
              <w:lang w:eastAsia="en-GB"/>
            </w:rPr>
            <w:t xml:space="preserve">. The largest majority of online services are offered to consumers free of charge, but data about consumer surfing behaviour and preferences are collected </w:t>
          </w:r>
          <w:r>
            <w:rPr>
              <w:rFonts w:ascii="Times New Roman" w:eastAsia="Times New Roman" w:hAnsi="Times New Roman"/>
              <w:noProof/>
              <w:sz w:val="24"/>
              <w:lang w:eastAsia="en-GB"/>
            </w:rPr>
            <w:t>in order to monetise this information in the online advertising market. Over time, people have got used to accessing these services for free, i.e. without paying any monetary fees, thinking almost that having free access would be a natural right</w:t>
          </w:r>
          <w:r>
            <w:rPr>
              <w:rFonts w:ascii="Times New Roman" w:eastAsia="Times New Roman" w:hAnsi="Times New Roman"/>
              <w:noProof/>
              <w:sz w:val="24"/>
              <w:vertAlign w:val="superscript"/>
              <w:lang w:eastAsia="en-GB"/>
            </w:rPr>
            <w:footnoteReference w:id="56"/>
          </w:r>
          <w:r>
            <w:rPr>
              <w:rFonts w:ascii="Times New Roman" w:eastAsia="Times New Roman" w:hAnsi="Times New Roman"/>
              <w:noProof/>
              <w:sz w:val="24"/>
              <w:lang w:eastAsia="en-GB"/>
            </w:rPr>
            <w:t>.</w:t>
          </w:r>
        </w:p>
        <w:p w:rsidR="0077224F" w:rsidRDefault="00D973EE">
          <w:pPr>
            <w:numPr>
              <w:ilvl w:val="0"/>
              <w:numId w:val="85"/>
            </w:numPr>
            <w:spacing w:before="0" w:after="240" w:line="240" w:lineRule="atLeast"/>
            <w:ind w:right="-29"/>
            <w:rPr>
              <w:rFonts w:ascii="Times New Roman" w:eastAsia="Times New Roman" w:hAnsi="Times New Roman"/>
              <w:noProof/>
              <w:sz w:val="24"/>
            </w:rPr>
          </w:pPr>
          <w:r>
            <w:rPr>
              <w:rFonts w:ascii="Times New Roman" w:eastAsia="Times New Roman" w:hAnsi="Times New Roman"/>
              <w:noProof/>
              <w:sz w:val="24"/>
              <w:lang w:eastAsia="en-GB"/>
            </w:rPr>
            <w:t xml:space="preserve">The </w:t>
          </w:r>
          <w:r>
            <w:rPr>
              <w:rFonts w:ascii="Times New Roman" w:eastAsia="Times New Roman" w:hAnsi="Times New Roman"/>
              <w:b/>
              <w:noProof/>
              <w:sz w:val="24"/>
              <w:lang w:eastAsia="en-GB"/>
            </w:rPr>
            <w:t>chan</w:t>
          </w:r>
          <w:r>
            <w:rPr>
              <w:rFonts w:ascii="Times New Roman" w:eastAsia="Times New Roman" w:hAnsi="Times New Roman"/>
              <w:b/>
              <w:noProof/>
              <w:sz w:val="24"/>
              <w:lang w:eastAsia="en-GB"/>
            </w:rPr>
            <w:t>ging notion of privacy</w:t>
          </w:r>
          <w:r>
            <w:rPr>
              <w:rFonts w:ascii="Times New Roman" w:eastAsia="Times New Roman" w:hAnsi="Times New Roman"/>
              <w:noProof/>
              <w:sz w:val="24"/>
              <w:lang w:eastAsia="en-GB"/>
            </w:rPr>
            <w:t xml:space="preserve"> in an evolving digital environment. While citizens are generally concerned about their privacy, they are not prepared to reconsider or limit their online behaviour or to pay a fee for accessing online services</w:t>
          </w:r>
          <w:r>
            <w:rPr>
              <w:rFonts w:ascii="Times New Roman" w:eastAsia="Times New Roman" w:hAnsi="Times New Roman"/>
              <w:noProof/>
              <w:sz w:val="24"/>
              <w:vertAlign w:val="superscript"/>
              <w:lang w:eastAsia="en-GB"/>
            </w:rPr>
            <w:footnoteReference w:id="57"/>
          </w:r>
          <w:r>
            <w:rPr>
              <w:rFonts w:ascii="Times New Roman" w:eastAsia="Times New Roman" w:hAnsi="Times New Roman"/>
              <w:noProof/>
              <w:sz w:val="24"/>
              <w:lang w:eastAsia="en-GB"/>
            </w:rPr>
            <w:t>. Recent statistics say</w:t>
          </w:r>
          <w:r>
            <w:rPr>
              <w:rFonts w:ascii="Times New Roman" w:eastAsia="Times New Roman" w:hAnsi="Times New Roman"/>
              <w:noProof/>
              <w:sz w:val="24"/>
              <w:lang w:eastAsia="en-GB"/>
            </w:rPr>
            <w:t xml:space="preserve"> that especially young people have a different perception of privacy and share information about themselves voluntarily much more than the rest of the age range</w:t>
          </w:r>
          <w:r>
            <w:rPr>
              <w:rFonts w:ascii="Times New Roman" w:eastAsia="Times New Roman" w:hAnsi="Times New Roman"/>
              <w:noProof/>
              <w:sz w:val="24"/>
              <w:vertAlign w:val="superscript"/>
              <w:lang w:eastAsia="en-GB"/>
            </w:rPr>
            <w:footnoteReference w:id="58"/>
          </w:r>
          <w:r>
            <w:rPr>
              <w:rFonts w:ascii="Times New Roman" w:eastAsia="Times New Roman" w:hAnsi="Times New Roman"/>
              <w:noProof/>
              <w:sz w:val="24"/>
              <w:lang w:eastAsia="en-GB"/>
            </w:rPr>
            <w:t>.</w:t>
          </w:r>
        </w:p>
        <w:p w:rsidR="0077224F" w:rsidRDefault="00D973EE">
          <w:pPr>
            <w:spacing w:before="0" w:line="240" w:lineRule="atLeast"/>
            <w:ind w:right="-29"/>
            <w:rPr>
              <w:rFonts w:ascii="Times New Roman" w:eastAsia="Times New Roman" w:hAnsi="Times New Roman"/>
              <w:noProof/>
              <w:sz w:val="24"/>
              <w:lang w:eastAsia="en-GB"/>
            </w:rPr>
          </w:pPr>
          <w:r>
            <w:rPr>
              <w:rFonts w:ascii="Times New Roman" w:eastAsia="Times New Roman" w:hAnsi="Times New Roman"/>
              <w:noProof/>
              <w:sz w:val="24"/>
              <w:lang w:eastAsia="en-GB"/>
            </w:rPr>
            <w:t>These contextual factors are crucial for the understanding of the complexity of the problem a</w:t>
          </w:r>
          <w:r>
            <w:rPr>
              <w:rFonts w:ascii="Times New Roman" w:eastAsia="Times New Roman" w:hAnsi="Times New Roman"/>
              <w:noProof/>
              <w:sz w:val="24"/>
              <w:lang w:eastAsia="en-GB"/>
            </w:rPr>
            <w:t>nd for the assessment of the policy options. In particular, they show that the protection of privacy of online communications is a complex, multifactorial zero sum game where every gain from a market participant is normally balanced by losses of other part</w:t>
          </w:r>
          <w:r>
            <w:rPr>
              <w:rFonts w:ascii="Times New Roman" w:eastAsia="Times New Roman" w:hAnsi="Times New Roman"/>
              <w:noProof/>
              <w:sz w:val="24"/>
              <w:lang w:eastAsia="en-GB"/>
            </w:rPr>
            <w:t>icipants.</w:t>
          </w:r>
        </w:p>
        <w:p w:rsidR="0077224F" w:rsidRDefault="0077224F">
          <w:pPr>
            <w:spacing w:before="0" w:line="240" w:lineRule="atLeast"/>
            <w:ind w:right="-29"/>
            <w:rPr>
              <w:rFonts w:ascii="Times New Roman" w:eastAsia="Times New Roman" w:hAnsi="Times New Roman"/>
              <w:noProof/>
              <w:sz w:val="24"/>
              <w:lang w:eastAsia="en-GB"/>
            </w:rPr>
          </w:pPr>
        </w:p>
        <w:p w:rsidR="0077224F" w:rsidRDefault="0077224F">
          <w:pPr>
            <w:spacing w:before="0" w:line="240" w:lineRule="atLeast"/>
            <w:ind w:right="-29"/>
            <w:rPr>
              <w:rFonts w:ascii="Times New Roman" w:eastAsia="Times New Roman" w:hAnsi="Times New Roman"/>
              <w:noProof/>
              <w:sz w:val="24"/>
              <w:lang w:eastAsia="en-GB"/>
            </w:rPr>
          </w:pPr>
        </w:p>
        <w:p w:rsidR="0077224F" w:rsidRDefault="0077224F">
          <w:pPr>
            <w:spacing w:before="0" w:line="240" w:lineRule="atLeast"/>
            <w:ind w:right="-29"/>
            <w:rPr>
              <w:rFonts w:ascii="Times New Roman" w:eastAsia="Times New Roman" w:hAnsi="Times New Roman"/>
              <w:noProof/>
              <w:sz w:val="24"/>
              <w:lang w:eastAsia="en-GB"/>
            </w:rPr>
          </w:pPr>
        </w:p>
        <w:p w:rsidR="0077224F" w:rsidRDefault="0077224F">
          <w:pPr>
            <w:spacing w:before="0" w:line="240" w:lineRule="atLeast"/>
            <w:ind w:right="-29"/>
            <w:rPr>
              <w:rFonts w:ascii="Times New Roman" w:eastAsia="Times New Roman" w:hAnsi="Times New Roman"/>
              <w:noProof/>
              <w:sz w:val="24"/>
              <w:lang w:eastAsia="en-GB"/>
            </w:rPr>
          </w:pPr>
        </w:p>
        <w:p w:rsidR="0077224F" w:rsidRDefault="0077224F">
          <w:pPr>
            <w:spacing w:before="0" w:line="240" w:lineRule="atLeast"/>
            <w:ind w:right="-29"/>
            <w:rPr>
              <w:rFonts w:ascii="Times New Roman" w:eastAsia="Times New Roman" w:hAnsi="Times New Roman"/>
              <w:noProof/>
              <w:sz w:val="24"/>
              <w:lang w:eastAsia="en-GB"/>
            </w:rPr>
          </w:pPr>
        </w:p>
        <w:p w:rsidR="0077224F" w:rsidRDefault="0077224F">
          <w:pPr>
            <w:spacing w:before="0" w:line="240" w:lineRule="atLeast"/>
            <w:ind w:right="-29"/>
            <w:rPr>
              <w:rFonts w:ascii="Times New Roman" w:eastAsia="Times New Roman" w:hAnsi="Times New Roman"/>
              <w:noProof/>
              <w:sz w:val="24"/>
              <w:lang w:eastAsia="en-GB"/>
            </w:rPr>
          </w:pPr>
        </w:p>
        <w:p w:rsidR="0077224F" w:rsidRDefault="00D973EE">
          <w:pPr>
            <w:spacing w:before="0" w:after="0"/>
            <w:jc w:val="left"/>
            <w:rPr>
              <w:rFonts w:ascii="Times New Roman" w:eastAsia="Times New Roman" w:hAnsi="Times New Roman"/>
              <w:i/>
              <w:noProof/>
              <w:sz w:val="24"/>
            </w:rPr>
          </w:pPr>
          <w:bookmarkStart w:id="340" w:name="_Toc465366906"/>
          <w:bookmarkStart w:id="341" w:name="_Ref465355165"/>
          <w:bookmarkStart w:id="342" w:name="_Toc463608796"/>
          <w:bookmarkStart w:id="343" w:name="_Toc462410692"/>
          <w:bookmarkStart w:id="344" w:name="_Toc468453419"/>
          <w:bookmarkStart w:id="345" w:name="_Toc468455319"/>
          <w:r>
            <w:rPr>
              <w:rFonts w:ascii="Times New Roman" w:eastAsia="Times New Roman" w:hAnsi="Times New Roman"/>
              <w:i/>
              <w:noProof/>
              <w:sz w:val="24"/>
            </w:rPr>
            <w:br w:type="page"/>
          </w:r>
        </w:p>
        <w:p w:rsidR="0077224F" w:rsidRDefault="00D973EE">
          <w:pPr>
            <w:keepNext/>
            <w:tabs>
              <w:tab w:val="left" w:pos="850"/>
            </w:tabs>
            <w:ind w:left="1700" w:hanging="850"/>
            <w:outlineLvl w:val="2"/>
            <w:rPr>
              <w:rFonts w:ascii="Times New Roman" w:eastAsia="Times New Roman" w:hAnsi="Times New Roman"/>
              <w:i/>
              <w:noProof/>
              <w:sz w:val="24"/>
            </w:rPr>
          </w:pPr>
          <w:bookmarkStart w:id="346" w:name="_Toc468790036"/>
          <w:bookmarkStart w:id="347" w:name="_Toc468794868"/>
          <w:bookmarkStart w:id="348" w:name="_Toc468795176"/>
          <w:r>
            <w:rPr>
              <w:rFonts w:ascii="Times New Roman" w:eastAsia="Times New Roman" w:hAnsi="Times New Roman"/>
              <w:i/>
              <w:noProof/>
              <w:sz w:val="24"/>
            </w:rPr>
            <w:t>4.2.2 The market covered by the ePD</w:t>
          </w:r>
          <w:bookmarkEnd w:id="340"/>
          <w:bookmarkEnd w:id="341"/>
          <w:bookmarkEnd w:id="342"/>
          <w:bookmarkEnd w:id="343"/>
          <w:r>
            <w:rPr>
              <w:rFonts w:ascii="Times New Roman" w:eastAsia="Times New Roman" w:hAnsi="Times New Roman"/>
              <w:i/>
              <w:noProof/>
              <w:sz w:val="24"/>
            </w:rPr>
            <w:t xml:space="preserve"> (source: Deloitte</w:t>
          </w:r>
          <w:r>
            <w:rPr>
              <w:rFonts w:ascii="Times New Roman" w:eastAsia="Times New Roman" w:hAnsi="Times New Roman"/>
              <w:b/>
              <w:i/>
              <w:noProof/>
              <w:sz w:val="24"/>
              <w:vertAlign w:val="superscript"/>
            </w:rPr>
            <w:footnoteReference w:id="59"/>
          </w:r>
          <w:r>
            <w:rPr>
              <w:rFonts w:ascii="Times New Roman" w:eastAsia="Times New Roman" w:hAnsi="Times New Roman"/>
              <w:i/>
              <w:noProof/>
              <w:sz w:val="24"/>
            </w:rPr>
            <w:t>)</w:t>
          </w:r>
          <w:bookmarkEnd w:id="344"/>
          <w:bookmarkEnd w:id="345"/>
          <w:bookmarkEnd w:id="346"/>
          <w:bookmarkEnd w:id="347"/>
          <w:bookmarkEnd w:id="348"/>
        </w:p>
        <w:p w:rsidR="0077224F" w:rsidRDefault="00D973EE">
          <w:pPr>
            <w:keepNext/>
            <w:numPr>
              <w:ilvl w:val="0"/>
              <w:numId w:val="97"/>
            </w:numPr>
            <w:pBdr>
              <w:bottom w:val="single" w:sz="6" w:space="1" w:color="C0504D" w:themeColor="accent2"/>
            </w:pBdr>
            <w:spacing w:before="300" w:after="240" w:line="360" w:lineRule="auto"/>
            <w:outlineLvl w:val="2"/>
            <w:rPr>
              <w:rFonts w:ascii="Times New Roman" w:eastAsia="Times New Roman" w:hAnsi="Times New Roman"/>
              <w:noProof/>
              <w:sz w:val="24"/>
              <w:szCs w:val="20"/>
            </w:rPr>
          </w:pPr>
          <w:bookmarkStart w:id="349" w:name="_Toc468453420"/>
          <w:bookmarkStart w:id="350" w:name="_Toc468455320"/>
          <w:bookmarkStart w:id="351" w:name="_Toc468790037"/>
          <w:bookmarkStart w:id="352" w:name="_Toc468794869"/>
          <w:bookmarkStart w:id="353" w:name="_Toc468795177"/>
          <w:r>
            <w:rPr>
              <w:rFonts w:ascii="Times New Roman" w:eastAsia="Times New Roman" w:hAnsi="Times New Roman"/>
              <w:noProof/>
              <w:sz w:val="24"/>
              <w:szCs w:val="20"/>
            </w:rPr>
            <w:t>The size of the telecommunications sector in the EU</w:t>
          </w:r>
          <w:bookmarkEnd w:id="349"/>
          <w:bookmarkEnd w:id="350"/>
          <w:bookmarkEnd w:id="351"/>
          <w:bookmarkEnd w:id="352"/>
          <w:bookmarkEnd w:id="353"/>
        </w:p>
        <w:p w:rsidR="0077224F" w:rsidRDefault="00D973EE">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Within the European Union, the telecommunication sector</w:t>
          </w:r>
          <w:r>
            <w:rPr>
              <w:rFonts w:ascii="Times New Roman" w:eastAsia="Times New Roman" w:hAnsi="Times New Roman"/>
              <w:noProof/>
              <w:sz w:val="24"/>
              <w:szCs w:val="20"/>
              <w:vertAlign w:val="superscript"/>
            </w:rPr>
            <w:footnoteReference w:id="60"/>
          </w:r>
          <w:r>
            <w:rPr>
              <w:rFonts w:ascii="Times New Roman" w:eastAsia="Times New Roman" w:hAnsi="Times New Roman"/>
              <w:noProof/>
              <w:sz w:val="24"/>
              <w:szCs w:val="20"/>
            </w:rPr>
            <w:t xml:space="preserve"> is one of the crucial industries for the completion of the Digital Single Market. The table below provides an overview of the:</w:t>
          </w:r>
        </w:p>
        <w:p w:rsidR="0077224F" w:rsidRDefault="00D973EE">
          <w:pPr>
            <w:numPr>
              <w:ilvl w:val="0"/>
              <w:numId w:val="94"/>
            </w:numPr>
            <w:spacing w:before="0" w:after="240" w:line="300" w:lineRule="atLeast"/>
            <w:ind w:left="714" w:hanging="357"/>
            <w:contextualSpacing/>
            <w:rPr>
              <w:rFonts w:ascii="Times New Roman" w:eastAsia="Times New Roman" w:hAnsi="Times New Roman"/>
              <w:noProof/>
              <w:sz w:val="24"/>
              <w:lang w:eastAsia="en-GB"/>
            </w:rPr>
          </w:pPr>
          <w:r>
            <w:rPr>
              <w:rFonts w:ascii="Times New Roman" w:eastAsia="Times New Roman" w:hAnsi="Times New Roman"/>
              <w:noProof/>
              <w:sz w:val="24"/>
              <w:lang w:eastAsia="en-GB"/>
            </w:rPr>
            <w:t>Number of enterprises (2014);</w:t>
          </w:r>
        </w:p>
        <w:p w:rsidR="0077224F" w:rsidRDefault="00D973EE">
          <w:pPr>
            <w:numPr>
              <w:ilvl w:val="0"/>
              <w:numId w:val="94"/>
            </w:numPr>
            <w:spacing w:before="0" w:after="240" w:line="300" w:lineRule="atLeast"/>
            <w:ind w:left="714" w:hanging="357"/>
            <w:contextualSpacing/>
            <w:rPr>
              <w:rFonts w:ascii="Times New Roman" w:eastAsia="Times New Roman" w:hAnsi="Times New Roman"/>
              <w:noProof/>
              <w:sz w:val="24"/>
              <w:lang w:eastAsia="en-GB"/>
            </w:rPr>
          </w:pPr>
          <w:r>
            <w:rPr>
              <w:rFonts w:ascii="Times New Roman" w:eastAsia="Times New Roman" w:hAnsi="Times New Roman"/>
              <w:noProof/>
              <w:sz w:val="24"/>
              <w:lang w:eastAsia="en-GB"/>
            </w:rPr>
            <w:t>Number of persons employed (2014); and</w:t>
          </w:r>
        </w:p>
        <w:p w:rsidR="0077224F" w:rsidRDefault="00D973EE">
          <w:pPr>
            <w:numPr>
              <w:ilvl w:val="0"/>
              <w:numId w:val="94"/>
            </w:numPr>
            <w:spacing w:before="0" w:after="240" w:line="300" w:lineRule="atLeast"/>
            <w:ind w:left="714" w:hanging="357"/>
            <w:contextualSpacing/>
            <w:rPr>
              <w:rFonts w:ascii="Times New Roman" w:eastAsia="Times New Roman" w:hAnsi="Times New Roman"/>
              <w:noProof/>
              <w:sz w:val="24"/>
              <w:lang w:eastAsia="en-GB"/>
            </w:rPr>
          </w:pPr>
          <w:r>
            <w:rPr>
              <w:rFonts w:ascii="Times New Roman" w:eastAsia="Times New Roman" w:hAnsi="Times New Roman"/>
              <w:noProof/>
              <w:sz w:val="24"/>
              <w:lang w:eastAsia="en-GB"/>
            </w:rPr>
            <w:t xml:space="preserve">Annual turnover in 2014 of the EU telecommunications </w:t>
          </w:r>
          <w:r>
            <w:rPr>
              <w:rFonts w:ascii="Times New Roman" w:eastAsia="Times New Roman" w:hAnsi="Times New Roman"/>
              <w:noProof/>
              <w:sz w:val="24"/>
              <w:lang w:eastAsia="en-GB"/>
            </w:rPr>
            <w:t>sector.</w:t>
          </w:r>
          <w:r>
            <w:rPr>
              <w:rFonts w:ascii="Times New Roman" w:eastAsia="Times New Roman" w:hAnsi="Times New Roman"/>
              <w:noProof/>
              <w:sz w:val="24"/>
              <w:vertAlign w:val="superscript"/>
              <w:lang w:eastAsia="en-GB"/>
            </w:rPr>
            <w:footnoteReference w:id="61"/>
          </w:r>
        </w:p>
        <w:p w:rsidR="0077224F" w:rsidRDefault="00D973EE">
          <w:pPr>
            <w:spacing w:before="0" w:after="240"/>
            <w:rPr>
              <w:rFonts w:ascii="Times New Roman" w:eastAsia="Times New Roman" w:hAnsi="Times New Roman"/>
              <w:noProof/>
              <w:sz w:val="24"/>
              <w:szCs w:val="20"/>
              <w:lang w:eastAsia="en-GB"/>
            </w:rPr>
          </w:pPr>
          <w:r>
            <w:rPr>
              <w:rFonts w:ascii="Times New Roman" w:eastAsia="Times New Roman" w:hAnsi="Times New Roman"/>
              <w:noProof/>
              <w:sz w:val="24"/>
              <w:szCs w:val="20"/>
              <w:lang w:eastAsia="en-GB"/>
            </w:rPr>
            <w:t>The statistics provided in the table serve as a first high-level entrance point for the further analysis of the market covered by the ePD.</w:t>
          </w:r>
        </w:p>
        <w:p w:rsidR="0077224F" w:rsidRDefault="0077224F">
          <w:pPr>
            <w:keepNext/>
            <w:spacing w:before="0" w:after="0" w:line="312" w:lineRule="auto"/>
            <w:ind w:left="720"/>
            <w:jc w:val="center"/>
            <w:rPr>
              <w:rFonts w:ascii="Times New Roman" w:eastAsia="Times New Roman" w:hAnsi="Times New Roman"/>
              <w:i/>
              <w:noProof/>
              <w:color w:val="00A3E0"/>
              <w:sz w:val="18"/>
              <w:szCs w:val="20"/>
            </w:rPr>
          </w:pPr>
        </w:p>
        <w:tbl>
          <w:tblPr>
            <w:tblW w:w="9040" w:type="dxa"/>
            <w:tblInd w:w="-5" w:type="dxa"/>
            <w:tblCellMar>
              <w:left w:w="70" w:type="dxa"/>
              <w:right w:w="70" w:type="dxa"/>
            </w:tblCellMar>
            <w:tblLook w:val="04A0" w:firstRow="1" w:lastRow="0" w:firstColumn="1" w:lastColumn="0" w:noHBand="0" w:noVBand="1"/>
          </w:tblPr>
          <w:tblGrid>
            <w:gridCol w:w="1843"/>
            <w:gridCol w:w="2410"/>
            <w:gridCol w:w="2407"/>
            <w:gridCol w:w="2380"/>
          </w:tblGrid>
          <w:tr w:rsidR="0077224F">
            <w:trPr>
              <w:trHeight w:val="420"/>
              <w:tblHeader/>
            </w:trPr>
            <w:tc>
              <w:tcPr>
                <w:tcW w:w="1843" w:type="dxa"/>
                <w:vMerge w:val="restart"/>
                <w:tcBorders>
                  <w:top w:val="single" w:sz="4" w:space="0" w:color="auto"/>
                  <w:left w:val="single" w:sz="4" w:space="0" w:color="auto"/>
                  <w:bottom w:val="single" w:sz="4" w:space="0" w:color="auto"/>
                  <w:right w:val="single" w:sz="4" w:space="0" w:color="auto"/>
                </w:tcBorders>
                <w:shd w:val="clear" w:color="auto" w:fill="86BC25"/>
                <w:noWrap/>
                <w:vAlign w:val="center"/>
                <w:hideMark/>
              </w:tcPr>
              <w:p w:rsidR="0077224F" w:rsidRDefault="00D973EE">
                <w:pPr>
                  <w:spacing w:before="0" w:after="0"/>
                  <w:jc w:val="left"/>
                  <w:rPr>
                    <w:rFonts w:ascii="Times New Roman" w:eastAsia="Times" w:hAnsi="Times New Roman"/>
                    <w:b/>
                    <w:bCs/>
                    <w:noProof/>
                    <w:color w:val="FFFFFF" w:themeColor="background1"/>
                    <w:sz w:val="16"/>
                    <w:szCs w:val="16"/>
                  </w:rPr>
                </w:pPr>
                <w:r>
                  <w:rPr>
                    <w:rFonts w:ascii="Times New Roman" w:eastAsia="Times New Roman" w:hAnsi="Times New Roman"/>
                    <w:b/>
                    <w:bCs/>
                    <w:noProof/>
                    <w:color w:val="FFFFFF" w:themeColor="background1"/>
                    <w:sz w:val="16"/>
                    <w:szCs w:val="16"/>
                  </w:rPr>
                  <w:t>Member State</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86BC25"/>
                <w:vAlign w:val="center"/>
                <w:hideMark/>
              </w:tcPr>
              <w:p w:rsidR="0077224F" w:rsidRDefault="00D973EE">
                <w:pPr>
                  <w:spacing w:before="0" w:after="0"/>
                  <w:jc w:val="left"/>
                  <w:rPr>
                    <w:rFonts w:ascii="Times New Roman" w:eastAsia="Times" w:hAnsi="Times New Roman"/>
                    <w:b/>
                    <w:bCs/>
                    <w:noProof/>
                    <w:color w:val="FFFFFF" w:themeColor="background1"/>
                    <w:sz w:val="16"/>
                    <w:szCs w:val="16"/>
                  </w:rPr>
                </w:pPr>
                <w:r>
                  <w:rPr>
                    <w:rFonts w:ascii="Times New Roman" w:eastAsia="Times New Roman" w:hAnsi="Times New Roman"/>
                    <w:b/>
                    <w:bCs/>
                    <w:noProof/>
                    <w:color w:val="FFFFFF" w:themeColor="background1"/>
                    <w:sz w:val="16"/>
                    <w:szCs w:val="16"/>
                  </w:rPr>
                  <w:t>Number of enterprises (in thousands, 2014)</w:t>
                </w:r>
              </w:p>
            </w:tc>
            <w:tc>
              <w:tcPr>
                <w:tcW w:w="2407" w:type="dxa"/>
                <w:vMerge w:val="restart"/>
                <w:tcBorders>
                  <w:top w:val="single" w:sz="4" w:space="0" w:color="auto"/>
                  <w:left w:val="single" w:sz="4" w:space="0" w:color="auto"/>
                  <w:bottom w:val="single" w:sz="4" w:space="0" w:color="auto"/>
                  <w:right w:val="single" w:sz="4" w:space="0" w:color="auto"/>
                </w:tcBorders>
                <w:shd w:val="clear" w:color="auto" w:fill="86BC25"/>
                <w:vAlign w:val="center"/>
                <w:hideMark/>
              </w:tcPr>
              <w:p w:rsidR="0077224F" w:rsidRDefault="00D973EE">
                <w:pPr>
                  <w:spacing w:before="0" w:after="0"/>
                  <w:jc w:val="left"/>
                  <w:rPr>
                    <w:rFonts w:ascii="Times New Roman" w:eastAsia="Times" w:hAnsi="Times New Roman"/>
                    <w:b/>
                    <w:bCs/>
                    <w:noProof/>
                    <w:color w:val="FFFFFF" w:themeColor="background1"/>
                    <w:sz w:val="16"/>
                    <w:szCs w:val="16"/>
                  </w:rPr>
                </w:pPr>
                <w:r>
                  <w:rPr>
                    <w:rFonts w:ascii="Times New Roman" w:eastAsia="Times New Roman" w:hAnsi="Times New Roman"/>
                    <w:b/>
                    <w:bCs/>
                    <w:noProof/>
                    <w:color w:val="FFFFFF" w:themeColor="background1"/>
                    <w:sz w:val="16"/>
                    <w:szCs w:val="16"/>
                  </w:rPr>
                  <w:t>Number of persons employed (in thousands, 2014)</w:t>
                </w:r>
              </w:p>
            </w:tc>
            <w:tc>
              <w:tcPr>
                <w:tcW w:w="2380" w:type="dxa"/>
                <w:vMerge w:val="restart"/>
                <w:tcBorders>
                  <w:top w:val="single" w:sz="4" w:space="0" w:color="auto"/>
                  <w:left w:val="single" w:sz="4" w:space="0" w:color="auto"/>
                  <w:bottom w:val="single" w:sz="4" w:space="0" w:color="auto"/>
                  <w:right w:val="single" w:sz="4" w:space="0" w:color="auto"/>
                </w:tcBorders>
                <w:shd w:val="clear" w:color="auto" w:fill="86BC25"/>
                <w:vAlign w:val="center"/>
                <w:hideMark/>
              </w:tcPr>
              <w:p w:rsidR="0077224F" w:rsidRDefault="00D973EE">
                <w:pPr>
                  <w:spacing w:before="0" w:after="0"/>
                  <w:jc w:val="left"/>
                  <w:rPr>
                    <w:rFonts w:ascii="Times New Roman" w:eastAsia="Times" w:hAnsi="Times New Roman"/>
                    <w:b/>
                    <w:bCs/>
                    <w:noProof/>
                    <w:color w:val="FFFFFF" w:themeColor="background1"/>
                    <w:sz w:val="16"/>
                    <w:szCs w:val="16"/>
                  </w:rPr>
                </w:pPr>
                <w:r>
                  <w:rPr>
                    <w:rFonts w:ascii="Times New Roman" w:eastAsia="Times New Roman" w:hAnsi="Times New Roman"/>
                    <w:b/>
                    <w:bCs/>
                    <w:noProof/>
                    <w:color w:val="FFFFFF" w:themeColor="background1"/>
                    <w:sz w:val="16"/>
                    <w:szCs w:val="16"/>
                  </w:rPr>
                  <w:t>Annual turnover in 2014 (in million)</w:t>
                </w:r>
              </w:p>
            </w:tc>
          </w:tr>
          <w:tr w:rsidR="0077224F">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224F" w:rsidRDefault="0077224F">
                <w:pPr>
                  <w:spacing w:before="0" w:after="0"/>
                  <w:jc w:val="left"/>
                  <w:rPr>
                    <w:rFonts w:ascii="Times New Roman" w:eastAsia="Times" w:hAnsi="Times New Roman"/>
                    <w:b/>
                    <w:bCs/>
                    <w:noProof/>
                    <w:color w:val="FFFFFF" w:themeColor="background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224F" w:rsidRDefault="0077224F">
                <w:pPr>
                  <w:spacing w:before="0" w:after="0"/>
                  <w:jc w:val="left"/>
                  <w:rPr>
                    <w:rFonts w:ascii="Times New Roman" w:eastAsia="Times" w:hAnsi="Times New Roman"/>
                    <w:b/>
                    <w:bCs/>
                    <w:noProof/>
                    <w:color w:val="FFFFFF" w:themeColor="background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224F" w:rsidRDefault="0077224F">
                <w:pPr>
                  <w:spacing w:before="0" w:after="0"/>
                  <w:jc w:val="left"/>
                  <w:rPr>
                    <w:rFonts w:ascii="Times New Roman" w:eastAsia="Times" w:hAnsi="Times New Roman"/>
                    <w:b/>
                    <w:bCs/>
                    <w:noProof/>
                    <w:color w:val="FFFFFF" w:themeColor="background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224F" w:rsidRDefault="0077224F">
                <w:pPr>
                  <w:spacing w:before="0" w:after="0"/>
                  <w:jc w:val="left"/>
                  <w:rPr>
                    <w:rFonts w:ascii="Times New Roman" w:eastAsia="Times" w:hAnsi="Times New Roman"/>
                    <w:b/>
                    <w:bCs/>
                    <w:noProof/>
                    <w:color w:val="FFFFFF" w:themeColor="background1"/>
                    <w:sz w:val="16"/>
                    <w:szCs w:val="16"/>
                  </w:rPr>
                </w:pP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Austria</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0.3</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15.1</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 xml:space="preserve">5,444.8 €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Belgium</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1.5</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24.3</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 xml:space="preserve">12,296.1 €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Bulgaria</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0.7</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20.1</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 xml:space="preserve">1,502.9 €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Croatia</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0.3</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9.0</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 xml:space="preserve">1,644.5 €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Cyprus</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0.1</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3.9</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 xml:space="preserve">671.2 €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Czech Republic</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1.0</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17.3</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 xml:space="preserve">3,843.0 €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Denmark</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0.4</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18.7</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 xml:space="preserve">5,697.7 € </w:t>
                </w:r>
              </w:p>
            </w:tc>
          </w:tr>
          <w:tr w:rsidR="0077224F">
            <w:trPr>
              <w:trHeight w:val="31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Estonia</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0.2</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4.3</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 xml:space="preserve">699.3 €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Finland</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0.4</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12.2</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 xml:space="preserve">4,368.3 €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France</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5.4</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167.3</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 xml:space="preserve">61,428.5 €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Germany</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2.8</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111.6</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 xml:space="preserve">60,471.2 €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Greece</w:t>
                </w:r>
                <w:r>
                  <w:rPr>
                    <w:rFonts w:ascii="Times New Roman" w:eastAsia="Times New Roman" w:hAnsi="Times New Roman"/>
                    <w:noProof/>
                    <w:sz w:val="24"/>
                    <w:szCs w:val="16"/>
                    <w:vertAlign w:val="superscript"/>
                  </w:rPr>
                  <w:footnoteReference w:id="62"/>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0.2</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22.6</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6,411.8 €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Hungary</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1.2</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18.9</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 xml:space="preserve">3,579.9 €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Ireland</w:t>
                </w:r>
                <w:r>
                  <w:rPr>
                    <w:rFonts w:ascii="Times New Roman" w:eastAsia="Times New Roman" w:hAnsi="Times New Roman"/>
                    <w:noProof/>
                    <w:sz w:val="16"/>
                    <w:szCs w:val="16"/>
                    <w:vertAlign w:val="superscript"/>
                  </w:rPr>
                  <w:t>1</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0.4</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12.4</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5,650.7 €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Italy</w:t>
                </w:r>
                <w:r>
                  <w:rPr>
                    <w:rFonts w:ascii="Times New Roman" w:eastAsia="Times New Roman" w:hAnsi="Times New Roman"/>
                    <w:noProof/>
                    <w:sz w:val="16"/>
                    <w:szCs w:val="16"/>
                    <w:vertAlign w:val="superscript"/>
                  </w:rPr>
                  <w:t>1</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4.3</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94.0</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44,077.6 €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Latvia</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0.5</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5.0</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 xml:space="preserve">729.0 €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Lithuania</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0.3</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6.0</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 xml:space="preserve">769.2 €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Luxembourg</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0.1</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4.8</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 xml:space="preserve">4,377.4 €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Malta</w:t>
                </w:r>
                <w:r>
                  <w:rPr>
                    <w:rFonts w:ascii="Times New Roman" w:eastAsia="Times New Roman" w:hAnsi="Times New Roman"/>
                    <w:noProof/>
                    <w:sz w:val="24"/>
                    <w:szCs w:val="16"/>
                    <w:vertAlign w:val="superscript"/>
                  </w:rPr>
                  <w:footnoteReference w:id="63"/>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0.0</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1.6</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 xml:space="preserve"> -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Netherlands</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1.4</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31.2</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 xml:space="preserve">16,881.4 €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Poland</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5.7</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48.8</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 xml:space="preserve">10,048.7 €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Portugal</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0.7</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15.0</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 xml:space="preserve">5,533.7 €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Romania</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2.4</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43.4</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 xml:space="preserve">4,271.4 €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Slovakia</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0.3</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10.5</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 xml:space="preserve">2,208.3 €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Slovenia</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0.3</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5.0</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 xml:space="preserve">1,361.6 €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Spain</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4.9</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59.7</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 xml:space="preserve">31,020.8 €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Sweden</w:t>
                </w:r>
                <w:r>
                  <w:rPr>
                    <w:rFonts w:ascii="Times New Roman" w:eastAsia="Times New Roman" w:hAnsi="Times New Roman"/>
                    <w:noProof/>
                    <w:sz w:val="16"/>
                    <w:szCs w:val="16"/>
                    <w:vertAlign w:val="superscript"/>
                  </w:rPr>
                  <w:t>1</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1.0</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27.2</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12,666.5 €</w:t>
                </w:r>
              </w:p>
            </w:tc>
          </w:tr>
          <w:tr w:rsidR="0077224F">
            <w:trPr>
              <w:trHeight w:val="285"/>
            </w:trPr>
            <w:tc>
              <w:tcPr>
                <w:tcW w:w="1843" w:type="dxa"/>
                <w:tcBorders>
                  <w:top w:val="nil"/>
                  <w:left w:val="single" w:sz="4" w:space="0" w:color="auto"/>
                  <w:bottom w:val="single" w:sz="4" w:space="0" w:color="auto"/>
                  <w:right w:val="single" w:sz="4" w:space="0" w:color="auto"/>
                </w:tcBorders>
                <w:noWrap/>
                <w:vAlign w:val="center"/>
                <w:hideMark/>
              </w:tcPr>
              <w:p w:rsidR="0077224F" w:rsidRDefault="00D973EE">
                <w:pPr>
                  <w:spacing w:before="0" w:after="0"/>
                  <w:rPr>
                    <w:rFonts w:ascii="Times New Roman" w:eastAsia="Times" w:hAnsi="Times New Roman"/>
                    <w:noProof/>
                    <w:color w:val="000000"/>
                    <w:sz w:val="16"/>
                    <w:szCs w:val="16"/>
                  </w:rPr>
                </w:pPr>
                <w:r>
                  <w:rPr>
                    <w:rFonts w:ascii="Times New Roman" w:eastAsia="Times New Roman" w:hAnsi="Times New Roman"/>
                    <w:noProof/>
                    <w:sz w:val="16"/>
                    <w:szCs w:val="16"/>
                  </w:rPr>
                  <w:t>United Kingdom</w:t>
                </w:r>
              </w:p>
            </w:tc>
            <w:tc>
              <w:tcPr>
                <w:tcW w:w="241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7.7</w:t>
                </w:r>
              </w:p>
            </w:tc>
            <w:tc>
              <w:tcPr>
                <w:tcW w:w="2407"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209.8</w:t>
                </w:r>
              </w:p>
            </w:tc>
            <w:tc>
              <w:tcPr>
                <w:tcW w:w="2380" w:type="dxa"/>
                <w:tcBorders>
                  <w:top w:val="nil"/>
                  <w:left w:val="nil"/>
                  <w:bottom w:val="single" w:sz="4" w:space="0" w:color="auto"/>
                  <w:right w:val="single" w:sz="4" w:space="0" w:color="auto"/>
                </w:tcBorders>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78,184.9 €</w:t>
                </w:r>
              </w:p>
            </w:tc>
          </w:tr>
          <w:tr w:rsidR="0077224F">
            <w:trPr>
              <w:trHeight w:val="285"/>
            </w:trPr>
            <w:tc>
              <w:tcPr>
                <w:tcW w:w="1843" w:type="dxa"/>
                <w:tcBorders>
                  <w:top w:val="nil"/>
                  <w:left w:val="single" w:sz="4" w:space="0" w:color="auto"/>
                  <w:bottom w:val="single" w:sz="4" w:space="0" w:color="auto"/>
                  <w:right w:val="single" w:sz="4" w:space="0" w:color="auto"/>
                </w:tcBorders>
                <w:shd w:val="clear" w:color="auto" w:fill="A6A6A6"/>
                <w:noWrap/>
                <w:vAlign w:val="center"/>
                <w:hideMark/>
              </w:tcPr>
              <w:p w:rsidR="0077224F" w:rsidRDefault="00D973EE">
                <w:pPr>
                  <w:spacing w:before="0" w:after="0"/>
                  <w:rPr>
                    <w:rFonts w:ascii="Times New Roman" w:eastAsia="Times" w:hAnsi="Times New Roman"/>
                    <w:b/>
                    <w:bCs/>
                    <w:noProof/>
                    <w:color w:val="000000"/>
                    <w:sz w:val="16"/>
                    <w:szCs w:val="16"/>
                  </w:rPr>
                </w:pPr>
                <w:r>
                  <w:rPr>
                    <w:rFonts w:ascii="Times New Roman" w:eastAsia="Times New Roman" w:hAnsi="Times New Roman"/>
                    <w:b/>
                    <w:bCs/>
                    <w:noProof/>
                    <w:sz w:val="16"/>
                    <w:szCs w:val="16"/>
                  </w:rPr>
                  <w:t>EU28</w:t>
                </w:r>
              </w:p>
            </w:tc>
            <w:tc>
              <w:tcPr>
                <w:tcW w:w="2410" w:type="dxa"/>
                <w:tcBorders>
                  <w:top w:val="nil"/>
                  <w:left w:val="nil"/>
                  <w:bottom w:val="single" w:sz="4" w:space="0" w:color="auto"/>
                  <w:right w:val="single" w:sz="4" w:space="0" w:color="auto"/>
                </w:tcBorders>
                <w:shd w:val="clear" w:color="auto" w:fill="A6A6A6"/>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44.7</w:t>
                </w:r>
              </w:p>
            </w:tc>
            <w:tc>
              <w:tcPr>
                <w:tcW w:w="2407" w:type="dxa"/>
                <w:tcBorders>
                  <w:top w:val="nil"/>
                  <w:left w:val="nil"/>
                  <w:bottom w:val="single" w:sz="4" w:space="0" w:color="auto"/>
                  <w:right w:val="single" w:sz="4" w:space="0" w:color="auto"/>
                </w:tcBorders>
                <w:shd w:val="clear" w:color="auto" w:fill="A6A6A6"/>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1,019.8</w:t>
                </w:r>
              </w:p>
            </w:tc>
            <w:tc>
              <w:tcPr>
                <w:tcW w:w="2380" w:type="dxa"/>
                <w:tcBorders>
                  <w:top w:val="nil"/>
                  <w:left w:val="nil"/>
                  <w:bottom w:val="single" w:sz="4" w:space="0" w:color="auto"/>
                  <w:right w:val="single" w:sz="4" w:space="0" w:color="auto"/>
                </w:tcBorders>
                <w:shd w:val="clear" w:color="auto" w:fill="A6A6A6"/>
                <w:noWrap/>
                <w:vAlign w:val="center"/>
                <w:hideMark/>
              </w:tcPr>
              <w:p w:rsidR="0077224F" w:rsidRDefault="00D973EE">
                <w:pPr>
                  <w:spacing w:before="0" w:after="0"/>
                  <w:jc w:val="right"/>
                  <w:rPr>
                    <w:rFonts w:ascii="Times New Roman" w:eastAsia="Times" w:hAnsi="Times New Roman"/>
                    <w:noProof/>
                    <w:color w:val="000000"/>
                    <w:sz w:val="16"/>
                    <w:szCs w:val="16"/>
                  </w:rPr>
                </w:pPr>
                <w:r>
                  <w:rPr>
                    <w:rFonts w:ascii="Times New Roman" w:eastAsia="Times New Roman" w:hAnsi="Times New Roman"/>
                    <w:noProof/>
                    <w:sz w:val="16"/>
                    <w:szCs w:val="16"/>
                  </w:rPr>
                  <w:t xml:space="preserve">385,840.4 € </w:t>
                </w:r>
              </w:p>
            </w:tc>
          </w:tr>
        </w:tbl>
        <w:p w:rsidR="0077224F" w:rsidRDefault="00D973EE">
          <w:pPr>
            <w:spacing w:before="0" w:after="240"/>
            <w:rPr>
              <w:rFonts w:ascii="Times New Roman" w:eastAsia="Times" w:hAnsi="Times New Roman"/>
              <w:i/>
              <w:noProof/>
              <w:color w:val="000000"/>
              <w:sz w:val="16"/>
              <w:szCs w:val="20"/>
            </w:rPr>
          </w:pPr>
          <w:r>
            <w:rPr>
              <w:rFonts w:ascii="Times New Roman" w:eastAsia="Times New Roman" w:hAnsi="Times New Roman"/>
              <w:i/>
              <w:noProof/>
              <w:sz w:val="16"/>
              <w:szCs w:val="20"/>
            </w:rPr>
            <w:t>Source: Eurostat.</w:t>
          </w:r>
        </w:p>
        <w:p w:rsidR="0077224F" w:rsidRDefault="00D973EE">
          <w:pPr>
            <w:spacing w:before="0" w:after="240"/>
            <w:rPr>
              <w:rFonts w:ascii="Times New Roman" w:eastAsia="Times New Roman" w:hAnsi="Times New Roman"/>
              <w:noProof/>
              <w:szCs w:val="18"/>
            </w:rPr>
          </w:pPr>
          <w:r>
            <w:rPr>
              <w:rFonts w:ascii="Times New Roman" w:eastAsia="Times New Roman" w:hAnsi="Times New Roman"/>
              <w:noProof/>
              <w:sz w:val="24"/>
              <w:szCs w:val="18"/>
            </w:rPr>
            <w:t>According to Eurostat, around 44.7 thousand enterprises are active in this market, accounting for a share of 0.2% of all businesses active in the EU. Around 90% of these enterprises are micro-enterprises, 99% are SMEs. Around 52% of all EU telecommunicatio</w:t>
          </w:r>
          <w:r>
            <w:rPr>
              <w:rFonts w:ascii="Times New Roman" w:eastAsia="Times New Roman" w:hAnsi="Times New Roman"/>
              <w:noProof/>
              <w:sz w:val="24"/>
              <w:szCs w:val="18"/>
            </w:rPr>
            <w:t xml:space="preserve">n enterprises were established in the United Kingdom, Poland, the Netherlands, Germany and France in 2014. </w:t>
          </w:r>
        </w:p>
        <w:p w:rsidR="0077224F" w:rsidRDefault="00D973EE">
          <w:pPr>
            <w:spacing w:before="0" w:after="240"/>
            <w:rPr>
              <w:rFonts w:ascii="Times New Roman" w:eastAsia="Times New Roman" w:hAnsi="Times New Roman"/>
              <w:noProof/>
              <w:sz w:val="24"/>
              <w:szCs w:val="18"/>
            </w:rPr>
          </w:pPr>
          <w:r>
            <w:rPr>
              <w:rFonts w:ascii="Times New Roman" w:eastAsia="Times New Roman" w:hAnsi="Times New Roman"/>
              <w:noProof/>
              <w:sz w:val="24"/>
              <w:szCs w:val="18"/>
            </w:rPr>
            <w:t>Overall, approx. one million citizens are employed in the telecommunications sector of which roughly 20% are active in SMEs.</w:t>
          </w:r>
          <w:r>
            <w:rPr>
              <w:rFonts w:ascii="Times New Roman" w:eastAsia="Times New Roman" w:hAnsi="Times New Roman"/>
              <w:noProof/>
              <w:sz w:val="24"/>
              <w:szCs w:val="18"/>
              <w:vertAlign w:val="superscript"/>
            </w:rPr>
            <w:footnoteReference w:id="64"/>
          </w:r>
          <w:r>
            <w:rPr>
              <w:rFonts w:ascii="Times New Roman" w:eastAsia="Times New Roman" w:hAnsi="Times New Roman"/>
              <w:noProof/>
              <w:sz w:val="24"/>
              <w:szCs w:val="18"/>
            </w:rPr>
            <w:t xml:space="preserve"> In total, 56% of all e</w:t>
          </w:r>
          <w:r>
            <w:rPr>
              <w:rFonts w:ascii="Times New Roman" w:eastAsia="Times New Roman" w:hAnsi="Times New Roman"/>
              <w:noProof/>
              <w:sz w:val="24"/>
              <w:szCs w:val="18"/>
            </w:rPr>
            <w:t>mployees in the EU telecommunications sector worked for enterprises in United Kingdom, France, Germany, Poland, and the Netherlands in 2014. When putting the number of persons employed in the telecommunications sector in relation to the overall number of c</w:t>
          </w:r>
          <w:r>
            <w:rPr>
              <w:rFonts w:ascii="Times New Roman" w:eastAsia="Times New Roman" w:hAnsi="Times New Roman"/>
              <w:noProof/>
              <w:sz w:val="24"/>
              <w:szCs w:val="18"/>
            </w:rPr>
            <w:t>itizens per Member State, it can be seen that Luxembourg, Cyprus, Denmark, Estonia, and the United Kingdom have comparatively high shares of citizens working in the telecommunications sector. None of these Member States, however, exceeds a share of 0.9%.</w:t>
          </w:r>
          <w:r>
            <w:rPr>
              <w:rFonts w:ascii="Times New Roman" w:eastAsia="Times New Roman" w:hAnsi="Times New Roman"/>
              <w:noProof/>
              <w:sz w:val="24"/>
              <w:szCs w:val="18"/>
              <w:vertAlign w:val="superscript"/>
            </w:rPr>
            <w:footnoteReference w:id="65"/>
          </w:r>
        </w:p>
        <w:p w:rsidR="0077224F" w:rsidRDefault="00D973EE">
          <w:pPr>
            <w:spacing w:before="0" w:after="240"/>
            <w:rPr>
              <w:rFonts w:ascii="Times New Roman" w:eastAsia="Times New Roman" w:hAnsi="Times New Roman"/>
              <w:noProof/>
              <w:sz w:val="24"/>
              <w:szCs w:val="18"/>
            </w:rPr>
          </w:pPr>
          <w:r>
            <w:rPr>
              <w:rFonts w:ascii="Times New Roman" w:eastAsia="Times New Roman" w:hAnsi="Times New Roman"/>
              <w:noProof/>
              <w:sz w:val="24"/>
              <w:szCs w:val="18"/>
            </w:rPr>
            <w:t>The sector generates an annual turnover of 385 EURb. The United Kingdom, France, Germany, Poland, and the Netherlands accounted for 59% of the entire EU28 turnover in the telecommunications sector in 2012 (overall roughly 227 EURb). In terms of contributio</w:t>
          </w:r>
          <w:r>
            <w:rPr>
              <w:rFonts w:ascii="Times New Roman" w:eastAsia="Times New Roman" w:hAnsi="Times New Roman"/>
              <w:noProof/>
              <w:sz w:val="24"/>
              <w:szCs w:val="18"/>
            </w:rPr>
            <w:t>n of the telecommunication sector to the annual GDP pf each Member State, Eurostat data shows that the sector is largest in Luxembourg (9.5% of overall annual GDP in 2012), Estonia (4.5%), Bulgaria (4.3%), Croatia (4.1%), and the United Kingdom (3.8%).</w:t>
          </w:r>
          <w:r>
            <w:rPr>
              <w:rFonts w:ascii="Times New Roman" w:eastAsia="Times New Roman" w:hAnsi="Times New Roman"/>
              <w:noProof/>
              <w:sz w:val="24"/>
              <w:szCs w:val="18"/>
              <w:vertAlign w:val="superscript"/>
            </w:rPr>
            <w:footnoteReference w:id="66"/>
          </w:r>
        </w:p>
        <w:p w:rsidR="0077224F" w:rsidRDefault="00D973EE">
          <w:pPr>
            <w:keepNext/>
            <w:numPr>
              <w:ilvl w:val="0"/>
              <w:numId w:val="97"/>
            </w:numPr>
            <w:pBdr>
              <w:bottom w:val="single" w:sz="6" w:space="1" w:color="C0504D" w:themeColor="accent2"/>
            </w:pBdr>
            <w:spacing w:before="300" w:after="240" w:line="360" w:lineRule="auto"/>
            <w:outlineLvl w:val="2"/>
            <w:rPr>
              <w:rFonts w:ascii="Times New Roman" w:eastAsia="Times New Roman" w:hAnsi="Times New Roman"/>
              <w:noProof/>
              <w:sz w:val="24"/>
            </w:rPr>
          </w:pPr>
          <w:bookmarkStart w:id="354" w:name="_Toc468453421"/>
          <w:bookmarkStart w:id="355" w:name="_Toc468455321"/>
          <w:bookmarkStart w:id="356" w:name="_Toc468790038"/>
          <w:bookmarkStart w:id="357" w:name="_Toc468794870"/>
          <w:bookmarkStart w:id="358" w:name="_Toc468795178"/>
          <w:r>
            <w:rPr>
              <w:rFonts w:ascii="Times New Roman" w:eastAsia="Times New Roman" w:hAnsi="Times New Roman"/>
              <w:noProof/>
              <w:sz w:val="24"/>
              <w:szCs w:val="20"/>
            </w:rPr>
            <w:t>Ov</w:t>
          </w:r>
          <w:r>
            <w:rPr>
              <w:rFonts w:ascii="Times New Roman" w:eastAsia="Times New Roman" w:hAnsi="Times New Roman"/>
              <w:noProof/>
              <w:sz w:val="24"/>
              <w:szCs w:val="20"/>
            </w:rPr>
            <w:t>er-The-Top services (OTTs)</w:t>
          </w:r>
          <w:bookmarkEnd w:id="354"/>
          <w:bookmarkEnd w:id="355"/>
          <w:bookmarkEnd w:id="356"/>
          <w:bookmarkEnd w:id="357"/>
          <w:bookmarkEnd w:id="358"/>
        </w:p>
        <w:p w:rsidR="0077224F" w:rsidRDefault="00D973EE">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A 2016 global forecast of the market for Over The Top (OTT) providers</w:t>
          </w:r>
          <w:r>
            <w:rPr>
              <w:rFonts w:ascii="Times New Roman" w:eastAsia="Times New Roman" w:hAnsi="Times New Roman"/>
              <w:noProof/>
              <w:sz w:val="24"/>
              <w:szCs w:val="20"/>
              <w:vertAlign w:val="superscript"/>
            </w:rPr>
            <w:footnoteReference w:id="67"/>
          </w:r>
          <w:r>
            <w:rPr>
              <w:rFonts w:ascii="Times New Roman" w:eastAsia="Times New Roman" w:hAnsi="Times New Roman"/>
              <w:noProof/>
              <w:sz w:val="24"/>
              <w:szCs w:val="20"/>
            </w:rPr>
            <w:t xml:space="preserve"> shows that market is estimated to grow from USD 28.04 Billion in 2015 to USD 62.03 Billion by 2020 with a CAGR of 17.2%.</w:t>
          </w:r>
          <w:r>
            <w:rPr>
              <w:rFonts w:ascii="Times New Roman" w:eastAsia="Times New Roman" w:hAnsi="Times New Roman"/>
              <w:noProof/>
              <w:sz w:val="24"/>
              <w:szCs w:val="20"/>
              <w:vertAlign w:val="superscript"/>
            </w:rPr>
            <w:footnoteReference w:id="68"/>
          </w:r>
          <w:r>
            <w:rPr>
              <w:rFonts w:ascii="Times New Roman" w:eastAsia="Times New Roman" w:hAnsi="Times New Roman"/>
              <w:noProof/>
              <w:sz w:val="24"/>
              <w:szCs w:val="20"/>
            </w:rPr>
            <w:t xml:space="preserve"> The report argues that market is in </w:t>
          </w:r>
          <w:r>
            <w:rPr>
              <w:rFonts w:ascii="Times New Roman" w:eastAsia="Times New Roman" w:hAnsi="Times New Roman"/>
              <w:noProof/>
              <w:sz w:val="24"/>
              <w:szCs w:val="20"/>
            </w:rPr>
            <w:t>the growing stage in Europe and therefore OTT platforms in these regions have immense scope for enhancement. Overall, the North American region is expected to contribute the maximum market share to the overall OTT market.</w:t>
          </w:r>
          <w:r>
            <w:rPr>
              <w:rFonts w:ascii="Times New Roman" w:eastAsia="Times New Roman" w:hAnsi="Times New Roman"/>
              <w:noProof/>
              <w:sz w:val="24"/>
              <w:szCs w:val="20"/>
              <w:vertAlign w:val="superscript"/>
            </w:rPr>
            <w:footnoteReference w:id="69"/>
          </w:r>
          <w:r>
            <w:rPr>
              <w:rFonts w:ascii="Times New Roman" w:eastAsia="Times New Roman" w:hAnsi="Times New Roman"/>
              <w:noProof/>
              <w:sz w:val="24"/>
              <w:szCs w:val="20"/>
            </w:rPr>
            <w:t xml:space="preserve"> As can be seen below, around 40% </w:t>
          </w:r>
          <w:r>
            <w:rPr>
              <w:rFonts w:ascii="Times New Roman" w:eastAsia="Times New Roman" w:hAnsi="Times New Roman"/>
              <w:noProof/>
              <w:sz w:val="24"/>
              <w:szCs w:val="20"/>
            </w:rPr>
            <w:t>of primaries in the OTT market are expected to be established in North America by 2020 while 25% are expected to be European.</w:t>
          </w:r>
        </w:p>
        <w:p w:rsidR="0077224F" w:rsidRDefault="00D973EE">
          <w:pPr>
            <w:keepNext/>
            <w:spacing w:before="240" w:after="0" w:line="312" w:lineRule="auto"/>
            <w:ind w:left="720"/>
            <w:jc w:val="center"/>
            <w:rPr>
              <w:rFonts w:ascii="Times New Roman" w:eastAsia="Times New Roman" w:hAnsi="Times New Roman"/>
              <w:i/>
              <w:noProof/>
              <w:color w:val="00A3E0"/>
              <w:sz w:val="18"/>
              <w:szCs w:val="20"/>
            </w:rPr>
          </w:pPr>
          <w:bookmarkStart w:id="359" w:name="_Toc465357346"/>
          <w:bookmarkStart w:id="360" w:name="_Toc462075418"/>
          <w:bookmarkStart w:id="361" w:name="_Toc462410769"/>
          <w:r>
            <w:rPr>
              <w:rFonts w:ascii="Times New Roman" w:eastAsia="Times New Roman" w:hAnsi="Times New Roman"/>
              <w:i/>
              <w:noProof/>
              <w:color w:val="00A3E0"/>
              <w:sz w:val="18"/>
              <w:szCs w:val="20"/>
            </w:rPr>
            <w:t xml:space="preserve">Figure </w:t>
          </w:r>
          <w:r>
            <w:rPr>
              <w:rFonts w:ascii="Times New Roman" w:eastAsia="Times New Roman" w:hAnsi="Times New Roman"/>
              <w:noProof/>
              <w:sz w:val="24"/>
              <w:szCs w:val="20"/>
            </w:rPr>
            <w:fldChar w:fldCharType="begin"/>
          </w:r>
          <w:r>
            <w:rPr>
              <w:rFonts w:ascii="Times New Roman" w:eastAsia="Times New Roman" w:hAnsi="Times New Roman"/>
              <w:bCs/>
              <w:i/>
              <w:noProof/>
              <w:color w:val="00A3E0"/>
              <w:sz w:val="18"/>
              <w:szCs w:val="18"/>
            </w:rPr>
            <w:instrText xml:space="preserve"> SEQ Figure \* ARABIC \* MERGEFORMAT </w:instrText>
          </w:r>
          <w:r>
            <w:rPr>
              <w:rFonts w:ascii="Times New Roman" w:eastAsia="Times New Roman" w:hAnsi="Times New Roman"/>
              <w:noProof/>
              <w:sz w:val="24"/>
              <w:szCs w:val="20"/>
            </w:rPr>
            <w:fldChar w:fldCharType="separate"/>
          </w:r>
          <w:r>
            <w:rPr>
              <w:rFonts w:ascii="Times New Roman" w:eastAsia="Times New Roman" w:hAnsi="Times New Roman"/>
              <w:bCs/>
              <w:i/>
              <w:noProof/>
              <w:color w:val="00A3E0"/>
              <w:sz w:val="18"/>
              <w:szCs w:val="18"/>
            </w:rPr>
            <w:t>1</w:t>
          </w:r>
          <w:r>
            <w:rPr>
              <w:rFonts w:ascii="Times New Roman" w:eastAsia="Times New Roman" w:hAnsi="Times New Roman"/>
              <w:noProof/>
              <w:sz w:val="24"/>
              <w:szCs w:val="20"/>
            </w:rPr>
            <w:fldChar w:fldCharType="end"/>
          </w:r>
          <w:r>
            <w:rPr>
              <w:rFonts w:ascii="Times New Roman" w:eastAsia="Times New Roman" w:hAnsi="Times New Roman"/>
              <w:i/>
              <w:noProof/>
              <w:color w:val="00A3E0"/>
              <w:sz w:val="18"/>
              <w:szCs w:val="20"/>
            </w:rPr>
            <w:t xml:space="preserve"> – Expected breakdown of profiles of primaries (in 2020)</w:t>
          </w:r>
          <w:bookmarkEnd w:id="359"/>
          <w:bookmarkEnd w:id="360"/>
          <w:bookmarkEnd w:id="361"/>
        </w:p>
        <w:p w:rsidR="0077224F" w:rsidRDefault="00D973EE">
          <w:pPr>
            <w:spacing w:before="0" w:after="240"/>
            <w:rPr>
              <w:rFonts w:ascii="Times New Roman" w:eastAsia="Times New Roman" w:hAnsi="Times New Roman"/>
              <w:noProof/>
              <w:color w:val="000000"/>
              <w:szCs w:val="18"/>
            </w:rPr>
          </w:pPr>
          <w:r>
            <w:rPr>
              <w:rFonts w:ascii="Times New Roman" w:eastAsia="Times New Roman" w:hAnsi="Times New Roman"/>
              <w:noProof/>
              <w:sz w:val="24"/>
              <w:szCs w:val="18"/>
              <w:lang w:eastAsia="zh-CN"/>
            </w:rPr>
            <w:drawing>
              <wp:inline distT="0" distB="0" distL="0" distR="0" wp14:anchorId="62792763" wp14:editId="5CE8FACC">
                <wp:extent cx="5704840" cy="1948180"/>
                <wp:effectExtent l="0" t="0" r="0" b="0"/>
                <wp:docPr id="460" name="Picture 460" descr="Over The Top (OTT)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ver The Top (OTT) Market"/>
                        <pic:cNvPicPr>
                          <a:picLocks noChangeAspect="1" noChangeArrowheads="1"/>
                        </pic:cNvPicPr>
                      </pic:nvPicPr>
                      <pic:blipFill>
                        <a:blip r:embed="rId25">
                          <a:extLst>
                            <a:ext uri="{28A0092B-C50C-407E-A947-70E740481C1C}">
                              <a14:useLocalDpi xmlns:a14="http://schemas.microsoft.com/office/drawing/2010/main" val="0"/>
                            </a:ext>
                          </a:extLst>
                        </a:blip>
                        <a:srcRect r="-18"/>
                        <a:stretch>
                          <a:fillRect/>
                        </a:stretch>
                      </pic:blipFill>
                      <pic:spPr bwMode="auto">
                        <a:xfrm>
                          <a:off x="0" y="0"/>
                          <a:ext cx="5704840" cy="1948180"/>
                        </a:xfrm>
                        <a:prstGeom prst="rect">
                          <a:avLst/>
                        </a:prstGeom>
                        <a:noFill/>
                        <a:ln>
                          <a:noFill/>
                        </a:ln>
                      </pic:spPr>
                    </pic:pic>
                  </a:graphicData>
                </a:graphic>
              </wp:inline>
            </w:drawing>
          </w:r>
        </w:p>
        <w:p w:rsidR="0077224F" w:rsidRDefault="00D973EE">
          <w:pPr>
            <w:spacing w:before="0" w:after="240"/>
            <w:rPr>
              <w:rFonts w:ascii="Times New Roman" w:eastAsia="Times New Roman" w:hAnsi="Times New Roman"/>
              <w:i/>
              <w:noProof/>
              <w:sz w:val="16"/>
              <w:szCs w:val="18"/>
            </w:rPr>
          </w:pPr>
          <w:r>
            <w:rPr>
              <w:rFonts w:ascii="Times New Roman" w:eastAsia="Times New Roman" w:hAnsi="Times New Roman"/>
              <w:i/>
              <w:noProof/>
              <w:sz w:val="16"/>
              <w:szCs w:val="18"/>
            </w:rPr>
            <w:t xml:space="preserve">Source: </w:t>
          </w:r>
          <w:r>
            <w:rPr>
              <w:rFonts w:ascii="Times New Roman" w:eastAsia="Times New Roman" w:hAnsi="Times New Roman"/>
              <w:i/>
              <w:noProof/>
              <w:sz w:val="16"/>
              <w:szCs w:val="18"/>
            </w:rPr>
            <w:t>MarketsandMarkets</w:t>
          </w:r>
        </w:p>
        <w:p w:rsidR="0077224F" w:rsidRDefault="00D973EE">
          <w:pPr>
            <w:spacing w:before="0" w:after="240"/>
            <w:rPr>
              <w:rFonts w:ascii="Times New Roman" w:eastAsia="Times New Roman" w:hAnsi="Times New Roman"/>
              <w:noProof/>
              <w:szCs w:val="18"/>
            </w:rPr>
          </w:pPr>
          <w:r>
            <w:rPr>
              <w:rFonts w:ascii="Times New Roman" w:eastAsia="Times New Roman" w:hAnsi="Times New Roman"/>
              <w:noProof/>
              <w:sz w:val="24"/>
              <w:szCs w:val="18"/>
            </w:rPr>
            <w:t>The report also acknowledges that diversified government regulations and policies present across domestic and international borders are restraining the growth of the OTT market.</w:t>
          </w:r>
        </w:p>
        <w:p w:rsidR="0077224F" w:rsidRDefault="00D973EE">
          <w:pPr>
            <w:spacing w:before="0" w:after="240"/>
            <w:rPr>
              <w:rFonts w:ascii="Times New Roman" w:eastAsia="Times New Roman" w:hAnsi="Times New Roman"/>
              <w:noProof/>
              <w:sz w:val="24"/>
              <w:szCs w:val="18"/>
            </w:rPr>
          </w:pPr>
          <w:r>
            <w:rPr>
              <w:rFonts w:ascii="Times New Roman" w:eastAsia="Times New Roman" w:hAnsi="Times New Roman"/>
              <w:noProof/>
              <w:sz w:val="24"/>
              <w:szCs w:val="18"/>
            </w:rPr>
            <w:t xml:space="preserve">According to the report, the European market is expected to </w:t>
          </w:r>
          <w:r>
            <w:rPr>
              <w:rFonts w:ascii="Times New Roman" w:eastAsia="Times New Roman" w:hAnsi="Times New Roman"/>
              <w:noProof/>
              <w:sz w:val="24"/>
              <w:szCs w:val="18"/>
            </w:rPr>
            <w:t>grow at a similar pace (i.e. with a similar CAGR) as the North American market – albeit with a smaller overall market size. The Asian-Pacific, Middle East and African, and Latin American markets are smaller the the European and North American markets in te</w:t>
          </w:r>
          <w:r>
            <w:rPr>
              <w:rFonts w:ascii="Times New Roman" w:eastAsia="Times New Roman" w:hAnsi="Times New Roman"/>
              <w:noProof/>
              <w:sz w:val="24"/>
              <w:szCs w:val="18"/>
            </w:rPr>
            <w:t xml:space="preserve">rms of absolute size but are expected to grow faster than these two until 2020. This is depicted in the following figure. </w:t>
          </w:r>
        </w:p>
        <w:p w:rsidR="0077224F" w:rsidRDefault="00D973EE">
          <w:pPr>
            <w:keepNext/>
            <w:spacing w:before="240" w:after="0" w:line="312" w:lineRule="auto"/>
            <w:ind w:left="720"/>
            <w:jc w:val="center"/>
            <w:rPr>
              <w:rFonts w:ascii="Times New Roman" w:eastAsia="Times New Roman" w:hAnsi="Times New Roman"/>
              <w:i/>
              <w:noProof/>
              <w:color w:val="00A3E0"/>
              <w:sz w:val="18"/>
              <w:szCs w:val="20"/>
            </w:rPr>
          </w:pPr>
          <w:bookmarkStart w:id="362" w:name="_Toc465357347"/>
          <w:bookmarkStart w:id="363" w:name="_Toc462075419"/>
          <w:bookmarkStart w:id="364" w:name="_Toc462410770"/>
          <w:r>
            <w:rPr>
              <w:rFonts w:ascii="Times New Roman" w:eastAsia="Times New Roman" w:hAnsi="Times New Roman"/>
              <w:i/>
              <w:noProof/>
              <w:color w:val="00A3E0"/>
              <w:sz w:val="18"/>
              <w:szCs w:val="20"/>
            </w:rPr>
            <w:t xml:space="preserve">Figure </w:t>
          </w:r>
          <w:r>
            <w:rPr>
              <w:rFonts w:ascii="Times New Roman" w:eastAsia="Times New Roman" w:hAnsi="Times New Roman"/>
              <w:noProof/>
              <w:sz w:val="24"/>
              <w:szCs w:val="20"/>
            </w:rPr>
            <w:fldChar w:fldCharType="begin"/>
          </w:r>
          <w:r>
            <w:rPr>
              <w:rFonts w:ascii="Times New Roman" w:eastAsia="Times New Roman" w:hAnsi="Times New Roman"/>
              <w:bCs/>
              <w:i/>
              <w:noProof/>
              <w:color w:val="00A3E0"/>
              <w:sz w:val="18"/>
              <w:szCs w:val="18"/>
            </w:rPr>
            <w:instrText xml:space="preserve"> SEQ Figure \* ARABIC \* MERGEFORMAT </w:instrText>
          </w:r>
          <w:r>
            <w:rPr>
              <w:rFonts w:ascii="Times New Roman" w:eastAsia="Times New Roman" w:hAnsi="Times New Roman"/>
              <w:noProof/>
              <w:sz w:val="24"/>
              <w:szCs w:val="20"/>
            </w:rPr>
            <w:fldChar w:fldCharType="separate"/>
          </w:r>
          <w:r>
            <w:rPr>
              <w:rFonts w:ascii="Times New Roman" w:eastAsia="Times New Roman" w:hAnsi="Times New Roman"/>
              <w:bCs/>
              <w:i/>
              <w:noProof/>
              <w:color w:val="00A3E0"/>
              <w:sz w:val="18"/>
              <w:szCs w:val="18"/>
            </w:rPr>
            <w:t>2</w:t>
          </w:r>
          <w:r>
            <w:rPr>
              <w:rFonts w:ascii="Times New Roman" w:eastAsia="Times New Roman" w:hAnsi="Times New Roman"/>
              <w:noProof/>
              <w:sz w:val="24"/>
              <w:szCs w:val="20"/>
            </w:rPr>
            <w:fldChar w:fldCharType="end"/>
          </w:r>
          <w:r>
            <w:rPr>
              <w:rFonts w:ascii="Times New Roman" w:eastAsia="Times New Roman" w:hAnsi="Times New Roman"/>
              <w:i/>
              <w:noProof/>
              <w:color w:val="00A3E0"/>
              <w:sz w:val="18"/>
              <w:szCs w:val="20"/>
            </w:rPr>
            <w:t xml:space="preserve"> – OTT market size and growth by region (in 2020)</w:t>
          </w:r>
          <w:bookmarkEnd w:id="362"/>
          <w:bookmarkEnd w:id="363"/>
          <w:bookmarkEnd w:id="364"/>
        </w:p>
        <w:p w:rsidR="0077224F" w:rsidRDefault="00D973EE">
          <w:pPr>
            <w:spacing w:before="0" w:after="240"/>
            <w:jc w:val="center"/>
            <w:rPr>
              <w:rFonts w:ascii="Times New Roman" w:eastAsia="Times New Roman" w:hAnsi="Times New Roman"/>
              <w:noProof/>
              <w:color w:val="000000"/>
              <w:szCs w:val="18"/>
            </w:rPr>
          </w:pPr>
          <w:r>
            <w:rPr>
              <w:rFonts w:ascii="Times New Roman" w:eastAsia="Times New Roman" w:hAnsi="Times New Roman"/>
              <w:noProof/>
              <w:sz w:val="24"/>
              <w:szCs w:val="18"/>
              <w:lang w:eastAsia="zh-CN"/>
            </w:rPr>
            <w:drawing>
              <wp:inline distT="0" distB="0" distL="0" distR="0" wp14:anchorId="70EA4B48" wp14:editId="67570DED">
                <wp:extent cx="4462780" cy="2087245"/>
                <wp:effectExtent l="0" t="0" r="0" b="8255"/>
                <wp:docPr id="461" name="Picture 461" descr="Over The Top (OTT)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ver The Top (OTT) Market"/>
                        <pic:cNvPicPr>
                          <a:picLocks noChangeAspect="1" noChangeArrowheads="1"/>
                        </pic:cNvPicPr>
                      </pic:nvPicPr>
                      <pic:blipFill>
                        <a:blip r:embed="rId26">
                          <a:extLst>
                            <a:ext uri="{28A0092B-C50C-407E-A947-70E740481C1C}">
                              <a14:useLocalDpi xmlns:a14="http://schemas.microsoft.com/office/drawing/2010/main" val="0"/>
                            </a:ext>
                          </a:extLst>
                        </a:blip>
                        <a:srcRect l="5116" t="16917" r="6699" b="22871"/>
                        <a:stretch>
                          <a:fillRect/>
                        </a:stretch>
                      </pic:blipFill>
                      <pic:spPr bwMode="auto">
                        <a:xfrm>
                          <a:off x="0" y="0"/>
                          <a:ext cx="4462780" cy="2087245"/>
                        </a:xfrm>
                        <a:prstGeom prst="rect">
                          <a:avLst/>
                        </a:prstGeom>
                        <a:noFill/>
                        <a:ln>
                          <a:noFill/>
                        </a:ln>
                      </pic:spPr>
                    </pic:pic>
                  </a:graphicData>
                </a:graphic>
              </wp:inline>
            </w:drawing>
          </w:r>
        </w:p>
        <w:p w:rsidR="0077224F" w:rsidRDefault="00D973EE">
          <w:pPr>
            <w:spacing w:before="0" w:after="240"/>
            <w:rPr>
              <w:rFonts w:ascii="Times New Roman" w:eastAsia="Times New Roman" w:hAnsi="Times New Roman"/>
              <w:noProof/>
              <w:sz w:val="24"/>
              <w:szCs w:val="18"/>
            </w:rPr>
          </w:pPr>
          <w:r>
            <w:rPr>
              <w:rFonts w:ascii="Times New Roman" w:eastAsia="Times New Roman" w:hAnsi="Times New Roman"/>
              <w:i/>
              <w:noProof/>
              <w:sz w:val="16"/>
              <w:szCs w:val="18"/>
            </w:rPr>
            <w:t>Source: MarketsandMarkets</w:t>
          </w:r>
        </w:p>
        <w:p w:rsidR="0077224F" w:rsidRDefault="00D973EE">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Most provisions of the ePD do not apply to online communication services. This includes communication services that are not covered by the definition of electronic communication services employed by the ePD. Examples include </w:t>
          </w:r>
          <w:r>
            <w:rPr>
              <w:rFonts w:ascii="Times New Roman" w:eastAsia="Times New Roman" w:hAnsi="Times New Roman"/>
              <w:i/>
              <w:noProof/>
              <w:sz w:val="24"/>
              <w:szCs w:val="20"/>
            </w:rPr>
            <w:t>Skype</w:t>
          </w:r>
          <w:r>
            <w:rPr>
              <w:rFonts w:ascii="Times New Roman" w:eastAsia="Times New Roman" w:hAnsi="Times New Roman"/>
              <w:noProof/>
              <w:sz w:val="24"/>
              <w:szCs w:val="20"/>
            </w:rPr>
            <w:t xml:space="preserve"> or </w:t>
          </w:r>
          <w:r>
            <w:rPr>
              <w:rFonts w:ascii="Times New Roman" w:eastAsia="Times New Roman" w:hAnsi="Times New Roman"/>
              <w:i/>
              <w:noProof/>
              <w:sz w:val="24"/>
              <w:szCs w:val="20"/>
            </w:rPr>
            <w:t>WhatsApp</w:t>
          </w:r>
          <w:r>
            <w:rPr>
              <w:rFonts w:ascii="Times New Roman" w:eastAsia="Times New Roman" w:hAnsi="Times New Roman"/>
              <w:noProof/>
              <w:sz w:val="24"/>
              <w:szCs w:val="20"/>
            </w:rPr>
            <w:t>.</w:t>
          </w:r>
        </w:p>
        <w:p w:rsidR="0077224F" w:rsidRDefault="00D973EE">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Recent Eurob</w:t>
          </w:r>
          <w:r>
            <w:rPr>
              <w:rFonts w:ascii="Times New Roman" w:eastAsia="Times New Roman" w:hAnsi="Times New Roman"/>
              <w:noProof/>
              <w:sz w:val="24"/>
              <w:szCs w:val="20"/>
            </w:rPr>
            <w:t>arometer data shows that mobile phones to make calls or send text messages are used by 74% of consumers every day while more traditional fixed phone line services are used by 38% each day. However, a large part of consumers also uses services every day tha</w:t>
          </w:r>
          <w:r>
            <w:rPr>
              <w:rFonts w:ascii="Times New Roman" w:eastAsia="Times New Roman" w:hAnsi="Times New Roman"/>
              <w:noProof/>
              <w:sz w:val="24"/>
              <w:szCs w:val="20"/>
            </w:rPr>
            <w:t>t are not covered by the ePD: E-mail is used by 46% of consumers every day, OTTs for the purpose of instant messaging (e.g. WhatsApp) are used by 41% every day</w:t>
          </w:r>
          <w:r>
            <w:rPr>
              <w:rFonts w:ascii="Times New Roman" w:eastAsia="Times New Roman" w:hAnsi="Times New Roman"/>
              <w:noProof/>
              <w:sz w:val="24"/>
              <w:szCs w:val="20"/>
              <w:vertAlign w:val="superscript"/>
            </w:rPr>
            <w:footnoteReference w:id="70"/>
          </w:r>
          <w:r>
            <w:rPr>
              <w:rFonts w:ascii="Times New Roman" w:eastAsia="Times New Roman" w:hAnsi="Times New Roman"/>
              <w:noProof/>
              <w:sz w:val="24"/>
              <w:szCs w:val="20"/>
            </w:rPr>
            <w:t>, and online social networks are used by 38% every day.</w:t>
          </w:r>
          <w:r>
            <w:rPr>
              <w:rFonts w:ascii="Times New Roman" w:eastAsia="Times New Roman" w:hAnsi="Times New Roman"/>
              <w:noProof/>
              <w:sz w:val="24"/>
              <w:szCs w:val="20"/>
              <w:vertAlign w:val="superscript"/>
            </w:rPr>
            <w:footnoteReference w:id="71"/>
          </w:r>
        </w:p>
        <w:p w:rsidR="0077224F" w:rsidRDefault="00D973EE">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The results of the public consultation </w:t>
          </w:r>
          <w:r>
            <w:rPr>
              <w:rFonts w:ascii="Times New Roman" w:eastAsia="Times New Roman" w:hAnsi="Times New Roman"/>
              <w:noProof/>
              <w:sz w:val="24"/>
              <w:szCs w:val="20"/>
            </w:rPr>
            <w:t xml:space="preserve">on the evaluation and review of the regulatory framework for electronic communications demonstrate that consumers increasingly recognise a functional equivalence between traditional SMS/MMS services and OTT services like </w:t>
          </w:r>
          <w:r>
            <w:rPr>
              <w:rFonts w:ascii="Times New Roman" w:eastAsia="Times New Roman" w:hAnsi="Times New Roman"/>
              <w:i/>
              <w:noProof/>
              <w:sz w:val="24"/>
              <w:szCs w:val="20"/>
            </w:rPr>
            <w:t>WhatsApp</w:t>
          </w:r>
          <w:r>
            <w:rPr>
              <w:rFonts w:ascii="Times New Roman" w:eastAsia="Times New Roman" w:hAnsi="Times New Roman"/>
              <w:noProof/>
              <w:sz w:val="24"/>
              <w:szCs w:val="20"/>
            </w:rPr>
            <w:t xml:space="preserve"> or traditional voice calls</w:t>
          </w:r>
          <w:r>
            <w:rPr>
              <w:rFonts w:ascii="Times New Roman" w:eastAsia="Times New Roman" w:hAnsi="Times New Roman"/>
              <w:noProof/>
              <w:sz w:val="24"/>
              <w:szCs w:val="20"/>
            </w:rPr>
            <w:t xml:space="preserve"> and OTT </w:t>
          </w:r>
          <w:r>
            <w:rPr>
              <w:rFonts w:ascii="Times New Roman" w:eastAsia="Times New Roman" w:hAnsi="Times New Roman"/>
              <w:i/>
              <w:noProof/>
              <w:sz w:val="24"/>
              <w:szCs w:val="20"/>
            </w:rPr>
            <w:t>Voice-over-IP</w:t>
          </w:r>
          <w:r>
            <w:rPr>
              <w:rFonts w:ascii="Times New Roman" w:eastAsia="Times New Roman" w:hAnsi="Times New Roman"/>
              <w:noProof/>
              <w:sz w:val="24"/>
              <w:szCs w:val="20"/>
            </w:rPr>
            <w:t xml:space="preserve"> (VoIP) services like </w:t>
          </w:r>
          <w:r>
            <w:rPr>
              <w:rFonts w:ascii="Times New Roman" w:eastAsia="Times New Roman" w:hAnsi="Times New Roman"/>
              <w:i/>
              <w:noProof/>
              <w:sz w:val="24"/>
              <w:szCs w:val="20"/>
            </w:rPr>
            <w:t>Skype</w:t>
          </w:r>
          <w:r>
            <w:rPr>
              <w:rFonts w:ascii="Times New Roman" w:eastAsia="Times New Roman" w:hAnsi="Times New Roman"/>
              <w:noProof/>
              <w:sz w:val="24"/>
              <w:szCs w:val="20"/>
            </w:rPr>
            <w:t xml:space="preserve"> and a potential for their substitution.</w:t>
          </w:r>
          <w:r>
            <w:rPr>
              <w:rFonts w:ascii="Times New Roman" w:eastAsia="Times New Roman" w:hAnsi="Times New Roman"/>
              <w:noProof/>
              <w:sz w:val="24"/>
              <w:szCs w:val="20"/>
              <w:vertAlign w:val="superscript"/>
            </w:rPr>
            <w:footnoteReference w:id="72"/>
          </w:r>
          <w:r>
            <w:rPr>
              <w:rFonts w:ascii="Times New Roman" w:eastAsia="Times New Roman" w:hAnsi="Times New Roman"/>
              <w:noProof/>
              <w:sz w:val="24"/>
              <w:szCs w:val="20"/>
            </w:rPr>
            <w:t xml:space="preserve"> </w:t>
          </w:r>
        </w:p>
        <w:p w:rsidR="0077224F" w:rsidRDefault="00D973EE">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The majority of popular OTT social network services was launched around 2010, notable exceptions being </w:t>
          </w:r>
          <w:r>
            <w:rPr>
              <w:rFonts w:ascii="Times New Roman" w:eastAsia="Times New Roman" w:hAnsi="Times New Roman"/>
              <w:i/>
              <w:noProof/>
              <w:sz w:val="24"/>
              <w:szCs w:val="20"/>
            </w:rPr>
            <w:t>Skype</w:t>
          </w:r>
          <w:r>
            <w:rPr>
              <w:rFonts w:ascii="Times New Roman" w:eastAsia="Times New Roman" w:hAnsi="Times New Roman"/>
              <w:noProof/>
              <w:sz w:val="24"/>
              <w:szCs w:val="20"/>
            </w:rPr>
            <w:t xml:space="preserve"> (2003) and </w:t>
          </w:r>
          <w:r>
            <w:rPr>
              <w:rFonts w:ascii="Times New Roman" w:eastAsia="Times New Roman" w:hAnsi="Times New Roman"/>
              <w:i/>
              <w:noProof/>
              <w:sz w:val="24"/>
              <w:szCs w:val="20"/>
            </w:rPr>
            <w:t>LinkedIn</w:t>
          </w:r>
          <w:r>
            <w:rPr>
              <w:rFonts w:ascii="Times New Roman" w:eastAsia="Times New Roman" w:hAnsi="Times New Roman"/>
              <w:noProof/>
              <w:sz w:val="24"/>
              <w:szCs w:val="20"/>
            </w:rPr>
            <w:t xml:space="preserve"> (2003), </w:t>
          </w:r>
          <w:r>
            <w:rPr>
              <w:rFonts w:ascii="Times New Roman" w:eastAsia="Times New Roman" w:hAnsi="Times New Roman"/>
              <w:i/>
              <w:noProof/>
              <w:sz w:val="24"/>
              <w:szCs w:val="20"/>
            </w:rPr>
            <w:t>Facebook</w:t>
          </w:r>
          <w:r>
            <w:rPr>
              <w:rFonts w:ascii="Times New Roman" w:eastAsia="Times New Roman" w:hAnsi="Times New Roman"/>
              <w:noProof/>
              <w:sz w:val="24"/>
              <w:szCs w:val="20"/>
            </w:rPr>
            <w:t xml:space="preserve"> (2004) or </w:t>
          </w:r>
          <w:r>
            <w:rPr>
              <w:rFonts w:ascii="Times New Roman" w:eastAsia="Times New Roman" w:hAnsi="Times New Roman"/>
              <w:i/>
              <w:noProof/>
              <w:sz w:val="24"/>
              <w:szCs w:val="20"/>
            </w:rPr>
            <w:t>Twitter</w:t>
          </w:r>
          <w:r>
            <w:rPr>
              <w:rFonts w:ascii="Times New Roman" w:eastAsia="Times New Roman" w:hAnsi="Times New Roman"/>
              <w:noProof/>
              <w:sz w:val="24"/>
              <w:szCs w:val="20"/>
            </w:rPr>
            <w:t xml:space="preserve"> </w:t>
          </w:r>
          <w:r>
            <w:rPr>
              <w:rFonts w:ascii="Times New Roman" w:eastAsia="Times New Roman" w:hAnsi="Times New Roman"/>
              <w:noProof/>
              <w:sz w:val="24"/>
              <w:szCs w:val="20"/>
            </w:rPr>
            <w:t xml:space="preserve">(2006). Among these OTT services, there seems to be no imperative that older services necessarily have larger user bases than more recent market entrants: A recent survey from 2015 reports the most popular OTT call and messaging services among respondents </w:t>
          </w:r>
          <w:r>
            <w:rPr>
              <w:rFonts w:ascii="Times New Roman" w:eastAsia="Times New Roman" w:hAnsi="Times New Roman"/>
              <w:noProof/>
              <w:sz w:val="24"/>
              <w:szCs w:val="20"/>
            </w:rPr>
            <w:t xml:space="preserve">from EU MS to be </w:t>
          </w:r>
          <w:r>
            <w:rPr>
              <w:rFonts w:ascii="Times New Roman" w:eastAsia="Times New Roman" w:hAnsi="Times New Roman"/>
              <w:i/>
              <w:noProof/>
              <w:sz w:val="24"/>
              <w:szCs w:val="20"/>
            </w:rPr>
            <w:t>Skype</w:t>
          </w:r>
          <w:r>
            <w:rPr>
              <w:rFonts w:ascii="Times New Roman" w:eastAsia="Times New Roman" w:hAnsi="Times New Roman"/>
              <w:noProof/>
              <w:sz w:val="24"/>
              <w:szCs w:val="20"/>
            </w:rPr>
            <w:t xml:space="preserve"> (49%), </w:t>
          </w:r>
          <w:r>
            <w:rPr>
              <w:rFonts w:ascii="Times New Roman" w:eastAsia="Times New Roman" w:hAnsi="Times New Roman"/>
              <w:i/>
              <w:noProof/>
              <w:sz w:val="24"/>
              <w:szCs w:val="20"/>
            </w:rPr>
            <w:t>Facebook Messenger</w:t>
          </w:r>
          <w:r>
            <w:rPr>
              <w:rFonts w:ascii="Times New Roman" w:eastAsia="Times New Roman" w:hAnsi="Times New Roman"/>
              <w:noProof/>
              <w:sz w:val="24"/>
              <w:szCs w:val="20"/>
            </w:rPr>
            <w:t xml:space="preserve"> (49%), </w:t>
          </w:r>
          <w:r>
            <w:rPr>
              <w:rFonts w:ascii="Times New Roman" w:eastAsia="Times New Roman" w:hAnsi="Times New Roman"/>
              <w:i/>
              <w:noProof/>
              <w:sz w:val="24"/>
              <w:szCs w:val="20"/>
            </w:rPr>
            <w:t>WhatsApp</w:t>
          </w:r>
          <w:r>
            <w:rPr>
              <w:rFonts w:ascii="Times New Roman" w:eastAsia="Times New Roman" w:hAnsi="Times New Roman"/>
              <w:noProof/>
              <w:sz w:val="24"/>
              <w:szCs w:val="20"/>
            </w:rPr>
            <w:t xml:space="preserve"> (48%) and </w:t>
          </w:r>
          <w:r>
            <w:rPr>
              <w:rFonts w:ascii="Times New Roman" w:eastAsia="Times New Roman" w:hAnsi="Times New Roman"/>
              <w:i/>
              <w:noProof/>
              <w:sz w:val="24"/>
              <w:szCs w:val="20"/>
            </w:rPr>
            <w:t>Twitter</w:t>
          </w:r>
          <w:r>
            <w:rPr>
              <w:rFonts w:ascii="Times New Roman" w:eastAsia="Times New Roman" w:hAnsi="Times New Roman"/>
              <w:noProof/>
              <w:sz w:val="24"/>
              <w:szCs w:val="20"/>
            </w:rPr>
            <w:t xml:space="preserve"> (23%).</w:t>
          </w:r>
          <w:r>
            <w:rPr>
              <w:rFonts w:ascii="Times New Roman" w:eastAsia="Times New Roman" w:hAnsi="Times New Roman"/>
              <w:noProof/>
              <w:sz w:val="24"/>
              <w:szCs w:val="20"/>
              <w:vertAlign w:val="superscript"/>
            </w:rPr>
            <w:footnoteReference w:id="73"/>
          </w:r>
        </w:p>
        <w:p w:rsidR="0077224F" w:rsidRDefault="00D973EE">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From a macro perspective, the number of OTT subscribers has grown in two waves since 2000. First on desktop devices from 2000 to 2010, and again with the increasing </w:t>
          </w:r>
          <w:r>
            <w:rPr>
              <w:rFonts w:ascii="Times New Roman" w:eastAsia="Times New Roman" w:hAnsi="Times New Roman"/>
              <w:noProof/>
              <w:sz w:val="24"/>
              <w:szCs w:val="20"/>
            </w:rPr>
            <w:t>adoption of smartphones after 2009/2010.</w:t>
          </w:r>
          <w:r>
            <w:rPr>
              <w:rFonts w:ascii="Times New Roman" w:eastAsia="Times New Roman" w:hAnsi="Times New Roman"/>
              <w:noProof/>
              <w:sz w:val="24"/>
              <w:szCs w:val="20"/>
              <w:vertAlign w:val="superscript"/>
            </w:rPr>
            <w:footnoteReference w:id="74"/>
          </w:r>
          <w:r>
            <w:rPr>
              <w:rFonts w:ascii="Times New Roman" w:eastAsia="Times New Roman" w:hAnsi="Times New Roman"/>
              <w:noProof/>
              <w:sz w:val="24"/>
              <w:szCs w:val="20"/>
            </w:rPr>
            <w:t xml:space="preserve"> Regarding adoption patterns from a micro perspective, OTT messaging and voice call services often experience growth in form of an s-shaped curve: After up to two years needed to gain a critical mass of users, the s</w:t>
          </w:r>
          <w:r>
            <w:rPr>
              <w:rFonts w:ascii="Times New Roman" w:eastAsia="Times New Roman" w:hAnsi="Times New Roman"/>
              <w:noProof/>
              <w:sz w:val="24"/>
              <w:szCs w:val="20"/>
            </w:rPr>
            <w:t>ervice frequently experiences exponential growth rates until the market is saturated.</w:t>
          </w:r>
          <w:r>
            <w:rPr>
              <w:rFonts w:ascii="Times New Roman" w:eastAsia="Times New Roman" w:hAnsi="Times New Roman"/>
              <w:noProof/>
              <w:sz w:val="24"/>
              <w:szCs w:val="20"/>
              <w:vertAlign w:val="superscript"/>
            </w:rPr>
            <w:footnoteReference w:id="75"/>
          </w:r>
          <w:r>
            <w:rPr>
              <w:rFonts w:ascii="Times New Roman" w:eastAsia="Times New Roman" w:hAnsi="Times New Roman"/>
              <w:noProof/>
              <w:sz w:val="24"/>
              <w:szCs w:val="20"/>
            </w:rPr>
            <w:t xml:space="preserve"> Nevertheless, adoption and usage patterns may vary significantly in cross-country comparison for individual apps. In addition, there seem to be country-specific preferen</w:t>
          </w:r>
          <w:r>
            <w:rPr>
              <w:rFonts w:ascii="Times New Roman" w:eastAsia="Times New Roman" w:hAnsi="Times New Roman"/>
              <w:noProof/>
              <w:sz w:val="24"/>
              <w:szCs w:val="20"/>
            </w:rPr>
            <w:t xml:space="preserve">ces for certain OTT messaging and </w:t>
          </w:r>
          <w:r>
            <w:rPr>
              <w:rFonts w:ascii="Times New Roman" w:eastAsia="Times New Roman" w:hAnsi="Times New Roman"/>
              <w:i/>
              <w:noProof/>
              <w:sz w:val="24"/>
              <w:szCs w:val="20"/>
            </w:rPr>
            <w:t>VoIP</w:t>
          </w:r>
          <w:r>
            <w:rPr>
              <w:rFonts w:ascii="Times New Roman" w:eastAsia="Times New Roman" w:hAnsi="Times New Roman"/>
              <w:noProof/>
              <w:sz w:val="24"/>
              <w:szCs w:val="20"/>
            </w:rPr>
            <w:t xml:space="preserve"> services and the number of parallel services used (depending on the MS, more than one third to half of respondents use multiple OTT social networks).</w:t>
          </w:r>
        </w:p>
        <w:p w:rsidR="0077224F" w:rsidRDefault="00D973EE">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Considering actual traffic volumes, the use of OTT services has inc</w:t>
          </w:r>
          <w:r>
            <w:rPr>
              <w:rFonts w:ascii="Times New Roman" w:eastAsia="Times New Roman" w:hAnsi="Times New Roman"/>
              <w:noProof/>
              <w:sz w:val="24"/>
              <w:szCs w:val="20"/>
            </w:rPr>
            <w:t>reased considerably: The OTT’s share of overall messaging traffic has already increased from 8.31% (2010) to 66.96% (2013) and is projected to rise to 90% until 2020.</w:t>
          </w:r>
          <w:r>
            <w:rPr>
              <w:rFonts w:ascii="Times New Roman" w:eastAsia="Times New Roman" w:hAnsi="Times New Roman"/>
              <w:noProof/>
              <w:sz w:val="24"/>
              <w:szCs w:val="20"/>
              <w:vertAlign w:val="superscript"/>
            </w:rPr>
            <w:footnoteReference w:id="76"/>
          </w:r>
        </w:p>
        <w:p w:rsidR="0077224F" w:rsidRDefault="00D973EE">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Conversely, the use of SMS continues to decrease in almost all EU MS since 2010, albeit </w:t>
          </w:r>
          <w:r>
            <w:rPr>
              <w:rFonts w:ascii="Times New Roman" w:eastAsia="Times New Roman" w:hAnsi="Times New Roman"/>
              <w:noProof/>
              <w:sz w:val="24"/>
              <w:szCs w:val="20"/>
            </w:rPr>
            <w:t>at a different pace: In Finland and Germany, SMS volumes have dropped to levels of 2006, while the decline has been slower in countries like Spain and France. Few countries observed stagnant volumes (Poland) or even a growth from previously low levels (Est</w:t>
          </w:r>
          <w:r>
            <w:rPr>
              <w:rFonts w:ascii="Times New Roman" w:eastAsia="Times New Roman" w:hAnsi="Times New Roman"/>
              <w:noProof/>
              <w:sz w:val="24"/>
              <w:szCs w:val="20"/>
            </w:rPr>
            <w:t>onia).</w:t>
          </w:r>
          <w:r>
            <w:rPr>
              <w:rFonts w:ascii="Times New Roman" w:eastAsia="Times New Roman" w:hAnsi="Times New Roman"/>
              <w:noProof/>
              <w:sz w:val="24"/>
              <w:szCs w:val="20"/>
              <w:vertAlign w:val="superscript"/>
            </w:rPr>
            <w:footnoteReference w:id="77"/>
          </w:r>
        </w:p>
        <w:p w:rsidR="0077224F" w:rsidRDefault="00D973EE">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On the individual level, the average </w:t>
          </w:r>
          <w:r>
            <w:rPr>
              <w:rFonts w:ascii="Times New Roman" w:eastAsia="Times New Roman" w:hAnsi="Times New Roman"/>
              <w:i/>
              <w:noProof/>
              <w:sz w:val="24"/>
              <w:szCs w:val="20"/>
            </w:rPr>
            <w:t>WhatsApp</w:t>
          </w:r>
          <w:r>
            <w:rPr>
              <w:rFonts w:ascii="Times New Roman" w:eastAsia="Times New Roman" w:hAnsi="Times New Roman"/>
              <w:noProof/>
              <w:sz w:val="24"/>
              <w:szCs w:val="20"/>
            </w:rPr>
            <w:t xml:space="preserve"> user is reported to send approximately 40 (while receiving around 80) messages per day as opposed to an estimated number of 4.5 SMS. This ratio of approximately 1:10 for daily SMS versus OTTs messages i</w:t>
          </w:r>
          <w:r>
            <w:rPr>
              <w:rFonts w:ascii="Times New Roman" w:eastAsia="Times New Roman" w:hAnsi="Times New Roman"/>
              <w:noProof/>
              <w:sz w:val="24"/>
              <w:szCs w:val="20"/>
            </w:rPr>
            <w:t>s likely to be much higher in practice, due to the reported parallel use of multiple messaging apps.</w:t>
          </w:r>
          <w:r>
            <w:rPr>
              <w:rFonts w:ascii="Times New Roman" w:eastAsia="Times New Roman" w:hAnsi="Times New Roman"/>
              <w:noProof/>
              <w:sz w:val="24"/>
              <w:szCs w:val="20"/>
              <w:vertAlign w:val="superscript"/>
            </w:rPr>
            <w:t xml:space="preserve"> </w:t>
          </w:r>
          <w:r>
            <w:rPr>
              <w:rFonts w:ascii="Times New Roman" w:eastAsia="Times New Roman" w:hAnsi="Times New Roman"/>
              <w:noProof/>
              <w:sz w:val="24"/>
              <w:szCs w:val="20"/>
              <w:vertAlign w:val="superscript"/>
            </w:rPr>
            <w:footnoteReference w:id="78"/>
          </w:r>
        </w:p>
        <w:p w:rsidR="0077224F" w:rsidRDefault="00D973EE">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Turning from messaging to voice call services, the developments appear to be similar but less pronounced in their magnitude. In general, European Electro</w:t>
          </w:r>
          <w:r>
            <w:rPr>
              <w:rFonts w:ascii="Times New Roman" w:eastAsia="Times New Roman" w:hAnsi="Times New Roman"/>
              <w:noProof/>
              <w:sz w:val="24"/>
              <w:szCs w:val="20"/>
            </w:rPr>
            <w:t>nic Communications Services (ECS) providers have been observing a steady decline in fixed line calls and steady increase of mobile calls (that have overtaken fixed line traffic shares ever since 2010). Despite this general trend, considerable variance acro</w:t>
          </w:r>
          <w:r>
            <w:rPr>
              <w:rFonts w:ascii="Times New Roman" w:eastAsia="Times New Roman" w:hAnsi="Times New Roman"/>
              <w:noProof/>
              <w:sz w:val="24"/>
              <w:szCs w:val="20"/>
            </w:rPr>
            <w:t>ss EU MS remains concerning the popularity or volume of fixed line phone calls.</w:t>
          </w:r>
          <w:r>
            <w:rPr>
              <w:rFonts w:ascii="Times New Roman" w:eastAsia="Times New Roman" w:hAnsi="Times New Roman"/>
              <w:noProof/>
              <w:sz w:val="24"/>
              <w:szCs w:val="20"/>
              <w:vertAlign w:val="superscript"/>
            </w:rPr>
            <w:footnoteReference w:id="79"/>
          </w:r>
          <w:r>
            <w:rPr>
              <w:rFonts w:ascii="Times New Roman" w:eastAsia="Times New Roman" w:hAnsi="Times New Roman"/>
              <w:noProof/>
              <w:sz w:val="24"/>
              <w:szCs w:val="20"/>
            </w:rPr>
            <w:t xml:space="preserve"> The relationship of ECS and OTT providers offering voice calls is hard to ascertain. With regard to international calls, ETNO reports a rapidly growing popularity of </w:t>
          </w:r>
          <w:r>
            <w:rPr>
              <w:rFonts w:ascii="Times New Roman" w:eastAsia="Times New Roman" w:hAnsi="Times New Roman"/>
              <w:i/>
              <w:noProof/>
              <w:sz w:val="24"/>
              <w:szCs w:val="20"/>
            </w:rPr>
            <w:t>VoIP</w:t>
          </w:r>
          <w:r>
            <w:rPr>
              <w:rFonts w:ascii="Times New Roman" w:eastAsia="Times New Roman" w:hAnsi="Times New Roman"/>
              <w:noProof/>
              <w:sz w:val="24"/>
              <w:szCs w:val="20"/>
            </w:rPr>
            <w:t xml:space="preserve"> serv</w:t>
          </w:r>
          <w:r>
            <w:rPr>
              <w:rFonts w:ascii="Times New Roman" w:eastAsia="Times New Roman" w:hAnsi="Times New Roman"/>
              <w:noProof/>
              <w:sz w:val="24"/>
              <w:szCs w:val="20"/>
            </w:rPr>
            <w:t xml:space="preserve">ices – despite still lagging behind traditional voice calls and their advantage of any-to-any connectivity with other providers, higher end-to-end quality and more reliable emergency services. The traffic volume of </w:t>
          </w:r>
          <w:r>
            <w:rPr>
              <w:rFonts w:ascii="Times New Roman" w:eastAsia="Times New Roman" w:hAnsi="Times New Roman"/>
              <w:i/>
              <w:noProof/>
              <w:sz w:val="24"/>
              <w:szCs w:val="20"/>
            </w:rPr>
            <w:t>Skype</w:t>
          </w:r>
          <w:r>
            <w:rPr>
              <w:rFonts w:ascii="Times New Roman" w:eastAsia="Times New Roman" w:hAnsi="Times New Roman"/>
              <w:noProof/>
              <w:sz w:val="24"/>
              <w:szCs w:val="20"/>
            </w:rPr>
            <w:t xml:space="preserve"> increased by 36% in 2013, while tra</w:t>
          </w:r>
          <w:r>
            <w:rPr>
              <w:rFonts w:ascii="Times New Roman" w:eastAsia="Times New Roman" w:hAnsi="Times New Roman"/>
              <w:noProof/>
              <w:sz w:val="24"/>
              <w:szCs w:val="20"/>
            </w:rPr>
            <w:t xml:space="preserve">ditional voice calls grew by 7%. During that same period, </w:t>
          </w:r>
          <w:r>
            <w:rPr>
              <w:rFonts w:ascii="Times New Roman" w:eastAsia="Times New Roman" w:hAnsi="Times New Roman"/>
              <w:i/>
              <w:noProof/>
              <w:sz w:val="24"/>
              <w:szCs w:val="20"/>
            </w:rPr>
            <w:t>Skype</w:t>
          </w:r>
          <w:r>
            <w:rPr>
              <w:rFonts w:ascii="Times New Roman" w:eastAsia="Times New Roman" w:hAnsi="Times New Roman"/>
              <w:noProof/>
              <w:sz w:val="24"/>
              <w:szCs w:val="20"/>
            </w:rPr>
            <w:t xml:space="preserve"> calls amounted to a total of 214 billion minutes whereas traditional voice calls reached a total of 547 billion minutes.</w:t>
          </w:r>
          <w:r>
            <w:rPr>
              <w:rFonts w:ascii="Times New Roman" w:eastAsia="Times New Roman" w:hAnsi="Times New Roman"/>
              <w:noProof/>
              <w:sz w:val="24"/>
              <w:szCs w:val="20"/>
              <w:vertAlign w:val="superscript"/>
            </w:rPr>
            <w:footnoteReference w:id="80"/>
          </w:r>
        </w:p>
        <w:p w:rsidR="0077224F" w:rsidRDefault="00D973EE">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Based on these numbers, ETNO conclude that the OTT market presence and</w:t>
          </w:r>
          <w:r>
            <w:rPr>
              <w:rFonts w:ascii="Times New Roman" w:eastAsia="Times New Roman" w:hAnsi="Times New Roman"/>
              <w:noProof/>
              <w:sz w:val="24"/>
              <w:szCs w:val="20"/>
            </w:rPr>
            <w:t xml:space="preserve"> substitution of traditional telecommunication services can no longer be ignored.</w:t>
          </w:r>
          <w:r>
            <w:rPr>
              <w:rFonts w:ascii="Times New Roman" w:eastAsia="Times New Roman" w:hAnsi="Times New Roman"/>
              <w:noProof/>
              <w:sz w:val="24"/>
              <w:szCs w:val="20"/>
              <w:vertAlign w:val="superscript"/>
            </w:rPr>
            <w:footnoteReference w:id="81"/>
          </w:r>
          <w:r>
            <w:rPr>
              <w:rFonts w:ascii="Times New Roman" w:eastAsia="Times New Roman" w:hAnsi="Times New Roman"/>
              <w:noProof/>
              <w:sz w:val="24"/>
              <w:szCs w:val="20"/>
            </w:rPr>
            <w:t xml:space="preserve"> While, this is certainly true, it is still questionable as to whether the presence for OTT service providers offering alternative services is the only cause for EU users cha</w:t>
          </w:r>
          <w:r>
            <w:rPr>
              <w:rFonts w:ascii="Times New Roman" w:eastAsia="Times New Roman" w:hAnsi="Times New Roman"/>
              <w:noProof/>
              <w:sz w:val="24"/>
              <w:szCs w:val="20"/>
            </w:rPr>
            <w:t>nging their communication means as per figures above.</w:t>
          </w:r>
        </w:p>
        <w:p w:rsidR="0077224F" w:rsidRDefault="00D973EE">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A recent study on behalf of the EC examines not only the rise of OTT services but also possible effects of changes in technology, the regulatory environment and economic growth.</w:t>
          </w:r>
          <w:r>
            <w:rPr>
              <w:rFonts w:ascii="Times New Roman" w:eastAsia="Times New Roman" w:hAnsi="Times New Roman"/>
              <w:noProof/>
              <w:sz w:val="24"/>
              <w:szCs w:val="20"/>
              <w:vertAlign w:val="superscript"/>
            </w:rPr>
            <w:footnoteReference w:id="82"/>
          </w:r>
          <w:r>
            <w:rPr>
              <w:rFonts w:ascii="Times New Roman" w:eastAsia="Times New Roman" w:hAnsi="Times New Roman"/>
              <w:noProof/>
              <w:sz w:val="24"/>
              <w:szCs w:val="20"/>
            </w:rPr>
            <w:t xml:space="preserve"> Using the development o</w:t>
          </w:r>
          <w:r>
            <w:rPr>
              <w:rFonts w:ascii="Times New Roman" w:eastAsia="Times New Roman" w:hAnsi="Times New Roman"/>
              <w:noProof/>
              <w:sz w:val="24"/>
              <w:szCs w:val="20"/>
            </w:rPr>
            <w:t xml:space="preserve">f </w:t>
          </w:r>
          <w:r>
            <w:rPr>
              <w:rFonts w:ascii="Times New Roman" w:eastAsia="Times New Roman" w:hAnsi="Times New Roman"/>
              <w:i/>
              <w:noProof/>
              <w:sz w:val="24"/>
              <w:szCs w:val="20"/>
            </w:rPr>
            <w:t>WhatsApp</w:t>
          </w:r>
          <w:r>
            <w:rPr>
              <w:rFonts w:ascii="Times New Roman" w:eastAsia="Times New Roman" w:hAnsi="Times New Roman"/>
              <w:noProof/>
              <w:sz w:val="24"/>
              <w:szCs w:val="20"/>
            </w:rPr>
            <w:t xml:space="preserve"> messages as an indicator, the rise of OTT displays no significant effect on the development of revenue, costs and profits for fixed line calls (rather changes in technology and regulation seem to have fostered competition and driven down prices)</w:t>
          </w:r>
          <w:r>
            <w:rPr>
              <w:rFonts w:ascii="Times New Roman" w:eastAsia="Times New Roman" w:hAnsi="Times New Roman"/>
              <w:noProof/>
              <w:sz w:val="24"/>
              <w:szCs w:val="20"/>
            </w:rPr>
            <w:t>.</w:t>
          </w:r>
        </w:p>
        <w:p w:rsidR="0077224F" w:rsidRDefault="00D973EE">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In the mobile communications market, on the other hand, the rise of OTTs seems to have had a significant influence in reducing revenues and profits of ECS. Thus, while it is tempting to conclude that decreasing revenues and profits from mobile calls and </w:t>
          </w:r>
          <w:r>
            <w:rPr>
              <w:rFonts w:ascii="Times New Roman" w:eastAsia="Times New Roman" w:hAnsi="Times New Roman"/>
              <w:noProof/>
              <w:sz w:val="24"/>
              <w:szCs w:val="20"/>
            </w:rPr>
            <w:t xml:space="preserve">SMSs are solely driven by the rise of OTTs, some of the developments had already been foreshadowed by increases in competition through the rise of broadband internet and smartphones, triggering changes in consumer behaviour and ensuing updates in business </w:t>
          </w:r>
          <w:r>
            <w:rPr>
              <w:rFonts w:ascii="Times New Roman" w:eastAsia="Times New Roman" w:hAnsi="Times New Roman"/>
              <w:noProof/>
              <w:sz w:val="24"/>
              <w:szCs w:val="20"/>
            </w:rPr>
            <w:t>models (e.g. flat rate pricing).</w:t>
          </w:r>
          <w:r>
            <w:rPr>
              <w:rFonts w:ascii="Times New Roman" w:eastAsia="Times New Roman" w:hAnsi="Times New Roman"/>
              <w:noProof/>
              <w:sz w:val="24"/>
              <w:szCs w:val="20"/>
              <w:vertAlign w:val="superscript"/>
            </w:rPr>
            <w:footnoteReference w:id="83"/>
          </w:r>
          <w:r>
            <w:rPr>
              <w:rFonts w:ascii="Times New Roman" w:eastAsia="Times New Roman" w:hAnsi="Times New Roman"/>
              <w:noProof/>
              <w:sz w:val="24"/>
              <w:szCs w:val="20"/>
            </w:rPr>
            <w:t xml:space="preserve"> </w:t>
          </w:r>
        </w:p>
        <w:p w:rsidR="0077224F" w:rsidRDefault="00D973EE">
          <w:pPr>
            <w:spacing w:before="0" w:after="240"/>
            <w:rPr>
              <w:rFonts w:ascii="Times New Roman" w:eastAsia="Times New Roman" w:hAnsi="Times New Roman"/>
              <w:noProof/>
              <w:sz w:val="24"/>
              <w:szCs w:val="20"/>
            </w:rPr>
          </w:pPr>
          <w:r>
            <w:rPr>
              <w:rFonts w:ascii="Times New Roman" w:eastAsia="Times New Roman" w:hAnsi="Times New Roman"/>
              <w:noProof/>
              <w:sz w:val="24"/>
              <w:szCs w:val="20"/>
            </w:rPr>
            <w:t>Yet ECS so far compete in one ecosystem that is owned and operated by a large number of providers bound by standards of interoperability, serving an interconnected subgroup of end-users (i.e. services based on the E.164 n</w:t>
          </w:r>
          <w:r>
            <w:rPr>
              <w:rFonts w:ascii="Times New Roman" w:eastAsia="Times New Roman" w:hAnsi="Times New Roman"/>
              <w:noProof/>
              <w:sz w:val="24"/>
              <w:szCs w:val="20"/>
            </w:rPr>
            <w:t>umbering plan). OTT providers, on the other hand, compete between ecosystems and for subscribers using multiple similar services of competitors and without the need to follow standards of interoperability.</w:t>
          </w:r>
          <w:r>
            <w:rPr>
              <w:rFonts w:ascii="Times New Roman" w:eastAsia="Times New Roman" w:hAnsi="Times New Roman"/>
              <w:noProof/>
              <w:sz w:val="24"/>
              <w:szCs w:val="20"/>
              <w:vertAlign w:val="superscript"/>
            </w:rPr>
            <w:footnoteReference w:id="84"/>
          </w:r>
        </w:p>
        <w:p w:rsidR="0077224F" w:rsidRDefault="00D973EE">
          <w:pPr>
            <w:keepNext/>
            <w:numPr>
              <w:ilvl w:val="0"/>
              <w:numId w:val="97"/>
            </w:numPr>
            <w:pBdr>
              <w:bottom w:val="single" w:sz="6" w:space="1" w:color="C0504D" w:themeColor="accent2"/>
            </w:pBdr>
            <w:spacing w:before="300" w:after="240" w:line="360" w:lineRule="auto"/>
            <w:outlineLvl w:val="2"/>
            <w:rPr>
              <w:rFonts w:ascii="Times New Roman" w:eastAsia="Times New Roman" w:hAnsi="Times New Roman"/>
              <w:noProof/>
              <w:sz w:val="24"/>
              <w:szCs w:val="20"/>
            </w:rPr>
          </w:pPr>
          <w:bookmarkStart w:id="365" w:name="_Ref464578670"/>
          <w:bookmarkStart w:id="366" w:name="_Toc468453422"/>
          <w:bookmarkStart w:id="367" w:name="_Toc468455322"/>
          <w:bookmarkStart w:id="368" w:name="_Toc468790039"/>
          <w:bookmarkStart w:id="369" w:name="_Toc468794871"/>
          <w:bookmarkStart w:id="370" w:name="_Toc468795179"/>
          <w:r>
            <w:rPr>
              <w:rFonts w:ascii="Times New Roman" w:eastAsia="Times New Roman" w:hAnsi="Times New Roman"/>
              <w:noProof/>
              <w:sz w:val="24"/>
              <w:szCs w:val="20"/>
            </w:rPr>
            <w:t>The EU and US advertising markets</w:t>
          </w:r>
          <w:bookmarkEnd w:id="365"/>
          <w:bookmarkEnd w:id="366"/>
          <w:bookmarkEnd w:id="367"/>
          <w:bookmarkEnd w:id="368"/>
          <w:bookmarkEnd w:id="369"/>
          <w:bookmarkEnd w:id="370"/>
        </w:p>
        <w:p w:rsidR="0077224F" w:rsidRDefault="00D973EE">
          <w:pPr>
            <w:spacing w:before="0" w:after="0"/>
            <w:rPr>
              <w:rFonts w:ascii="Times New Roman" w:eastAsia="Calibri" w:hAnsi="Times New Roman"/>
              <w:noProof/>
              <w:sz w:val="24"/>
              <w:lang w:eastAsia="en-GB"/>
            </w:rPr>
          </w:pPr>
          <w:r>
            <w:rPr>
              <w:rFonts w:ascii="Times New Roman" w:eastAsia="Times New Roman" w:hAnsi="Times New Roman"/>
              <w:noProof/>
              <w:sz w:val="24"/>
              <w:szCs w:val="20"/>
            </w:rPr>
            <w:t>In this section, we present some information on the EU and US advertising markets. The two markets differ with regard to the presence of regulation: In the U.S. case, there are no strict laws explicitly aimed at Online Behavioural Advertisement (OBA) and t</w:t>
          </w:r>
          <w:r>
            <w:rPr>
              <w:rFonts w:ascii="Times New Roman" w:eastAsia="Times New Roman" w:hAnsi="Times New Roman"/>
              <w:noProof/>
              <w:sz w:val="24"/>
              <w:szCs w:val="20"/>
            </w:rPr>
            <w:t>ransparency towards users. In the European Union, several laws and regulations apply to the OBA industry. The ePD has an indirect link to both markets through its provisions concerning the tracking of consumers and their online behaviour by means of cookie</w:t>
          </w:r>
          <w:r>
            <w:rPr>
              <w:rFonts w:ascii="Times New Roman" w:eastAsia="Times New Roman" w:hAnsi="Times New Roman"/>
              <w:noProof/>
              <w:sz w:val="24"/>
              <w:szCs w:val="20"/>
            </w:rPr>
            <w:t>s on websites (e.g. for the purpose of targeted online advertising), as well as – subsequently – sending consumers commercial communications containing marketing material. The purpose of the section is to give the reader a high-level overview of the releva</w:t>
          </w:r>
          <w:r>
            <w:rPr>
              <w:rFonts w:ascii="Times New Roman" w:eastAsia="Times New Roman" w:hAnsi="Times New Roman"/>
              <w:noProof/>
              <w:sz w:val="24"/>
              <w:szCs w:val="20"/>
            </w:rPr>
            <w:t xml:space="preserve">nce of online tracking and targeted advertisement for the sector and the size of both markets. Article 5(3) of the ePD affects the advertisement market via its rules on cookies. </w:t>
          </w:r>
        </w:p>
        <w:p w:rsidR="0077224F" w:rsidRDefault="0077224F">
          <w:pPr>
            <w:spacing w:before="0" w:line="240" w:lineRule="atLeast"/>
            <w:ind w:right="-29"/>
            <w:rPr>
              <w:rFonts w:ascii="Times New Roman" w:eastAsia="Times New Roman" w:hAnsi="Times New Roman"/>
              <w:noProof/>
              <w:sz w:val="24"/>
              <w:lang w:eastAsia="en-GB"/>
            </w:rPr>
          </w:pPr>
        </w:p>
        <w:p w:rsidR="0077224F" w:rsidRDefault="00D973EE">
          <w:pPr>
            <w:spacing w:before="0" w:after="0"/>
            <w:jc w:val="left"/>
            <w:rPr>
              <w:rFonts w:ascii="Times New Roman" w:eastAsia="Times New Roman" w:hAnsi="Times New Roman"/>
              <w:b/>
              <w:bCs/>
              <w:smallCaps/>
              <w:noProof/>
              <w:sz w:val="28"/>
            </w:rPr>
          </w:pPr>
          <w:bookmarkStart w:id="371" w:name="_Toc433571026"/>
          <w:bookmarkStart w:id="372" w:name="_Toc450056799"/>
          <w:bookmarkStart w:id="373" w:name="_Toc468455323"/>
          <w:r>
            <w:rPr>
              <w:rFonts w:ascii="Times New Roman" w:eastAsia="Times New Roman" w:hAnsi="Times New Roman"/>
              <w:noProof/>
              <w:sz w:val="24"/>
              <w:szCs w:val="20"/>
            </w:rPr>
            <w:br w:type="page"/>
          </w:r>
        </w:p>
        <w:p w:rsidR="0077224F" w:rsidRDefault="00D973EE">
          <w:pPr>
            <w:pStyle w:val="ManualHeading1"/>
            <w:pBdr>
              <w:top w:val="single" w:sz="4" w:space="0" w:color="auto"/>
            </w:pBdr>
          </w:pPr>
          <w:bookmarkStart w:id="374" w:name="_Toc468795180"/>
          <w:r>
            <w:t xml:space="preserve">Annex 5: </w:t>
          </w:r>
          <w:bookmarkEnd w:id="371"/>
          <w:bookmarkEnd w:id="372"/>
          <w:r>
            <w:t>Basics of the online advertising market (technical and economic)</w:t>
          </w:r>
          <w:bookmarkEnd w:id="373"/>
          <w:bookmarkEnd w:id="374"/>
        </w:p>
        <w:p w:rsidR="0077224F" w:rsidRDefault="00D973EE">
          <w:pPr>
            <w:keepNext/>
            <w:tabs>
              <w:tab w:val="left" w:pos="850"/>
            </w:tabs>
            <w:ind w:left="850" w:hanging="850"/>
            <w:outlineLvl w:val="1"/>
            <w:rPr>
              <w:rFonts w:ascii="Times New Roman" w:eastAsia="Times New Roman" w:hAnsi="Times New Roman"/>
              <w:b/>
              <w:noProof/>
              <w:sz w:val="24"/>
              <w:lang w:eastAsia="en-GB"/>
            </w:rPr>
          </w:pPr>
          <w:bookmarkStart w:id="375" w:name="_Toc460923280"/>
          <w:bookmarkStart w:id="376" w:name="_Toc460927083"/>
          <w:bookmarkStart w:id="377" w:name="_Toc460927885"/>
          <w:bookmarkStart w:id="378" w:name="_Toc468453424"/>
          <w:bookmarkStart w:id="379" w:name="_Toc468455324"/>
          <w:bookmarkStart w:id="380" w:name="_Toc468790041"/>
          <w:bookmarkStart w:id="381" w:name="_Toc468794873"/>
          <w:bookmarkStart w:id="382" w:name="_Toc468795181"/>
          <w:r>
            <w:rPr>
              <w:rFonts w:ascii="Times New Roman" w:eastAsia="Times New Roman" w:hAnsi="Times New Roman"/>
              <w:b/>
              <w:noProof/>
              <w:sz w:val="24"/>
              <w:lang w:eastAsia="en-GB"/>
            </w:rPr>
            <w:t>5.1. Snapshot of behavioural advertising practices with an impact on individual’s privacy</w:t>
          </w:r>
          <w:r>
            <w:rPr>
              <w:rFonts w:ascii="Times New Roman" w:eastAsia="Times New Roman" w:hAnsi="Times New Roman"/>
              <w:noProof/>
              <w:sz w:val="24"/>
              <w:vertAlign w:val="superscript"/>
              <w:lang w:eastAsia="en-GB"/>
            </w:rPr>
            <w:footnoteReference w:id="85"/>
          </w:r>
          <w:bookmarkEnd w:id="375"/>
          <w:bookmarkEnd w:id="376"/>
          <w:bookmarkEnd w:id="377"/>
          <w:bookmarkEnd w:id="378"/>
          <w:bookmarkEnd w:id="379"/>
          <w:bookmarkEnd w:id="380"/>
          <w:bookmarkEnd w:id="381"/>
          <w:bookmarkEnd w:id="382"/>
        </w:p>
        <w:p w:rsidR="0077224F" w:rsidRDefault="00D973EE">
          <w:pPr>
            <w:spacing w:before="0"/>
            <w:rPr>
              <w:rFonts w:ascii="Times New Roman" w:eastAsia="Times New Roman" w:hAnsi="Times New Roman"/>
              <w:b/>
              <w:noProof/>
              <w:sz w:val="24"/>
            </w:rPr>
          </w:pPr>
          <w:r>
            <w:rPr>
              <w:rFonts w:ascii="Times New Roman" w:eastAsia="Times New Roman" w:hAnsi="Times New Roman"/>
              <w:b/>
              <w:noProof/>
              <w:sz w:val="24"/>
            </w:rPr>
            <w:t xml:space="preserve">What is behavioural advertisement? </w:t>
          </w:r>
          <w:r>
            <w:rPr>
              <w:rFonts w:ascii="Times New Roman" w:eastAsia="Times New Roman" w:hAnsi="Times New Roman"/>
              <w:noProof/>
              <w:sz w:val="24"/>
            </w:rPr>
            <w:t>A number of technologies and techniques exist to observe the website browsing behaviour of individuals over time (</w:t>
          </w:r>
          <w:r>
            <w:rPr>
              <w:rFonts w:ascii="Times New Roman" w:eastAsia="Times New Roman" w:hAnsi="Times New Roman"/>
              <w:noProof/>
              <w:sz w:val="24"/>
              <w:lang w:val="en"/>
            </w:rPr>
            <w:t xml:space="preserve">e.g., the pages </w:t>
          </w:r>
          <w:r>
            <w:rPr>
              <w:rFonts w:ascii="Times New Roman" w:eastAsia="Times New Roman" w:hAnsi="Times New Roman"/>
              <w:noProof/>
              <w:sz w:val="24"/>
              <w:lang w:val="en"/>
            </w:rPr>
            <w:t>that they have visited or searched)</w:t>
          </w:r>
          <w:r>
            <w:rPr>
              <w:rFonts w:ascii="Times New Roman" w:eastAsia="Times New Roman" w:hAnsi="Times New Roman"/>
              <w:noProof/>
              <w:sz w:val="24"/>
            </w:rPr>
            <w:t xml:space="preserve">. From this observation, a profile is made of each user (e.g. male v female, age, interests, likes and dislikes, wealth), which is used to show him/her advertisement that match this profile. This type of advertisement is </w:t>
          </w:r>
          <w:r>
            <w:rPr>
              <w:rFonts w:ascii="Times New Roman" w:eastAsia="Times New Roman" w:hAnsi="Times New Roman"/>
              <w:noProof/>
              <w:sz w:val="24"/>
            </w:rPr>
            <w:t xml:space="preserve">often called ‘behavioural advertisement’ or targeted advertisement. </w:t>
          </w:r>
        </w:p>
        <w:p w:rsidR="0077224F" w:rsidRDefault="00D973EE">
          <w:pPr>
            <w:spacing w:before="0"/>
            <w:rPr>
              <w:rFonts w:ascii="Times New Roman" w:eastAsia="Times New Roman" w:hAnsi="Times New Roman"/>
              <w:noProof/>
              <w:sz w:val="24"/>
            </w:rPr>
          </w:pPr>
          <w:r>
            <w:rPr>
              <w:rFonts w:ascii="Times New Roman" w:eastAsia="Times New Roman" w:hAnsi="Times New Roman"/>
              <w:noProof/>
              <w:sz w:val="24"/>
            </w:rPr>
            <w:t>To be able to build profiles and send targeted advertisement, it is necessary to identify individuals when they move from a website to another. There are a number of technologies and tech</w:t>
          </w:r>
          <w:r>
            <w:rPr>
              <w:rFonts w:ascii="Times New Roman" w:eastAsia="Times New Roman" w:hAnsi="Times New Roman"/>
              <w:noProof/>
              <w:sz w:val="24"/>
            </w:rPr>
            <w:t>niques available. The use of cookies is the most widespread. A cookie is a small file sent from a website and stored in the users’ web browser while he or she is browsing the Internet. However, other techniques are increasingly being used, such as for exam</w:t>
          </w:r>
          <w:r>
            <w:rPr>
              <w:rFonts w:ascii="Times New Roman" w:eastAsia="Times New Roman" w:hAnsi="Times New Roman"/>
              <w:noProof/>
              <w:sz w:val="24"/>
            </w:rPr>
            <w:t xml:space="preserve">ple, browser fingerprinting. </w:t>
          </w:r>
        </w:p>
        <w:p w:rsidR="0077224F" w:rsidRDefault="00D973EE">
          <w:pPr>
            <w:spacing w:before="0"/>
            <w:rPr>
              <w:rFonts w:ascii="Times New Roman" w:eastAsia="Times New Roman" w:hAnsi="Times New Roman"/>
              <w:noProof/>
              <w:sz w:val="24"/>
            </w:rPr>
          </w:pPr>
          <w:r>
            <w:rPr>
              <w:rFonts w:ascii="Times New Roman" w:eastAsia="Times New Roman" w:hAnsi="Times New Roman"/>
              <w:b/>
              <w:noProof/>
              <w:sz w:val="24"/>
            </w:rPr>
            <w:t>Companies and players involved</w:t>
          </w:r>
          <w:r>
            <w:rPr>
              <w:rFonts w:ascii="Times New Roman" w:eastAsia="Times New Roman" w:hAnsi="Times New Roman"/>
              <w:noProof/>
              <w:sz w:val="24"/>
            </w:rPr>
            <w:t xml:space="preserve">. Many companies/players are involved in delivering behavioural advertising, including: (a) </w:t>
          </w:r>
          <w:r>
            <w:rPr>
              <w:rFonts w:ascii="Times New Roman" w:eastAsia="Times New Roman" w:hAnsi="Times New Roman"/>
              <w:i/>
              <w:noProof/>
              <w:sz w:val="24"/>
            </w:rPr>
            <w:t>Publishers</w:t>
          </w:r>
          <w:r>
            <w:rPr>
              <w:rFonts w:ascii="Times New Roman" w:eastAsia="Times New Roman" w:hAnsi="Times New Roman"/>
              <w:noProof/>
              <w:sz w:val="24"/>
            </w:rPr>
            <w:t>: are the website owners looking for revenues by selling space to display ads on their website</w:t>
          </w:r>
          <w:r>
            <w:rPr>
              <w:rFonts w:ascii="Times New Roman" w:eastAsia="Times New Roman" w:hAnsi="Times New Roman"/>
              <w:noProof/>
              <w:sz w:val="24"/>
            </w:rPr>
            <w:t xml:space="preserve"> (e.g. an online newspaper)</w:t>
          </w:r>
          <w:r>
            <w:rPr>
              <w:rFonts w:ascii="Times New Roman" w:eastAsia="Times New Roman" w:hAnsi="Times New Roman"/>
              <w:i/>
              <w:noProof/>
              <w:sz w:val="24"/>
            </w:rPr>
            <w:t xml:space="preserve">; </w:t>
          </w:r>
          <w:r>
            <w:rPr>
              <w:rFonts w:ascii="Times New Roman" w:eastAsia="Times New Roman" w:hAnsi="Times New Roman"/>
              <w:noProof/>
              <w:sz w:val="24"/>
            </w:rPr>
            <w:t xml:space="preserve">(b) </w:t>
          </w:r>
          <w:r>
            <w:rPr>
              <w:rFonts w:ascii="Times New Roman" w:eastAsia="Times New Roman" w:hAnsi="Times New Roman"/>
              <w:i/>
              <w:noProof/>
              <w:sz w:val="24"/>
            </w:rPr>
            <w:t>Advertisers</w:t>
          </w:r>
          <w:r>
            <w:rPr>
              <w:rFonts w:ascii="Times New Roman" w:eastAsia="Times New Roman" w:hAnsi="Times New Roman"/>
              <w:noProof/>
              <w:sz w:val="24"/>
            </w:rPr>
            <w:t xml:space="preserve"> who want to promote a product or service to a specific audience (company X producer of shoes) and </w:t>
          </w:r>
          <w:r>
            <w:rPr>
              <w:rFonts w:ascii="Times New Roman" w:eastAsia="Times New Roman" w:hAnsi="Times New Roman"/>
              <w:i/>
              <w:noProof/>
              <w:sz w:val="24"/>
            </w:rPr>
            <w:t>(c) Advertising networks providers (also referred to as "ad network providers" and “ad exchanges”)</w:t>
          </w:r>
          <w:r>
            <w:rPr>
              <w:rFonts w:ascii="Times New Roman" w:eastAsia="Times New Roman" w:hAnsi="Times New Roman"/>
              <w:noProof/>
              <w:sz w:val="24"/>
            </w:rPr>
            <w:t>, they are tech</w:t>
          </w:r>
          <w:r>
            <w:rPr>
              <w:rFonts w:ascii="Times New Roman" w:eastAsia="Times New Roman" w:hAnsi="Times New Roman"/>
              <w:noProof/>
              <w:sz w:val="24"/>
            </w:rPr>
            <w:t>nology companies which connect publishers with advertisers. They place advertisements in publishers websites (they decide that a given add will be shown in a given website). Ad networks are becoming ad exchangers and increasingly act as real time marketpla</w:t>
          </w:r>
          <w:r>
            <w:rPr>
              <w:rFonts w:ascii="Times New Roman" w:eastAsia="Times New Roman" w:hAnsi="Times New Roman"/>
              <w:noProof/>
              <w:sz w:val="24"/>
            </w:rPr>
            <w:t xml:space="preserve">ces for the purchase and the sale of advertising space.  In addition, companies that conduct market analysis of users’ data are also active in this space. </w:t>
          </w:r>
        </w:p>
        <w:p w:rsidR="0077224F" w:rsidRDefault="00D973EE">
          <w:pPr>
            <w:spacing w:before="0"/>
            <w:rPr>
              <w:rFonts w:ascii="Times New Roman" w:eastAsia="Times New Roman" w:hAnsi="Times New Roman"/>
              <w:noProof/>
              <w:sz w:val="24"/>
            </w:rPr>
          </w:pPr>
          <w:r>
            <w:rPr>
              <w:rFonts w:ascii="Times New Roman" w:eastAsia="Times New Roman" w:hAnsi="Times New Roman"/>
              <w:b/>
              <w:noProof/>
              <w:sz w:val="24"/>
            </w:rPr>
            <w:t xml:space="preserve">How does it work?  </w:t>
          </w:r>
          <w:r>
            <w:rPr>
              <w:rFonts w:ascii="Times New Roman" w:eastAsia="Times New Roman" w:hAnsi="Times New Roman"/>
              <w:noProof/>
              <w:sz w:val="24"/>
            </w:rPr>
            <w:t>The following is based on the use of cookies as tracking technology</w:t>
          </w:r>
          <w:r>
            <w:rPr>
              <w:rFonts w:ascii="Times New Roman" w:eastAsia="Times New Roman" w:hAnsi="Times New Roman"/>
              <w:b/>
              <w:noProof/>
              <w:sz w:val="24"/>
            </w:rPr>
            <w:t xml:space="preserve">. </w:t>
          </w:r>
          <w:r>
            <w:rPr>
              <w:rFonts w:ascii="Times New Roman" w:eastAsia="Times New Roman" w:hAnsi="Times New Roman"/>
              <w:noProof/>
              <w:sz w:val="24"/>
            </w:rPr>
            <w:t>A publisher reserves space on its website to display an ad. The ad network provider places a tracking cookie on the data subject's' browser, when he/she first accesses a website serving an ad of its network. The cookie will enable the ad network provider t</w:t>
          </w:r>
          <w:r>
            <w:rPr>
              <w:rFonts w:ascii="Times New Roman" w:eastAsia="Times New Roman" w:hAnsi="Times New Roman"/>
              <w:noProof/>
              <w:sz w:val="24"/>
            </w:rPr>
            <w:t>o recognise a former visitor who returns to that website or visits any other website that is a partner of the advertising network. Such repeated visits will enable the ad network provider to build a profile of the visitor which will be used to deliver pers</w:t>
          </w:r>
          <w:r>
            <w:rPr>
              <w:rFonts w:ascii="Times New Roman" w:eastAsia="Times New Roman" w:hAnsi="Times New Roman"/>
              <w:noProof/>
              <w:sz w:val="24"/>
            </w:rPr>
            <w:t xml:space="preserve">onalised advertising. Because these tracking cookies are placed by a third party that is distinct from the web server that displays the main content of the webpage (i.e. the publisher) they are often referred to as "third party cookies”. </w:t>
          </w:r>
        </w:p>
        <w:p w:rsidR="0077224F" w:rsidRDefault="00D973EE">
          <w:pPr>
            <w:spacing w:before="0"/>
            <w:rPr>
              <w:rFonts w:ascii="Times New Roman" w:eastAsia="Times New Roman" w:hAnsi="Times New Roman"/>
              <w:noProof/>
              <w:sz w:val="24"/>
            </w:rPr>
          </w:pPr>
          <w:r>
            <w:rPr>
              <w:rFonts w:ascii="Times New Roman" w:eastAsia="Times New Roman" w:hAnsi="Times New Roman"/>
              <w:noProof/>
              <w:sz w:val="24"/>
            </w:rPr>
            <w:t>The larger the ad</w:t>
          </w:r>
          <w:r>
            <w:rPr>
              <w:rFonts w:ascii="Times New Roman" w:eastAsia="Times New Roman" w:hAnsi="Times New Roman"/>
              <w:noProof/>
              <w:sz w:val="24"/>
            </w:rPr>
            <w:t xml:space="preserve">vertising network, the more resources it has to monitor users and "track" their behaviour. </w:t>
          </w:r>
        </w:p>
        <w:p w:rsidR="0077224F" w:rsidRDefault="00D973EE">
          <w:pPr>
            <w:autoSpaceDE w:val="0"/>
            <w:autoSpaceDN w:val="0"/>
            <w:spacing w:before="0"/>
            <w:rPr>
              <w:rFonts w:ascii="Times New Roman" w:eastAsia="Times New Roman" w:hAnsi="Times New Roman"/>
              <w:noProof/>
              <w:sz w:val="24"/>
            </w:rPr>
          </w:pPr>
          <w:r>
            <w:rPr>
              <w:rFonts w:ascii="Times New Roman" w:eastAsia="Times New Roman" w:hAnsi="Times New Roman"/>
              <w:b/>
              <w:noProof/>
              <w:sz w:val="24"/>
            </w:rPr>
            <w:t>What are the economic implications?</w:t>
          </w:r>
          <w:r>
            <w:rPr>
              <w:rFonts w:ascii="Times New Roman" w:eastAsia="Times New Roman" w:hAnsi="Times New Roman"/>
              <w:noProof/>
              <w:sz w:val="24"/>
            </w:rPr>
            <w:t xml:space="preserve"> Online advertising in general and more specifically behavioural advertising is a driver of the digital economy that promotes bus</w:t>
          </w:r>
          <w:r>
            <w:rPr>
              <w:rFonts w:ascii="Times New Roman" w:eastAsia="Times New Roman" w:hAnsi="Times New Roman"/>
              <w:noProof/>
              <w:sz w:val="24"/>
            </w:rPr>
            <w:t xml:space="preserve">iness and economic growth. The most important players are Google (DoubleClick) and Facebook. According to newspapers report, in the second quarter of 2016 the two companies together made </w:t>
          </w:r>
          <w:r>
            <w:rPr>
              <w:rFonts w:ascii="Times New Roman" w:eastAsia="Times New Roman" w:hAnsi="Times New Roman"/>
              <w:noProof/>
              <w:sz w:val="24"/>
              <w:lang w:val="en"/>
            </w:rPr>
            <w:t>$13.1 billion profits</w:t>
          </w:r>
          <w:r>
            <w:rPr>
              <w:rFonts w:ascii="Times New Roman" w:eastAsia="Times New Roman" w:hAnsi="Times New Roman"/>
              <w:noProof/>
              <w:sz w:val="24"/>
              <w:vertAlign w:val="superscript"/>
              <w:lang w:val="en"/>
            </w:rPr>
            <w:footnoteReference w:id="86"/>
          </w:r>
          <w:r>
            <w:rPr>
              <w:rFonts w:ascii="Times New Roman" w:eastAsia="Times New Roman" w:hAnsi="Times New Roman"/>
              <w:noProof/>
              <w:sz w:val="24"/>
              <w:lang w:val="en"/>
            </w:rPr>
            <w:t>. However, many more companies are active in th</w:t>
          </w:r>
          <w:r>
            <w:rPr>
              <w:rFonts w:ascii="Times New Roman" w:eastAsia="Times New Roman" w:hAnsi="Times New Roman"/>
              <w:noProof/>
              <w:sz w:val="24"/>
              <w:lang w:val="en"/>
            </w:rPr>
            <w:t xml:space="preserve">e ad ecosystem. For example, according to </w:t>
          </w:r>
          <w:r>
            <w:rPr>
              <w:rFonts w:ascii="Times New Roman" w:eastAsia="Times New Roman" w:hAnsi="Times New Roman"/>
              <w:b/>
              <w:bCs/>
              <w:noProof/>
              <w:sz w:val="24"/>
              <w:lang w:val="en-US"/>
            </w:rPr>
            <w:t xml:space="preserve">HIS/ IAB Europe report, publishers </w:t>
          </w:r>
          <w:r>
            <w:rPr>
              <w:rFonts w:ascii="Times New Roman" w:eastAsia="Times New Roman" w:hAnsi="Times New Roman"/>
              <w:noProof/>
              <w:sz w:val="24"/>
            </w:rPr>
            <w:t xml:space="preserve">active in Europe generated revenues of €30.7 billion from online advertising (this is not exclusively behavioural advertisement as it may include other contextual advertisement), </w:t>
          </w:r>
          <w:r>
            <w:rPr>
              <w:rFonts w:ascii="Times New Roman" w:eastAsia="Times New Roman" w:hAnsi="Times New Roman"/>
              <w:noProof/>
              <w:sz w:val="24"/>
            </w:rPr>
            <w:t xml:space="preserve">this represents 30.4% of all advertising revenue. The same report estimates that 0.9 million European jobs (or 0.4% of the EU-28 total) are directly supported by online advertising. </w:t>
          </w:r>
        </w:p>
        <w:p w:rsidR="0077224F" w:rsidRDefault="0077224F">
          <w:pPr>
            <w:spacing w:before="0"/>
            <w:rPr>
              <w:rFonts w:ascii="Times New Roman" w:eastAsia="Times New Roman" w:hAnsi="Times New Roman"/>
              <w:noProof/>
              <w:sz w:val="24"/>
            </w:rPr>
          </w:pPr>
        </w:p>
        <w:p w:rsidR="0077224F" w:rsidRDefault="0077224F">
          <w:pPr>
            <w:spacing w:before="0"/>
            <w:rPr>
              <w:rFonts w:ascii="Times New Roman" w:eastAsia="Times New Roman" w:hAnsi="Times New Roman"/>
              <w:noProof/>
              <w:sz w:val="24"/>
            </w:rPr>
          </w:pPr>
        </w:p>
        <w:p w:rsidR="0077224F" w:rsidRDefault="0077224F">
          <w:pPr>
            <w:spacing w:before="0"/>
            <w:rPr>
              <w:rFonts w:ascii="Times New Roman" w:eastAsia="Times New Roman" w:hAnsi="Times New Roman"/>
              <w:noProof/>
              <w:sz w:val="24"/>
            </w:rPr>
          </w:pPr>
        </w:p>
        <w:p w:rsidR="0077224F" w:rsidRDefault="0077224F">
          <w:pPr>
            <w:spacing w:before="0"/>
            <w:rPr>
              <w:rFonts w:ascii="Times New Roman" w:eastAsia="Times New Roman" w:hAnsi="Times New Roman"/>
              <w:noProof/>
              <w:sz w:val="24"/>
            </w:rPr>
          </w:pPr>
        </w:p>
        <w:p w:rsidR="0077224F" w:rsidRDefault="00D973EE">
          <w:pPr>
            <w:spacing w:before="0" w:after="0"/>
            <w:jc w:val="left"/>
            <w:rPr>
              <w:rFonts w:ascii="Times New Roman" w:eastAsia="Times New Roman" w:hAnsi="Times New Roman"/>
              <w:b/>
              <w:bCs/>
              <w:smallCaps/>
              <w:noProof/>
              <w:sz w:val="28"/>
            </w:rPr>
          </w:pPr>
          <w:bookmarkStart w:id="383" w:name="_Toc468455325"/>
          <w:r>
            <w:rPr>
              <w:rFonts w:ascii="Times New Roman" w:eastAsia="Times New Roman" w:hAnsi="Times New Roman"/>
              <w:noProof/>
              <w:sz w:val="24"/>
              <w:szCs w:val="20"/>
            </w:rPr>
            <w:br w:type="page"/>
          </w:r>
        </w:p>
        <w:p w:rsidR="0077224F" w:rsidRDefault="00D973EE">
          <w:pPr>
            <w:pStyle w:val="ManualHeading1"/>
            <w:pBdr>
              <w:top w:val="single" w:sz="4" w:space="0" w:color="auto"/>
            </w:pBdr>
          </w:pPr>
          <w:bookmarkStart w:id="384" w:name="_Toc468795182"/>
          <w:r>
            <w:t xml:space="preserve">Annex 6: DRAFT DG-JRC Contribution to the revision of the ePrivacy </w:t>
          </w:r>
          <w:r>
            <w:t>Directive</w:t>
          </w:r>
          <w:bookmarkEnd w:id="383"/>
          <w:bookmarkEnd w:id="384"/>
        </w:p>
        <w:p w:rsidR="0077224F" w:rsidRDefault="0077224F">
          <w:pPr>
            <w:spacing w:before="0" w:after="240"/>
            <w:ind w:left="482"/>
            <w:rPr>
              <w:rFonts w:ascii="Times New Roman" w:eastAsia="Times New Roman" w:hAnsi="Times New Roman"/>
              <w:noProof/>
              <w:sz w:val="24"/>
              <w:szCs w:val="20"/>
            </w:rPr>
          </w:pPr>
        </w:p>
        <w:p w:rsidR="0077224F" w:rsidRDefault="0077224F">
          <w:pPr>
            <w:rPr>
              <w:rFonts w:ascii="Times New Roman" w:hAnsi="Times New Roman"/>
              <w:noProof/>
              <w:sz w:val="24"/>
            </w:rPr>
          </w:pPr>
        </w:p>
        <w:p w:rsidR="0077224F" w:rsidRDefault="0077224F">
          <w:pPr>
            <w:rPr>
              <w:rFonts w:ascii="Times New Roman" w:hAnsi="Times New Roman"/>
              <w:noProof/>
              <w:sz w:val="24"/>
            </w:rPr>
          </w:pPr>
        </w:p>
        <w:p w:rsidR="0077224F" w:rsidRDefault="0077224F">
          <w:pPr>
            <w:rPr>
              <w:rFonts w:ascii="Times New Roman" w:hAnsi="Times New Roman"/>
              <w:noProof/>
              <w:sz w:val="24"/>
            </w:rPr>
          </w:pPr>
        </w:p>
        <w:p w:rsidR="0077224F" w:rsidRDefault="0077224F">
          <w:pPr>
            <w:rPr>
              <w:rFonts w:ascii="Times New Roman" w:hAnsi="Times New Roman"/>
              <w:noProof/>
              <w:sz w:val="24"/>
            </w:rPr>
          </w:pPr>
        </w:p>
        <w:p w:rsidR="0077224F" w:rsidRDefault="00D973EE">
          <w:pPr>
            <w:spacing w:before="0" w:after="0"/>
            <w:jc w:val="left"/>
            <w:rPr>
              <w:noProof/>
              <w:sz w:val="56"/>
              <w:szCs w:val="56"/>
            </w:rPr>
          </w:pPr>
          <w:r>
            <w:rPr>
              <w:rFonts w:ascii="Times New Roman" w:hAnsi="Times New Roman"/>
              <w:noProof/>
              <w:sz w:val="24"/>
            </w:rPr>
            <w:br w:type="page"/>
          </w:r>
        </w:p>
      </w:sdtContent>
    </w:sdt>
    <w:p w:rsidR="0077224F" w:rsidRDefault="00D973EE">
      <w:pPr>
        <w:rPr>
          <w:rFonts w:ascii="PFSquareSansPro-Regular" w:hAnsi="PFSquareSansPro-Regular"/>
          <w:noProof/>
          <w:sz w:val="16"/>
          <w:szCs w:val="16"/>
        </w:rPr>
        <w:sectPr w:rsidR="0077224F">
          <w:headerReference w:type="even" r:id="rId27"/>
          <w:headerReference w:type="default" r:id="rId28"/>
          <w:footerReference w:type="even" r:id="rId29"/>
          <w:footerReference w:type="default" r:id="rId30"/>
          <w:headerReference w:type="first" r:id="rId31"/>
          <w:footerReference w:type="first" r:id="rId32"/>
          <w:pgSz w:w="11900" w:h="16840"/>
          <w:pgMar w:top="1021" w:right="1701" w:bottom="1021" w:left="1588" w:header="709" w:footer="709" w:gutter="0"/>
          <w:cols w:space="708"/>
          <w:titlePg/>
          <w:docGrid w:linePitch="360"/>
        </w:sectPr>
      </w:pPr>
      <w:r>
        <w:rPr>
          <w:rFonts w:ascii="PFSquareSansPro-Regular" w:hAnsi="PFSquareSansPro-Regular"/>
          <w:noProof/>
          <w:sz w:val="16"/>
          <w:szCs w:val="16"/>
          <w:lang w:eastAsia="zh-CN"/>
        </w:rPr>
        <w:drawing>
          <wp:anchor distT="0" distB="0" distL="114300" distR="114300" simplePos="0" relativeHeight="251744768" behindDoc="0" locked="0" layoutInCell="1" allowOverlap="1" wp14:anchorId="11BE3835" wp14:editId="497F0D70">
            <wp:simplePos x="0" y="0"/>
            <wp:positionH relativeFrom="column">
              <wp:posOffset>-1056005</wp:posOffset>
            </wp:positionH>
            <wp:positionV relativeFrom="paragraph">
              <wp:posOffset>-992505</wp:posOffset>
            </wp:positionV>
            <wp:extent cx="7591425" cy="251460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NAME:Reports:Cover_A4_Report:Banner_title_science_FOR_2.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759142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FSquareSansPro-Regular" w:hAnsi="PFSquareSansPro-Regular"/>
          <w:noProof/>
          <w:sz w:val="16"/>
          <w:szCs w:val="16"/>
          <w:lang w:eastAsia="zh-CN"/>
        </w:rPr>
        <w:drawing>
          <wp:anchor distT="0" distB="0" distL="114300" distR="114300" simplePos="0" relativeHeight="251752960" behindDoc="1" locked="0" layoutInCell="1" allowOverlap="1" wp14:anchorId="2A3366C4" wp14:editId="10FA4852">
            <wp:simplePos x="0" y="0"/>
            <wp:positionH relativeFrom="column">
              <wp:posOffset>-226695</wp:posOffset>
            </wp:positionH>
            <wp:positionV relativeFrom="paragraph">
              <wp:posOffset>6576774</wp:posOffset>
            </wp:positionV>
            <wp:extent cx="7591425" cy="3805729"/>
            <wp:effectExtent l="0" t="0" r="0" b="4445"/>
            <wp:wrapNone/>
            <wp:docPr id="4" name="Picture 4" descr="S:\templates\j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mplates\jrc_log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91425" cy="380572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FSquareSansPro-Regular" w:hAnsi="PFSquareSansPro-Regular"/>
          <w:noProof/>
          <w:sz w:val="16"/>
          <w:szCs w:val="16"/>
        </w:rPr>
        <w:t xml:space="preserve"> </w:t>
      </w:r>
      <w:r>
        <w:rPr>
          <w:rFonts w:ascii="PFSquareSansPro-Regular" w:hAnsi="PFSquareSansPro-Regular"/>
          <w:noProof/>
          <w:sz w:val="16"/>
          <w:szCs w:val="16"/>
          <w:lang w:eastAsia="zh-CN"/>
        </w:rPr>
        <mc:AlternateContent>
          <mc:Choice Requires="wps">
            <w:drawing>
              <wp:anchor distT="0" distB="0" distL="114300" distR="114300" simplePos="0" relativeHeight="251709952" behindDoc="0" locked="1" layoutInCell="1" allowOverlap="1" wp14:anchorId="6CB52078" wp14:editId="7BAB7BA6">
                <wp:simplePos x="0" y="0"/>
                <wp:positionH relativeFrom="page">
                  <wp:posOffset>6067425</wp:posOffset>
                </wp:positionH>
                <wp:positionV relativeFrom="page">
                  <wp:posOffset>1419225</wp:posOffset>
                </wp:positionV>
                <wp:extent cx="1259840" cy="323850"/>
                <wp:effectExtent l="0" t="0" r="1651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840" cy="323850"/>
                        </a:xfrm>
                        <a:prstGeom prst="rect">
                          <a:avLst/>
                        </a:prstGeom>
                        <a:noFill/>
                        <a:ln>
                          <a:noFill/>
                        </a:ln>
                        <a:effectLst/>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7224F" w:rsidRDefault="0077224F">
                            <w:pPr>
                              <w:widowControl w:val="0"/>
                              <w:spacing w:line="200" w:lineRule="exact"/>
                              <w:contextualSpacing/>
                              <w:jc w:val="right"/>
                              <w:rPr>
                                <w:sz w:val="16"/>
                                <w:szCs w:val="16"/>
                              </w:rPr>
                            </w:pPr>
                          </w:p>
                          <w:p w:rsidR="0077224F" w:rsidRDefault="0077224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77.75pt;margin-top:111.75pt;width:99.2pt;height:25.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" filled="f" stroked="f">
                <v:path arrowok="t"/>
                <v:textbox inset="0,0,0,0">
                  <w:txbxContent>
                    <w:p w:rsidR="0077224F" w:rsidRDefault="0077224F">
                      <w:pPr>
                        <w:widowControl w:val="0"/>
                        <w:spacing w:line="200" w:lineRule="exact"/>
                        <w:contextualSpacing/>
                        <w:jc w:val="right"/>
                        <w:rPr>
                          <w:sz w:val="16"/>
                          <w:szCs w:val="16"/>
                        </w:rPr>
                      </w:pPr>
                    </w:p>
                    <w:p w:rsidR="0077224F" w:rsidRDefault="0077224F"/>
                  </w:txbxContent>
                </v:textbox>
                <w10:wrap anchorx="page" anchory="page"/>
                <w10:anchorlock/>
              </v:shape>
            </w:pict>
          </mc:Fallback>
        </mc:AlternateContent>
      </w:r>
      <w:r>
        <w:rPr>
          <w:rFonts w:ascii="PFSquareSansPro-Regular" w:hAnsi="PFSquareSansPro-Regular"/>
          <w:noProof/>
          <w:sz w:val="16"/>
          <w:szCs w:val="16"/>
          <w:lang w:eastAsia="zh-CN"/>
        </w:rPr>
        <mc:AlternateContent>
          <mc:Choice Requires="wps">
            <w:drawing>
              <wp:anchor distT="0" distB="0" distL="114300" distR="114300" simplePos="0" relativeHeight="251690496" behindDoc="0" locked="1" layoutInCell="1" allowOverlap="1" wp14:anchorId="7CB38A42" wp14:editId="0ECC0908">
                <wp:simplePos x="0" y="0"/>
                <wp:positionH relativeFrom="page">
                  <wp:posOffset>4201795</wp:posOffset>
                </wp:positionH>
                <wp:positionV relativeFrom="page">
                  <wp:posOffset>5735320</wp:posOffset>
                </wp:positionV>
                <wp:extent cx="2940685" cy="892175"/>
                <wp:effectExtent l="0" t="0" r="12065"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685" cy="892175"/>
                        </a:xfrm>
                        <a:prstGeom prst="rect">
                          <a:avLst/>
                        </a:prstGeom>
                        <a:noFill/>
                        <a:ln>
                          <a:noFill/>
                        </a:ln>
                        <a:effectLst/>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7224F" w:rsidRDefault="00D973EE">
                            <w:pPr>
                              <w:widowControl w:val="0"/>
                              <w:spacing w:line="240" w:lineRule="exact"/>
                              <w:rPr>
                                <w:i/>
                                <w:color w:val="646567"/>
                                <w:sz w:val="12"/>
                                <w:szCs w:val="12"/>
                                <w:lang w:val="it-IT"/>
                              </w:rPr>
                            </w:pPr>
                            <w:r>
                              <w:rPr>
                                <w:szCs w:val="20"/>
                                <w:lang w:val="it-IT"/>
                              </w:rPr>
                              <w:t>Neisse Ricardo, Kounelis Ioannis, Steri Gary, Nai Fovino Igor</w:t>
                            </w:r>
                          </w:p>
                          <w:p w:rsidR="0077224F" w:rsidRDefault="0077224F">
                            <w:pPr>
                              <w:widowControl w:val="0"/>
                              <w:spacing w:line="240" w:lineRule="exact"/>
                              <w:rPr>
                                <w:szCs w:val="20"/>
                                <w:lang w:val="it-I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330.85pt;margin-top:451.6pt;width:231.55pt;height:70.2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" filled="f" stroked="f">
                <v:path arrowok="t"/>
                <v:textbox inset="0,0,0,0">
                  <w:txbxContent>
                    <w:p w:rsidR="0077224F" w:rsidRDefault="00D973EE">
                      <w:pPr>
                        <w:widowControl w:val="0"/>
                        <w:spacing w:line="240" w:lineRule="exact"/>
                        <w:rPr>
                          <w:i/>
                          <w:color w:val="646567"/>
                          <w:sz w:val="12"/>
                          <w:szCs w:val="12"/>
                          <w:lang w:val="it-IT"/>
                        </w:rPr>
                      </w:pPr>
                      <w:r>
                        <w:rPr>
                          <w:szCs w:val="20"/>
                          <w:lang w:val="it-IT"/>
                        </w:rPr>
                        <w:t>Neisse Ricardo, Kounelis Ioannis, Steri Gary, Nai Fovino Igor</w:t>
                      </w:r>
                    </w:p>
                    <w:p w:rsidR="0077224F" w:rsidRDefault="0077224F">
                      <w:pPr>
                        <w:widowControl w:val="0"/>
                        <w:spacing w:line="240" w:lineRule="exact"/>
                        <w:rPr>
                          <w:szCs w:val="20"/>
                          <w:lang w:val="it-IT"/>
                        </w:rPr>
                      </w:pPr>
                    </w:p>
                  </w:txbxContent>
                </v:textbox>
                <w10:wrap anchorx="page" anchory="page"/>
                <w10:anchorlock/>
              </v:shape>
            </w:pict>
          </mc:Fallback>
        </mc:AlternateContent>
      </w:r>
      <w:r>
        <w:rPr>
          <w:rFonts w:ascii="PFSquareSansPro-Regular" w:hAnsi="PFSquareSansPro-Regular"/>
          <w:noProof/>
          <w:sz w:val="16"/>
          <w:szCs w:val="16"/>
          <w:lang w:eastAsia="zh-CN"/>
        </w:rPr>
        <mc:AlternateContent>
          <mc:Choice Requires="wps">
            <w:drawing>
              <wp:anchor distT="0" distB="0" distL="114300" distR="114300" simplePos="0" relativeHeight="251691520" behindDoc="0" locked="1" layoutInCell="1" allowOverlap="1" wp14:anchorId="44831F8B" wp14:editId="755DF4B4">
                <wp:simplePos x="0" y="0"/>
                <wp:positionH relativeFrom="page">
                  <wp:posOffset>4201795</wp:posOffset>
                </wp:positionH>
                <wp:positionV relativeFrom="page">
                  <wp:posOffset>4539615</wp:posOffset>
                </wp:positionV>
                <wp:extent cx="2768600" cy="1059180"/>
                <wp:effectExtent l="0" t="0" r="0"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0" cy="1059180"/>
                        </a:xfrm>
                        <a:prstGeom prst="rect">
                          <a:avLst/>
                        </a:prstGeom>
                        <a:noFill/>
                        <a:ln>
                          <a:noFill/>
                        </a:ln>
                        <a:effectLst/>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7224F" w:rsidRDefault="00D973EE">
                            <w:pPr>
                              <w:widowControl w:val="0"/>
                              <w:spacing w:line="400" w:lineRule="exact"/>
                              <w:rPr>
                                <w:i/>
                                <w:color w:val="646567"/>
                                <w:sz w:val="12"/>
                                <w:szCs w:val="12"/>
                              </w:rPr>
                            </w:pPr>
                            <w:r>
                              <w:rPr>
                                <w:i/>
                                <w:color w:val="646567"/>
                                <w:sz w:val="32"/>
                                <w:szCs w:val="32"/>
                              </w:rPr>
                              <w:t xml:space="preserve">A DG-JRC Contribution to the revision of the ePrivacy </w:t>
                            </w:r>
                            <w:r>
                              <w:rPr>
                                <w:i/>
                                <w:color w:val="646567"/>
                                <w:sz w:val="32"/>
                                <w:szCs w:val="32"/>
                              </w:rPr>
                              <w:t>Directive</w:t>
                            </w:r>
                            <w:r>
                              <w:rPr>
                                <w:i/>
                                <w:color w:val="646567"/>
                                <w:sz w:val="12"/>
                                <w:szCs w:val="1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330.85pt;margin-top:357.45pt;width:218pt;height:83.4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" filled="f" stroked="f">
                <v:path arrowok="t"/>
                <v:textbox inset="0,0,0,0">
                  <w:txbxContent>
                    <w:p w:rsidR="0077224F" w:rsidRDefault="00D973EE">
                      <w:pPr>
                        <w:widowControl w:val="0"/>
                        <w:spacing w:line="400" w:lineRule="exact"/>
                        <w:rPr>
                          <w:i/>
                          <w:color w:val="646567"/>
                          <w:sz w:val="12"/>
                          <w:szCs w:val="12"/>
                        </w:rPr>
                      </w:pPr>
                      <w:r>
                        <w:rPr>
                          <w:i/>
                          <w:color w:val="646567"/>
                          <w:sz w:val="32"/>
                          <w:szCs w:val="32"/>
                        </w:rPr>
                        <w:t xml:space="preserve">A DG-JRC Contribution to the revision of the ePrivacy </w:t>
                      </w:r>
                      <w:r>
                        <w:rPr>
                          <w:i/>
                          <w:color w:val="646567"/>
                          <w:sz w:val="32"/>
                          <w:szCs w:val="32"/>
                        </w:rPr>
                        <w:t>Directive</w:t>
                      </w:r>
                      <w:r>
                        <w:rPr>
                          <w:i/>
                          <w:color w:val="646567"/>
                          <w:sz w:val="12"/>
                          <w:szCs w:val="12"/>
                        </w:rPr>
                        <w:t xml:space="preserve"> </w:t>
                      </w:r>
                    </w:p>
                  </w:txbxContent>
                </v:textbox>
                <w10:wrap anchorx="page" anchory="page"/>
                <w10:anchorlock/>
              </v:shape>
            </w:pict>
          </mc:Fallback>
        </mc:AlternateContent>
      </w:r>
      <w:r>
        <w:rPr>
          <w:rFonts w:ascii="PFSquareSansPro-Regular" w:hAnsi="PFSquareSansPro-Regular"/>
          <w:noProof/>
          <w:sz w:val="16"/>
          <w:szCs w:val="16"/>
          <w:lang w:eastAsia="zh-CN"/>
        </w:rPr>
        <mc:AlternateContent>
          <mc:Choice Requires="wps">
            <w:drawing>
              <wp:anchor distT="0" distB="0" distL="114300" distR="114300" simplePos="0" relativeHeight="251692544" behindDoc="0" locked="1" layoutInCell="1" allowOverlap="1" wp14:anchorId="30819C18" wp14:editId="774E248D">
                <wp:simplePos x="0" y="0"/>
                <wp:positionH relativeFrom="page">
                  <wp:posOffset>455295</wp:posOffset>
                </wp:positionH>
                <wp:positionV relativeFrom="page">
                  <wp:posOffset>3084195</wp:posOffset>
                </wp:positionV>
                <wp:extent cx="6721475" cy="1440180"/>
                <wp:effectExtent l="0" t="0" r="9525" b="762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1475" cy="1440180"/>
                        </a:xfrm>
                        <a:prstGeom prst="rect">
                          <a:avLst/>
                        </a:prstGeom>
                        <a:noFill/>
                        <a:ln>
                          <a:noFill/>
                        </a:ln>
                        <a:effectLst/>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7224F" w:rsidRDefault="00D973EE">
                            <w:pPr>
                              <w:widowControl w:val="0"/>
                              <w:spacing w:before="0" w:after="0" w:line="640" w:lineRule="exact"/>
                              <w:rPr>
                                <w:sz w:val="56"/>
                                <w:szCs w:val="56"/>
                              </w:rPr>
                            </w:pPr>
                            <w:r>
                              <w:rPr>
                                <w:sz w:val="56"/>
                                <w:szCs w:val="56"/>
                              </w:rPr>
                              <w:t xml:space="preserve">Privacy in Mobile Devices and </w:t>
                            </w:r>
                          </w:p>
                          <w:p w:rsidR="0077224F" w:rsidRDefault="00D973EE">
                            <w:pPr>
                              <w:widowControl w:val="0"/>
                              <w:spacing w:before="0" w:after="0" w:line="640" w:lineRule="exact"/>
                              <w:rPr>
                                <w:sz w:val="56"/>
                                <w:szCs w:val="56"/>
                              </w:rPr>
                            </w:pPr>
                            <w:r>
                              <w:rPr>
                                <w:sz w:val="56"/>
                                <w:szCs w:val="56"/>
                              </w:rPr>
                              <w:t>Web-Applications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35.85pt;margin-top:242.85pt;width:529.25pt;height:113.4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" filled="f" stroked="f">
                <v:path arrowok="t"/>
                <v:textbox inset="0,0,0,0">
                  <w:txbxContent>
                    <w:p w:rsidR="0077224F" w:rsidRDefault="00D973EE">
                      <w:pPr>
                        <w:widowControl w:val="0"/>
                        <w:spacing w:before="0" w:after="0" w:line="640" w:lineRule="exact"/>
                        <w:rPr>
                          <w:sz w:val="56"/>
                          <w:szCs w:val="56"/>
                        </w:rPr>
                      </w:pPr>
                      <w:r>
                        <w:rPr>
                          <w:sz w:val="56"/>
                          <w:szCs w:val="56"/>
                        </w:rPr>
                        <w:t xml:space="preserve">Privacy in Mobile Devices and </w:t>
                      </w:r>
                    </w:p>
                    <w:p w:rsidR="0077224F" w:rsidRDefault="00D973EE">
                      <w:pPr>
                        <w:widowControl w:val="0"/>
                        <w:spacing w:before="0" w:after="0" w:line="640" w:lineRule="exact"/>
                        <w:rPr>
                          <w:sz w:val="56"/>
                          <w:szCs w:val="56"/>
                        </w:rPr>
                      </w:pPr>
                      <w:r>
                        <w:rPr>
                          <w:sz w:val="56"/>
                          <w:szCs w:val="56"/>
                        </w:rPr>
                        <w:t>Web-Applications</w:t>
                      </w:r>
                    </w:p>
                  </w:txbxContent>
                </v:textbox>
                <w10:wrap anchorx="page" anchory="page"/>
                <w10:anchorlock/>
              </v:shape>
            </w:pict>
          </mc:Fallback>
        </mc:AlternateContent>
      </w:r>
      <w:r>
        <w:rPr>
          <w:rFonts w:ascii="PFSquareSansPro-Regular" w:hAnsi="PFSquareSansPro-Regular"/>
          <w:noProof/>
          <w:sz w:val="16"/>
          <w:szCs w:val="16"/>
          <w:lang w:eastAsia="zh-CN"/>
        </w:rPr>
        <mc:AlternateContent>
          <mc:Choice Requires="wps">
            <w:drawing>
              <wp:anchor distT="0" distB="0" distL="114300" distR="114300" simplePos="0" relativeHeight="251693568" behindDoc="0" locked="1" layoutInCell="1" allowOverlap="1" wp14:anchorId="0BDD1B47" wp14:editId="3C6C3568">
                <wp:simplePos x="0" y="0"/>
                <wp:positionH relativeFrom="page">
                  <wp:posOffset>4200525</wp:posOffset>
                </wp:positionH>
                <wp:positionV relativeFrom="page">
                  <wp:posOffset>6819265</wp:posOffset>
                </wp:positionV>
                <wp:extent cx="2940685" cy="809625"/>
                <wp:effectExtent l="0" t="0" r="1206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685" cy="809625"/>
                        </a:xfrm>
                        <a:prstGeom prst="rect">
                          <a:avLst/>
                        </a:prstGeom>
                        <a:noFill/>
                        <a:ln>
                          <a:noFill/>
                        </a:ln>
                        <a:effectLst/>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7224F" w:rsidRDefault="00D973EE">
                            <w:pPr>
                              <w:widowControl w:val="0"/>
                              <w:spacing w:before="0" w:after="0" w:line="240" w:lineRule="exact"/>
                              <w:rPr>
                                <w:szCs w:val="20"/>
                                <w:lang w:val="fr-BE"/>
                              </w:rPr>
                            </w:pPr>
                            <w:r>
                              <w:rPr>
                                <w:i/>
                                <w:szCs w:val="20"/>
                                <w:lang w:val="fr-BE"/>
                              </w:rPr>
                              <w:t>Distribution List:</w:t>
                            </w:r>
                            <w:r>
                              <w:rPr>
                                <w:szCs w:val="20"/>
                                <w:lang w:val="fr-BE"/>
                              </w:rPr>
                              <w:t xml:space="preserve"> EU Commission Staff</w:t>
                            </w:r>
                          </w:p>
                          <w:p w:rsidR="0077224F" w:rsidRDefault="0077224F">
                            <w:pPr>
                              <w:widowControl w:val="0"/>
                              <w:spacing w:before="0" w:after="0" w:line="240" w:lineRule="exact"/>
                              <w:rPr>
                                <w:szCs w:val="20"/>
                                <w:lang w:val="fr-BE"/>
                              </w:rPr>
                            </w:pPr>
                          </w:p>
                          <w:p w:rsidR="0077224F" w:rsidRDefault="0077224F">
                            <w:pPr>
                              <w:widowControl w:val="0"/>
                              <w:spacing w:before="0" w:after="0" w:line="240" w:lineRule="exact"/>
                              <w:rPr>
                                <w:szCs w:val="20"/>
                                <w:lang w:val="fr-BE"/>
                              </w:rPr>
                            </w:pPr>
                          </w:p>
                          <w:p w:rsidR="0077224F" w:rsidRDefault="00D973EE">
                            <w:pPr>
                              <w:widowControl w:val="0"/>
                              <w:spacing w:before="0" w:after="0" w:line="240" w:lineRule="exact"/>
                              <w:rPr>
                                <w:i/>
                                <w:color w:val="646567"/>
                                <w:sz w:val="12"/>
                                <w:szCs w:val="12"/>
                                <w:lang w:val="fr-BE"/>
                              </w:rPr>
                            </w:pPr>
                            <w:r>
                              <w:rPr>
                                <w:szCs w:val="20"/>
                                <w:lang w:val="fr-BE"/>
                              </w:rPr>
                              <w:t xml:space="preserve">2016 </w:t>
                            </w:r>
                          </w:p>
                          <w:p w:rsidR="0077224F" w:rsidRDefault="0077224F">
                            <w:pPr>
                              <w:rPr>
                                <w:lang w:val="fr-B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330.75pt;margin-top:536.95pt;width:231.55pt;height:63.7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" filled="f" stroked="f">
                <v:path arrowok="t"/>
                <v:textbox inset="0,0,0,0">
                  <w:txbxContent>
                    <w:p w:rsidR="0077224F" w:rsidRDefault="00D973EE">
                      <w:pPr>
                        <w:widowControl w:val="0"/>
                        <w:spacing w:before="0" w:after="0" w:line="240" w:lineRule="exact"/>
                        <w:rPr>
                          <w:szCs w:val="20"/>
                          <w:lang w:val="fr-BE"/>
                        </w:rPr>
                      </w:pPr>
                      <w:r>
                        <w:rPr>
                          <w:i/>
                          <w:szCs w:val="20"/>
                          <w:lang w:val="fr-BE"/>
                        </w:rPr>
                        <w:t>Distribution List:</w:t>
                      </w:r>
                      <w:r>
                        <w:rPr>
                          <w:szCs w:val="20"/>
                          <w:lang w:val="fr-BE"/>
                        </w:rPr>
                        <w:t xml:space="preserve"> EU Commission Staff</w:t>
                      </w:r>
                    </w:p>
                    <w:p w:rsidR="0077224F" w:rsidRDefault="0077224F">
                      <w:pPr>
                        <w:widowControl w:val="0"/>
                        <w:spacing w:before="0" w:after="0" w:line="240" w:lineRule="exact"/>
                        <w:rPr>
                          <w:szCs w:val="20"/>
                          <w:lang w:val="fr-BE"/>
                        </w:rPr>
                      </w:pPr>
                    </w:p>
                    <w:p w:rsidR="0077224F" w:rsidRDefault="0077224F">
                      <w:pPr>
                        <w:widowControl w:val="0"/>
                        <w:spacing w:before="0" w:after="0" w:line="240" w:lineRule="exact"/>
                        <w:rPr>
                          <w:szCs w:val="20"/>
                          <w:lang w:val="fr-BE"/>
                        </w:rPr>
                      </w:pPr>
                    </w:p>
                    <w:p w:rsidR="0077224F" w:rsidRDefault="00D973EE">
                      <w:pPr>
                        <w:widowControl w:val="0"/>
                        <w:spacing w:before="0" w:after="0" w:line="240" w:lineRule="exact"/>
                        <w:rPr>
                          <w:i/>
                          <w:color w:val="646567"/>
                          <w:sz w:val="12"/>
                          <w:szCs w:val="12"/>
                          <w:lang w:val="fr-BE"/>
                        </w:rPr>
                      </w:pPr>
                      <w:r>
                        <w:rPr>
                          <w:szCs w:val="20"/>
                          <w:lang w:val="fr-BE"/>
                        </w:rPr>
                        <w:t xml:space="preserve">2016 </w:t>
                      </w:r>
                    </w:p>
                    <w:p w:rsidR="0077224F" w:rsidRDefault="0077224F">
                      <w:pPr>
                        <w:rPr>
                          <w:lang w:val="fr-BE"/>
                        </w:rPr>
                      </w:pPr>
                    </w:p>
                  </w:txbxContent>
                </v:textbox>
                <w10:wrap anchorx="page" anchory="page"/>
                <w10:anchorlock/>
              </v:shape>
            </w:pict>
          </mc:Fallback>
        </mc:AlternateContent>
      </w:r>
      <w:r>
        <w:rPr>
          <w:rFonts w:ascii="PFSquareSansPro-Regular" w:hAnsi="PFSquareSansPro-Regular"/>
          <w:noProof/>
          <w:sz w:val="16"/>
          <w:szCs w:val="16"/>
          <w:lang w:eastAsia="zh-CN"/>
        </w:rPr>
        <w:drawing>
          <wp:anchor distT="0" distB="0" distL="114300" distR="114300" simplePos="0" relativeHeight="251696640" behindDoc="0" locked="0" layoutInCell="1" allowOverlap="1" wp14:anchorId="1E499C9E" wp14:editId="090A17F8">
            <wp:simplePos x="0" y="0"/>
            <wp:positionH relativeFrom="column">
              <wp:posOffset>3129915</wp:posOffset>
            </wp:positionH>
            <wp:positionV relativeFrom="paragraph">
              <wp:posOffset>9825355</wp:posOffset>
            </wp:positionV>
            <wp:extent cx="843280" cy="561340"/>
            <wp:effectExtent l="0" t="0" r="0" b="0"/>
            <wp:wrapSquare wrapText="bothSides"/>
            <wp:docPr id="18" name="Picture 18" descr="jobs:JRC Templates:LAST-reports-templates:Material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bs:JRC Templates:LAST-reports-templates:Materials:Foot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3280" cy="561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24F" w:rsidRDefault="00D973EE">
      <w:pPr>
        <w:widowControl w:val="0"/>
        <w:spacing w:before="0" w:after="0" w:line="640" w:lineRule="exact"/>
        <w:rPr>
          <w:b/>
          <w:noProof/>
          <w:color w:val="0033CC"/>
          <w:sz w:val="26"/>
          <w:szCs w:val="26"/>
        </w:rPr>
      </w:pPr>
      <w:r>
        <w:rPr>
          <w:rFonts w:ascii="PFSquareSansPro-Regular" w:hAnsi="PFSquareSansPro-Regular"/>
          <w:noProof/>
          <w:sz w:val="16"/>
          <w:szCs w:val="16"/>
          <w:lang w:eastAsia="zh-CN"/>
        </w:rPr>
        <mc:AlternateContent>
          <mc:Choice Requires="wps">
            <w:drawing>
              <wp:anchor distT="0" distB="0" distL="114300" distR="114300" simplePos="0" relativeHeight="251712000" behindDoc="0" locked="1" layoutInCell="1" allowOverlap="1" wp14:anchorId="63462BE8" wp14:editId="160F4092">
                <wp:simplePos x="0" y="0"/>
                <wp:positionH relativeFrom="page">
                  <wp:posOffset>607695</wp:posOffset>
                </wp:positionH>
                <wp:positionV relativeFrom="page">
                  <wp:posOffset>3236595</wp:posOffset>
                </wp:positionV>
                <wp:extent cx="6721475" cy="1440180"/>
                <wp:effectExtent l="0" t="0" r="9525" b="76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1475" cy="1440180"/>
                        </a:xfrm>
                        <a:prstGeom prst="rect">
                          <a:avLst/>
                        </a:prstGeom>
                        <a:noFill/>
                        <a:ln>
                          <a:noFill/>
                        </a:ln>
                        <a:effectLst/>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7224F" w:rsidRDefault="0077224F">
                            <w:pPr>
                              <w:widowControl w:val="0"/>
                              <w:spacing w:before="0" w:after="0" w:line="640" w:lineRule="exact"/>
                              <w:rPr>
                                <w:sz w:val="56"/>
                                <w:szCs w:val="5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left:0;text-align:left;margin-left:47.85pt;margin-top:254.85pt;width:529.25pt;height:113.4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" filled="f" stroked="f">
                <v:path arrowok="t"/>
                <v:textbox inset="0,0,0,0">
                  <w:txbxContent>
                    <w:p w:rsidR="0077224F" w:rsidRDefault="0077224F">
                      <w:pPr>
                        <w:widowControl w:val="0"/>
                        <w:spacing w:before="0" w:after="0" w:line="640" w:lineRule="exact"/>
                        <w:rPr>
                          <w:sz w:val="56"/>
                          <w:szCs w:val="56"/>
                        </w:rPr>
                      </w:pPr>
                    </w:p>
                  </w:txbxContent>
                </v:textbox>
                <w10:wrap anchorx="page" anchory="page"/>
                <w10:anchorlock/>
              </v:shape>
            </w:pict>
          </mc:Fallback>
        </mc:AlternateContent>
      </w:r>
      <w:r>
        <w:rPr>
          <w:noProof/>
          <w:lang w:eastAsia="zh-CN"/>
        </w:rPr>
        <mc:AlternateContent>
          <mc:Choice Requires="wps">
            <w:drawing>
              <wp:anchor distT="0" distB="0" distL="114300" distR="114300" simplePos="0" relativeHeight="251714048" behindDoc="0" locked="1" layoutInCell="1" allowOverlap="1" wp14:anchorId="622CD9FC" wp14:editId="6DB3742F">
                <wp:simplePos x="0" y="0"/>
                <wp:positionH relativeFrom="page">
                  <wp:posOffset>743585</wp:posOffset>
                </wp:positionH>
                <wp:positionV relativeFrom="page">
                  <wp:posOffset>847725</wp:posOffset>
                </wp:positionV>
                <wp:extent cx="5124450" cy="6561455"/>
                <wp:effectExtent l="0" t="0" r="0" b="10795"/>
                <wp:wrapThrough wrapText="bothSides">
                  <wp:wrapPolygon edited="0">
                    <wp:start x="0" y="0"/>
                    <wp:lineTo x="0" y="21573"/>
                    <wp:lineTo x="21520" y="21573"/>
                    <wp:lineTo x="21520"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4450" cy="6561455"/>
                        </a:xfrm>
                        <a:prstGeom prst="rect">
                          <a:avLst/>
                        </a:prstGeom>
                        <a:noFill/>
                        <a:ln>
                          <a:noFill/>
                        </a:ln>
                        <a:effectLst/>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7224F" w:rsidRDefault="00D973EE">
                            <w:pPr>
                              <w:widowControl w:val="0"/>
                              <w:spacing w:before="0" w:after="0" w:line="200" w:lineRule="exact"/>
                              <w:jc w:val="left"/>
                              <w:rPr>
                                <w:sz w:val="14"/>
                                <w:szCs w:val="14"/>
                              </w:rPr>
                            </w:pPr>
                            <w:r>
                              <w:rPr>
                                <w:sz w:val="14"/>
                                <w:szCs w:val="14"/>
                              </w:rPr>
                              <w:t>This publication is a Technical report by the Joint Research Centre (JRC), the European Commission’s science and knowledge service. It</w:t>
                            </w:r>
                            <w:r>
                              <w:rPr>
                                <w:sz w:val="14"/>
                                <w:szCs w:val="14"/>
                              </w:rPr>
                              <w:t xml:space="preserve"> aims to provide evidence-based scientific support to the European policy-making process. The scientific output expressed does not imply a policy position of the European Commission. Neither the European Commission nor any person acting on behalf of the Co</w:t>
                            </w:r>
                            <w:r>
                              <w:rPr>
                                <w:sz w:val="14"/>
                                <w:szCs w:val="14"/>
                              </w:rPr>
                              <w:t>mmission is responsible for the use which might be made of this publication.</w:t>
                            </w:r>
                          </w:p>
                          <w:p w:rsidR="0077224F" w:rsidRDefault="0077224F">
                            <w:pPr>
                              <w:widowControl w:val="0"/>
                              <w:spacing w:before="0" w:after="0" w:line="200" w:lineRule="exact"/>
                              <w:rPr>
                                <w:sz w:val="14"/>
                                <w:szCs w:val="14"/>
                              </w:rPr>
                            </w:pPr>
                          </w:p>
                          <w:p w:rsidR="0077224F" w:rsidRDefault="00D973EE">
                            <w:pPr>
                              <w:widowControl w:val="0"/>
                              <w:spacing w:before="0" w:after="0" w:line="200" w:lineRule="exact"/>
                              <w:rPr>
                                <w:b/>
                                <w:sz w:val="14"/>
                                <w:szCs w:val="14"/>
                                <w:lang w:val="it-IT"/>
                              </w:rPr>
                            </w:pPr>
                            <w:r>
                              <w:rPr>
                                <w:b/>
                                <w:sz w:val="14"/>
                                <w:szCs w:val="14"/>
                                <w:lang w:val="it-IT"/>
                              </w:rPr>
                              <w:t xml:space="preserve">Contact information </w:t>
                            </w:r>
                          </w:p>
                          <w:p w:rsidR="0077224F" w:rsidRDefault="00D973EE">
                            <w:pPr>
                              <w:widowControl w:val="0"/>
                              <w:spacing w:before="0" w:after="0" w:line="200" w:lineRule="exact"/>
                              <w:rPr>
                                <w:sz w:val="14"/>
                                <w:szCs w:val="14"/>
                                <w:lang w:val="it-IT"/>
                              </w:rPr>
                            </w:pPr>
                            <w:r>
                              <w:rPr>
                                <w:sz w:val="14"/>
                                <w:szCs w:val="14"/>
                                <w:lang w:val="it-IT"/>
                              </w:rPr>
                              <w:t>Name: Igor Nai Fovino</w:t>
                            </w:r>
                          </w:p>
                          <w:p w:rsidR="0077224F" w:rsidRDefault="00D973EE">
                            <w:pPr>
                              <w:widowControl w:val="0"/>
                              <w:spacing w:before="0" w:after="0" w:line="200" w:lineRule="exact"/>
                              <w:rPr>
                                <w:sz w:val="14"/>
                                <w:szCs w:val="14"/>
                                <w:lang w:val="it-IT"/>
                              </w:rPr>
                            </w:pPr>
                            <w:r>
                              <w:rPr>
                                <w:sz w:val="14"/>
                                <w:szCs w:val="14"/>
                                <w:lang w:val="it-IT"/>
                              </w:rPr>
                              <w:t>Address: Via E. Fermi 1, Ispra, 21027, VA, Italy</w:t>
                            </w:r>
                          </w:p>
                          <w:p w:rsidR="0077224F" w:rsidRDefault="00D973EE">
                            <w:pPr>
                              <w:widowControl w:val="0"/>
                              <w:spacing w:before="0" w:after="0" w:line="200" w:lineRule="exact"/>
                              <w:rPr>
                                <w:sz w:val="14"/>
                                <w:szCs w:val="14"/>
                                <w:lang w:val="fr-BE"/>
                              </w:rPr>
                            </w:pPr>
                            <w:r>
                              <w:rPr>
                                <w:sz w:val="14"/>
                                <w:szCs w:val="14"/>
                                <w:lang w:val="fr-BE"/>
                              </w:rPr>
                              <w:t>E-mail: igor.nai-fovino@jrc.ec.europa.eu</w:t>
                            </w:r>
                          </w:p>
                          <w:p w:rsidR="0077224F" w:rsidRDefault="00D973EE">
                            <w:pPr>
                              <w:widowControl w:val="0"/>
                              <w:spacing w:before="0" w:after="0" w:line="200" w:lineRule="exact"/>
                              <w:rPr>
                                <w:sz w:val="14"/>
                                <w:szCs w:val="14"/>
                                <w:lang w:val="fr-FR"/>
                              </w:rPr>
                            </w:pPr>
                            <w:r>
                              <w:rPr>
                                <w:sz w:val="14"/>
                                <w:szCs w:val="14"/>
                                <w:lang w:val="fr-FR"/>
                              </w:rPr>
                              <w:t>Tel.: +39 0332785809</w:t>
                            </w:r>
                          </w:p>
                          <w:p w:rsidR="0077224F" w:rsidRDefault="0077224F">
                            <w:pPr>
                              <w:widowControl w:val="0"/>
                              <w:spacing w:before="0" w:after="0" w:line="200" w:lineRule="exact"/>
                              <w:rPr>
                                <w:sz w:val="14"/>
                                <w:szCs w:val="14"/>
                                <w:lang w:val="fr-FR"/>
                              </w:rPr>
                            </w:pPr>
                          </w:p>
                          <w:p w:rsidR="0077224F" w:rsidRDefault="00D973EE">
                            <w:pPr>
                              <w:widowControl w:val="0"/>
                              <w:spacing w:before="0" w:after="0" w:line="200" w:lineRule="exact"/>
                              <w:rPr>
                                <w:b/>
                                <w:sz w:val="14"/>
                                <w:szCs w:val="14"/>
                                <w:lang w:val="fr-FR"/>
                              </w:rPr>
                            </w:pPr>
                            <w:r>
                              <w:rPr>
                                <w:b/>
                                <w:sz w:val="14"/>
                                <w:szCs w:val="14"/>
                                <w:lang w:val="fr-FR"/>
                              </w:rPr>
                              <w:t>JRC Science Hub</w:t>
                            </w:r>
                          </w:p>
                          <w:p w:rsidR="0077224F" w:rsidRDefault="00D973EE">
                            <w:pPr>
                              <w:widowControl w:val="0"/>
                              <w:spacing w:before="0" w:after="0" w:line="200" w:lineRule="exact"/>
                              <w:rPr>
                                <w:sz w:val="14"/>
                                <w:szCs w:val="14"/>
                                <w:lang w:val="fr-FR"/>
                              </w:rPr>
                            </w:pPr>
                            <w:r>
                              <w:rPr>
                                <w:sz w:val="14"/>
                                <w:szCs w:val="14"/>
                                <w:lang w:val="fr-FR"/>
                              </w:rPr>
                              <w:t>https://ec.europa.eu/jrc</w:t>
                            </w:r>
                          </w:p>
                          <w:p w:rsidR="0077224F" w:rsidRDefault="0077224F">
                            <w:pPr>
                              <w:widowControl w:val="0"/>
                              <w:spacing w:before="0" w:after="0" w:line="200" w:lineRule="exact"/>
                              <w:rPr>
                                <w:sz w:val="14"/>
                                <w:szCs w:val="14"/>
                                <w:lang w:val="fr-FR"/>
                              </w:rPr>
                            </w:pPr>
                          </w:p>
                          <w:p w:rsidR="0077224F" w:rsidRDefault="0077224F">
                            <w:pPr>
                              <w:widowControl w:val="0"/>
                              <w:spacing w:before="0" w:after="0" w:line="200" w:lineRule="exact"/>
                              <w:rPr>
                                <w:sz w:val="14"/>
                                <w:szCs w:val="14"/>
                                <w:lang w:val="fr-FR"/>
                              </w:rPr>
                            </w:pPr>
                          </w:p>
                          <w:p w:rsidR="0077224F" w:rsidRDefault="00D973EE">
                            <w:pPr>
                              <w:widowControl w:val="0"/>
                              <w:spacing w:before="0" w:after="0" w:line="200" w:lineRule="exact"/>
                              <w:rPr>
                                <w:sz w:val="14"/>
                                <w:szCs w:val="14"/>
                              </w:rPr>
                            </w:pPr>
                            <w:r>
                              <w:rPr>
                                <w:sz w:val="14"/>
                                <w:szCs w:val="14"/>
                              </w:rPr>
                              <w:t>JRC103740</w:t>
                            </w:r>
                          </w:p>
                          <w:p w:rsidR="0077224F" w:rsidRDefault="0077224F">
                            <w:pPr>
                              <w:widowControl w:val="0"/>
                              <w:spacing w:before="0" w:after="0" w:line="200" w:lineRule="exact"/>
                              <w:rPr>
                                <w:sz w:val="14"/>
                                <w:szCs w:val="14"/>
                              </w:rPr>
                            </w:pPr>
                          </w:p>
                          <w:p w:rsidR="0077224F" w:rsidRDefault="0077224F">
                            <w:pPr>
                              <w:widowControl w:val="0"/>
                              <w:spacing w:before="0" w:after="0" w:line="200" w:lineRule="exact"/>
                              <w:rPr>
                                <w:sz w:val="14"/>
                                <w:szCs w:val="14"/>
                              </w:rPr>
                            </w:pPr>
                          </w:p>
                          <w:p w:rsidR="0077224F" w:rsidRDefault="00D973EE">
                            <w:pPr>
                              <w:widowControl w:val="0"/>
                              <w:spacing w:before="0" w:after="0" w:line="200" w:lineRule="exact"/>
                              <w:rPr>
                                <w:color w:val="FF0000"/>
                                <w:sz w:val="14"/>
                                <w:szCs w:val="14"/>
                              </w:rPr>
                            </w:pPr>
                            <w:r>
                              <w:rPr>
                                <w:sz w:val="14"/>
                                <w:szCs w:val="14"/>
                              </w:rPr>
                              <w:t xml:space="preserve">Luxembourg: Publications Office of the European Union, 2016 </w:t>
                            </w:r>
                          </w:p>
                          <w:p w:rsidR="0077224F" w:rsidRDefault="0077224F">
                            <w:pPr>
                              <w:widowControl w:val="0"/>
                              <w:spacing w:before="0" w:after="0" w:line="200" w:lineRule="exact"/>
                              <w:rPr>
                                <w:sz w:val="14"/>
                                <w:szCs w:val="14"/>
                              </w:rPr>
                            </w:pPr>
                          </w:p>
                          <w:p w:rsidR="0077224F" w:rsidRDefault="00D973EE">
                            <w:pPr>
                              <w:widowControl w:val="0"/>
                              <w:spacing w:before="0" w:after="0" w:line="200" w:lineRule="exact"/>
                              <w:rPr>
                                <w:b/>
                                <w:sz w:val="14"/>
                                <w:szCs w:val="14"/>
                              </w:rPr>
                            </w:pPr>
                            <w:r>
                              <w:rPr>
                                <w:sz w:val="14"/>
                                <w:szCs w:val="14"/>
                              </w:rPr>
                              <w:t>© European Union, 2016</w:t>
                            </w:r>
                          </w:p>
                          <w:p w:rsidR="0077224F" w:rsidRDefault="0077224F">
                            <w:pPr>
                              <w:widowControl w:val="0"/>
                              <w:spacing w:before="0" w:after="0" w:line="200" w:lineRule="exact"/>
                              <w:rPr>
                                <w:sz w:val="14"/>
                                <w:szCs w:val="14"/>
                              </w:rPr>
                            </w:pPr>
                          </w:p>
                          <w:p w:rsidR="0077224F" w:rsidRDefault="00D973EE">
                            <w:pPr>
                              <w:widowControl w:val="0"/>
                              <w:spacing w:before="0" w:after="0" w:line="200" w:lineRule="exact"/>
                              <w:rPr>
                                <w:sz w:val="14"/>
                                <w:szCs w:val="14"/>
                              </w:rPr>
                            </w:pPr>
                            <w:r>
                              <w:rPr>
                                <w:sz w:val="14"/>
                                <w:szCs w:val="14"/>
                              </w:rPr>
                              <w:t>Reproduction is authorised provided the source is acknowledged.</w:t>
                            </w:r>
                          </w:p>
                          <w:p w:rsidR="0077224F" w:rsidRDefault="0077224F">
                            <w:pPr>
                              <w:widowControl w:val="0"/>
                              <w:spacing w:before="0" w:after="0" w:line="200" w:lineRule="exact"/>
                              <w:rPr>
                                <w:sz w:val="14"/>
                                <w:szCs w:val="14"/>
                              </w:rPr>
                            </w:pPr>
                          </w:p>
                          <w:p w:rsidR="0077224F" w:rsidRDefault="00D973EE">
                            <w:pPr>
                              <w:widowControl w:val="0"/>
                              <w:spacing w:before="0" w:after="0" w:line="200" w:lineRule="exact"/>
                              <w:rPr>
                                <w:sz w:val="14"/>
                                <w:szCs w:val="14"/>
                              </w:rPr>
                            </w:pPr>
                            <w:r>
                              <w:rPr>
                                <w:sz w:val="14"/>
                                <w:szCs w:val="14"/>
                              </w:rPr>
                              <w:t xml:space="preserve">How to cite: Author(s); title; </w:t>
                            </w:r>
                          </w:p>
                          <w:p w:rsidR="0077224F" w:rsidRDefault="0077224F">
                            <w:pPr>
                              <w:widowControl w:val="0"/>
                              <w:spacing w:before="0" w:after="0" w:line="200" w:lineRule="exact"/>
                              <w:rPr>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left:0;text-align:left;margin-left:58.55pt;margin-top:66.75pt;width:403.5pt;height:516.6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" filled="f" stroked="f">
                <v:path arrowok="t"/>
                <v:textbox inset="0,0,0,0">
                  <w:txbxContent>
                    <w:p w:rsidR="0077224F" w:rsidRDefault="00D973EE">
                      <w:pPr>
                        <w:widowControl w:val="0"/>
                        <w:spacing w:before="0" w:after="0" w:line="200" w:lineRule="exact"/>
                        <w:jc w:val="left"/>
                        <w:rPr>
                          <w:sz w:val="14"/>
                          <w:szCs w:val="14"/>
                        </w:rPr>
                      </w:pPr>
                      <w:r>
                        <w:rPr>
                          <w:sz w:val="14"/>
                          <w:szCs w:val="14"/>
                        </w:rPr>
                        <w:t>This publication is a Technical report by the Joint Research Centre (JRC), the European Commission’s science and knowledge service. It</w:t>
                      </w:r>
                      <w:r>
                        <w:rPr>
                          <w:sz w:val="14"/>
                          <w:szCs w:val="14"/>
                        </w:rPr>
                        <w:t xml:space="preserve"> aims to provide evidence-based scientific support to the European policy-making process. The scientific output expressed does not imply a policy position of the European Commission. Neither the European Commission nor any person acting on behalf of the Co</w:t>
                      </w:r>
                      <w:r>
                        <w:rPr>
                          <w:sz w:val="14"/>
                          <w:szCs w:val="14"/>
                        </w:rPr>
                        <w:t>mmission is responsible for the use which might be made of this publication.</w:t>
                      </w:r>
                    </w:p>
                    <w:p w:rsidR="0077224F" w:rsidRDefault="0077224F">
                      <w:pPr>
                        <w:widowControl w:val="0"/>
                        <w:spacing w:before="0" w:after="0" w:line="200" w:lineRule="exact"/>
                        <w:rPr>
                          <w:sz w:val="14"/>
                          <w:szCs w:val="14"/>
                        </w:rPr>
                      </w:pPr>
                    </w:p>
                    <w:p w:rsidR="0077224F" w:rsidRDefault="00D973EE">
                      <w:pPr>
                        <w:widowControl w:val="0"/>
                        <w:spacing w:before="0" w:after="0" w:line="200" w:lineRule="exact"/>
                        <w:rPr>
                          <w:b/>
                          <w:sz w:val="14"/>
                          <w:szCs w:val="14"/>
                          <w:lang w:val="it-IT"/>
                        </w:rPr>
                      </w:pPr>
                      <w:r>
                        <w:rPr>
                          <w:b/>
                          <w:sz w:val="14"/>
                          <w:szCs w:val="14"/>
                          <w:lang w:val="it-IT"/>
                        </w:rPr>
                        <w:t xml:space="preserve">Contact information </w:t>
                      </w:r>
                    </w:p>
                    <w:p w:rsidR="0077224F" w:rsidRDefault="00D973EE">
                      <w:pPr>
                        <w:widowControl w:val="0"/>
                        <w:spacing w:before="0" w:after="0" w:line="200" w:lineRule="exact"/>
                        <w:rPr>
                          <w:sz w:val="14"/>
                          <w:szCs w:val="14"/>
                          <w:lang w:val="it-IT"/>
                        </w:rPr>
                      </w:pPr>
                      <w:r>
                        <w:rPr>
                          <w:sz w:val="14"/>
                          <w:szCs w:val="14"/>
                          <w:lang w:val="it-IT"/>
                        </w:rPr>
                        <w:t>Name: Igor Nai Fovino</w:t>
                      </w:r>
                    </w:p>
                    <w:p w:rsidR="0077224F" w:rsidRDefault="00D973EE">
                      <w:pPr>
                        <w:widowControl w:val="0"/>
                        <w:spacing w:before="0" w:after="0" w:line="200" w:lineRule="exact"/>
                        <w:rPr>
                          <w:sz w:val="14"/>
                          <w:szCs w:val="14"/>
                          <w:lang w:val="it-IT"/>
                        </w:rPr>
                      </w:pPr>
                      <w:r>
                        <w:rPr>
                          <w:sz w:val="14"/>
                          <w:szCs w:val="14"/>
                          <w:lang w:val="it-IT"/>
                        </w:rPr>
                        <w:t>Address: Via E. Fermi 1, Ispra, 21027, VA, Italy</w:t>
                      </w:r>
                    </w:p>
                    <w:p w:rsidR="0077224F" w:rsidRDefault="00D973EE">
                      <w:pPr>
                        <w:widowControl w:val="0"/>
                        <w:spacing w:before="0" w:after="0" w:line="200" w:lineRule="exact"/>
                        <w:rPr>
                          <w:sz w:val="14"/>
                          <w:szCs w:val="14"/>
                          <w:lang w:val="fr-BE"/>
                        </w:rPr>
                      </w:pPr>
                      <w:r>
                        <w:rPr>
                          <w:sz w:val="14"/>
                          <w:szCs w:val="14"/>
                          <w:lang w:val="fr-BE"/>
                        </w:rPr>
                        <w:t>E-mail: igor.nai-fovino@jrc.ec.europa.eu</w:t>
                      </w:r>
                    </w:p>
                    <w:p w:rsidR="0077224F" w:rsidRDefault="00D973EE">
                      <w:pPr>
                        <w:widowControl w:val="0"/>
                        <w:spacing w:before="0" w:after="0" w:line="200" w:lineRule="exact"/>
                        <w:rPr>
                          <w:sz w:val="14"/>
                          <w:szCs w:val="14"/>
                          <w:lang w:val="fr-FR"/>
                        </w:rPr>
                      </w:pPr>
                      <w:r>
                        <w:rPr>
                          <w:sz w:val="14"/>
                          <w:szCs w:val="14"/>
                          <w:lang w:val="fr-FR"/>
                        </w:rPr>
                        <w:t>Tel.: +39 0332785809</w:t>
                      </w:r>
                    </w:p>
                    <w:p w:rsidR="0077224F" w:rsidRDefault="0077224F">
                      <w:pPr>
                        <w:widowControl w:val="0"/>
                        <w:spacing w:before="0" w:after="0" w:line="200" w:lineRule="exact"/>
                        <w:rPr>
                          <w:sz w:val="14"/>
                          <w:szCs w:val="14"/>
                          <w:lang w:val="fr-FR"/>
                        </w:rPr>
                      </w:pPr>
                    </w:p>
                    <w:p w:rsidR="0077224F" w:rsidRDefault="00D973EE">
                      <w:pPr>
                        <w:widowControl w:val="0"/>
                        <w:spacing w:before="0" w:after="0" w:line="200" w:lineRule="exact"/>
                        <w:rPr>
                          <w:b/>
                          <w:sz w:val="14"/>
                          <w:szCs w:val="14"/>
                          <w:lang w:val="fr-FR"/>
                        </w:rPr>
                      </w:pPr>
                      <w:r>
                        <w:rPr>
                          <w:b/>
                          <w:sz w:val="14"/>
                          <w:szCs w:val="14"/>
                          <w:lang w:val="fr-FR"/>
                        </w:rPr>
                        <w:t>JRC Science Hub</w:t>
                      </w:r>
                    </w:p>
                    <w:p w:rsidR="0077224F" w:rsidRDefault="00D973EE">
                      <w:pPr>
                        <w:widowControl w:val="0"/>
                        <w:spacing w:before="0" w:after="0" w:line="200" w:lineRule="exact"/>
                        <w:rPr>
                          <w:sz w:val="14"/>
                          <w:szCs w:val="14"/>
                          <w:lang w:val="fr-FR"/>
                        </w:rPr>
                      </w:pPr>
                      <w:r>
                        <w:rPr>
                          <w:sz w:val="14"/>
                          <w:szCs w:val="14"/>
                          <w:lang w:val="fr-FR"/>
                        </w:rPr>
                        <w:t>https://ec.europa.eu/jrc</w:t>
                      </w:r>
                    </w:p>
                    <w:p w:rsidR="0077224F" w:rsidRDefault="0077224F">
                      <w:pPr>
                        <w:widowControl w:val="0"/>
                        <w:spacing w:before="0" w:after="0" w:line="200" w:lineRule="exact"/>
                        <w:rPr>
                          <w:sz w:val="14"/>
                          <w:szCs w:val="14"/>
                          <w:lang w:val="fr-FR"/>
                        </w:rPr>
                      </w:pPr>
                    </w:p>
                    <w:p w:rsidR="0077224F" w:rsidRDefault="0077224F">
                      <w:pPr>
                        <w:widowControl w:val="0"/>
                        <w:spacing w:before="0" w:after="0" w:line="200" w:lineRule="exact"/>
                        <w:rPr>
                          <w:sz w:val="14"/>
                          <w:szCs w:val="14"/>
                          <w:lang w:val="fr-FR"/>
                        </w:rPr>
                      </w:pPr>
                    </w:p>
                    <w:p w:rsidR="0077224F" w:rsidRDefault="00D973EE">
                      <w:pPr>
                        <w:widowControl w:val="0"/>
                        <w:spacing w:before="0" w:after="0" w:line="200" w:lineRule="exact"/>
                        <w:rPr>
                          <w:sz w:val="14"/>
                          <w:szCs w:val="14"/>
                        </w:rPr>
                      </w:pPr>
                      <w:r>
                        <w:rPr>
                          <w:sz w:val="14"/>
                          <w:szCs w:val="14"/>
                        </w:rPr>
                        <w:t>JRC103740</w:t>
                      </w:r>
                    </w:p>
                    <w:p w:rsidR="0077224F" w:rsidRDefault="0077224F">
                      <w:pPr>
                        <w:widowControl w:val="0"/>
                        <w:spacing w:before="0" w:after="0" w:line="200" w:lineRule="exact"/>
                        <w:rPr>
                          <w:sz w:val="14"/>
                          <w:szCs w:val="14"/>
                        </w:rPr>
                      </w:pPr>
                    </w:p>
                    <w:p w:rsidR="0077224F" w:rsidRDefault="0077224F">
                      <w:pPr>
                        <w:widowControl w:val="0"/>
                        <w:spacing w:before="0" w:after="0" w:line="200" w:lineRule="exact"/>
                        <w:rPr>
                          <w:sz w:val="14"/>
                          <w:szCs w:val="14"/>
                        </w:rPr>
                      </w:pPr>
                    </w:p>
                    <w:p w:rsidR="0077224F" w:rsidRDefault="00D973EE">
                      <w:pPr>
                        <w:widowControl w:val="0"/>
                        <w:spacing w:before="0" w:after="0" w:line="200" w:lineRule="exact"/>
                        <w:rPr>
                          <w:color w:val="FF0000"/>
                          <w:sz w:val="14"/>
                          <w:szCs w:val="14"/>
                        </w:rPr>
                      </w:pPr>
                      <w:r>
                        <w:rPr>
                          <w:sz w:val="14"/>
                          <w:szCs w:val="14"/>
                        </w:rPr>
                        <w:t xml:space="preserve">Luxembourg: Publications Office of the European Union, 2016 </w:t>
                      </w:r>
                    </w:p>
                    <w:p w:rsidR="0077224F" w:rsidRDefault="0077224F">
                      <w:pPr>
                        <w:widowControl w:val="0"/>
                        <w:spacing w:before="0" w:after="0" w:line="200" w:lineRule="exact"/>
                        <w:rPr>
                          <w:sz w:val="14"/>
                          <w:szCs w:val="14"/>
                        </w:rPr>
                      </w:pPr>
                    </w:p>
                    <w:p w:rsidR="0077224F" w:rsidRDefault="00D973EE">
                      <w:pPr>
                        <w:widowControl w:val="0"/>
                        <w:spacing w:before="0" w:after="0" w:line="200" w:lineRule="exact"/>
                        <w:rPr>
                          <w:b/>
                          <w:sz w:val="14"/>
                          <w:szCs w:val="14"/>
                        </w:rPr>
                      </w:pPr>
                      <w:r>
                        <w:rPr>
                          <w:sz w:val="14"/>
                          <w:szCs w:val="14"/>
                        </w:rPr>
                        <w:t>© European Union, 2016</w:t>
                      </w:r>
                    </w:p>
                    <w:p w:rsidR="0077224F" w:rsidRDefault="0077224F">
                      <w:pPr>
                        <w:widowControl w:val="0"/>
                        <w:spacing w:before="0" w:after="0" w:line="200" w:lineRule="exact"/>
                        <w:rPr>
                          <w:sz w:val="14"/>
                          <w:szCs w:val="14"/>
                        </w:rPr>
                      </w:pPr>
                    </w:p>
                    <w:p w:rsidR="0077224F" w:rsidRDefault="00D973EE">
                      <w:pPr>
                        <w:widowControl w:val="0"/>
                        <w:spacing w:before="0" w:after="0" w:line="200" w:lineRule="exact"/>
                        <w:rPr>
                          <w:sz w:val="14"/>
                          <w:szCs w:val="14"/>
                        </w:rPr>
                      </w:pPr>
                      <w:r>
                        <w:rPr>
                          <w:sz w:val="14"/>
                          <w:szCs w:val="14"/>
                        </w:rPr>
                        <w:t>Reproduction is authorised provided the source is acknowledged.</w:t>
                      </w:r>
                    </w:p>
                    <w:p w:rsidR="0077224F" w:rsidRDefault="0077224F">
                      <w:pPr>
                        <w:widowControl w:val="0"/>
                        <w:spacing w:before="0" w:after="0" w:line="200" w:lineRule="exact"/>
                        <w:rPr>
                          <w:sz w:val="14"/>
                          <w:szCs w:val="14"/>
                        </w:rPr>
                      </w:pPr>
                    </w:p>
                    <w:p w:rsidR="0077224F" w:rsidRDefault="00D973EE">
                      <w:pPr>
                        <w:widowControl w:val="0"/>
                        <w:spacing w:before="0" w:after="0" w:line="200" w:lineRule="exact"/>
                        <w:rPr>
                          <w:sz w:val="14"/>
                          <w:szCs w:val="14"/>
                        </w:rPr>
                      </w:pPr>
                      <w:r>
                        <w:rPr>
                          <w:sz w:val="14"/>
                          <w:szCs w:val="14"/>
                        </w:rPr>
                        <w:t xml:space="preserve">How to cite: Author(s); title; </w:t>
                      </w:r>
                    </w:p>
                    <w:p w:rsidR="0077224F" w:rsidRDefault="0077224F">
                      <w:pPr>
                        <w:widowControl w:val="0"/>
                        <w:spacing w:before="0" w:after="0" w:line="200" w:lineRule="exact"/>
                        <w:rPr>
                          <w:sz w:val="14"/>
                          <w:szCs w:val="14"/>
                        </w:rPr>
                      </w:pPr>
                    </w:p>
                  </w:txbxContent>
                </v:textbox>
                <w10:wrap type="through" anchorx="page" anchory="page"/>
                <w10:anchorlock/>
              </v:shape>
            </w:pict>
          </mc:Fallback>
        </mc:AlternateContent>
      </w:r>
      <w:r>
        <w:rPr>
          <w:b/>
          <w:noProof/>
          <w:color w:val="0033CC"/>
          <w:sz w:val="26"/>
          <w:szCs w:val="26"/>
        </w:rPr>
        <w:br w:type="page"/>
      </w:r>
    </w:p>
    <w:p w:rsidR="0077224F" w:rsidRDefault="00D973EE">
      <w:pPr>
        <w:pStyle w:val="Contentsdoesnotappearintableofcontents"/>
        <w:rPr>
          <w:noProof/>
          <w:color w:val="002060"/>
        </w:rPr>
      </w:pPr>
      <w:r>
        <w:rPr>
          <w:noProof/>
        </w:rPr>
        <w:t>Table of contents</w:t>
      </w:r>
    </w:p>
    <w:bookmarkStart w:id="386" w:name="_Toc411013654"/>
    <w:p w:rsidR="0077224F" w:rsidRDefault="00D973EE">
      <w:pPr>
        <w:pStyle w:val="TOC1"/>
        <w:tabs>
          <w:tab w:val="right" w:leader="dot" w:pos="9010"/>
        </w:tabs>
        <w:rPr>
          <w:rFonts w:asciiTheme="minorHAnsi" w:eastAsiaTheme="minorEastAsia" w:hAnsiTheme="minorHAnsi" w:cstheme="minorBidi"/>
          <w:noProof/>
          <w:sz w:val="22"/>
          <w:szCs w:val="22"/>
          <w:lang w:eastAsia="en-GB"/>
        </w:rPr>
      </w:pPr>
      <w:r>
        <w:rPr>
          <w:noProof/>
        </w:rPr>
        <w:fldChar w:fldCharType="begin"/>
      </w:r>
      <w:r>
        <w:rPr>
          <w:noProof/>
        </w:rPr>
        <w:instrText xml:space="preserve"> TOC \o "1-5" \h \z \u </w:instrText>
      </w:r>
      <w:r>
        <w:rPr>
          <w:noProof/>
        </w:rPr>
        <w:fldChar w:fldCharType="separate"/>
      </w:r>
      <w:hyperlink w:anchor="_Toc466024033" w:history="1">
        <w:r>
          <w:rPr>
            <w:rStyle w:val="Hyperlink"/>
            <w:noProof/>
          </w:rPr>
          <w:t>Abstract</w:t>
        </w:r>
        <w:r>
          <w:rPr>
            <w:noProof/>
            <w:webHidden/>
          </w:rPr>
          <w:tab/>
        </w:r>
        <w:r>
          <w:rPr>
            <w:noProof/>
            <w:webHidden/>
          </w:rPr>
          <w:fldChar w:fldCharType="begin"/>
        </w:r>
        <w:r>
          <w:rPr>
            <w:noProof/>
            <w:webHidden/>
          </w:rPr>
          <w:instrText xml:space="preserve"> PAGEREF _Toc466024033 \h </w:instrText>
        </w:r>
        <w:r>
          <w:rPr>
            <w:noProof/>
            <w:webHidden/>
          </w:rPr>
        </w:r>
        <w:r>
          <w:rPr>
            <w:noProof/>
            <w:webHidden/>
          </w:rPr>
          <w:fldChar w:fldCharType="separate"/>
        </w:r>
        <w:r>
          <w:rPr>
            <w:noProof/>
            <w:webHidden/>
          </w:rPr>
          <w:t>1</w:t>
        </w:r>
        <w:r>
          <w:rPr>
            <w:noProof/>
            <w:webHidden/>
          </w:rPr>
          <w:fldChar w:fldCharType="end"/>
        </w:r>
      </w:hyperlink>
    </w:p>
    <w:p w:rsidR="0077224F" w:rsidRDefault="00D973EE">
      <w:pPr>
        <w:pStyle w:val="TOC1"/>
        <w:tabs>
          <w:tab w:val="left" w:pos="400"/>
          <w:tab w:val="right" w:leader="dot" w:pos="9010"/>
        </w:tabs>
        <w:rPr>
          <w:rFonts w:asciiTheme="minorHAnsi" w:eastAsiaTheme="minorEastAsia" w:hAnsiTheme="minorHAnsi" w:cstheme="minorBidi"/>
          <w:noProof/>
          <w:sz w:val="22"/>
          <w:szCs w:val="22"/>
          <w:lang w:eastAsia="en-GB"/>
        </w:rPr>
      </w:pPr>
      <w:hyperlink w:anchor="_Toc466024034" w:history="1">
        <w:r>
          <w:rPr>
            <w:rStyle w:val="Hyperlink"/>
            <w:noProof/>
          </w:rPr>
          <w:t>1</w:t>
        </w:r>
        <w:r>
          <w:rPr>
            <w:rFonts w:asciiTheme="minorHAnsi" w:eastAsiaTheme="minorEastAsia" w:hAnsiTheme="minorHAnsi" w:cstheme="minorBidi"/>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_Toc466024034 \h </w:instrText>
        </w:r>
        <w:r>
          <w:rPr>
            <w:noProof/>
            <w:webHidden/>
          </w:rPr>
        </w:r>
        <w:r>
          <w:rPr>
            <w:noProof/>
            <w:webHidden/>
          </w:rPr>
          <w:fldChar w:fldCharType="separate"/>
        </w:r>
        <w:r>
          <w:rPr>
            <w:noProof/>
            <w:webHidden/>
          </w:rPr>
          <w:t>3</w:t>
        </w:r>
        <w:r>
          <w:rPr>
            <w:noProof/>
            <w:webHidden/>
          </w:rPr>
          <w:fldChar w:fldCharType="end"/>
        </w:r>
      </w:hyperlink>
    </w:p>
    <w:p w:rsidR="0077224F" w:rsidRDefault="00D973EE">
      <w:pPr>
        <w:pStyle w:val="TOC1"/>
        <w:tabs>
          <w:tab w:val="left" w:pos="400"/>
          <w:tab w:val="right" w:leader="dot" w:pos="9010"/>
        </w:tabs>
        <w:rPr>
          <w:rFonts w:asciiTheme="minorHAnsi" w:eastAsiaTheme="minorEastAsia" w:hAnsiTheme="minorHAnsi" w:cstheme="minorBidi"/>
          <w:noProof/>
          <w:sz w:val="22"/>
          <w:szCs w:val="22"/>
          <w:lang w:eastAsia="en-GB"/>
        </w:rPr>
      </w:pPr>
      <w:hyperlink w:anchor="_Toc466024035" w:history="1">
        <w:r>
          <w:rPr>
            <w:rStyle w:val="Hyperlink"/>
            <w:noProof/>
          </w:rPr>
          <w:t>2</w:t>
        </w:r>
        <w:r>
          <w:rPr>
            <w:rFonts w:asciiTheme="minorHAnsi" w:eastAsiaTheme="minorEastAsia" w:hAnsiTheme="minorHAnsi" w:cstheme="minorBidi"/>
            <w:noProof/>
            <w:sz w:val="22"/>
            <w:szCs w:val="22"/>
            <w:lang w:eastAsia="en-GB"/>
          </w:rPr>
          <w:tab/>
        </w:r>
        <w:r>
          <w:rPr>
            <w:rStyle w:val="Hyperlink"/>
            <w:noProof/>
          </w:rPr>
          <w:t>Setting the Scene</w:t>
        </w:r>
        <w:r>
          <w:rPr>
            <w:noProof/>
            <w:webHidden/>
          </w:rPr>
          <w:tab/>
        </w:r>
        <w:r>
          <w:rPr>
            <w:noProof/>
            <w:webHidden/>
          </w:rPr>
          <w:fldChar w:fldCharType="begin"/>
        </w:r>
        <w:r>
          <w:rPr>
            <w:noProof/>
            <w:webHidden/>
          </w:rPr>
          <w:instrText xml:space="preserve"> PAGEREF _Toc466024035 \h </w:instrText>
        </w:r>
        <w:r>
          <w:rPr>
            <w:noProof/>
            <w:webHidden/>
          </w:rPr>
        </w:r>
        <w:r>
          <w:rPr>
            <w:noProof/>
            <w:webHidden/>
          </w:rPr>
          <w:fldChar w:fldCharType="separate"/>
        </w:r>
        <w:r>
          <w:rPr>
            <w:noProof/>
            <w:webHidden/>
          </w:rPr>
          <w:t>5</w:t>
        </w:r>
        <w:r>
          <w:rPr>
            <w:noProof/>
            <w:webHidden/>
          </w:rPr>
          <w:fldChar w:fldCharType="end"/>
        </w:r>
      </w:hyperlink>
    </w:p>
    <w:p w:rsidR="0077224F" w:rsidRDefault="00D973EE">
      <w:pPr>
        <w:pStyle w:val="TOC1"/>
        <w:tabs>
          <w:tab w:val="left" w:pos="400"/>
          <w:tab w:val="right" w:leader="dot" w:pos="9010"/>
        </w:tabs>
        <w:rPr>
          <w:rFonts w:asciiTheme="minorHAnsi" w:eastAsiaTheme="minorEastAsia" w:hAnsiTheme="minorHAnsi" w:cstheme="minorBidi"/>
          <w:noProof/>
          <w:sz w:val="22"/>
          <w:szCs w:val="22"/>
          <w:lang w:eastAsia="en-GB"/>
        </w:rPr>
      </w:pPr>
      <w:hyperlink w:anchor="_Toc466024036" w:history="1">
        <w:r>
          <w:rPr>
            <w:rStyle w:val="Hyperlink"/>
            <w:noProof/>
          </w:rPr>
          <w:t>3</w:t>
        </w:r>
        <w:r>
          <w:rPr>
            <w:rFonts w:asciiTheme="minorHAnsi" w:eastAsiaTheme="minorEastAsia" w:hAnsiTheme="minorHAnsi" w:cstheme="minorBidi"/>
            <w:noProof/>
            <w:sz w:val="22"/>
            <w:szCs w:val="22"/>
            <w:lang w:eastAsia="en-GB"/>
          </w:rPr>
          <w:tab/>
        </w:r>
        <w:r>
          <w:rPr>
            <w:rStyle w:val="Hyperlink"/>
            <w:noProof/>
          </w:rPr>
          <w:t>User Applications</w:t>
        </w:r>
        <w:r>
          <w:rPr>
            <w:noProof/>
            <w:webHidden/>
          </w:rPr>
          <w:tab/>
        </w:r>
        <w:r>
          <w:rPr>
            <w:noProof/>
            <w:webHidden/>
          </w:rPr>
          <w:fldChar w:fldCharType="begin"/>
        </w:r>
        <w:r>
          <w:rPr>
            <w:noProof/>
            <w:webHidden/>
          </w:rPr>
          <w:instrText xml:space="preserve"> PAGER</w:instrText>
        </w:r>
        <w:r>
          <w:rPr>
            <w:noProof/>
            <w:webHidden/>
          </w:rPr>
          <w:instrText xml:space="preserve">EF _Toc466024036 \h </w:instrText>
        </w:r>
        <w:r>
          <w:rPr>
            <w:noProof/>
            <w:webHidden/>
          </w:rPr>
        </w:r>
        <w:r>
          <w:rPr>
            <w:noProof/>
            <w:webHidden/>
          </w:rPr>
          <w:fldChar w:fldCharType="separate"/>
        </w:r>
        <w:r>
          <w:rPr>
            <w:noProof/>
            <w:webHidden/>
          </w:rPr>
          <w:t>9</w:t>
        </w:r>
        <w:r>
          <w:rPr>
            <w:noProof/>
            <w:webHidden/>
          </w:rPr>
          <w:fldChar w:fldCharType="end"/>
        </w:r>
      </w:hyperlink>
    </w:p>
    <w:p w:rsidR="0077224F" w:rsidRDefault="00D973EE">
      <w:pPr>
        <w:pStyle w:val="TOC2"/>
        <w:tabs>
          <w:tab w:val="left" w:pos="800"/>
          <w:tab w:val="right" w:leader="dot" w:pos="9010"/>
        </w:tabs>
        <w:rPr>
          <w:rFonts w:asciiTheme="minorHAnsi" w:eastAsiaTheme="minorEastAsia" w:hAnsiTheme="minorHAnsi" w:cstheme="minorBidi"/>
          <w:noProof/>
          <w:sz w:val="22"/>
          <w:szCs w:val="22"/>
          <w:lang w:eastAsia="en-GB"/>
        </w:rPr>
      </w:pPr>
      <w:hyperlink w:anchor="_Toc466024037" w:history="1">
        <w:r>
          <w:rPr>
            <w:rStyle w:val="Hyperlink"/>
            <w:noProof/>
          </w:rPr>
          <w:t>3.1</w:t>
        </w:r>
        <w:r>
          <w:rPr>
            <w:rFonts w:asciiTheme="minorHAnsi" w:eastAsiaTheme="minorEastAsia" w:hAnsiTheme="minorHAnsi" w:cstheme="minorBidi"/>
            <w:noProof/>
            <w:sz w:val="22"/>
            <w:szCs w:val="22"/>
            <w:lang w:eastAsia="en-GB"/>
          </w:rPr>
          <w:tab/>
        </w:r>
        <w:r>
          <w:rPr>
            <w:rStyle w:val="Hyperlink"/>
            <w:noProof/>
          </w:rPr>
          <w:t>Malicious Applications</w:t>
        </w:r>
        <w:r>
          <w:rPr>
            <w:noProof/>
            <w:webHidden/>
          </w:rPr>
          <w:tab/>
        </w:r>
        <w:r>
          <w:rPr>
            <w:noProof/>
            <w:webHidden/>
          </w:rPr>
          <w:fldChar w:fldCharType="begin"/>
        </w:r>
        <w:r>
          <w:rPr>
            <w:noProof/>
            <w:webHidden/>
          </w:rPr>
          <w:instrText xml:space="preserve"> PAGEREF _Toc466024037 \h </w:instrText>
        </w:r>
        <w:r>
          <w:rPr>
            <w:noProof/>
            <w:webHidden/>
          </w:rPr>
        </w:r>
        <w:r>
          <w:rPr>
            <w:noProof/>
            <w:webHidden/>
          </w:rPr>
          <w:fldChar w:fldCharType="separate"/>
        </w:r>
        <w:r>
          <w:rPr>
            <w:noProof/>
            <w:webHidden/>
          </w:rPr>
          <w:t>9</w:t>
        </w:r>
        <w:r>
          <w:rPr>
            <w:noProof/>
            <w:webHidden/>
          </w:rPr>
          <w:fldChar w:fldCharType="end"/>
        </w:r>
      </w:hyperlink>
    </w:p>
    <w:p w:rsidR="0077224F" w:rsidRDefault="00D973EE">
      <w:pPr>
        <w:pStyle w:val="TOC3"/>
        <w:tabs>
          <w:tab w:val="left" w:pos="1320"/>
          <w:tab w:val="right" w:leader="dot" w:pos="9010"/>
        </w:tabs>
        <w:rPr>
          <w:rFonts w:asciiTheme="minorHAnsi" w:eastAsiaTheme="minorEastAsia" w:hAnsiTheme="minorHAnsi" w:cstheme="minorBidi"/>
          <w:noProof/>
          <w:sz w:val="22"/>
          <w:szCs w:val="22"/>
          <w:lang w:eastAsia="en-GB"/>
        </w:rPr>
      </w:pPr>
      <w:hyperlink w:anchor="_Toc466024038" w:history="1">
        <w:r>
          <w:rPr>
            <w:rStyle w:val="Hyperlink"/>
            <w:noProof/>
          </w:rPr>
          <w:t>3.1.1</w:t>
        </w:r>
        <w:r>
          <w:rPr>
            <w:rFonts w:asciiTheme="minorHAnsi" w:eastAsiaTheme="minorEastAsia" w:hAnsiTheme="minorHAnsi" w:cstheme="minorBidi"/>
            <w:noProof/>
            <w:sz w:val="22"/>
            <w:szCs w:val="22"/>
            <w:lang w:eastAsia="en-GB"/>
          </w:rPr>
          <w:tab/>
        </w:r>
        <w:r>
          <w:rPr>
            <w:rStyle w:val="Hyperlink"/>
            <w:noProof/>
          </w:rPr>
          <w:t>Android (Google)</w:t>
        </w:r>
        <w:r>
          <w:rPr>
            <w:noProof/>
            <w:webHidden/>
          </w:rPr>
          <w:tab/>
        </w:r>
        <w:r>
          <w:rPr>
            <w:noProof/>
            <w:webHidden/>
          </w:rPr>
          <w:fldChar w:fldCharType="begin"/>
        </w:r>
        <w:r>
          <w:rPr>
            <w:noProof/>
            <w:webHidden/>
          </w:rPr>
          <w:instrText xml:space="preserve"> PAGEREF _Toc466024038 \h </w:instrText>
        </w:r>
        <w:r>
          <w:rPr>
            <w:noProof/>
            <w:webHidden/>
          </w:rPr>
        </w:r>
        <w:r>
          <w:rPr>
            <w:noProof/>
            <w:webHidden/>
          </w:rPr>
          <w:fldChar w:fldCharType="separate"/>
        </w:r>
        <w:r>
          <w:rPr>
            <w:noProof/>
            <w:webHidden/>
          </w:rPr>
          <w:t>9</w:t>
        </w:r>
        <w:r>
          <w:rPr>
            <w:noProof/>
            <w:webHidden/>
          </w:rPr>
          <w:fldChar w:fldCharType="end"/>
        </w:r>
      </w:hyperlink>
    </w:p>
    <w:p w:rsidR="0077224F" w:rsidRDefault="00D973EE">
      <w:pPr>
        <w:pStyle w:val="TOC3"/>
        <w:tabs>
          <w:tab w:val="left" w:pos="1320"/>
          <w:tab w:val="right" w:leader="dot" w:pos="9010"/>
        </w:tabs>
        <w:rPr>
          <w:rFonts w:asciiTheme="minorHAnsi" w:eastAsiaTheme="minorEastAsia" w:hAnsiTheme="minorHAnsi" w:cstheme="minorBidi"/>
          <w:noProof/>
          <w:sz w:val="22"/>
          <w:szCs w:val="22"/>
          <w:lang w:eastAsia="en-GB"/>
        </w:rPr>
      </w:pPr>
      <w:hyperlink w:anchor="_Toc466024039" w:history="1">
        <w:r>
          <w:rPr>
            <w:rStyle w:val="Hyperlink"/>
            <w:noProof/>
          </w:rPr>
          <w:t>3.1.2</w:t>
        </w:r>
        <w:r>
          <w:rPr>
            <w:rFonts w:asciiTheme="minorHAnsi" w:eastAsiaTheme="minorEastAsia" w:hAnsiTheme="minorHAnsi" w:cstheme="minorBidi"/>
            <w:noProof/>
            <w:sz w:val="22"/>
            <w:szCs w:val="22"/>
            <w:lang w:eastAsia="en-GB"/>
          </w:rPr>
          <w:tab/>
        </w:r>
        <w:r>
          <w:rPr>
            <w:rStyle w:val="Hyperlink"/>
            <w:noProof/>
          </w:rPr>
          <w:t>iOS (Apple)</w:t>
        </w:r>
        <w:r>
          <w:rPr>
            <w:noProof/>
            <w:webHidden/>
          </w:rPr>
          <w:tab/>
        </w:r>
        <w:r>
          <w:rPr>
            <w:noProof/>
            <w:webHidden/>
          </w:rPr>
          <w:fldChar w:fldCharType="begin"/>
        </w:r>
        <w:r>
          <w:rPr>
            <w:noProof/>
            <w:webHidden/>
          </w:rPr>
          <w:instrText xml:space="preserve"> PAGEREF _Toc466024039 \h </w:instrText>
        </w:r>
        <w:r>
          <w:rPr>
            <w:noProof/>
            <w:webHidden/>
          </w:rPr>
        </w:r>
        <w:r>
          <w:rPr>
            <w:noProof/>
            <w:webHidden/>
          </w:rPr>
          <w:fldChar w:fldCharType="separate"/>
        </w:r>
        <w:r>
          <w:rPr>
            <w:noProof/>
            <w:webHidden/>
          </w:rPr>
          <w:t>9</w:t>
        </w:r>
        <w:r>
          <w:rPr>
            <w:noProof/>
            <w:webHidden/>
          </w:rPr>
          <w:fldChar w:fldCharType="end"/>
        </w:r>
      </w:hyperlink>
    </w:p>
    <w:p w:rsidR="0077224F" w:rsidRDefault="00D973EE">
      <w:pPr>
        <w:pStyle w:val="TOC3"/>
        <w:tabs>
          <w:tab w:val="left" w:pos="1320"/>
          <w:tab w:val="right" w:leader="dot" w:pos="9010"/>
        </w:tabs>
        <w:rPr>
          <w:rFonts w:asciiTheme="minorHAnsi" w:eastAsiaTheme="minorEastAsia" w:hAnsiTheme="minorHAnsi" w:cstheme="minorBidi"/>
          <w:noProof/>
          <w:sz w:val="22"/>
          <w:szCs w:val="22"/>
          <w:lang w:eastAsia="en-GB"/>
        </w:rPr>
      </w:pPr>
      <w:hyperlink w:anchor="_Toc466024040" w:history="1">
        <w:r>
          <w:rPr>
            <w:rStyle w:val="Hyperlink"/>
            <w:noProof/>
          </w:rPr>
          <w:t>3.1.3</w:t>
        </w:r>
        <w:r>
          <w:rPr>
            <w:rFonts w:asciiTheme="minorHAnsi" w:eastAsiaTheme="minorEastAsia" w:hAnsiTheme="minorHAnsi" w:cstheme="minorBidi"/>
            <w:noProof/>
            <w:sz w:val="22"/>
            <w:szCs w:val="22"/>
            <w:lang w:eastAsia="en-GB"/>
          </w:rPr>
          <w:tab/>
        </w:r>
        <w:r>
          <w:rPr>
            <w:rStyle w:val="Hyperlink"/>
            <w:noProof/>
          </w:rPr>
          <w:t>Mobile Apps (General)</w:t>
        </w:r>
        <w:r>
          <w:rPr>
            <w:noProof/>
            <w:webHidden/>
          </w:rPr>
          <w:tab/>
        </w:r>
        <w:r>
          <w:rPr>
            <w:noProof/>
            <w:webHidden/>
          </w:rPr>
          <w:fldChar w:fldCharType="begin"/>
        </w:r>
        <w:r>
          <w:rPr>
            <w:noProof/>
            <w:webHidden/>
          </w:rPr>
          <w:instrText xml:space="preserve"> PAGEREF _Toc466024040 \h </w:instrText>
        </w:r>
        <w:r>
          <w:rPr>
            <w:noProof/>
            <w:webHidden/>
          </w:rPr>
        </w:r>
        <w:r>
          <w:rPr>
            <w:noProof/>
            <w:webHidden/>
          </w:rPr>
          <w:fldChar w:fldCharType="separate"/>
        </w:r>
        <w:r>
          <w:rPr>
            <w:noProof/>
            <w:webHidden/>
          </w:rPr>
          <w:t>10</w:t>
        </w:r>
        <w:r>
          <w:rPr>
            <w:noProof/>
            <w:webHidden/>
          </w:rPr>
          <w:fldChar w:fldCharType="end"/>
        </w:r>
      </w:hyperlink>
    </w:p>
    <w:p w:rsidR="0077224F" w:rsidRDefault="00D973EE">
      <w:pPr>
        <w:pStyle w:val="TOC3"/>
        <w:tabs>
          <w:tab w:val="left" w:pos="1320"/>
          <w:tab w:val="right" w:leader="dot" w:pos="9010"/>
        </w:tabs>
        <w:rPr>
          <w:rFonts w:asciiTheme="minorHAnsi" w:eastAsiaTheme="minorEastAsia" w:hAnsiTheme="minorHAnsi" w:cstheme="minorBidi"/>
          <w:noProof/>
          <w:sz w:val="22"/>
          <w:szCs w:val="22"/>
          <w:lang w:eastAsia="en-GB"/>
        </w:rPr>
      </w:pPr>
      <w:hyperlink w:anchor="_Toc466024041" w:history="1">
        <w:r>
          <w:rPr>
            <w:rStyle w:val="Hyperlink"/>
            <w:noProof/>
          </w:rPr>
          <w:t>3.1.4</w:t>
        </w:r>
        <w:r>
          <w:rPr>
            <w:rFonts w:asciiTheme="minorHAnsi" w:eastAsiaTheme="minorEastAsia" w:hAnsiTheme="minorHAnsi" w:cstheme="minorBidi"/>
            <w:noProof/>
            <w:sz w:val="22"/>
            <w:szCs w:val="22"/>
            <w:lang w:eastAsia="en-GB"/>
          </w:rPr>
          <w:tab/>
        </w:r>
        <w:r>
          <w:rPr>
            <w:rStyle w:val="Hyperlink"/>
            <w:noProof/>
          </w:rPr>
          <w:t>Desktop Operating Sy</w:t>
        </w:r>
        <w:r>
          <w:rPr>
            <w:rStyle w:val="Hyperlink"/>
            <w:noProof/>
          </w:rPr>
          <w:t>stems</w:t>
        </w:r>
        <w:r>
          <w:rPr>
            <w:noProof/>
            <w:webHidden/>
          </w:rPr>
          <w:tab/>
        </w:r>
        <w:r>
          <w:rPr>
            <w:noProof/>
            <w:webHidden/>
          </w:rPr>
          <w:fldChar w:fldCharType="begin"/>
        </w:r>
        <w:r>
          <w:rPr>
            <w:noProof/>
            <w:webHidden/>
          </w:rPr>
          <w:instrText xml:space="preserve"> PAGEREF _Toc466024041 \h </w:instrText>
        </w:r>
        <w:r>
          <w:rPr>
            <w:noProof/>
            <w:webHidden/>
          </w:rPr>
        </w:r>
        <w:r>
          <w:rPr>
            <w:noProof/>
            <w:webHidden/>
          </w:rPr>
          <w:fldChar w:fldCharType="separate"/>
        </w:r>
        <w:r>
          <w:rPr>
            <w:noProof/>
            <w:webHidden/>
          </w:rPr>
          <w:t>11</w:t>
        </w:r>
        <w:r>
          <w:rPr>
            <w:noProof/>
            <w:webHidden/>
          </w:rPr>
          <w:fldChar w:fldCharType="end"/>
        </w:r>
      </w:hyperlink>
    </w:p>
    <w:p w:rsidR="0077224F" w:rsidRDefault="00D973EE">
      <w:pPr>
        <w:pStyle w:val="TOC4"/>
        <w:tabs>
          <w:tab w:val="left" w:pos="1760"/>
          <w:tab w:val="right" w:leader="dot" w:pos="9010"/>
        </w:tabs>
        <w:rPr>
          <w:rFonts w:asciiTheme="minorHAnsi" w:eastAsiaTheme="minorEastAsia" w:hAnsiTheme="minorHAnsi" w:cstheme="minorBidi"/>
          <w:noProof/>
          <w:sz w:val="22"/>
          <w:szCs w:val="22"/>
          <w:lang w:eastAsia="en-GB"/>
        </w:rPr>
      </w:pPr>
      <w:hyperlink w:anchor="_Toc466024042" w:history="1">
        <w:r>
          <w:rPr>
            <w:rStyle w:val="Hyperlink"/>
            <w:noProof/>
          </w:rPr>
          <w:t>3.1.4.1</w:t>
        </w:r>
        <w:r>
          <w:rPr>
            <w:rFonts w:asciiTheme="minorHAnsi" w:eastAsiaTheme="minorEastAsia" w:hAnsiTheme="minorHAnsi" w:cstheme="minorBidi"/>
            <w:noProof/>
            <w:sz w:val="22"/>
            <w:szCs w:val="22"/>
            <w:lang w:eastAsia="en-GB"/>
          </w:rPr>
          <w:tab/>
        </w:r>
        <w:r>
          <w:rPr>
            <w:rStyle w:val="Hyperlink"/>
            <w:noProof/>
          </w:rPr>
          <w:t>Windows</w:t>
        </w:r>
        <w:r>
          <w:rPr>
            <w:noProof/>
            <w:webHidden/>
          </w:rPr>
          <w:tab/>
        </w:r>
        <w:r>
          <w:rPr>
            <w:noProof/>
            <w:webHidden/>
          </w:rPr>
          <w:fldChar w:fldCharType="begin"/>
        </w:r>
        <w:r>
          <w:rPr>
            <w:noProof/>
            <w:webHidden/>
          </w:rPr>
          <w:instrText xml:space="preserve"> PAGEREF _Toc466024042 \h </w:instrText>
        </w:r>
        <w:r>
          <w:rPr>
            <w:noProof/>
            <w:webHidden/>
          </w:rPr>
        </w:r>
        <w:r>
          <w:rPr>
            <w:noProof/>
            <w:webHidden/>
          </w:rPr>
          <w:fldChar w:fldCharType="separate"/>
        </w:r>
        <w:r>
          <w:rPr>
            <w:noProof/>
            <w:webHidden/>
          </w:rPr>
          <w:t>12</w:t>
        </w:r>
        <w:r>
          <w:rPr>
            <w:noProof/>
            <w:webHidden/>
          </w:rPr>
          <w:fldChar w:fldCharType="end"/>
        </w:r>
      </w:hyperlink>
    </w:p>
    <w:p w:rsidR="0077224F" w:rsidRDefault="00D973EE">
      <w:pPr>
        <w:pStyle w:val="TOC4"/>
        <w:tabs>
          <w:tab w:val="left" w:pos="1760"/>
          <w:tab w:val="right" w:leader="dot" w:pos="9010"/>
        </w:tabs>
        <w:rPr>
          <w:rFonts w:asciiTheme="minorHAnsi" w:eastAsiaTheme="minorEastAsia" w:hAnsiTheme="minorHAnsi" w:cstheme="minorBidi"/>
          <w:noProof/>
          <w:sz w:val="22"/>
          <w:szCs w:val="22"/>
          <w:lang w:eastAsia="en-GB"/>
        </w:rPr>
      </w:pPr>
      <w:hyperlink w:anchor="_Toc466024043" w:history="1">
        <w:r>
          <w:rPr>
            <w:rStyle w:val="Hyperlink"/>
            <w:noProof/>
          </w:rPr>
          <w:t>3.1.4.2</w:t>
        </w:r>
        <w:r>
          <w:rPr>
            <w:rFonts w:asciiTheme="minorHAnsi" w:eastAsiaTheme="minorEastAsia" w:hAnsiTheme="minorHAnsi" w:cstheme="minorBidi"/>
            <w:noProof/>
            <w:sz w:val="22"/>
            <w:szCs w:val="22"/>
            <w:lang w:eastAsia="en-GB"/>
          </w:rPr>
          <w:tab/>
        </w:r>
        <w:r>
          <w:rPr>
            <w:rStyle w:val="Hyperlink"/>
            <w:noProof/>
          </w:rPr>
          <w:t>Linux\Unix</w:t>
        </w:r>
        <w:r>
          <w:rPr>
            <w:noProof/>
            <w:webHidden/>
          </w:rPr>
          <w:tab/>
        </w:r>
        <w:r>
          <w:rPr>
            <w:noProof/>
            <w:webHidden/>
          </w:rPr>
          <w:fldChar w:fldCharType="begin"/>
        </w:r>
        <w:r>
          <w:rPr>
            <w:noProof/>
            <w:webHidden/>
          </w:rPr>
          <w:instrText xml:space="preserve"> PAGEREF _Toc466024043 \h </w:instrText>
        </w:r>
        <w:r>
          <w:rPr>
            <w:noProof/>
            <w:webHidden/>
          </w:rPr>
        </w:r>
        <w:r>
          <w:rPr>
            <w:noProof/>
            <w:webHidden/>
          </w:rPr>
          <w:fldChar w:fldCharType="separate"/>
        </w:r>
        <w:r>
          <w:rPr>
            <w:noProof/>
            <w:webHidden/>
          </w:rPr>
          <w:t>12</w:t>
        </w:r>
        <w:r>
          <w:rPr>
            <w:noProof/>
            <w:webHidden/>
          </w:rPr>
          <w:fldChar w:fldCharType="end"/>
        </w:r>
      </w:hyperlink>
    </w:p>
    <w:p w:rsidR="0077224F" w:rsidRDefault="00D973EE">
      <w:pPr>
        <w:pStyle w:val="TOC1"/>
        <w:tabs>
          <w:tab w:val="left" w:pos="400"/>
          <w:tab w:val="right" w:leader="dot" w:pos="9010"/>
        </w:tabs>
        <w:rPr>
          <w:rFonts w:asciiTheme="minorHAnsi" w:eastAsiaTheme="minorEastAsia" w:hAnsiTheme="minorHAnsi" w:cstheme="minorBidi"/>
          <w:noProof/>
          <w:sz w:val="22"/>
          <w:szCs w:val="22"/>
          <w:lang w:eastAsia="en-GB"/>
        </w:rPr>
      </w:pPr>
      <w:hyperlink w:anchor="_Toc466024044" w:history="1">
        <w:r>
          <w:rPr>
            <w:rStyle w:val="Hyperlink"/>
            <w:noProof/>
          </w:rPr>
          <w:t>4</w:t>
        </w:r>
        <w:r>
          <w:rPr>
            <w:rFonts w:asciiTheme="minorHAnsi" w:eastAsiaTheme="minorEastAsia" w:hAnsiTheme="minorHAnsi" w:cstheme="minorBidi"/>
            <w:noProof/>
            <w:sz w:val="22"/>
            <w:szCs w:val="22"/>
            <w:lang w:eastAsia="en-GB"/>
          </w:rPr>
          <w:tab/>
        </w:r>
        <w:r>
          <w:rPr>
            <w:rStyle w:val="Hyperlink"/>
            <w:noProof/>
          </w:rPr>
          <w:t>Mobile A</w:t>
        </w:r>
        <w:r>
          <w:rPr>
            <w:rStyle w:val="Hyperlink"/>
            <w:noProof/>
          </w:rPr>
          <w:t>pp Ecosystem (a detailed look)</w:t>
        </w:r>
        <w:r>
          <w:rPr>
            <w:noProof/>
            <w:webHidden/>
          </w:rPr>
          <w:tab/>
        </w:r>
        <w:r>
          <w:rPr>
            <w:noProof/>
            <w:webHidden/>
          </w:rPr>
          <w:fldChar w:fldCharType="begin"/>
        </w:r>
        <w:r>
          <w:rPr>
            <w:noProof/>
            <w:webHidden/>
          </w:rPr>
          <w:instrText xml:space="preserve"> PAGEREF _Toc466024044 \h </w:instrText>
        </w:r>
        <w:r>
          <w:rPr>
            <w:noProof/>
            <w:webHidden/>
          </w:rPr>
        </w:r>
        <w:r>
          <w:rPr>
            <w:noProof/>
            <w:webHidden/>
          </w:rPr>
          <w:fldChar w:fldCharType="separate"/>
        </w:r>
        <w:r>
          <w:rPr>
            <w:noProof/>
            <w:webHidden/>
          </w:rPr>
          <w:t>13</w:t>
        </w:r>
        <w:r>
          <w:rPr>
            <w:noProof/>
            <w:webHidden/>
          </w:rPr>
          <w:fldChar w:fldCharType="end"/>
        </w:r>
      </w:hyperlink>
    </w:p>
    <w:p w:rsidR="0077224F" w:rsidRDefault="00D973EE">
      <w:pPr>
        <w:pStyle w:val="TOC2"/>
        <w:tabs>
          <w:tab w:val="left" w:pos="800"/>
          <w:tab w:val="right" w:leader="dot" w:pos="9010"/>
        </w:tabs>
        <w:rPr>
          <w:rFonts w:asciiTheme="minorHAnsi" w:eastAsiaTheme="minorEastAsia" w:hAnsiTheme="minorHAnsi" w:cstheme="minorBidi"/>
          <w:noProof/>
          <w:sz w:val="22"/>
          <w:szCs w:val="22"/>
          <w:lang w:eastAsia="en-GB"/>
        </w:rPr>
      </w:pPr>
      <w:hyperlink w:anchor="_Toc466024045"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Android</w:t>
        </w:r>
        <w:r>
          <w:rPr>
            <w:noProof/>
            <w:webHidden/>
          </w:rPr>
          <w:tab/>
        </w:r>
        <w:r>
          <w:rPr>
            <w:noProof/>
            <w:webHidden/>
          </w:rPr>
          <w:fldChar w:fldCharType="begin"/>
        </w:r>
        <w:r>
          <w:rPr>
            <w:noProof/>
            <w:webHidden/>
          </w:rPr>
          <w:instrText xml:space="preserve"> PAGEREF _Toc466024045 \h </w:instrText>
        </w:r>
        <w:r>
          <w:rPr>
            <w:noProof/>
            <w:webHidden/>
          </w:rPr>
        </w:r>
        <w:r>
          <w:rPr>
            <w:noProof/>
            <w:webHidden/>
          </w:rPr>
          <w:fldChar w:fldCharType="separate"/>
        </w:r>
        <w:r>
          <w:rPr>
            <w:noProof/>
            <w:webHidden/>
          </w:rPr>
          <w:t>13</w:t>
        </w:r>
        <w:r>
          <w:rPr>
            <w:noProof/>
            <w:webHidden/>
          </w:rPr>
          <w:fldChar w:fldCharType="end"/>
        </w:r>
      </w:hyperlink>
    </w:p>
    <w:p w:rsidR="0077224F" w:rsidRDefault="00D973EE">
      <w:pPr>
        <w:pStyle w:val="TOC3"/>
        <w:tabs>
          <w:tab w:val="left" w:pos="1320"/>
          <w:tab w:val="right" w:leader="dot" w:pos="9010"/>
        </w:tabs>
        <w:rPr>
          <w:rFonts w:asciiTheme="minorHAnsi" w:eastAsiaTheme="minorEastAsia" w:hAnsiTheme="minorHAnsi" w:cstheme="minorBidi"/>
          <w:noProof/>
          <w:sz w:val="22"/>
          <w:szCs w:val="22"/>
          <w:lang w:eastAsia="en-GB"/>
        </w:rPr>
      </w:pPr>
      <w:hyperlink w:anchor="_Toc466024046" w:history="1">
        <w:r>
          <w:rPr>
            <w:rStyle w:val="Hyperlink"/>
            <w:noProof/>
          </w:rPr>
          <w:t>4.1.1</w:t>
        </w:r>
        <w:r>
          <w:rPr>
            <w:rFonts w:asciiTheme="minorHAnsi" w:eastAsiaTheme="minorEastAsia" w:hAnsiTheme="minorHAnsi" w:cstheme="minorBidi"/>
            <w:noProof/>
            <w:sz w:val="22"/>
            <w:szCs w:val="22"/>
            <w:lang w:eastAsia="en-GB"/>
          </w:rPr>
          <w:tab/>
        </w:r>
        <w:r>
          <w:rPr>
            <w:rStyle w:val="Hyperlink"/>
            <w:noProof/>
          </w:rPr>
          <w:t>Operating System Structure</w:t>
        </w:r>
        <w:r>
          <w:rPr>
            <w:noProof/>
            <w:webHidden/>
          </w:rPr>
          <w:tab/>
        </w:r>
        <w:r>
          <w:rPr>
            <w:noProof/>
            <w:webHidden/>
          </w:rPr>
          <w:fldChar w:fldCharType="begin"/>
        </w:r>
        <w:r>
          <w:rPr>
            <w:noProof/>
            <w:webHidden/>
          </w:rPr>
          <w:instrText xml:space="preserve"> PAGEREF _Toc466024046 \h </w:instrText>
        </w:r>
        <w:r>
          <w:rPr>
            <w:noProof/>
            <w:webHidden/>
          </w:rPr>
        </w:r>
        <w:r>
          <w:rPr>
            <w:noProof/>
            <w:webHidden/>
          </w:rPr>
          <w:fldChar w:fldCharType="separate"/>
        </w:r>
        <w:r>
          <w:rPr>
            <w:noProof/>
            <w:webHidden/>
          </w:rPr>
          <w:t>13</w:t>
        </w:r>
        <w:r>
          <w:rPr>
            <w:noProof/>
            <w:webHidden/>
          </w:rPr>
          <w:fldChar w:fldCharType="end"/>
        </w:r>
      </w:hyperlink>
    </w:p>
    <w:p w:rsidR="0077224F" w:rsidRDefault="00D973EE">
      <w:pPr>
        <w:pStyle w:val="TOC3"/>
        <w:tabs>
          <w:tab w:val="left" w:pos="1320"/>
          <w:tab w:val="right" w:leader="dot" w:pos="9010"/>
        </w:tabs>
        <w:rPr>
          <w:rFonts w:asciiTheme="minorHAnsi" w:eastAsiaTheme="minorEastAsia" w:hAnsiTheme="minorHAnsi" w:cstheme="minorBidi"/>
          <w:noProof/>
          <w:sz w:val="22"/>
          <w:szCs w:val="22"/>
          <w:lang w:eastAsia="en-GB"/>
        </w:rPr>
      </w:pPr>
      <w:hyperlink w:anchor="_Toc466024047" w:history="1">
        <w:r>
          <w:rPr>
            <w:rStyle w:val="Hyperlink"/>
            <w:noProof/>
          </w:rPr>
          <w:t>4.1.2</w:t>
        </w:r>
        <w:r>
          <w:rPr>
            <w:rFonts w:asciiTheme="minorHAnsi" w:eastAsiaTheme="minorEastAsia" w:hAnsiTheme="minorHAnsi" w:cstheme="minorBidi"/>
            <w:noProof/>
            <w:sz w:val="22"/>
            <w:szCs w:val="22"/>
            <w:lang w:eastAsia="en-GB"/>
          </w:rPr>
          <w:tab/>
        </w:r>
        <w:r>
          <w:rPr>
            <w:rStyle w:val="Hyperlink"/>
            <w:noProof/>
          </w:rPr>
          <w:t>App Execution Environment</w:t>
        </w:r>
        <w:r>
          <w:rPr>
            <w:noProof/>
            <w:webHidden/>
          </w:rPr>
          <w:tab/>
        </w:r>
        <w:r>
          <w:rPr>
            <w:noProof/>
            <w:webHidden/>
          </w:rPr>
          <w:fldChar w:fldCharType="begin"/>
        </w:r>
        <w:r>
          <w:rPr>
            <w:noProof/>
            <w:webHidden/>
          </w:rPr>
          <w:instrText xml:space="preserve"> PAGEREF _Toc466024047 \h </w:instrText>
        </w:r>
        <w:r>
          <w:rPr>
            <w:noProof/>
            <w:webHidden/>
          </w:rPr>
        </w:r>
        <w:r>
          <w:rPr>
            <w:noProof/>
            <w:webHidden/>
          </w:rPr>
          <w:fldChar w:fldCharType="separate"/>
        </w:r>
        <w:r>
          <w:rPr>
            <w:noProof/>
            <w:webHidden/>
          </w:rPr>
          <w:t>14</w:t>
        </w:r>
        <w:r>
          <w:rPr>
            <w:noProof/>
            <w:webHidden/>
          </w:rPr>
          <w:fldChar w:fldCharType="end"/>
        </w:r>
      </w:hyperlink>
    </w:p>
    <w:p w:rsidR="0077224F" w:rsidRDefault="00D973EE">
      <w:pPr>
        <w:pStyle w:val="TOC3"/>
        <w:tabs>
          <w:tab w:val="left" w:pos="1320"/>
          <w:tab w:val="right" w:leader="dot" w:pos="9010"/>
        </w:tabs>
        <w:rPr>
          <w:rFonts w:asciiTheme="minorHAnsi" w:eastAsiaTheme="minorEastAsia" w:hAnsiTheme="minorHAnsi" w:cstheme="minorBidi"/>
          <w:noProof/>
          <w:sz w:val="22"/>
          <w:szCs w:val="22"/>
          <w:lang w:eastAsia="en-GB"/>
        </w:rPr>
      </w:pPr>
      <w:hyperlink w:anchor="_Toc466024048" w:history="1">
        <w:r>
          <w:rPr>
            <w:rStyle w:val="Hyperlink"/>
            <w:noProof/>
          </w:rPr>
          <w:t>4.1.3</w:t>
        </w:r>
        <w:r>
          <w:rPr>
            <w:rFonts w:asciiTheme="minorHAnsi" w:eastAsiaTheme="minorEastAsia" w:hAnsiTheme="minorHAnsi" w:cstheme="minorBidi"/>
            <w:noProof/>
            <w:sz w:val="22"/>
            <w:szCs w:val="22"/>
            <w:lang w:eastAsia="en-GB"/>
          </w:rPr>
          <w:tab/>
        </w:r>
        <w:r>
          <w:rPr>
            <w:rStyle w:val="Hyperlink"/>
            <w:noProof/>
          </w:rPr>
          <w:t>Permission Management</w:t>
        </w:r>
        <w:r>
          <w:rPr>
            <w:noProof/>
            <w:webHidden/>
          </w:rPr>
          <w:tab/>
        </w:r>
        <w:r>
          <w:rPr>
            <w:noProof/>
            <w:webHidden/>
          </w:rPr>
          <w:fldChar w:fldCharType="begin"/>
        </w:r>
        <w:r>
          <w:rPr>
            <w:noProof/>
            <w:webHidden/>
          </w:rPr>
          <w:instrText xml:space="preserve"> PAGEREF _Toc466024048 \h </w:instrText>
        </w:r>
        <w:r>
          <w:rPr>
            <w:noProof/>
            <w:webHidden/>
          </w:rPr>
        </w:r>
        <w:r>
          <w:rPr>
            <w:noProof/>
            <w:webHidden/>
          </w:rPr>
          <w:fldChar w:fldCharType="separate"/>
        </w:r>
        <w:r>
          <w:rPr>
            <w:noProof/>
            <w:webHidden/>
          </w:rPr>
          <w:t>15</w:t>
        </w:r>
        <w:r>
          <w:rPr>
            <w:noProof/>
            <w:webHidden/>
          </w:rPr>
          <w:fldChar w:fldCharType="end"/>
        </w:r>
      </w:hyperlink>
    </w:p>
    <w:p w:rsidR="0077224F" w:rsidRDefault="00D973EE">
      <w:pPr>
        <w:pStyle w:val="TOC3"/>
        <w:tabs>
          <w:tab w:val="left" w:pos="1320"/>
          <w:tab w:val="right" w:leader="dot" w:pos="9010"/>
        </w:tabs>
        <w:rPr>
          <w:rFonts w:asciiTheme="minorHAnsi" w:eastAsiaTheme="minorEastAsia" w:hAnsiTheme="minorHAnsi" w:cstheme="minorBidi"/>
          <w:noProof/>
          <w:sz w:val="22"/>
          <w:szCs w:val="22"/>
          <w:lang w:eastAsia="en-GB"/>
        </w:rPr>
      </w:pPr>
      <w:hyperlink w:anchor="_Toc466024049" w:history="1">
        <w:r>
          <w:rPr>
            <w:rStyle w:val="Hyperlink"/>
            <w:noProof/>
          </w:rPr>
          <w:t>4.1.4</w:t>
        </w:r>
        <w:r>
          <w:rPr>
            <w:rFonts w:asciiTheme="minorHAnsi" w:eastAsiaTheme="minorEastAsia" w:hAnsiTheme="minorHAnsi" w:cstheme="minorBidi"/>
            <w:noProof/>
            <w:sz w:val="22"/>
            <w:szCs w:val="22"/>
            <w:lang w:eastAsia="en-GB"/>
          </w:rPr>
          <w:tab/>
        </w:r>
        <w:r>
          <w:rPr>
            <w:rStyle w:val="Hyperlink"/>
            <w:noProof/>
          </w:rPr>
          <w:t>App Distribution and Code Protection</w:t>
        </w:r>
        <w:r>
          <w:rPr>
            <w:noProof/>
            <w:webHidden/>
          </w:rPr>
          <w:tab/>
        </w:r>
        <w:r>
          <w:rPr>
            <w:noProof/>
            <w:webHidden/>
          </w:rPr>
          <w:fldChar w:fldCharType="begin"/>
        </w:r>
        <w:r>
          <w:rPr>
            <w:noProof/>
            <w:webHidden/>
          </w:rPr>
          <w:instrText xml:space="preserve"> PAGEREF _Toc466024049 \h </w:instrText>
        </w:r>
        <w:r>
          <w:rPr>
            <w:noProof/>
            <w:webHidden/>
          </w:rPr>
        </w:r>
        <w:r>
          <w:rPr>
            <w:noProof/>
            <w:webHidden/>
          </w:rPr>
          <w:fldChar w:fldCharType="separate"/>
        </w:r>
        <w:r>
          <w:rPr>
            <w:noProof/>
            <w:webHidden/>
          </w:rPr>
          <w:t>17</w:t>
        </w:r>
        <w:r>
          <w:rPr>
            <w:noProof/>
            <w:webHidden/>
          </w:rPr>
          <w:fldChar w:fldCharType="end"/>
        </w:r>
      </w:hyperlink>
    </w:p>
    <w:p w:rsidR="0077224F" w:rsidRDefault="00D973EE">
      <w:pPr>
        <w:pStyle w:val="TOC3"/>
        <w:tabs>
          <w:tab w:val="left" w:pos="1320"/>
          <w:tab w:val="right" w:leader="dot" w:pos="9010"/>
        </w:tabs>
        <w:rPr>
          <w:rFonts w:asciiTheme="minorHAnsi" w:eastAsiaTheme="minorEastAsia" w:hAnsiTheme="minorHAnsi" w:cstheme="minorBidi"/>
          <w:noProof/>
          <w:sz w:val="22"/>
          <w:szCs w:val="22"/>
          <w:lang w:eastAsia="en-GB"/>
        </w:rPr>
      </w:pPr>
      <w:hyperlink w:anchor="_Toc466024050" w:history="1">
        <w:r>
          <w:rPr>
            <w:rStyle w:val="Hyperlink"/>
            <w:noProof/>
          </w:rPr>
          <w:t>4.1.5</w:t>
        </w:r>
        <w:r>
          <w:rPr>
            <w:rFonts w:asciiTheme="minorHAnsi" w:eastAsiaTheme="minorEastAsia" w:hAnsiTheme="minorHAnsi" w:cstheme="minorBidi"/>
            <w:noProof/>
            <w:sz w:val="22"/>
            <w:szCs w:val="22"/>
            <w:lang w:eastAsia="en-GB"/>
          </w:rPr>
          <w:tab/>
        </w:r>
        <w:r>
          <w:rPr>
            <w:rStyle w:val="Hyperlink"/>
            <w:noProof/>
          </w:rPr>
          <w:t>App Data Protection</w:t>
        </w:r>
        <w:r>
          <w:rPr>
            <w:noProof/>
            <w:webHidden/>
          </w:rPr>
          <w:tab/>
        </w:r>
        <w:r>
          <w:rPr>
            <w:noProof/>
            <w:webHidden/>
          </w:rPr>
          <w:fldChar w:fldCharType="begin"/>
        </w:r>
        <w:r>
          <w:rPr>
            <w:noProof/>
            <w:webHidden/>
          </w:rPr>
          <w:instrText xml:space="preserve"> PAGEREF _Toc466024050 \h </w:instrText>
        </w:r>
        <w:r>
          <w:rPr>
            <w:noProof/>
            <w:webHidden/>
          </w:rPr>
        </w:r>
        <w:r>
          <w:rPr>
            <w:noProof/>
            <w:webHidden/>
          </w:rPr>
          <w:fldChar w:fldCharType="separate"/>
        </w:r>
        <w:r>
          <w:rPr>
            <w:noProof/>
            <w:webHidden/>
          </w:rPr>
          <w:t>17</w:t>
        </w:r>
        <w:r>
          <w:rPr>
            <w:noProof/>
            <w:webHidden/>
          </w:rPr>
          <w:fldChar w:fldCharType="end"/>
        </w:r>
      </w:hyperlink>
    </w:p>
    <w:p w:rsidR="0077224F" w:rsidRDefault="00D973EE">
      <w:pPr>
        <w:pStyle w:val="TOC2"/>
        <w:tabs>
          <w:tab w:val="left" w:pos="800"/>
          <w:tab w:val="right" w:leader="dot" w:pos="9010"/>
        </w:tabs>
        <w:rPr>
          <w:rFonts w:asciiTheme="minorHAnsi" w:eastAsiaTheme="minorEastAsia" w:hAnsiTheme="minorHAnsi" w:cstheme="minorBidi"/>
          <w:noProof/>
          <w:sz w:val="22"/>
          <w:szCs w:val="22"/>
          <w:lang w:eastAsia="en-GB"/>
        </w:rPr>
      </w:pPr>
      <w:hyperlink w:anchor="_Toc466024051"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iOS</w:t>
        </w:r>
        <w:r>
          <w:rPr>
            <w:noProof/>
            <w:webHidden/>
          </w:rPr>
          <w:tab/>
        </w:r>
        <w:r>
          <w:rPr>
            <w:noProof/>
            <w:webHidden/>
          </w:rPr>
          <w:fldChar w:fldCharType="begin"/>
        </w:r>
        <w:r>
          <w:rPr>
            <w:noProof/>
            <w:webHidden/>
          </w:rPr>
          <w:instrText xml:space="preserve"> PAGEREF _Toc466024051 \h </w:instrText>
        </w:r>
        <w:r>
          <w:rPr>
            <w:noProof/>
            <w:webHidden/>
          </w:rPr>
        </w:r>
        <w:r>
          <w:rPr>
            <w:noProof/>
            <w:webHidden/>
          </w:rPr>
          <w:fldChar w:fldCharType="separate"/>
        </w:r>
        <w:r>
          <w:rPr>
            <w:noProof/>
            <w:webHidden/>
          </w:rPr>
          <w:t>18</w:t>
        </w:r>
        <w:r>
          <w:rPr>
            <w:noProof/>
            <w:webHidden/>
          </w:rPr>
          <w:fldChar w:fldCharType="end"/>
        </w:r>
      </w:hyperlink>
    </w:p>
    <w:p w:rsidR="0077224F" w:rsidRDefault="00D973EE">
      <w:pPr>
        <w:pStyle w:val="TOC3"/>
        <w:tabs>
          <w:tab w:val="left" w:pos="1320"/>
          <w:tab w:val="right" w:leader="dot" w:pos="9010"/>
        </w:tabs>
        <w:rPr>
          <w:rFonts w:asciiTheme="minorHAnsi" w:eastAsiaTheme="minorEastAsia" w:hAnsiTheme="minorHAnsi" w:cstheme="minorBidi"/>
          <w:noProof/>
          <w:sz w:val="22"/>
          <w:szCs w:val="22"/>
          <w:lang w:eastAsia="en-GB"/>
        </w:rPr>
      </w:pPr>
      <w:hyperlink w:anchor="_Toc466024052" w:history="1">
        <w:r>
          <w:rPr>
            <w:rStyle w:val="Hyperlink"/>
            <w:noProof/>
          </w:rPr>
          <w:t>4.2.1</w:t>
        </w:r>
        <w:r>
          <w:rPr>
            <w:rFonts w:asciiTheme="minorHAnsi" w:eastAsiaTheme="minorEastAsia" w:hAnsiTheme="minorHAnsi" w:cstheme="minorBidi"/>
            <w:noProof/>
            <w:sz w:val="22"/>
            <w:szCs w:val="22"/>
            <w:lang w:eastAsia="en-GB"/>
          </w:rPr>
          <w:tab/>
        </w:r>
        <w:r>
          <w:rPr>
            <w:rStyle w:val="Hyperlink"/>
            <w:noProof/>
          </w:rPr>
          <w:t>Operating System Structure</w:t>
        </w:r>
        <w:r>
          <w:rPr>
            <w:noProof/>
            <w:webHidden/>
          </w:rPr>
          <w:tab/>
        </w:r>
        <w:r>
          <w:rPr>
            <w:noProof/>
            <w:webHidden/>
          </w:rPr>
          <w:fldChar w:fldCharType="begin"/>
        </w:r>
        <w:r>
          <w:rPr>
            <w:noProof/>
            <w:webHidden/>
          </w:rPr>
          <w:instrText xml:space="preserve"> PAGEREF _Toc466024052 \h </w:instrText>
        </w:r>
        <w:r>
          <w:rPr>
            <w:noProof/>
            <w:webHidden/>
          </w:rPr>
        </w:r>
        <w:r>
          <w:rPr>
            <w:noProof/>
            <w:webHidden/>
          </w:rPr>
          <w:fldChar w:fldCharType="separate"/>
        </w:r>
        <w:r>
          <w:rPr>
            <w:noProof/>
            <w:webHidden/>
          </w:rPr>
          <w:t>18</w:t>
        </w:r>
        <w:r>
          <w:rPr>
            <w:noProof/>
            <w:webHidden/>
          </w:rPr>
          <w:fldChar w:fldCharType="end"/>
        </w:r>
      </w:hyperlink>
    </w:p>
    <w:p w:rsidR="0077224F" w:rsidRDefault="00D973EE">
      <w:pPr>
        <w:pStyle w:val="TOC3"/>
        <w:tabs>
          <w:tab w:val="left" w:pos="1320"/>
          <w:tab w:val="right" w:leader="dot" w:pos="9010"/>
        </w:tabs>
        <w:rPr>
          <w:rFonts w:asciiTheme="minorHAnsi" w:eastAsiaTheme="minorEastAsia" w:hAnsiTheme="minorHAnsi" w:cstheme="minorBidi"/>
          <w:noProof/>
          <w:sz w:val="22"/>
          <w:szCs w:val="22"/>
          <w:lang w:eastAsia="en-GB"/>
        </w:rPr>
      </w:pPr>
      <w:hyperlink w:anchor="_Toc466024053" w:history="1">
        <w:r>
          <w:rPr>
            <w:rStyle w:val="Hyperlink"/>
            <w:noProof/>
          </w:rPr>
          <w:t>4.2.2</w:t>
        </w:r>
        <w:r>
          <w:rPr>
            <w:rFonts w:asciiTheme="minorHAnsi" w:eastAsiaTheme="minorEastAsia" w:hAnsiTheme="minorHAnsi" w:cstheme="minorBidi"/>
            <w:noProof/>
            <w:sz w:val="22"/>
            <w:szCs w:val="22"/>
            <w:lang w:eastAsia="en-GB"/>
          </w:rPr>
          <w:tab/>
        </w:r>
        <w:r>
          <w:rPr>
            <w:rStyle w:val="Hyperlink"/>
            <w:noProof/>
          </w:rPr>
          <w:t>App Execution Environment</w:t>
        </w:r>
        <w:r>
          <w:rPr>
            <w:noProof/>
            <w:webHidden/>
          </w:rPr>
          <w:tab/>
        </w:r>
        <w:r>
          <w:rPr>
            <w:noProof/>
            <w:webHidden/>
          </w:rPr>
          <w:fldChar w:fldCharType="begin"/>
        </w:r>
        <w:r>
          <w:rPr>
            <w:noProof/>
            <w:webHidden/>
          </w:rPr>
          <w:instrText xml:space="preserve"> PAGEREF _Toc466024053 \h </w:instrText>
        </w:r>
        <w:r>
          <w:rPr>
            <w:noProof/>
            <w:webHidden/>
          </w:rPr>
        </w:r>
        <w:r>
          <w:rPr>
            <w:noProof/>
            <w:webHidden/>
          </w:rPr>
          <w:fldChar w:fldCharType="separate"/>
        </w:r>
        <w:r>
          <w:rPr>
            <w:noProof/>
            <w:webHidden/>
          </w:rPr>
          <w:t>19</w:t>
        </w:r>
        <w:r>
          <w:rPr>
            <w:noProof/>
            <w:webHidden/>
          </w:rPr>
          <w:fldChar w:fldCharType="end"/>
        </w:r>
      </w:hyperlink>
    </w:p>
    <w:p w:rsidR="0077224F" w:rsidRDefault="00D973EE">
      <w:pPr>
        <w:pStyle w:val="TOC3"/>
        <w:tabs>
          <w:tab w:val="left" w:pos="1320"/>
          <w:tab w:val="right" w:leader="dot" w:pos="9010"/>
        </w:tabs>
        <w:rPr>
          <w:rFonts w:asciiTheme="minorHAnsi" w:eastAsiaTheme="minorEastAsia" w:hAnsiTheme="minorHAnsi" w:cstheme="minorBidi"/>
          <w:noProof/>
          <w:sz w:val="22"/>
          <w:szCs w:val="22"/>
          <w:lang w:eastAsia="en-GB"/>
        </w:rPr>
      </w:pPr>
      <w:hyperlink w:anchor="_Toc466024054" w:history="1">
        <w:r>
          <w:rPr>
            <w:rStyle w:val="Hyperlink"/>
            <w:noProof/>
          </w:rPr>
          <w:t>4.2.3</w:t>
        </w:r>
        <w:r>
          <w:rPr>
            <w:rFonts w:asciiTheme="minorHAnsi" w:eastAsiaTheme="minorEastAsia" w:hAnsiTheme="minorHAnsi" w:cstheme="minorBidi"/>
            <w:noProof/>
            <w:sz w:val="22"/>
            <w:szCs w:val="22"/>
            <w:lang w:eastAsia="en-GB"/>
          </w:rPr>
          <w:tab/>
        </w:r>
        <w:r>
          <w:rPr>
            <w:rStyle w:val="Hyperlink"/>
            <w:noProof/>
          </w:rPr>
          <w:t>Permission Management Model</w:t>
        </w:r>
        <w:r>
          <w:rPr>
            <w:noProof/>
            <w:webHidden/>
          </w:rPr>
          <w:tab/>
        </w:r>
        <w:r>
          <w:rPr>
            <w:noProof/>
            <w:webHidden/>
          </w:rPr>
          <w:fldChar w:fldCharType="begin"/>
        </w:r>
        <w:r>
          <w:rPr>
            <w:noProof/>
            <w:webHidden/>
          </w:rPr>
          <w:instrText xml:space="preserve"> PAGEREF _Toc466024054 \h </w:instrText>
        </w:r>
        <w:r>
          <w:rPr>
            <w:noProof/>
            <w:webHidden/>
          </w:rPr>
        </w:r>
        <w:r>
          <w:rPr>
            <w:noProof/>
            <w:webHidden/>
          </w:rPr>
          <w:fldChar w:fldCharType="separate"/>
        </w:r>
        <w:r>
          <w:rPr>
            <w:noProof/>
            <w:webHidden/>
          </w:rPr>
          <w:t>19</w:t>
        </w:r>
        <w:r>
          <w:rPr>
            <w:noProof/>
            <w:webHidden/>
          </w:rPr>
          <w:fldChar w:fldCharType="end"/>
        </w:r>
      </w:hyperlink>
    </w:p>
    <w:p w:rsidR="0077224F" w:rsidRDefault="00D973EE">
      <w:pPr>
        <w:pStyle w:val="TOC3"/>
        <w:tabs>
          <w:tab w:val="left" w:pos="1320"/>
          <w:tab w:val="right" w:leader="dot" w:pos="9010"/>
        </w:tabs>
        <w:rPr>
          <w:rFonts w:asciiTheme="minorHAnsi" w:eastAsiaTheme="minorEastAsia" w:hAnsiTheme="minorHAnsi" w:cstheme="minorBidi"/>
          <w:noProof/>
          <w:sz w:val="22"/>
          <w:szCs w:val="22"/>
          <w:lang w:eastAsia="en-GB"/>
        </w:rPr>
      </w:pPr>
      <w:hyperlink w:anchor="_Toc466024055" w:history="1">
        <w:r>
          <w:rPr>
            <w:rStyle w:val="Hyperlink"/>
            <w:noProof/>
          </w:rPr>
          <w:t>4.2.4</w:t>
        </w:r>
        <w:r>
          <w:rPr>
            <w:rFonts w:asciiTheme="minorHAnsi" w:eastAsiaTheme="minorEastAsia" w:hAnsiTheme="minorHAnsi" w:cstheme="minorBidi"/>
            <w:noProof/>
            <w:sz w:val="22"/>
            <w:szCs w:val="22"/>
            <w:lang w:eastAsia="en-GB"/>
          </w:rPr>
          <w:tab/>
        </w:r>
        <w:r>
          <w:rPr>
            <w:rStyle w:val="Hyperlink"/>
            <w:noProof/>
          </w:rPr>
          <w:t>App Distribution and Code Protection</w:t>
        </w:r>
        <w:r>
          <w:rPr>
            <w:noProof/>
            <w:webHidden/>
          </w:rPr>
          <w:tab/>
        </w:r>
        <w:r>
          <w:rPr>
            <w:noProof/>
            <w:webHidden/>
          </w:rPr>
          <w:fldChar w:fldCharType="begin"/>
        </w:r>
        <w:r>
          <w:rPr>
            <w:noProof/>
            <w:webHidden/>
          </w:rPr>
          <w:instrText xml:space="preserve"> PAGEREF _Toc466024055 \h </w:instrText>
        </w:r>
        <w:r>
          <w:rPr>
            <w:noProof/>
            <w:webHidden/>
          </w:rPr>
        </w:r>
        <w:r>
          <w:rPr>
            <w:noProof/>
            <w:webHidden/>
          </w:rPr>
          <w:fldChar w:fldCharType="separate"/>
        </w:r>
        <w:r>
          <w:rPr>
            <w:noProof/>
            <w:webHidden/>
          </w:rPr>
          <w:t>20</w:t>
        </w:r>
        <w:r>
          <w:rPr>
            <w:noProof/>
            <w:webHidden/>
          </w:rPr>
          <w:fldChar w:fldCharType="end"/>
        </w:r>
      </w:hyperlink>
    </w:p>
    <w:p w:rsidR="0077224F" w:rsidRDefault="00D973EE">
      <w:pPr>
        <w:pStyle w:val="TOC3"/>
        <w:tabs>
          <w:tab w:val="left" w:pos="1320"/>
          <w:tab w:val="right" w:leader="dot" w:pos="9010"/>
        </w:tabs>
        <w:rPr>
          <w:rFonts w:asciiTheme="minorHAnsi" w:eastAsiaTheme="minorEastAsia" w:hAnsiTheme="minorHAnsi" w:cstheme="minorBidi"/>
          <w:noProof/>
          <w:sz w:val="22"/>
          <w:szCs w:val="22"/>
          <w:lang w:eastAsia="en-GB"/>
        </w:rPr>
      </w:pPr>
      <w:hyperlink w:anchor="_Toc466024056" w:history="1">
        <w:r>
          <w:rPr>
            <w:rStyle w:val="Hyperlink"/>
            <w:noProof/>
          </w:rPr>
          <w:t>4.2.5</w:t>
        </w:r>
        <w:r>
          <w:rPr>
            <w:rFonts w:asciiTheme="minorHAnsi" w:eastAsiaTheme="minorEastAsia" w:hAnsiTheme="minorHAnsi" w:cstheme="minorBidi"/>
            <w:noProof/>
            <w:sz w:val="22"/>
            <w:szCs w:val="22"/>
            <w:lang w:eastAsia="en-GB"/>
          </w:rPr>
          <w:tab/>
        </w:r>
        <w:r>
          <w:rPr>
            <w:rStyle w:val="Hyperlink"/>
            <w:noProof/>
          </w:rPr>
          <w:t xml:space="preserve">App </w:t>
        </w:r>
        <w:r>
          <w:rPr>
            <w:rStyle w:val="Hyperlink"/>
            <w:noProof/>
          </w:rPr>
          <w:t>Data Protection</w:t>
        </w:r>
        <w:r>
          <w:rPr>
            <w:noProof/>
            <w:webHidden/>
          </w:rPr>
          <w:tab/>
        </w:r>
        <w:r>
          <w:rPr>
            <w:noProof/>
            <w:webHidden/>
          </w:rPr>
          <w:fldChar w:fldCharType="begin"/>
        </w:r>
        <w:r>
          <w:rPr>
            <w:noProof/>
            <w:webHidden/>
          </w:rPr>
          <w:instrText xml:space="preserve"> PAGEREF _Toc466024056 \h </w:instrText>
        </w:r>
        <w:r>
          <w:rPr>
            <w:noProof/>
            <w:webHidden/>
          </w:rPr>
        </w:r>
        <w:r>
          <w:rPr>
            <w:noProof/>
            <w:webHidden/>
          </w:rPr>
          <w:fldChar w:fldCharType="separate"/>
        </w:r>
        <w:r>
          <w:rPr>
            <w:noProof/>
            <w:webHidden/>
          </w:rPr>
          <w:t>20</w:t>
        </w:r>
        <w:r>
          <w:rPr>
            <w:noProof/>
            <w:webHidden/>
          </w:rPr>
          <w:fldChar w:fldCharType="end"/>
        </w:r>
      </w:hyperlink>
    </w:p>
    <w:p w:rsidR="0077224F" w:rsidRDefault="00D973EE">
      <w:pPr>
        <w:pStyle w:val="TOC2"/>
        <w:tabs>
          <w:tab w:val="left" w:pos="800"/>
          <w:tab w:val="right" w:leader="dot" w:pos="9010"/>
        </w:tabs>
        <w:rPr>
          <w:rFonts w:asciiTheme="minorHAnsi" w:eastAsiaTheme="minorEastAsia" w:hAnsiTheme="minorHAnsi" w:cstheme="minorBidi"/>
          <w:noProof/>
          <w:sz w:val="22"/>
          <w:szCs w:val="22"/>
          <w:lang w:eastAsia="en-GB"/>
        </w:rPr>
      </w:pPr>
      <w:hyperlink w:anchor="_Toc466024057" w:history="1">
        <w:r>
          <w:rPr>
            <w:rStyle w:val="Hyperlink"/>
            <w:noProof/>
          </w:rPr>
          <w:t>4.3</w:t>
        </w:r>
        <w:r>
          <w:rPr>
            <w:rFonts w:asciiTheme="minorHAnsi" w:eastAsiaTheme="minorEastAsia" w:hAnsiTheme="minorHAnsi" w:cstheme="minorBidi"/>
            <w:noProof/>
            <w:sz w:val="22"/>
            <w:szCs w:val="22"/>
            <w:lang w:eastAsia="en-GB"/>
          </w:rPr>
          <w:tab/>
        </w:r>
        <w:r>
          <w:rPr>
            <w:rStyle w:val="Hyperlink"/>
            <w:noProof/>
          </w:rPr>
          <w:t>Threats to Users</w:t>
        </w:r>
        <w:r>
          <w:rPr>
            <w:noProof/>
            <w:webHidden/>
          </w:rPr>
          <w:tab/>
        </w:r>
        <w:r>
          <w:rPr>
            <w:noProof/>
            <w:webHidden/>
          </w:rPr>
          <w:fldChar w:fldCharType="begin"/>
        </w:r>
        <w:r>
          <w:rPr>
            <w:noProof/>
            <w:webHidden/>
          </w:rPr>
          <w:instrText xml:space="preserve"> PAGEREF _Toc466024057 \h </w:instrText>
        </w:r>
        <w:r>
          <w:rPr>
            <w:noProof/>
            <w:webHidden/>
          </w:rPr>
        </w:r>
        <w:r>
          <w:rPr>
            <w:noProof/>
            <w:webHidden/>
          </w:rPr>
          <w:fldChar w:fldCharType="separate"/>
        </w:r>
        <w:r>
          <w:rPr>
            <w:noProof/>
            <w:webHidden/>
          </w:rPr>
          <w:t>21</w:t>
        </w:r>
        <w:r>
          <w:rPr>
            <w:noProof/>
            <w:webHidden/>
          </w:rPr>
          <w:fldChar w:fldCharType="end"/>
        </w:r>
      </w:hyperlink>
    </w:p>
    <w:p w:rsidR="0077224F" w:rsidRDefault="00D973EE">
      <w:pPr>
        <w:pStyle w:val="TOC3"/>
        <w:tabs>
          <w:tab w:val="left" w:pos="1320"/>
          <w:tab w:val="right" w:leader="dot" w:pos="9010"/>
        </w:tabs>
        <w:rPr>
          <w:rFonts w:asciiTheme="minorHAnsi" w:eastAsiaTheme="minorEastAsia" w:hAnsiTheme="minorHAnsi" w:cstheme="minorBidi"/>
          <w:noProof/>
          <w:sz w:val="22"/>
          <w:szCs w:val="22"/>
          <w:lang w:eastAsia="en-GB"/>
        </w:rPr>
      </w:pPr>
      <w:hyperlink w:anchor="_Toc466024058" w:history="1">
        <w:r>
          <w:rPr>
            <w:rStyle w:val="Hyperlink"/>
            <w:noProof/>
          </w:rPr>
          <w:t>4.3.1</w:t>
        </w:r>
        <w:r>
          <w:rPr>
            <w:rFonts w:asciiTheme="minorHAnsi" w:eastAsiaTheme="minorEastAsia" w:hAnsiTheme="minorHAnsi" w:cstheme="minorBidi"/>
            <w:noProof/>
            <w:sz w:val="22"/>
            <w:szCs w:val="22"/>
            <w:lang w:eastAsia="en-GB"/>
          </w:rPr>
          <w:tab/>
        </w:r>
        <w:r>
          <w:rPr>
            <w:rStyle w:val="Hyperlink"/>
            <w:noProof/>
          </w:rPr>
          <w:t>Threats to Users' Privacy</w:t>
        </w:r>
        <w:r>
          <w:rPr>
            <w:noProof/>
            <w:webHidden/>
          </w:rPr>
          <w:tab/>
        </w:r>
        <w:r>
          <w:rPr>
            <w:noProof/>
            <w:webHidden/>
          </w:rPr>
          <w:fldChar w:fldCharType="begin"/>
        </w:r>
        <w:r>
          <w:rPr>
            <w:noProof/>
            <w:webHidden/>
          </w:rPr>
          <w:instrText xml:space="preserve"> PAGEREF _Toc466024058 \h </w:instrText>
        </w:r>
        <w:r>
          <w:rPr>
            <w:noProof/>
            <w:webHidden/>
          </w:rPr>
        </w:r>
        <w:r>
          <w:rPr>
            <w:noProof/>
            <w:webHidden/>
          </w:rPr>
          <w:fldChar w:fldCharType="separate"/>
        </w:r>
        <w:r>
          <w:rPr>
            <w:noProof/>
            <w:webHidden/>
          </w:rPr>
          <w:t>22</w:t>
        </w:r>
        <w:r>
          <w:rPr>
            <w:noProof/>
            <w:webHidden/>
          </w:rPr>
          <w:fldChar w:fldCharType="end"/>
        </w:r>
      </w:hyperlink>
    </w:p>
    <w:p w:rsidR="0077224F" w:rsidRDefault="00D973EE">
      <w:pPr>
        <w:pStyle w:val="TOC3"/>
        <w:tabs>
          <w:tab w:val="left" w:pos="1320"/>
          <w:tab w:val="right" w:leader="dot" w:pos="9010"/>
        </w:tabs>
        <w:rPr>
          <w:rFonts w:asciiTheme="minorHAnsi" w:eastAsiaTheme="minorEastAsia" w:hAnsiTheme="minorHAnsi" w:cstheme="minorBidi"/>
          <w:noProof/>
          <w:sz w:val="22"/>
          <w:szCs w:val="22"/>
          <w:lang w:eastAsia="en-GB"/>
        </w:rPr>
      </w:pPr>
      <w:hyperlink w:anchor="_Toc466024059" w:history="1">
        <w:r>
          <w:rPr>
            <w:rStyle w:val="Hyperlink"/>
            <w:noProof/>
          </w:rPr>
          <w:t>4.3.2</w:t>
        </w:r>
        <w:r>
          <w:rPr>
            <w:rFonts w:asciiTheme="minorHAnsi" w:eastAsiaTheme="minorEastAsia" w:hAnsiTheme="minorHAnsi" w:cstheme="minorBidi"/>
            <w:noProof/>
            <w:sz w:val="22"/>
            <w:szCs w:val="22"/>
            <w:lang w:eastAsia="en-GB"/>
          </w:rPr>
          <w:tab/>
        </w:r>
        <w:r>
          <w:rPr>
            <w:rStyle w:val="Hyperlink"/>
            <w:noProof/>
          </w:rPr>
          <w:t>Threats to the OS Update Model</w:t>
        </w:r>
        <w:r>
          <w:rPr>
            <w:noProof/>
            <w:webHidden/>
          </w:rPr>
          <w:tab/>
        </w:r>
        <w:r>
          <w:rPr>
            <w:noProof/>
            <w:webHidden/>
          </w:rPr>
          <w:fldChar w:fldCharType="begin"/>
        </w:r>
        <w:r>
          <w:rPr>
            <w:noProof/>
            <w:webHidden/>
          </w:rPr>
          <w:instrText xml:space="preserve"> PAGEREF _Toc4660</w:instrText>
        </w:r>
        <w:r>
          <w:rPr>
            <w:noProof/>
            <w:webHidden/>
          </w:rPr>
          <w:instrText xml:space="preserve">24059 \h </w:instrText>
        </w:r>
        <w:r>
          <w:rPr>
            <w:noProof/>
            <w:webHidden/>
          </w:rPr>
        </w:r>
        <w:r>
          <w:rPr>
            <w:noProof/>
            <w:webHidden/>
          </w:rPr>
          <w:fldChar w:fldCharType="separate"/>
        </w:r>
        <w:r>
          <w:rPr>
            <w:noProof/>
            <w:webHidden/>
          </w:rPr>
          <w:t>23</w:t>
        </w:r>
        <w:r>
          <w:rPr>
            <w:noProof/>
            <w:webHidden/>
          </w:rPr>
          <w:fldChar w:fldCharType="end"/>
        </w:r>
      </w:hyperlink>
    </w:p>
    <w:p w:rsidR="0077224F" w:rsidRDefault="00D973EE">
      <w:pPr>
        <w:pStyle w:val="TOC2"/>
        <w:tabs>
          <w:tab w:val="left" w:pos="800"/>
          <w:tab w:val="right" w:leader="dot" w:pos="9010"/>
        </w:tabs>
        <w:rPr>
          <w:rFonts w:asciiTheme="minorHAnsi" w:eastAsiaTheme="minorEastAsia" w:hAnsiTheme="minorHAnsi" w:cstheme="minorBidi"/>
          <w:noProof/>
          <w:sz w:val="22"/>
          <w:szCs w:val="22"/>
          <w:lang w:eastAsia="en-GB"/>
        </w:rPr>
      </w:pPr>
      <w:hyperlink w:anchor="_Toc466024060" w:history="1">
        <w:r>
          <w:rPr>
            <w:rStyle w:val="Hyperlink"/>
            <w:noProof/>
          </w:rPr>
          <w:t>4.4</w:t>
        </w:r>
        <w:r>
          <w:rPr>
            <w:rFonts w:asciiTheme="minorHAnsi" w:eastAsiaTheme="minorEastAsia" w:hAnsiTheme="minorHAnsi" w:cstheme="minorBidi"/>
            <w:noProof/>
            <w:sz w:val="22"/>
            <w:szCs w:val="22"/>
            <w:lang w:eastAsia="en-GB"/>
          </w:rPr>
          <w:tab/>
        </w:r>
        <w:r>
          <w:rPr>
            <w:rStyle w:val="Hyperlink"/>
            <w:noProof/>
          </w:rPr>
          <w:t>Comparison of iOS and Android Security Features</w:t>
        </w:r>
        <w:r>
          <w:rPr>
            <w:noProof/>
            <w:webHidden/>
          </w:rPr>
          <w:tab/>
        </w:r>
        <w:r>
          <w:rPr>
            <w:noProof/>
            <w:webHidden/>
          </w:rPr>
          <w:fldChar w:fldCharType="begin"/>
        </w:r>
        <w:r>
          <w:rPr>
            <w:noProof/>
            <w:webHidden/>
          </w:rPr>
          <w:instrText xml:space="preserve"> PAGEREF _Toc466024060 \h </w:instrText>
        </w:r>
        <w:r>
          <w:rPr>
            <w:noProof/>
            <w:webHidden/>
          </w:rPr>
        </w:r>
        <w:r>
          <w:rPr>
            <w:noProof/>
            <w:webHidden/>
          </w:rPr>
          <w:fldChar w:fldCharType="separate"/>
        </w:r>
        <w:r>
          <w:rPr>
            <w:noProof/>
            <w:webHidden/>
          </w:rPr>
          <w:t>23</w:t>
        </w:r>
        <w:r>
          <w:rPr>
            <w:noProof/>
            <w:webHidden/>
          </w:rPr>
          <w:fldChar w:fldCharType="end"/>
        </w:r>
      </w:hyperlink>
    </w:p>
    <w:p w:rsidR="0077224F" w:rsidRDefault="00D973EE">
      <w:pPr>
        <w:pStyle w:val="TOC2"/>
        <w:tabs>
          <w:tab w:val="left" w:pos="800"/>
          <w:tab w:val="right" w:leader="dot" w:pos="9010"/>
        </w:tabs>
        <w:rPr>
          <w:rFonts w:asciiTheme="minorHAnsi" w:eastAsiaTheme="minorEastAsia" w:hAnsiTheme="minorHAnsi" w:cstheme="minorBidi"/>
          <w:noProof/>
          <w:sz w:val="22"/>
          <w:szCs w:val="22"/>
          <w:lang w:eastAsia="en-GB"/>
        </w:rPr>
      </w:pPr>
      <w:hyperlink w:anchor="_Toc466024061" w:history="1">
        <w:r>
          <w:rPr>
            <w:rStyle w:val="Hyperlink"/>
            <w:noProof/>
          </w:rPr>
          <w:t>4.5</w:t>
        </w:r>
        <w:r>
          <w:rPr>
            <w:rFonts w:asciiTheme="minorHAnsi" w:eastAsiaTheme="minorEastAsia" w:hAnsiTheme="minorHAnsi" w:cstheme="minorBidi"/>
            <w:noProof/>
            <w:sz w:val="22"/>
            <w:szCs w:val="22"/>
            <w:lang w:eastAsia="en-GB"/>
          </w:rPr>
          <w:tab/>
        </w:r>
        <w:r>
          <w:rPr>
            <w:rStyle w:val="Hyperlink"/>
            <w:noProof/>
          </w:rPr>
          <w:t>General User Guidelines for Applications</w:t>
        </w:r>
        <w:r>
          <w:rPr>
            <w:noProof/>
            <w:webHidden/>
          </w:rPr>
          <w:tab/>
        </w:r>
        <w:r>
          <w:rPr>
            <w:noProof/>
            <w:webHidden/>
          </w:rPr>
          <w:fldChar w:fldCharType="begin"/>
        </w:r>
        <w:r>
          <w:rPr>
            <w:noProof/>
            <w:webHidden/>
          </w:rPr>
          <w:instrText xml:space="preserve"> PAGEREF _Toc466024061 \h </w:instrText>
        </w:r>
        <w:r>
          <w:rPr>
            <w:noProof/>
            <w:webHidden/>
          </w:rPr>
        </w:r>
        <w:r>
          <w:rPr>
            <w:noProof/>
            <w:webHidden/>
          </w:rPr>
          <w:fldChar w:fldCharType="separate"/>
        </w:r>
        <w:r>
          <w:rPr>
            <w:noProof/>
            <w:webHidden/>
          </w:rPr>
          <w:t>25</w:t>
        </w:r>
        <w:r>
          <w:rPr>
            <w:noProof/>
            <w:webHidden/>
          </w:rPr>
          <w:fldChar w:fldCharType="end"/>
        </w:r>
      </w:hyperlink>
    </w:p>
    <w:p w:rsidR="0077224F" w:rsidRDefault="00D973EE">
      <w:pPr>
        <w:pStyle w:val="TOC2"/>
        <w:tabs>
          <w:tab w:val="left" w:pos="800"/>
          <w:tab w:val="right" w:leader="dot" w:pos="9010"/>
        </w:tabs>
        <w:rPr>
          <w:rFonts w:asciiTheme="minorHAnsi" w:eastAsiaTheme="minorEastAsia" w:hAnsiTheme="minorHAnsi" w:cstheme="minorBidi"/>
          <w:noProof/>
          <w:sz w:val="22"/>
          <w:szCs w:val="22"/>
          <w:lang w:eastAsia="en-GB"/>
        </w:rPr>
      </w:pPr>
      <w:hyperlink w:anchor="_Toc466024062" w:history="1">
        <w:r>
          <w:rPr>
            <w:rStyle w:val="Hyperlink"/>
            <w:noProof/>
          </w:rPr>
          <w:t>4.6</w:t>
        </w:r>
        <w:r>
          <w:rPr>
            <w:rFonts w:asciiTheme="minorHAnsi" w:eastAsiaTheme="minorEastAsia" w:hAnsiTheme="minorHAnsi" w:cstheme="minorBidi"/>
            <w:noProof/>
            <w:sz w:val="22"/>
            <w:szCs w:val="22"/>
            <w:lang w:eastAsia="en-GB"/>
          </w:rPr>
          <w:tab/>
        </w:r>
        <w:r>
          <w:rPr>
            <w:rStyle w:val="Hyperlink"/>
            <w:noProof/>
          </w:rPr>
          <w:t>Considerations on privacy vs mobile OS</w:t>
        </w:r>
        <w:r>
          <w:rPr>
            <w:noProof/>
            <w:webHidden/>
          </w:rPr>
          <w:tab/>
        </w:r>
        <w:r>
          <w:rPr>
            <w:noProof/>
            <w:webHidden/>
          </w:rPr>
          <w:fldChar w:fldCharType="begin"/>
        </w:r>
        <w:r>
          <w:rPr>
            <w:noProof/>
            <w:webHidden/>
          </w:rPr>
          <w:instrText xml:space="preserve"> PAGEREF _Toc466024062 \h </w:instrText>
        </w:r>
        <w:r>
          <w:rPr>
            <w:noProof/>
            <w:webHidden/>
          </w:rPr>
        </w:r>
        <w:r>
          <w:rPr>
            <w:noProof/>
            <w:webHidden/>
          </w:rPr>
          <w:fldChar w:fldCharType="separate"/>
        </w:r>
        <w:r>
          <w:rPr>
            <w:noProof/>
            <w:webHidden/>
          </w:rPr>
          <w:t>26</w:t>
        </w:r>
        <w:r>
          <w:rPr>
            <w:noProof/>
            <w:webHidden/>
          </w:rPr>
          <w:fldChar w:fldCharType="end"/>
        </w:r>
      </w:hyperlink>
    </w:p>
    <w:p w:rsidR="0077224F" w:rsidRDefault="00D973EE">
      <w:pPr>
        <w:pStyle w:val="TOC1"/>
        <w:tabs>
          <w:tab w:val="left" w:pos="400"/>
          <w:tab w:val="right" w:leader="dot" w:pos="9010"/>
        </w:tabs>
        <w:rPr>
          <w:rFonts w:asciiTheme="minorHAnsi" w:eastAsiaTheme="minorEastAsia" w:hAnsiTheme="minorHAnsi" w:cstheme="minorBidi"/>
          <w:noProof/>
          <w:sz w:val="22"/>
          <w:szCs w:val="22"/>
          <w:lang w:eastAsia="en-GB"/>
        </w:rPr>
      </w:pPr>
      <w:hyperlink w:anchor="_Toc466024063" w:history="1">
        <w:r>
          <w:rPr>
            <w:rStyle w:val="Hyperlink"/>
            <w:noProof/>
          </w:rPr>
          <w:t>5</w:t>
        </w:r>
        <w:r>
          <w:rPr>
            <w:rFonts w:asciiTheme="minorHAnsi" w:eastAsiaTheme="minorEastAsia" w:hAnsiTheme="minorHAnsi" w:cstheme="minorBidi"/>
            <w:noProof/>
            <w:sz w:val="22"/>
            <w:szCs w:val="22"/>
            <w:lang w:eastAsia="en-GB"/>
          </w:rPr>
          <w:tab/>
        </w:r>
        <w:r>
          <w:rPr>
            <w:rStyle w:val="Hyperlink"/>
            <w:noProof/>
          </w:rPr>
          <w:t>Web Applications</w:t>
        </w:r>
        <w:r>
          <w:rPr>
            <w:noProof/>
            <w:webHidden/>
          </w:rPr>
          <w:tab/>
        </w:r>
        <w:r>
          <w:rPr>
            <w:noProof/>
            <w:webHidden/>
          </w:rPr>
          <w:fldChar w:fldCharType="begin"/>
        </w:r>
        <w:r>
          <w:rPr>
            <w:noProof/>
            <w:webHidden/>
          </w:rPr>
          <w:instrText xml:space="preserve"> PAGEREF _Toc466024063 \h </w:instrText>
        </w:r>
        <w:r>
          <w:rPr>
            <w:noProof/>
            <w:webHidden/>
          </w:rPr>
        </w:r>
        <w:r>
          <w:rPr>
            <w:noProof/>
            <w:webHidden/>
          </w:rPr>
          <w:fldChar w:fldCharType="separate"/>
        </w:r>
        <w:r>
          <w:rPr>
            <w:noProof/>
            <w:webHidden/>
          </w:rPr>
          <w:t>29</w:t>
        </w:r>
        <w:r>
          <w:rPr>
            <w:noProof/>
            <w:webHidden/>
          </w:rPr>
          <w:fldChar w:fldCharType="end"/>
        </w:r>
      </w:hyperlink>
    </w:p>
    <w:p w:rsidR="0077224F" w:rsidRDefault="00D973EE">
      <w:pPr>
        <w:pStyle w:val="TOC2"/>
        <w:tabs>
          <w:tab w:val="left" w:pos="800"/>
          <w:tab w:val="right" w:leader="dot" w:pos="9010"/>
        </w:tabs>
        <w:rPr>
          <w:rFonts w:asciiTheme="minorHAnsi" w:eastAsiaTheme="minorEastAsia" w:hAnsiTheme="minorHAnsi" w:cstheme="minorBidi"/>
          <w:noProof/>
          <w:sz w:val="22"/>
          <w:szCs w:val="22"/>
          <w:lang w:eastAsia="en-GB"/>
        </w:rPr>
      </w:pPr>
      <w:hyperlink w:anchor="_Toc466024064"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Web Cookies and Trackers</w:t>
        </w:r>
        <w:r>
          <w:rPr>
            <w:noProof/>
            <w:webHidden/>
          </w:rPr>
          <w:tab/>
        </w:r>
        <w:r>
          <w:rPr>
            <w:noProof/>
            <w:webHidden/>
          </w:rPr>
          <w:fldChar w:fldCharType="begin"/>
        </w:r>
        <w:r>
          <w:rPr>
            <w:noProof/>
            <w:webHidden/>
          </w:rPr>
          <w:instrText xml:space="preserve"> PAGEREF _Toc466024064 \h </w:instrText>
        </w:r>
        <w:r>
          <w:rPr>
            <w:noProof/>
            <w:webHidden/>
          </w:rPr>
        </w:r>
        <w:r>
          <w:rPr>
            <w:noProof/>
            <w:webHidden/>
          </w:rPr>
          <w:fldChar w:fldCharType="separate"/>
        </w:r>
        <w:r>
          <w:rPr>
            <w:noProof/>
            <w:webHidden/>
          </w:rPr>
          <w:t>29</w:t>
        </w:r>
        <w:r>
          <w:rPr>
            <w:noProof/>
            <w:webHidden/>
          </w:rPr>
          <w:fldChar w:fldCharType="end"/>
        </w:r>
      </w:hyperlink>
    </w:p>
    <w:p w:rsidR="0077224F" w:rsidRDefault="00D973EE">
      <w:pPr>
        <w:pStyle w:val="TOC2"/>
        <w:tabs>
          <w:tab w:val="left" w:pos="800"/>
          <w:tab w:val="right" w:leader="dot" w:pos="9010"/>
        </w:tabs>
        <w:rPr>
          <w:rFonts w:asciiTheme="minorHAnsi" w:eastAsiaTheme="minorEastAsia" w:hAnsiTheme="minorHAnsi" w:cstheme="minorBidi"/>
          <w:noProof/>
          <w:sz w:val="22"/>
          <w:szCs w:val="22"/>
          <w:lang w:eastAsia="en-GB"/>
        </w:rPr>
      </w:pPr>
      <w:hyperlink w:anchor="_Toc466024065"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Redirection to Unencrypted Content</w:t>
        </w:r>
        <w:r>
          <w:rPr>
            <w:noProof/>
            <w:webHidden/>
          </w:rPr>
          <w:tab/>
        </w:r>
        <w:r>
          <w:rPr>
            <w:noProof/>
            <w:webHidden/>
          </w:rPr>
          <w:fldChar w:fldCharType="begin"/>
        </w:r>
        <w:r>
          <w:rPr>
            <w:noProof/>
            <w:webHidden/>
          </w:rPr>
          <w:instrText xml:space="preserve"> PAGEREF _Toc466024065 \h </w:instrText>
        </w:r>
        <w:r>
          <w:rPr>
            <w:noProof/>
            <w:webHidden/>
          </w:rPr>
        </w:r>
        <w:r>
          <w:rPr>
            <w:noProof/>
            <w:webHidden/>
          </w:rPr>
          <w:fldChar w:fldCharType="separate"/>
        </w:r>
        <w:r>
          <w:rPr>
            <w:noProof/>
            <w:webHidden/>
          </w:rPr>
          <w:t>36</w:t>
        </w:r>
        <w:r>
          <w:rPr>
            <w:noProof/>
            <w:webHidden/>
          </w:rPr>
          <w:fldChar w:fldCharType="end"/>
        </w:r>
      </w:hyperlink>
    </w:p>
    <w:p w:rsidR="0077224F" w:rsidRDefault="00D973EE">
      <w:pPr>
        <w:pStyle w:val="TOC2"/>
        <w:tabs>
          <w:tab w:val="left" w:pos="800"/>
          <w:tab w:val="right" w:leader="dot" w:pos="9010"/>
        </w:tabs>
        <w:rPr>
          <w:rFonts w:asciiTheme="minorHAnsi" w:eastAsiaTheme="minorEastAsia" w:hAnsiTheme="minorHAnsi" w:cstheme="minorBidi"/>
          <w:noProof/>
          <w:sz w:val="22"/>
          <w:szCs w:val="22"/>
          <w:lang w:eastAsia="en-GB"/>
        </w:rPr>
      </w:pPr>
      <w:hyperlink w:anchor="_Toc466024066" w:history="1">
        <w:r>
          <w:rPr>
            <w:rStyle w:val="Hyperlink"/>
            <w:noProof/>
          </w:rPr>
          <w:t>5.3</w:t>
        </w:r>
        <w:r>
          <w:rPr>
            <w:rFonts w:asciiTheme="minorHAnsi" w:eastAsiaTheme="minorEastAsia" w:hAnsiTheme="minorHAnsi" w:cstheme="minorBidi"/>
            <w:noProof/>
            <w:sz w:val="22"/>
            <w:szCs w:val="22"/>
            <w:lang w:eastAsia="en-GB"/>
          </w:rPr>
          <w:tab/>
        </w:r>
        <w:r>
          <w:rPr>
            <w:rStyle w:val="Hyperlink"/>
            <w:noProof/>
          </w:rPr>
          <w:t>Private Browsing Modes</w:t>
        </w:r>
        <w:r>
          <w:rPr>
            <w:noProof/>
            <w:webHidden/>
          </w:rPr>
          <w:tab/>
        </w:r>
        <w:r>
          <w:rPr>
            <w:noProof/>
            <w:webHidden/>
          </w:rPr>
          <w:fldChar w:fldCharType="begin"/>
        </w:r>
        <w:r>
          <w:rPr>
            <w:noProof/>
            <w:webHidden/>
          </w:rPr>
          <w:instrText xml:space="preserve"> PAGEREF _Toc466024066 \h </w:instrText>
        </w:r>
        <w:r>
          <w:rPr>
            <w:noProof/>
            <w:webHidden/>
          </w:rPr>
        </w:r>
        <w:r>
          <w:rPr>
            <w:noProof/>
            <w:webHidden/>
          </w:rPr>
          <w:fldChar w:fldCharType="separate"/>
        </w:r>
        <w:r>
          <w:rPr>
            <w:noProof/>
            <w:webHidden/>
          </w:rPr>
          <w:t>36</w:t>
        </w:r>
        <w:r>
          <w:rPr>
            <w:noProof/>
            <w:webHidden/>
          </w:rPr>
          <w:fldChar w:fldCharType="end"/>
        </w:r>
      </w:hyperlink>
    </w:p>
    <w:p w:rsidR="0077224F" w:rsidRDefault="00D973EE">
      <w:pPr>
        <w:pStyle w:val="TOC2"/>
        <w:tabs>
          <w:tab w:val="left" w:pos="800"/>
          <w:tab w:val="right" w:leader="dot" w:pos="9010"/>
        </w:tabs>
        <w:rPr>
          <w:rFonts w:asciiTheme="minorHAnsi" w:eastAsiaTheme="minorEastAsia" w:hAnsiTheme="minorHAnsi" w:cstheme="minorBidi"/>
          <w:noProof/>
          <w:sz w:val="22"/>
          <w:szCs w:val="22"/>
          <w:lang w:eastAsia="en-GB"/>
        </w:rPr>
      </w:pPr>
      <w:hyperlink w:anchor="_Toc466024067" w:history="1">
        <w:r>
          <w:rPr>
            <w:rStyle w:val="Hyperlink"/>
            <w:noProof/>
          </w:rPr>
          <w:t>5.</w:t>
        </w:r>
        <w:r>
          <w:rPr>
            <w:rStyle w:val="Hyperlink"/>
            <w:noProof/>
          </w:rPr>
          <w:t>4</w:t>
        </w:r>
        <w:r>
          <w:rPr>
            <w:rFonts w:asciiTheme="minorHAnsi" w:eastAsiaTheme="minorEastAsia" w:hAnsiTheme="minorHAnsi" w:cstheme="minorBidi"/>
            <w:noProof/>
            <w:sz w:val="22"/>
            <w:szCs w:val="22"/>
            <w:lang w:eastAsia="en-GB"/>
          </w:rPr>
          <w:tab/>
        </w:r>
        <w:r>
          <w:rPr>
            <w:rStyle w:val="Hyperlink"/>
            <w:noProof/>
          </w:rPr>
          <w:t>Reputation and Certification of Websites</w:t>
        </w:r>
        <w:r>
          <w:rPr>
            <w:noProof/>
            <w:webHidden/>
          </w:rPr>
          <w:tab/>
        </w:r>
        <w:r>
          <w:rPr>
            <w:noProof/>
            <w:webHidden/>
          </w:rPr>
          <w:fldChar w:fldCharType="begin"/>
        </w:r>
        <w:r>
          <w:rPr>
            <w:noProof/>
            <w:webHidden/>
          </w:rPr>
          <w:instrText xml:space="preserve"> PAGEREF _Toc466024067 \h </w:instrText>
        </w:r>
        <w:r>
          <w:rPr>
            <w:noProof/>
            <w:webHidden/>
          </w:rPr>
        </w:r>
        <w:r>
          <w:rPr>
            <w:noProof/>
            <w:webHidden/>
          </w:rPr>
          <w:fldChar w:fldCharType="separate"/>
        </w:r>
        <w:r>
          <w:rPr>
            <w:noProof/>
            <w:webHidden/>
          </w:rPr>
          <w:t>37</w:t>
        </w:r>
        <w:r>
          <w:rPr>
            <w:noProof/>
            <w:webHidden/>
          </w:rPr>
          <w:fldChar w:fldCharType="end"/>
        </w:r>
      </w:hyperlink>
    </w:p>
    <w:p w:rsidR="0077224F" w:rsidRDefault="00D973EE">
      <w:pPr>
        <w:pStyle w:val="TOC2"/>
        <w:tabs>
          <w:tab w:val="left" w:pos="800"/>
          <w:tab w:val="right" w:leader="dot" w:pos="9010"/>
        </w:tabs>
        <w:rPr>
          <w:rFonts w:asciiTheme="minorHAnsi" w:eastAsiaTheme="minorEastAsia" w:hAnsiTheme="minorHAnsi" w:cstheme="minorBidi"/>
          <w:noProof/>
          <w:sz w:val="22"/>
          <w:szCs w:val="22"/>
          <w:lang w:eastAsia="en-GB"/>
        </w:rPr>
      </w:pPr>
      <w:hyperlink w:anchor="_Toc466024068" w:history="1">
        <w:r>
          <w:rPr>
            <w:rStyle w:val="Hyperlink"/>
            <w:noProof/>
          </w:rPr>
          <w:t>5.5</w:t>
        </w:r>
        <w:r>
          <w:rPr>
            <w:rFonts w:asciiTheme="minorHAnsi" w:eastAsiaTheme="minorEastAsia" w:hAnsiTheme="minorHAnsi" w:cstheme="minorBidi"/>
            <w:noProof/>
            <w:sz w:val="22"/>
            <w:szCs w:val="22"/>
            <w:lang w:eastAsia="en-GB"/>
          </w:rPr>
          <w:tab/>
        </w:r>
        <w:r>
          <w:rPr>
            <w:rStyle w:val="Hyperlink"/>
            <w:noProof/>
          </w:rPr>
          <w:t>Tracking User Location using IP Addresses</w:t>
        </w:r>
        <w:r>
          <w:rPr>
            <w:noProof/>
            <w:webHidden/>
          </w:rPr>
          <w:tab/>
        </w:r>
        <w:r>
          <w:rPr>
            <w:noProof/>
            <w:webHidden/>
          </w:rPr>
          <w:fldChar w:fldCharType="begin"/>
        </w:r>
        <w:r>
          <w:rPr>
            <w:noProof/>
            <w:webHidden/>
          </w:rPr>
          <w:instrText xml:space="preserve"> PAGEREF _Toc466024068 \h </w:instrText>
        </w:r>
        <w:r>
          <w:rPr>
            <w:noProof/>
            <w:webHidden/>
          </w:rPr>
        </w:r>
        <w:r>
          <w:rPr>
            <w:noProof/>
            <w:webHidden/>
          </w:rPr>
          <w:fldChar w:fldCharType="separate"/>
        </w:r>
        <w:r>
          <w:rPr>
            <w:noProof/>
            <w:webHidden/>
          </w:rPr>
          <w:t>37</w:t>
        </w:r>
        <w:r>
          <w:rPr>
            <w:noProof/>
            <w:webHidden/>
          </w:rPr>
          <w:fldChar w:fldCharType="end"/>
        </w:r>
      </w:hyperlink>
    </w:p>
    <w:p w:rsidR="0077224F" w:rsidRDefault="00D973EE">
      <w:pPr>
        <w:pStyle w:val="TOC2"/>
        <w:tabs>
          <w:tab w:val="left" w:pos="800"/>
          <w:tab w:val="right" w:leader="dot" w:pos="9010"/>
        </w:tabs>
        <w:rPr>
          <w:rFonts w:asciiTheme="minorHAnsi" w:eastAsiaTheme="minorEastAsia" w:hAnsiTheme="minorHAnsi" w:cstheme="minorBidi"/>
          <w:noProof/>
          <w:sz w:val="22"/>
          <w:szCs w:val="22"/>
          <w:lang w:eastAsia="en-GB"/>
        </w:rPr>
      </w:pPr>
      <w:hyperlink w:anchor="_Toc466024069" w:history="1">
        <w:r>
          <w:rPr>
            <w:rStyle w:val="Hyperlink"/>
            <w:noProof/>
          </w:rPr>
          <w:t>5.6</w:t>
        </w:r>
        <w:r>
          <w:rPr>
            <w:rFonts w:asciiTheme="minorHAnsi" w:eastAsiaTheme="minorEastAsia" w:hAnsiTheme="minorHAnsi" w:cstheme="minorBidi"/>
            <w:noProof/>
            <w:sz w:val="22"/>
            <w:szCs w:val="22"/>
            <w:lang w:eastAsia="en-GB"/>
          </w:rPr>
          <w:tab/>
        </w:r>
        <w:r>
          <w:rPr>
            <w:rStyle w:val="Hyperlink"/>
            <w:noProof/>
          </w:rPr>
          <w:t>Software/Browser Metadata Fingerprinting</w:t>
        </w:r>
        <w:r>
          <w:rPr>
            <w:noProof/>
            <w:webHidden/>
          </w:rPr>
          <w:tab/>
        </w:r>
        <w:r>
          <w:rPr>
            <w:noProof/>
            <w:webHidden/>
          </w:rPr>
          <w:fldChar w:fldCharType="begin"/>
        </w:r>
        <w:r>
          <w:rPr>
            <w:noProof/>
            <w:webHidden/>
          </w:rPr>
          <w:instrText xml:space="preserve"> PAGEREF _Toc466024069 \h </w:instrText>
        </w:r>
        <w:r>
          <w:rPr>
            <w:noProof/>
            <w:webHidden/>
          </w:rPr>
        </w:r>
        <w:r>
          <w:rPr>
            <w:noProof/>
            <w:webHidden/>
          </w:rPr>
          <w:fldChar w:fldCharType="separate"/>
        </w:r>
        <w:r>
          <w:rPr>
            <w:noProof/>
            <w:webHidden/>
          </w:rPr>
          <w:t>38</w:t>
        </w:r>
        <w:r>
          <w:rPr>
            <w:noProof/>
            <w:webHidden/>
          </w:rPr>
          <w:fldChar w:fldCharType="end"/>
        </w:r>
      </w:hyperlink>
    </w:p>
    <w:p w:rsidR="0077224F" w:rsidRDefault="00D973EE">
      <w:pPr>
        <w:pStyle w:val="TOC2"/>
        <w:tabs>
          <w:tab w:val="left" w:pos="800"/>
          <w:tab w:val="right" w:leader="dot" w:pos="9010"/>
        </w:tabs>
        <w:rPr>
          <w:rFonts w:asciiTheme="minorHAnsi" w:eastAsiaTheme="minorEastAsia" w:hAnsiTheme="minorHAnsi" w:cstheme="minorBidi"/>
          <w:noProof/>
          <w:sz w:val="22"/>
          <w:szCs w:val="22"/>
          <w:lang w:eastAsia="en-GB"/>
        </w:rPr>
      </w:pPr>
      <w:hyperlink w:anchor="_Toc466024070" w:history="1">
        <w:r>
          <w:rPr>
            <w:rStyle w:val="Hyperlink"/>
            <w:noProof/>
          </w:rPr>
          <w:t>5.7</w:t>
        </w:r>
        <w:r>
          <w:rPr>
            <w:rFonts w:asciiTheme="minorHAnsi" w:eastAsiaTheme="minorEastAsia" w:hAnsiTheme="minorHAnsi" w:cstheme="minorBidi"/>
            <w:noProof/>
            <w:sz w:val="22"/>
            <w:szCs w:val="22"/>
            <w:lang w:eastAsia="en-GB"/>
          </w:rPr>
          <w:tab/>
        </w:r>
        <w:r>
          <w:rPr>
            <w:rStyle w:val="Hyperlink"/>
            <w:noProof/>
          </w:rPr>
          <w:t>Device Hardware Fingerprinting</w:t>
        </w:r>
        <w:r>
          <w:rPr>
            <w:noProof/>
            <w:webHidden/>
          </w:rPr>
          <w:tab/>
        </w:r>
        <w:r>
          <w:rPr>
            <w:noProof/>
            <w:webHidden/>
          </w:rPr>
          <w:fldChar w:fldCharType="begin"/>
        </w:r>
        <w:r>
          <w:rPr>
            <w:noProof/>
            <w:webHidden/>
          </w:rPr>
          <w:instrText xml:space="preserve"> PAGEREF _Toc466024070 \h </w:instrText>
        </w:r>
        <w:r>
          <w:rPr>
            <w:noProof/>
            <w:webHidden/>
          </w:rPr>
        </w:r>
        <w:r>
          <w:rPr>
            <w:noProof/>
            <w:webHidden/>
          </w:rPr>
          <w:fldChar w:fldCharType="separate"/>
        </w:r>
        <w:r>
          <w:rPr>
            <w:noProof/>
            <w:webHidden/>
          </w:rPr>
          <w:t>39</w:t>
        </w:r>
        <w:r>
          <w:rPr>
            <w:noProof/>
            <w:webHidden/>
          </w:rPr>
          <w:fldChar w:fldCharType="end"/>
        </w:r>
      </w:hyperlink>
    </w:p>
    <w:p w:rsidR="0077224F" w:rsidRDefault="00D973EE">
      <w:pPr>
        <w:pStyle w:val="TOC2"/>
        <w:tabs>
          <w:tab w:val="left" w:pos="800"/>
          <w:tab w:val="right" w:leader="dot" w:pos="9010"/>
        </w:tabs>
        <w:rPr>
          <w:rFonts w:asciiTheme="minorHAnsi" w:eastAsiaTheme="minorEastAsia" w:hAnsiTheme="minorHAnsi" w:cstheme="minorBidi"/>
          <w:noProof/>
          <w:sz w:val="22"/>
          <w:szCs w:val="22"/>
          <w:lang w:eastAsia="en-GB"/>
        </w:rPr>
      </w:pPr>
      <w:hyperlink w:anchor="_Toc466024071" w:history="1">
        <w:r>
          <w:rPr>
            <w:rStyle w:val="Hyperlink"/>
            <w:noProof/>
          </w:rPr>
          <w:t>5.8</w:t>
        </w:r>
        <w:r>
          <w:rPr>
            <w:rFonts w:asciiTheme="minorHAnsi" w:eastAsiaTheme="minorEastAsia" w:hAnsiTheme="minorHAnsi" w:cstheme="minorBidi"/>
            <w:noProof/>
            <w:sz w:val="22"/>
            <w:szCs w:val="22"/>
            <w:lang w:eastAsia="en-GB"/>
          </w:rPr>
          <w:tab/>
        </w:r>
        <w:r>
          <w:rPr>
            <w:rStyle w:val="Hyperlink"/>
            <w:noProof/>
          </w:rPr>
          <w:t>Locally and Remotely Saved Web Browser User Data</w:t>
        </w:r>
        <w:r>
          <w:rPr>
            <w:noProof/>
            <w:webHidden/>
          </w:rPr>
          <w:tab/>
        </w:r>
        <w:r>
          <w:rPr>
            <w:noProof/>
            <w:webHidden/>
          </w:rPr>
          <w:fldChar w:fldCharType="begin"/>
        </w:r>
        <w:r>
          <w:rPr>
            <w:noProof/>
            <w:webHidden/>
          </w:rPr>
          <w:instrText xml:space="preserve"> PAGEREF _Toc466024071 \h </w:instrText>
        </w:r>
        <w:r>
          <w:rPr>
            <w:noProof/>
            <w:webHidden/>
          </w:rPr>
        </w:r>
        <w:r>
          <w:rPr>
            <w:noProof/>
            <w:webHidden/>
          </w:rPr>
          <w:fldChar w:fldCharType="separate"/>
        </w:r>
        <w:r>
          <w:rPr>
            <w:noProof/>
            <w:webHidden/>
          </w:rPr>
          <w:t>40</w:t>
        </w:r>
        <w:r>
          <w:rPr>
            <w:noProof/>
            <w:webHidden/>
          </w:rPr>
          <w:fldChar w:fldCharType="end"/>
        </w:r>
      </w:hyperlink>
    </w:p>
    <w:p w:rsidR="0077224F" w:rsidRDefault="00D973EE">
      <w:pPr>
        <w:pStyle w:val="TOC2"/>
        <w:tabs>
          <w:tab w:val="left" w:pos="800"/>
          <w:tab w:val="right" w:leader="dot" w:pos="9010"/>
        </w:tabs>
        <w:rPr>
          <w:rFonts w:asciiTheme="minorHAnsi" w:eastAsiaTheme="minorEastAsia" w:hAnsiTheme="minorHAnsi" w:cstheme="minorBidi"/>
          <w:noProof/>
          <w:sz w:val="22"/>
          <w:szCs w:val="22"/>
          <w:lang w:eastAsia="en-GB"/>
        </w:rPr>
      </w:pPr>
      <w:hyperlink w:anchor="_Toc466024072" w:history="1">
        <w:r>
          <w:rPr>
            <w:rStyle w:val="Hyperlink"/>
            <w:noProof/>
          </w:rPr>
          <w:t>5.9</w:t>
        </w:r>
        <w:r>
          <w:rPr>
            <w:rFonts w:asciiTheme="minorHAnsi" w:eastAsiaTheme="minorEastAsia" w:hAnsiTheme="minorHAnsi" w:cstheme="minorBidi"/>
            <w:noProof/>
            <w:sz w:val="22"/>
            <w:szCs w:val="22"/>
            <w:lang w:eastAsia="en-GB"/>
          </w:rPr>
          <w:tab/>
        </w:r>
        <w:r>
          <w:rPr>
            <w:rStyle w:val="Hyperlink"/>
            <w:noProof/>
          </w:rPr>
          <w:t>Data Leaks due to breaches in server’s or client’s policy settin</w:t>
        </w:r>
        <w:r>
          <w:rPr>
            <w:rStyle w:val="Hyperlink"/>
            <w:noProof/>
          </w:rPr>
          <w:t>gs</w:t>
        </w:r>
        <w:r>
          <w:rPr>
            <w:noProof/>
            <w:webHidden/>
          </w:rPr>
          <w:tab/>
        </w:r>
        <w:r>
          <w:rPr>
            <w:noProof/>
            <w:webHidden/>
          </w:rPr>
          <w:fldChar w:fldCharType="begin"/>
        </w:r>
        <w:r>
          <w:rPr>
            <w:noProof/>
            <w:webHidden/>
          </w:rPr>
          <w:instrText xml:space="preserve"> PAGEREF _Toc466024072 \h </w:instrText>
        </w:r>
        <w:r>
          <w:rPr>
            <w:noProof/>
            <w:webHidden/>
          </w:rPr>
        </w:r>
        <w:r>
          <w:rPr>
            <w:noProof/>
            <w:webHidden/>
          </w:rPr>
          <w:fldChar w:fldCharType="separate"/>
        </w:r>
        <w:r>
          <w:rPr>
            <w:noProof/>
            <w:webHidden/>
          </w:rPr>
          <w:t>40</w:t>
        </w:r>
        <w:r>
          <w:rPr>
            <w:noProof/>
            <w:webHidden/>
          </w:rPr>
          <w:fldChar w:fldCharType="end"/>
        </w:r>
      </w:hyperlink>
    </w:p>
    <w:p w:rsidR="0077224F" w:rsidRDefault="00D973EE">
      <w:pPr>
        <w:pStyle w:val="TOC2"/>
        <w:tabs>
          <w:tab w:val="left" w:pos="1100"/>
          <w:tab w:val="right" w:leader="dot" w:pos="9010"/>
        </w:tabs>
        <w:rPr>
          <w:rFonts w:asciiTheme="minorHAnsi" w:eastAsiaTheme="minorEastAsia" w:hAnsiTheme="minorHAnsi" w:cstheme="minorBidi"/>
          <w:noProof/>
          <w:sz w:val="22"/>
          <w:szCs w:val="22"/>
          <w:lang w:eastAsia="en-GB"/>
        </w:rPr>
      </w:pPr>
      <w:hyperlink w:anchor="_Toc466024073" w:history="1">
        <w:r>
          <w:rPr>
            <w:rStyle w:val="Hyperlink"/>
            <w:noProof/>
          </w:rPr>
          <w:t>5.10</w:t>
        </w:r>
        <w:r>
          <w:rPr>
            <w:rFonts w:asciiTheme="minorHAnsi" w:eastAsiaTheme="minorEastAsia" w:hAnsiTheme="minorHAnsi" w:cstheme="minorBidi"/>
            <w:noProof/>
            <w:sz w:val="22"/>
            <w:szCs w:val="22"/>
            <w:lang w:eastAsia="en-GB"/>
          </w:rPr>
          <w:tab/>
        </w:r>
        <w:r>
          <w:rPr>
            <w:rStyle w:val="Hyperlink"/>
            <w:noProof/>
          </w:rPr>
          <w:t>Information Leakage to Third party components</w:t>
        </w:r>
        <w:r>
          <w:rPr>
            <w:noProof/>
            <w:webHidden/>
          </w:rPr>
          <w:tab/>
        </w:r>
        <w:r>
          <w:rPr>
            <w:noProof/>
            <w:webHidden/>
          </w:rPr>
          <w:fldChar w:fldCharType="begin"/>
        </w:r>
        <w:r>
          <w:rPr>
            <w:noProof/>
            <w:webHidden/>
          </w:rPr>
          <w:instrText xml:space="preserve"> PAGEREF _Toc466024073 \h </w:instrText>
        </w:r>
        <w:r>
          <w:rPr>
            <w:noProof/>
            <w:webHidden/>
          </w:rPr>
        </w:r>
        <w:r>
          <w:rPr>
            <w:noProof/>
            <w:webHidden/>
          </w:rPr>
          <w:fldChar w:fldCharType="separate"/>
        </w:r>
        <w:r>
          <w:rPr>
            <w:noProof/>
            <w:webHidden/>
          </w:rPr>
          <w:t>41</w:t>
        </w:r>
        <w:r>
          <w:rPr>
            <w:noProof/>
            <w:webHidden/>
          </w:rPr>
          <w:fldChar w:fldCharType="end"/>
        </w:r>
      </w:hyperlink>
    </w:p>
    <w:p w:rsidR="0077224F" w:rsidRDefault="00D973EE">
      <w:pPr>
        <w:pStyle w:val="TOC2"/>
        <w:tabs>
          <w:tab w:val="left" w:pos="1100"/>
          <w:tab w:val="right" w:leader="dot" w:pos="9010"/>
        </w:tabs>
        <w:rPr>
          <w:rFonts w:asciiTheme="minorHAnsi" w:eastAsiaTheme="minorEastAsia" w:hAnsiTheme="minorHAnsi" w:cstheme="minorBidi"/>
          <w:noProof/>
          <w:sz w:val="22"/>
          <w:szCs w:val="22"/>
          <w:lang w:eastAsia="en-GB"/>
        </w:rPr>
      </w:pPr>
      <w:hyperlink w:anchor="_Toc466024074" w:history="1">
        <w:r>
          <w:rPr>
            <w:rStyle w:val="Hyperlink"/>
            <w:noProof/>
          </w:rPr>
          <w:t>5.11</w:t>
        </w:r>
        <w:r>
          <w:rPr>
            <w:rFonts w:asciiTheme="minorHAnsi" w:eastAsiaTheme="minorEastAsia" w:hAnsiTheme="minorHAnsi" w:cstheme="minorBidi"/>
            <w:noProof/>
            <w:sz w:val="22"/>
            <w:szCs w:val="22"/>
            <w:lang w:eastAsia="en-GB"/>
          </w:rPr>
          <w:tab/>
        </w:r>
        <w:r>
          <w:rPr>
            <w:rStyle w:val="Hyperlink"/>
            <w:noProof/>
          </w:rPr>
          <w:t>Data Mining and Correlation</w:t>
        </w:r>
        <w:r>
          <w:rPr>
            <w:noProof/>
            <w:webHidden/>
          </w:rPr>
          <w:tab/>
        </w:r>
        <w:r>
          <w:rPr>
            <w:noProof/>
            <w:webHidden/>
          </w:rPr>
          <w:fldChar w:fldCharType="begin"/>
        </w:r>
        <w:r>
          <w:rPr>
            <w:noProof/>
            <w:webHidden/>
          </w:rPr>
          <w:instrText xml:space="preserve"> PAGEREF _Toc466024074 \h </w:instrText>
        </w:r>
        <w:r>
          <w:rPr>
            <w:noProof/>
            <w:webHidden/>
          </w:rPr>
        </w:r>
        <w:r>
          <w:rPr>
            <w:noProof/>
            <w:webHidden/>
          </w:rPr>
          <w:fldChar w:fldCharType="separate"/>
        </w:r>
        <w:r>
          <w:rPr>
            <w:noProof/>
            <w:webHidden/>
          </w:rPr>
          <w:t>41</w:t>
        </w:r>
        <w:r>
          <w:rPr>
            <w:noProof/>
            <w:webHidden/>
          </w:rPr>
          <w:fldChar w:fldCharType="end"/>
        </w:r>
      </w:hyperlink>
    </w:p>
    <w:p w:rsidR="0077224F" w:rsidRDefault="00D973EE">
      <w:pPr>
        <w:pStyle w:val="TOC1"/>
        <w:tabs>
          <w:tab w:val="left" w:pos="400"/>
          <w:tab w:val="right" w:leader="dot" w:pos="9010"/>
        </w:tabs>
        <w:rPr>
          <w:rFonts w:asciiTheme="minorHAnsi" w:eastAsiaTheme="minorEastAsia" w:hAnsiTheme="minorHAnsi" w:cstheme="minorBidi"/>
          <w:noProof/>
          <w:sz w:val="22"/>
          <w:szCs w:val="22"/>
          <w:lang w:eastAsia="en-GB"/>
        </w:rPr>
      </w:pPr>
      <w:hyperlink w:anchor="_Toc466024075" w:history="1">
        <w:r>
          <w:rPr>
            <w:rStyle w:val="Hyperlink"/>
            <w:noProof/>
          </w:rPr>
          <w:t>6</w:t>
        </w:r>
        <w:r>
          <w:rPr>
            <w:rFonts w:asciiTheme="minorHAnsi" w:eastAsiaTheme="minorEastAsia" w:hAnsiTheme="minorHAnsi" w:cstheme="minorBidi"/>
            <w:noProof/>
            <w:sz w:val="22"/>
            <w:szCs w:val="22"/>
            <w:lang w:eastAsia="en-GB"/>
          </w:rPr>
          <w:tab/>
        </w:r>
        <w:r>
          <w:rPr>
            <w:rStyle w:val="Hyperlink"/>
            <w:noProof/>
          </w:rPr>
          <w:t>Conclusion</w:t>
        </w:r>
        <w:r>
          <w:rPr>
            <w:noProof/>
            <w:webHidden/>
          </w:rPr>
          <w:tab/>
        </w:r>
        <w:r>
          <w:rPr>
            <w:noProof/>
            <w:webHidden/>
          </w:rPr>
          <w:fldChar w:fldCharType="begin"/>
        </w:r>
        <w:r>
          <w:rPr>
            <w:noProof/>
            <w:webHidden/>
          </w:rPr>
          <w:instrText xml:space="preserve"> PAGEREF _Toc466024075 \h </w:instrText>
        </w:r>
        <w:r>
          <w:rPr>
            <w:noProof/>
            <w:webHidden/>
          </w:rPr>
        </w:r>
        <w:r>
          <w:rPr>
            <w:noProof/>
            <w:webHidden/>
          </w:rPr>
          <w:fldChar w:fldCharType="separate"/>
        </w:r>
        <w:r>
          <w:rPr>
            <w:noProof/>
            <w:webHidden/>
          </w:rPr>
          <w:t>43</w:t>
        </w:r>
        <w:r>
          <w:rPr>
            <w:noProof/>
            <w:webHidden/>
          </w:rPr>
          <w:fldChar w:fldCharType="end"/>
        </w:r>
      </w:hyperlink>
    </w:p>
    <w:p w:rsidR="0077224F" w:rsidRDefault="00D973EE">
      <w:pPr>
        <w:pStyle w:val="TOC1"/>
        <w:tabs>
          <w:tab w:val="right" w:leader="dot" w:pos="9010"/>
        </w:tabs>
        <w:rPr>
          <w:rFonts w:asciiTheme="minorHAnsi" w:eastAsiaTheme="minorEastAsia" w:hAnsiTheme="minorHAnsi" w:cstheme="minorBidi"/>
          <w:noProof/>
          <w:sz w:val="22"/>
          <w:szCs w:val="22"/>
          <w:lang w:eastAsia="en-GB"/>
        </w:rPr>
      </w:pPr>
      <w:hyperlink w:anchor="_Toc466024076" w:history="1">
        <w:r>
          <w:rPr>
            <w:rStyle w:val="Hyperlink"/>
            <w:noProof/>
            <w:lang w:val="pt-PT"/>
          </w:rPr>
          <w:t>References</w:t>
        </w:r>
        <w:r>
          <w:rPr>
            <w:noProof/>
            <w:webHidden/>
          </w:rPr>
          <w:tab/>
        </w:r>
        <w:r>
          <w:rPr>
            <w:noProof/>
            <w:webHidden/>
          </w:rPr>
          <w:fldChar w:fldCharType="begin"/>
        </w:r>
        <w:r>
          <w:rPr>
            <w:noProof/>
            <w:webHidden/>
          </w:rPr>
          <w:instrText xml:space="preserve"> PAGE</w:instrText>
        </w:r>
        <w:r>
          <w:rPr>
            <w:noProof/>
            <w:webHidden/>
          </w:rPr>
          <w:instrText xml:space="preserve">REF _Toc466024076 \h </w:instrText>
        </w:r>
        <w:r>
          <w:rPr>
            <w:noProof/>
            <w:webHidden/>
          </w:rPr>
        </w:r>
        <w:r>
          <w:rPr>
            <w:noProof/>
            <w:webHidden/>
          </w:rPr>
          <w:fldChar w:fldCharType="separate"/>
        </w:r>
        <w:r>
          <w:rPr>
            <w:noProof/>
            <w:webHidden/>
          </w:rPr>
          <w:t>47</w:t>
        </w:r>
        <w:r>
          <w:rPr>
            <w:noProof/>
            <w:webHidden/>
          </w:rPr>
          <w:fldChar w:fldCharType="end"/>
        </w:r>
      </w:hyperlink>
    </w:p>
    <w:p w:rsidR="0077224F" w:rsidRDefault="00D973EE">
      <w:pPr>
        <w:pStyle w:val="TOC1"/>
        <w:tabs>
          <w:tab w:val="right" w:leader="dot" w:pos="9010"/>
        </w:tabs>
        <w:rPr>
          <w:rFonts w:asciiTheme="minorHAnsi" w:eastAsiaTheme="minorEastAsia" w:hAnsiTheme="minorHAnsi" w:cstheme="minorBidi"/>
          <w:noProof/>
          <w:sz w:val="22"/>
          <w:szCs w:val="22"/>
          <w:lang w:eastAsia="en-GB"/>
        </w:rPr>
      </w:pPr>
      <w:hyperlink w:anchor="_Toc466024077" w:history="1">
        <w:r>
          <w:rPr>
            <w:rStyle w:val="Hyperlink"/>
            <w:noProof/>
          </w:rPr>
          <w:t>Appendix A. List of definitions</w:t>
        </w:r>
        <w:r>
          <w:rPr>
            <w:noProof/>
            <w:webHidden/>
          </w:rPr>
          <w:tab/>
        </w:r>
        <w:r>
          <w:rPr>
            <w:noProof/>
            <w:webHidden/>
          </w:rPr>
          <w:fldChar w:fldCharType="begin"/>
        </w:r>
        <w:r>
          <w:rPr>
            <w:noProof/>
            <w:webHidden/>
          </w:rPr>
          <w:instrText xml:space="preserve"> PAGEREF _Toc466024077 \h </w:instrText>
        </w:r>
        <w:r>
          <w:rPr>
            <w:noProof/>
            <w:webHidden/>
          </w:rPr>
        </w:r>
        <w:r>
          <w:rPr>
            <w:noProof/>
            <w:webHidden/>
          </w:rPr>
          <w:fldChar w:fldCharType="separate"/>
        </w:r>
        <w:r>
          <w:rPr>
            <w:noProof/>
            <w:webHidden/>
          </w:rPr>
          <w:t>50</w:t>
        </w:r>
        <w:r>
          <w:rPr>
            <w:noProof/>
            <w:webHidden/>
          </w:rPr>
          <w:fldChar w:fldCharType="end"/>
        </w:r>
      </w:hyperlink>
    </w:p>
    <w:p w:rsidR="0077224F" w:rsidRDefault="00D973EE">
      <w:pPr>
        <w:pStyle w:val="TOC1"/>
        <w:tabs>
          <w:tab w:val="right" w:leader="dot" w:pos="9010"/>
        </w:tabs>
        <w:rPr>
          <w:rFonts w:asciiTheme="minorHAnsi" w:eastAsiaTheme="minorEastAsia" w:hAnsiTheme="minorHAnsi" w:cstheme="minorBidi"/>
          <w:noProof/>
          <w:sz w:val="22"/>
          <w:szCs w:val="22"/>
          <w:lang w:eastAsia="en-GB"/>
        </w:rPr>
      </w:pPr>
      <w:hyperlink w:anchor="_Toc466024078" w:history="1">
        <w:r>
          <w:rPr>
            <w:rStyle w:val="Hyperlink"/>
            <w:noProof/>
          </w:rPr>
          <w:t>Appendix B. List of abbreviations</w:t>
        </w:r>
        <w:r>
          <w:rPr>
            <w:noProof/>
            <w:webHidden/>
          </w:rPr>
          <w:tab/>
        </w:r>
        <w:r>
          <w:rPr>
            <w:noProof/>
            <w:webHidden/>
          </w:rPr>
          <w:fldChar w:fldCharType="begin"/>
        </w:r>
        <w:r>
          <w:rPr>
            <w:noProof/>
            <w:webHidden/>
          </w:rPr>
          <w:instrText xml:space="preserve"> PAGEREF _Toc466024078 \h </w:instrText>
        </w:r>
        <w:r>
          <w:rPr>
            <w:noProof/>
            <w:webHidden/>
          </w:rPr>
        </w:r>
        <w:r>
          <w:rPr>
            <w:noProof/>
            <w:webHidden/>
          </w:rPr>
          <w:fldChar w:fldCharType="separate"/>
        </w:r>
        <w:r>
          <w:rPr>
            <w:noProof/>
            <w:webHidden/>
          </w:rPr>
          <w:t>51</w:t>
        </w:r>
        <w:r>
          <w:rPr>
            <w:noProof/>
            <w:webHidden/>
          </w:rPr>
          <w:fldChar w:fldCharType="end"/>
        </w:r>
      </w:hyperlink>
    </w:p>
    <w:p w:rsidR="0077224F" w:rsidRDefault="00D973EE">
      <w:pPr>
        <w:pStyle w:val="TOC1"/>
        <w:tabs>
          <w:tab w:val="right" w:leader="dot" w:pos="9010"/>
        </w:tabs>
        <w:rPr>
          <w:rFonts w:asciiTheme="minorHAnsi" w:eastAsiaTheme="minorEastAsia" w:hAnsiTheme="minorHAnsi" w:cstheme="minorBidi"/>
          <w:noProof/>
          <w:sz w:val="22"/>
          <w:szCs w:val="22"/>
          <w:lang w:eastAsia="en-GB"/>
        </w:rPr>
      </w:pPr>
      <w:hyperlink w:anchor="_Toc466024079" w:history="1">
        <w:r>
          <w:rPr>
            <w:rStyle w:val="Hyperlink"/>
            <w:noProof/>
          </w:rPr>
          <w:t>List of figures</w:t>
        </w:r>
        <w:r>
          <w:rPr>
            <w:noProof/>
            <w:webHidden/>
          </w:rPr>
          <w:tab/>
        </w:r>
        <w:r>
          <w:rPr>
            <w:noProof/>
            <w:webHidden/>
          </w:rPr>
          <w:fldChar w:fldCharType="begin"/>
        </w:r>
        <w:r>
          <w:rPr>
            <w:noProof/>
            <w:webHidden/>
          </w:rPr>
          <w:instrText xml:space="preserve"> PAGEREF _Toc466024079 \h </w:instrText>
        </w:r>
        <w:r>
          <w:rPr>
            <w:noProof/>
            <w:webHidden/>
          </w:rPr>
        </w:r>
        <w:r>
          <w:rPr>
            <w:noProof/>
            <w:webHidden/>
          </w:rPr>
          <w:fldChar w:fldCharType="separate"/>
        </w:r>
        <w:r>
          <w:rPr>
            <w:noProof/>
            <w:webHidden/>
          </w:rPr>
          <w:t>52</w:t>
        </w:r>
        <w:r>
          <w:rPr>
            <w:noProof/>
            <w:webHidden/>
          </w:rPr>
          <w:fldChar w:fldCharType="end"/>
        </w:r>
      </w:hyperlink>
    </w:p>
    <w:p w:rsidR="0077224F" w:rsidRDefault="00D973EE">
      <w:pPr>
        <w:pStyle w:val="TOC1"/>
        <w:tabs>
          <w:tab w:val="right" w:leader="dot" w:pos="9010"/>
        </w:tabs>
        <w:rPr>
          <w:rFonts w:asciiTheme="minorHAnsi" w:eastAsiaTheme="minorEastAsia" w:hAnsiTheme="minorHAnsi" w:cstheme="minorBidi"/>
          <w:noProof/>
          <w:sz w:val="22"/>
          <w:szCs w:val="22"/>
          <w:lang w:eastAsia="en-GB"/>
        </w:rPr>
      </w:pPr>
      <w:hyperlink w:anchor="_Toc466024080" w:history="1">
        <w:r>
          <w:rPr>
            <w:rStyle w:val="Hyperlink"/>
            <w:noProof/>
          </w:rPr>
          <w:t>List of tables</w:t>
        </w:r>
        <w:r>
          <w:rPr>
            <w:noProof/>
            <w:webHidden/>
          </w:rPr>
          <w:tab/>
        </w:r>
        <w:r>
          <w:rPr>
            <w:noProof/>
            <w:webHidden/>
          </w:rPr>
          <w:fldChar w:fldCharType="begin"/>
        </w:r>
        <w:r>
          <w:rPr>
            <w:noProof/>
            <w:webHidden/>
          </w:rPr>
          <w:instrText xml:space="preserve"> PAGEREF _Toc466024080 \h </w:instrText>
        </w:r>
        <w:r>
          <w:rPr>
            <w:noProof/>
            <w:webHidden/>
          </w:rPr>
        </w:r>
        <w:r>
          <w:rPr>
            <w:noProof/>
            <w:webHidden/>
          </w:rPr>
          <w:fldChar w:fldCharType="separate"/>
        </w:r>
        <w:r>
          <w:rPr>
            <w:noProof/>
            <w:webHidden/>
          </w:rPr>
          <w:t>53</w:t>
        </w:r>
        <w:r>
          <w:rPr>
            <w:noProof/>
            <w:webHidden/>
          </w:rPr>
          <w:fldChar w:fldCharType="end"/>
        </w:r>
      </w:hyperlink>
    </w:p>
    <w:p w:rsidR="0077224F" w:rsidRDefault="00D973EE">
      <w:pPr>
        <w:rPr>
          <w:noProof/>
        </w:rPr>
      </w:pPr>
      <w:r>
        <w:rPr>
          <w:noProof/>
        </w:rPr>
        <w:fldChar w:fldCharType="end"/>
      </w:r>
    </w:p>
    <w:bookmarkEnd w:id="386"/>
    <w:p w:rsidR="0077224F" w:rsidRDefault="0077224F">
      <w:pPr>
        <w:pStyle w:val="Headingnonumber"/>
        <w:rPr>
          <w:noProof/>
        </w:rPr>
        <w:sectPr w:rsidR="0077224F">
          <w:headerReference w:type="even" r:id="rId36"/>
          <w:headerReference w:type="default" r:id="rId37"/>
          <w:footerReference w:type="even" r:id="rId38"/>
          <w:footerReference w:type="default" r:id="rId39"/>
          <w:headerReference w:type="first" r:id="rId40"/>
          <w:footerReference w:type="first" r:id="rId41"/>
          <w:pgSz w:w="11900" w:h="16840"/>
          <w:pgMar w:top="1440" w:right="1440" w:bottom="1440" w:left="1440" w:header="0" w:footer="0" w:gutter="0"/>
          <w:pgNumType w:start="1"/>
          <w:cols w:space="708"/>
          <w:titlePg/>
          <w:docGrid w:linePitch="360"/>
        </w:sectPr>
      </w:pPr>
    </w:p>
    <w:p w:rsidR="0077224F" w:rsidRDefault="00D973EE">
      <w:pPr>
        <w:pStyle w:val="Headingnonumber"/>
        <w:rPr>
          <w:noProof/>
        </w:rPr>
      </w:pPr>
      <w:bookmarkStart w:id="387" w:name="_Toc466024033"/>
      <w:bookmarkStart w:id="388" w:name="_Toc468790043"/>
      <w:bookmarkStart w:id="389" w:name="_Toc468794875"/>
      <w:bookmarkStart w:id="390" w:name="_Toc468795183"/>
      <w:r>
        <w:rPr>
          <w:noProof/>
        </w:rPr>
        <w:t>Abstract</w:t>
      </w:r>
      <w:bookmarkEnd w:id="387"/>
      <w:bookmarkEnd w:id="388"/>
      <w:bookmarkEnd w:id="389"/>
      <w:bookmarkEnd w:id="390"/>
      <w:r>
        <w:rPr>
          <w:noProof/>
        </w:rPr>
        <w:t xml:space="preserve"> </w:t>
      </w:r>
    </w:p>
    <w:p w:rsidR="0077224F" w:rsidRDefault="0077224F">
      <w:pPr>
        <w:rPr>
          <w:i/>
          <w:noProof/>
          <w:color w:val="FF0000"/>
        </w:rPr>
      </w:pPr>
    </w:p>
    <w:p w:rsidR="0077224F" w:rsidRDefault="00D973EE">
      <w:pPr>
        <w:rPr>
          <w:noProof/>
          <w:szCs w:val="20"/>
        </w:rPr>
      </w:pPr>
      <w:r>
        <w:rPr>
          <w:noProof/>
          <w:szCs w:val="20"/>
        </w:rPr>
        <w:t>Scope of this report is that of supporting DG-CNECT during the early stages of the ePrivacy revision with evidences and technological options for what concerns cyber-security and privacy of mobile and web services.</w:t>
      </w:r>
    </w:p>
    <w:p w:rsidR="0077224F" w:rsidRDefault="00D973EE">
      <w:pPr>
        <w:rPr>
          <w:noProof/>
        </w:rPr>
      </w:pPr>
      <w:r>
        <w:rPr>
          <w:noProof/>
        </w:rPr>
        <w:t>The report analyses the main p</w:t>
      </w:r>
      <w:r>
        <w:rPr>
          <w:noProof/>
        </w:rPr>
        <w:t>rivacy threats rising from the use of new communication services, mobile technologies and web-applications.</w:t>
      </w:r>
    </w:p>
    <w:p w:rsidR="0077224F" w:rsidRDefault="00D973EE">
      <w:pPr>
        <w:rPr>
          <w:noProof/>
        </w:rPr>
      </w:pPr>
      <w:r>
        <w:rPr>
          <w:noProof/>
        </w:rPr>
        <w:t>The major concern emerged in the study, when speaking of privacy of telecommunication/online services is related to the lack of end-users’ free will</w:t>
      </w:r>
      <w:r>
        <w:rPr>
          <w:noProof/>
        </w:rPr>
        <w:t xml:space="preserve"> with regards to their sensitive information.</w:t>
      </w:r>
    </w:p>
    <w:p w:rsidR="0077224F" w:rsidRDefault="00D973EE">
      <w:pPr>
        <w:rPr>
          <w:noProof/>
        </w:rPr>
      </w:pPr>
      <w:r>
        <w:rPr>
          <w:noProof/>
        </w:rPr>
        <w:t>If we take as an example the cookies, we can undoubtedly claim that the previous implementation of the ePrivacy directive failed in promoting transparency and privacy awareness in digital services. Hence, the i</w:t>
      </w:r>
      <w:r>
        <w:rPr>
          <w:noProof/>
        </w:rPr>
        <w:t>dentification of a new, efficient, and effective way to give back the control of personal information to the end-user is needed, and the review of the ePrivacy directive is the best occasion to elaborate on this challenge.</w:t>
      </w:r>
    </w:p>
    <w:p w:rsidR="0077224F" w:rsidRDefault="00D973EE">
      <w:pPr>
        <w:rPr>
          <w:noProof/>
        </w:rPr>
      </w:pPr>
      <w:r>
        <w:rPr>
          <w:noProof/>
        </w:rPr>
        <w:t xml:space="preserve">The problem is in a way not trivial due to the fact that even if formally the concept of privacy has a clear definition, in practice, it is often in contraposition to the need of certain information to enable the delivery of a service. </w:t>
      </w:r>
    </w:p>
    <w:p w:rsidR="0077224F" w:rsidRDefault="00D973EE">
      <w:pPr>
        <w:rPr>
          <w:noProof/>
        </w:rPr>
      </w:pPr>
      <w:r>
        <w:rPr>
          <w:noProof/>
        </w:rPr>
        <w:t>The adoption of ver</w:t>
      </w:r>
      <w:r>
        <w:rPr>
          <w:noProof/>
        </w:rPr>
        <w:t>y prescriptive and stringent measures forbidding access to all possibly sensitive information of an individual has been proved to be a bad option, as modern datamining and inference techniques can easily be used to infer from explicit, completely depersona</w:t>
      </w:r>
      <w:r>
        <w:rPr>
          <w:noProof/>
        </w:rPr>
        <w:t>lized information, implicit sensitive information, circumventing in this way every type of legislative limitation.</w:t>
      </w:r>
    </w:p>
    <w:p w:rsidR="0077224F" w:rsidRDefault="00D973EE">
      <w:pPr>
        <w:rPr>
          <w:noProof/>
        </w:rPr>
      </w:pPr>
      <w:r>
        <w:rPr>
          <w:noProof/>
        </w:rPr>
        <w:t>If we look to the roadmap of the Digital Single Market, it is evident that the digital privacy will have to coexist with the more and more pr</w:t>
      </w:r>
      <w:r>
        <w:rPr>
          <w:noProof/>
        </w:rPr>
        <w:t>essing need of opening up the free flow of data in the DSM, to boost innovation and new economic opportunities.</w:t>
      </w:r>
    </w:p>
    <w:p w:rsidR="0077224F" w:rsidRDefault="00D973EE">
      <w:pPr>
        <w:rPr>
          <w:noProof/>
        </w:rPr>
      </w:pPr>
      <w:r>
        <w:rPr>
          <w:noProof/>
        </w:rPr>
        <w:t xml:space="preserve">The key to allow the coexistence of these two needs (or principles) lays on the ability of the ePrivacy revision to ensure two key principles: </w:t>
      </w:r>
    </w:p>
    <w:p w:rsidR="0077224F" w:rsidRDefault="00D973EE">
      <w:pPr>
        <w:pStyle w:val="ListParagraph"/>
        <w:numPr>
          <w:ilvl w:val="0"/>
          <w:numId w:val="3"/>
        </w:numPr>
        <w:spacing w:before="0"/>
        <w:rPr>
          <w:rFonts w:ascii="Verdana" w:hAnsi="Verdana"/>
          <w:noProof/>
          <w:sz w:val="20"/>
        </w:rPr>
      </w:pPr>
      <w:r>
        <w:rPr>
          <w:rFonts w:ascii="Verdana" w:hAnsi="Verdana"/>
          <w:noProof/>
          <w:sz w:val="20"/>
        </w:rPr>
        <w:t>Trust in the services provided</w:t>
      </w:r>
    </w:p>
    <w:p w:rsidR="0077224F" w:rsidRDefault="00D973EE">
      <w:pPr>
        <w:pStyle w:val="ListParagraph"/>
        <w:numPr>
          <w:ilvl w:val="0"/>
          <w:numId w:val="3"/>
        </w:numPr>
        <w:spacing w:before="0"/>
        <w:rPr>
          <w:rFonts w:ascii="Verdana" w:hAnsi="Verdana"/>
          <w:noProof/>
          <w:sz w:val="20"/>
        </w:rPr>
      </w:pPr>
      <w:r>
        <w:rPr>
          <w:rFonts w:ascii="Verdana" w:hAnsi="Verdana"/>
          <w:noProof/>
          <w:sz w:val="20"/>
        </w:rPr>
        <w:t xml:space="preserve">Full knowledge about which data is shared with whom </w:t>
      </w:r>
    </w:p>
    <w:p w:rsidR="0077224F" w:rsidRDefault="00D973EE">
      <w:pPr>
        <w:rPr>
          <w:noProof/>
        </w:rPr>
      </w:pPr>
      <w:r>
        <w:rPr>
          <w:noProof/>
        </w:rPr>
        <w:t>Under this perspective the report presents several technical recommendations which could be taken into consideration to enable a more privacy friendly digital space.</w:t>
      </w: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pStyle w:val="Text"/>
        <w:rPr>
          <w:noProof/>
          <w:lang w:val="en-GB"/>
        </w:rPr>
      </w:pPr>
    </w:p>
    <w:p w:rsidR="0077224F" w:rsidRDefault="0077224F">
      <w:pPr>
        <w:pStyle w:val="Heading1"/>
        <w:numPr>
          <w:ilvl w:val="0"/>
          <w:numId w:val="0"/>
        </w:numPr>
        <w:ind w:left="432"/>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D973EE">
      <w:pPr>
        <w:pStyle w:val="Heading1"/>
        <w:rPr>
          <w:noProof/>
        </w:rPr>
      </w:pPr>
      <w:bookmarkStart w:id="391" w:name="_Toc466024034"/>
      <w:bookmarkStart w:id="392" w:name="_Toc468790044"/>
      <w:bookmarkStart w:id="393" w:name="_Toc468794876"/>
      <w:bookmarkStart w:id="394" w:name="_Toc468795184"/>
      <w:r>
        <w:rPr>
          <w:noProof/>
        </w:rPr>
        <w:t>Introduction</w:t>
      </w:r>
      <w:bookmarkEnd w:id="391"/>
      <w:bookmarkEnd w:id="392"/>
      <w:bookmarkEnd w:id="393"/>
      <w:bookmarkEnd w:id="394"/>
    </w:p>
    <w:p w:rsidR="0077224F" w:rsidRDefault="0077224F">
      <w:pPr>
        <w:pStyle w:val="Text"/>
        <w:rPr>
          <w:noProof/>
          <w:lang w:val="en-GB"/>
        </w:rPr>
      </w:pPr>
    </w:p>
    <w:p w:rsidR="0077224F" w:rsidRDefault="00D973EE">
      <w:pPr>
        <w:rPr>
          <w:noProof/>
        </w:rPr>
      </w:pPr>
      <w:r>
        <w:rPr>
          <w:noProof/>
        </w:rPr>
        <w:t xml:space="preserve">In the past years, the Commission has started a major modernisation process of the data protection framework; as part of this reform, the Digital Single Market Strategy prescribes that the Commission </w:t>
      </w:r>
      <w:r>
        <w:rPr>
          <w:noProof/>
        </w:rPr>
        <w:t>should also review the rules on ePrivacy directive and deliver a legislation that is fit for the digital age.</w:t>
      </w:r>
    </w:p>
    <w:p w:rsidR="0077224F" w:rsidRDefault="00D973EE">
      <w:pPr>
        <w:rPr>
          <w:noProof/>
        </w:rPr>
      </w:pPr>
      <w:r>
        <w:rPr>
          <w:noProof/>
        </w:rPr>
        <w:t>The objectives of the review are:</w:t>
      </w:r>
    </w:p>
    <w:p w:rsidR="0077224F" w:rsidRDefault="00D973EE">
      <w:pPr>
        <w:pStyle w:val="ListParagraph"/>
        <w:numPr>
          <w:ilvl w:val="0"/>
          <w:numId w:val="4"/>
        </w:numPr>
        <w:rPr>
          <w:rFonts w:ascii="Verdana" w:hAnsi="Verdana"/>
          <w:noProof/>
          <w:sz w:val="20"/>
          <w:szCs w:val="20"/>
        </w:rPr>
      </w:pPr>
      <w:r>
        <w:rPr>
          <w:rFonts w:ascii="Verdana" w:hAnsi="Verdana"/>
          <w:noProof/>
          <w:sz w:val="20"/>
          <w:szCs w:val="20"/>
        </w:rPr>
        <w:t>Ensuring consistency between the ePrivacy rules and the new General Data Protection Regulation</w:t>
      </w:r>
    </w:p>
    <w:p w:rsidR="0077224F" w:rsidRDefault="00D973EE">
      <w:pPr>
        <w:pStyle w:val="ListParagraph"/>
        <w:numPr>
          <w:ilvl w:val="0"/>
          <w:numId w:val="4"/>
        </w:numPr>
        <w:rPr>
          <w:rFonts w:ascii="Verdana" w:hAnsi="Verdana"/>
          <w:noProof/>
          <w:sz w:val="20"/>
          <w:szCs w:val="20"/>
        </w:rPr>
      </w:pPr>
      <w:r>
        <w:rPr>
          <w:rFonts w:ascii="Verdana" w:hAnsi="Verdana"/>
          <w:noProof/>
          <w:sz w:val="20"/>
          <w:szCs w:val="20"/>
        </w:rPr>
        <w:t>Updating the scop</w:t>
      </w:r>
      <w:r>
        <w:rPr>
          <w:rFonts w:ascii="Verdana" w:hAnsi="Verdana"/>
          <w:noProof/>
          <w:sz w:val="20"/>
          <w:szCs w:val="20"/>
        </w:rPr>
        <w:t>e of the ePrivacy Directive in light of the new market and technological reality</w:t>
      </w:r>
    </w:p>
    <w:p w:rsidR="0077224F" w:rsidRDefault="00D973EE">
      <w:pPr>
        <w:pStyle w:val="ListParagraph"/>
        <w:numPr>
          <w:ilvl w:val="0"/>
          <w:numId w:val="4"/>
        </w:numPr>
        <w:rPr>
          <w:rFonts w:ascii="Verdana" w:hAnsi="Verdana"/>
          <w:noProof/>
          <w:sz w:val="20"/>
          <w:szCs w:val="20"/>
        </w:rPr>
      </w:pPr>
      <w:r>
        <w:rPr>
          <w:rFonts w:ascii="Verdana" w:hAnsi="Verdana"/>
          <w:noProof/>
          <w:sz w:val="20"/>
          <w:szCs w:val="20"/>
        </w:rPr>
        <w:t>Enhancing security and confidentiality of communications</w:t>
      </w:r>
    </w:p>
    <w:p w:rsidR="0077224F" w:rsidRDefault="00D973EE">
      <w:pPr>
        <w:rPr>
          <w:noProof/>
          <w:szCs w:val="20"/>
        </w:rPr>
      </w:pPr>
      <w:r>
        <w:rPr>
          <w:noProof/>
          <w:szCs w:val="20"/>
        </w:rPr>
        <w:t>Scope of this report is that of supporting DG-CNECT during the early stages of the ePrivacy revision with evidences an</w:t>
      </w:r>
      <w:r>
        <w:rPr>
          <w:noProof/>
          <w:szCs w:val="20"/>
        </w:rPr>
        <w:t>d technological options for what concerns objectives 2 and 3 in the area of mobile devices and web-applications.</w:t>
      </w:r>
    </w:p>
    <w:p w:rsidR="0077224F" w:rsidRDefault="00D973EE">
      <w:pPr>
        <w:rPr>
          <w:noProof/>
        </w:rPr>
      </w:pPr>
      <w:r>
        <w:rPr>
          <w:noProof/>
        </w:rPr>
        <w:t xml:space="preserve">The report analyses the main privacy threats rising from the use of new communication services, mobile technologies and web-applications. </w:t>
      </w:r>
    </w:p>
    <w:p w:rsidR="0077224F" w:rsidRDefault="00D973EE">
      <w:pPr>
        <w:rPr>
          <w:noProof/>
        </w:rPr>
      </w:pPr>
      <w:r>
        <w:rPr>
          <w:noProof/>
        </w:rPr>
        <w:t>In p</w:t>
      </w:r>
      <w:r>
        <w:rPr>
          <w:noProof/>
        </w:rPr>
        <w:t xml:space="preserve">articular, after having set the scene for what concerns the technological elements involved in modern digital interactions, the report presents a description of the Mobile App ecosystem with a particular emphasis on Android and iOS systems (which together </w:t>
      </w:r>
      <w:r>
        <w:rPr>
          <w:noProof/>
        </w:rPr>
        <w:t>account for the majority of the Mobile Operating Systems market).</w:t>
      </w:r>
    </w:p>
    <w:p w:rsidR="0077224F" w:rsidRDefault="00D973EE">
      <w:pPr>
        <w:rPr>
          <w:noProof/>
        </w:rPr>
      </w:pPr>
      <w:r>
        <w:rPr>
          <w:noProof/>
        </w:rPr>
        <w:t>An analysis of the relevant threats to which the end-users are exposed in the mobile world is provided, together with a set of guidelines which should be streamlined in the mobile app life c</w:t>
      </w:r>
      <w:r>
        <w:rPr>
          <w:noProof/>
        </w:rPr>
        <w:t>ycle to enhance the level of privacy and security of the digital ecosystem.</w:t>
      </w:r>
    </w:p>
    <w:p w:rsidR="0077224F" w:rsidRDefault="00D973EE">
      <w:pPr>
        <w:rPr>
          <w:noProof/>
        </w:rPr>
      </w:pPr>
      <w:r>
        <w:rPr>
          <w:noProof/>
        </w:rPr>
        <w:t>The report addresses also the “web-application” environment, with a strong emphasis on the so called cookies (one of the targets of the old ePrivacy directive) and tracking, analys</w:t>
      </w:r>
      <w:r>
        <w:rPr>
          <w:noProof/>
        </w:rPr>
        <w:t>ing how they evolved in the last years, identifying some technical solutions today in place and putting in evidence how a new policy package would be needed to enforce the privacy of the end-user.</w:t>
      </w:r>
    </w:p>
    <w:p w:rsidR="0077224F" w:rsidRDefault="00D973EE">
      <w:pPr>
        <w:rPr>
          <w:noProof/>
        </w:rPr>
      </w:pPr>
      <w:r>
        <w:rPr>
          <w:noProof/>
        </w:rPr>
        <w:t>Finally, technological and policy options are proposed in t</w:t>
      </w:r>
      <w:r>
        <w:rPr>
          <w:noProof/>
        </w:rPr>
        <w:t>he conclusions of this document.</w:t>
      </w:r>
    </w:p>
    <w:p w:rsidR="0077224F" w:rsidRDefault="0077224F">
      <w:pPr>
        <w:rPr>
          <w:noProof/>
        </w:rPr>
      </w:pPr>
    </w:p>
    <w:p w:rsidR="0077224F" w:rsidRDefault="0077224F">
      <w:pPr>
        <w:rPr>
          <w:noProof/>
        </w:rPr>
      </w:pPr>
    </w:p>
    <w:p w:rsidR="0077224F" w:rsidRDefault="00D973EE">
      <w:pPr>
        <w:spacing w:before="0" w:after="0"/>
        <w:jc w:val="left"/>
        <w:rPr>
          <w:noProof/>
          <w:color w:val="000000" w:themeColor="text1"/>
        </w:rPr>
      </w:pPr>
      <w:r>
        <w:rPr>
          <w:noProof/>
        </w:rPr>
        <w:br w:type="page"/>
      </w:r>
    </w:p>
    <w:p w:rsidR="0077224F" w:rsidRDefault="0077224F">
      <w:pPr>
        <w:pStyle w:val="Heading1"/>
        <w:numPr>
          <w:ilvl w:val="0"/>
          <w:numId w:val="0"/>
        </w:numPr>
        <w:ind w:left="432"/>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D973EE">
      <w:pPr>
        <w:pStyle w:val="Heading1"/>
        <w:rPr>
          <w:noProof/>
        </w:rPr>
      </w:pPr>
      <w:bookmarkStart w:id="395" w:name="_Toc466024035"/>
      <w:bookmarkStart w:id="396" w:name="_Toc468790045"/>
      <w:bookmarkStart w:id="397" w:name="_Toc468794877"/>
      <w:bookmarkStart w:id="398" w:name="_Toc468795185"/>
      <w:r>
        <w:rPr>
          <w:noProof/>
        </w:rPr>
        <w:t>Setting the Scene</w:t>
      </w:r>
      <w:bookmarkEnd w:id="395"/>
      <w:bookmarkEnd w:id="396"/>
      <w:bookmarkEnd w:id="397"/>
      <w:bookmarkEnd w:id="398"/>
    </w:p>
    <w:p w:rsidR="0077224F" w:rsidRDefault="0077224F">
      <w:pPr>
        <w:rPr>
          <w:noProof/>
        </w:rPr>
      </w:pPr>
    </w:p>
    <w:p w:rsidR="0077224F" w:rsidRDefault="00D973EE">
      <w:pPr>
        <w:rPr>
          <w:noProof/>
        </w:rPr>
      </w:pPr>
      <w:bookmarkStart w:id="399" w:name="_Toc402197037"/>
      <w:bookmarkStart w:id="400" w:name="_Toc402197151"/>
      <w:r>
        <w:rPr>
          <w:noProof/>
        </w:rPr>
        <w:t>The scope of this section is that of “Setting the Scene” with regard to the possible source of “privacy” weaknesses for what concerns the ecosystem which should be</w:t>
      </w:r>
      <w:r>
        <w:rPr>
          <w:noProof/>
        </w:rPr>
        <w:t xml:space="preserve"> taken into consideration in reviewing the ePrivacy directive (2002/58 amended with Directive 2009/136). The potential surface of analysis of the digital privacy domain is extremely wide, it is therefore important to set the boundaries which can be conside</w:t>
      </w:r>
      <w:r>
        <w:rPr>
          <w:noProof/>
        </w:rPr>
        <w:t>red pertinent to the ePrivacy directive, to avoid dispersion of resources and efforts (for a definition of the terms used in this document, please refer to Appendix A).</w:t>
      </w:r>
    </w:p>
    <w:p w:rsidR="0077224F" w:rsidRDefault="00D973EE">
      <w:pPr>
        <w:rPr>
          <w:noProof/>
        </w:rPr>
      </w:pPr>
      <w:r>
        <w:rPr>
          <w:noProof/>
        </w:rPr>
        <w:fldChar w:fldCharType="begin"/>
      </w:r>
      <w:r>
        <w:rPr>
          <w:noProof/>
        </w:rPr>
        <w:instrText xml:space="preserve"> REF _Ref448912105 \h  \* MERGEFORMAT </w:instrText>
      </w:r>
      <w:r>
        <w:rPr>
          <w:noProof/>
        </w:rPr>
      </w:r>
      <w:r>
        <w:rPr>
          <w:noProof/>
        </w:rPr>
        <w:fldChar w:fldCharType="separate"/>
      </w:r>
      <w:r>
        <w:rPr>
          <w:noProof/>
        </w:rPr>
        <w:t>Figure 3</w:t>
      </w:r>
      <w:r>
        <w:rPr>
          <w:noProof/>
        </w:rPr>
        <w:fldChar w:fldCharType="end"/>
      </w:r>
      <w:r>
        <w:rPr>
          <w:noProof/>
        </w:rPr>
        <w:t xml:space="preserve"> depicts a reference architecture diagram to assist the definition of the boundaries of the ePrivacy Directive study. The lines represent interactions between components and the dashed lines indirect interactions, which may be carried out using a supportin</w:t>
      </w:r>
      <w:r>
        <w:rPr>
          <w:noProof/>
        </w:rPr>
        <w:t xml:space="preserve">g networking mechanism (e.g., telecom network). This figure shows a scenario where a user accesses an application running in the end-user device, and an Internet of Things (IoT) device that monitors the user environment and exchanges data with and IoT hub </w:t>
      </w:r>
      <w:r>
        <w:rPr>
          <w:noProof/>
        </w:rPr>
        <w:t>located in the user vicinity. Both application and IoT hub communicate with backend services through a telecom network. Both end-user device and server may be implemented using a virtualization infrastructure.</w:t>
      </w:r>
    </w:p>
    <w:p w:rsidR="0077224F" w:rsidRDefault="00D973EE">
      <w:pPr>
        <w:keepNext/>
        <w:jc w:val="center"/>
        <w:rPr>
          <w:noProof/>
        </w:rPr>
      </w:pPr>
      <w:r>
        <w:rPr>
          <w:noProof/>
        </w:rPr>
        <w:object w:dxaOrig="8866" w:dyaOrig="4891">
          <v:shape id="_x0000_i1033" type="#_x0000_t75" style="width:442.4pt;height:245.3pt" o:ole="">
            <v:imagedata r:id="rId42" o:title=""/>
          </v:shape>
          <o:OLEObject Type="Embed" ProgID="Visio.Drawing.15" ShapeID="_x0000_i1033" DrawAspect="Content" ObjectID="_1545553411" r:id="rId43"/>
        </w:object>
      </w:r>
      <w:bookmarkEnd w:id="399"/>
      <w:bookmarkEnd w:id="400"/>
    </w:p>
    <w:p w:rsidR="0077224F" w:rsidRDefault="00D973EE">
      <w:pPr>
        <w:pStyle w:val="Caption"/>
        <w:rPr>
          <w:rFonts w:ascii="Verdana" w:hAnsi="Verdana"/>
          <w:noProof/>
          <w:color w:val="auto"/>
          <w:sz w:val="16"/>
          <w:lang w:val="en-GB"/>
        </w:rPr>
      </w:pPr>
      <w:bookmarkStart w:id="401" w:name="_Ref448912105"/>
      <w:bookmarkStart w:id="402" w:name="_Toc466024081"/>
      <w:r>
        <w:rPr>
          <w:rFonts w:ascii="Verdana" w:hAnsi="Verdana"/>
          <w:noProof/>
          <w:color w:val="auto"/>
          <w:sz w:val="16"/>
          <w:lang w:val="en-GB"/>
        </w:rPr>
        <w:t xml:space="preserve">Figure </w:t>
      </w:r>
      <w:r>
        <w:rPr>
          <w:rFonts w:ascii="Verdana" w:hAnsi="Verdana"/>
          <w:noProof/>
          <w:color w:val="auto"/>
          <w:sz w:val="16"/>
          <w:lang w:val="en-GB"/>
        </w:rPr>
        <w:fldChar w:fldCharType="begin"/>
      </w:r>
      <w:r>
        <w:rPr>
          <w:rFonts w:ascii="Verdana" w:hAnsi="Verdana"/>
          <w:noProof/>
          <w:color w:val="auto"/>
          <w:sz w:val="16"/>
          <w:lang w:val="en-GB"/>
        </w:rPr>
        <w:instrText xml:space="preserve"> SEQ Figur</w:instrText>
      </w:r>
      <w:r>
        <w:rPr>
          <w:rFonts w:ascii="Verdana" w:hAnsi="Verdana"/>
          <w:noProof/>
          <w:color w:val="auto"/>
          <w:sz w:val="16"/>
          <w:lang w:val="en-GB"/>
        </w:rPr>
        <w:instrText xml:space="preserve">e \* ARABIC </w:instrText>
      </w:r>
      <w:r>
        <w:rPr>
          <w:rFonts w:ascii="Verdana" w:hAnsi="Verdana"/>
          <w:noProof/>
          <w:color w:val="auto"/>
          <w:sz w:val="16"/>
          <w:lang w:val="en-GB"/>
        </w:rPr>
        <w:fldChar w:fldCharType="separate"/>
      </w:r>
      <w:r>
        <w:rPr>
          <w:rFonts w:ascii="Verdana" w:hAnsi="Verdana"/>
          <w:noProof/>
          <w:color w:val="auto"/>
          <w:sz w:val="16"/>
          <w:lang w:val="en-GB"/>
        </w:rPr>
        <w:t>3</w:t>
      </w:r>
      <w:r>
        <w:rPr>
          <w:rFonts w:ascii="Verdana" w:hAnsi="Verdana"/>
          <w:noProof/>
          <w:color w:val="auto"/>
          <w:sz w:val="16"/>
          <w:lang w:val="en-GB"/>
        </w:rPr>
        <w:fldChar w:fldCharType="end"/>
      </w:r>
      <w:bookmarkEnd w:id="401"/>
      <w:r>
        <w:rPr>
          <w:rFonts w:ascii="Verdana" w:hAnsi="Verdana"/>
          <w:noProof/>
          <w:color w:val="auto"/>
          <w:sz w:val="16"/>
          <w:lang w:val="en-GB"/>
        </w:rPr>
        <w:t xml:space="preserve"> – Abstract architecture diagram</w:t>
      </w:r>
      <w:bookmarkEnd w:id="402"/>
    </w:p>
    <w:p w:rsidR="0077224F" w:rsidRDefault="00D973EE">
      <w:pPr>
        <w:rPr>
          <w:noProof/>
        </w:rPr>
      </w:pPr>
      <w:r>
        <w:rPr>
          <w:noProof/>
        </w:rPr>
        <w:t xml:space="preserve">In order to clarify the focus of the study a set of blue ellipses numbered from 1 to 8 representing </w:t>
      </w:r>
      <w:r>
        <w:rPr>
          <w:b/>
          <w:noProof/>
        </w:rPr>
        <w:t>security and privacy mechanisms</w:t>
      </w:r>
      <w:r>
        <w:rPr>
          <w:noProof/>
        </w:rPr>
        <w:t xml:space="preserve"> are depicted in </w:t>
      </w:r>
      <w:r>
        <w:rPr>
          <w:noProof/>
        </w:rPr>
        <w:fldChar w:fldCharType="begin"/>
      </w:r>
      <w:r>
        <w:rPr>
          <w:noProof/>
        </w:rPr>
        <w:instrText xml:space="preserve"> REF _Ref448912105 \h  \* MERGEFORMAT </w:instrText>
      </w:r>
      <w:r>
        <w:rPr>
          <w:noProof/>
        </w:rPr>
      </w:r>
      <w:r>
        <w:rPr>
          <w:noProof/>
        </w:rPr>
        <w:fldChar w:fldCharType="separate"/>
      </w:r>
      <w:r>
        <w:rPr>
          <w:noProof/>
        </w:rPr>
        <w:t>Figure 3</w:t>
      </w:r>
      <w:r>
        <w:rPr>
          <w:noProof/>
        </w:rPr>
        <w:fldChar w:fldCharType="end"/>
      </w:r>
      <w:r>
        <w:rPr>
          <w:noProof/>
        </w:rPr>
        <w:t>, with the following meaning:</w:t>
      </w:r>
    </w:p>
    <w:p w:rsidR="0077224F" w:rsidRDefault="00D973EE">
      <w:pPr>
        <w:pStyle w:val="ListParagraph"/>
        <w:numPr>
          <w:ilvl w:val="0"/>
          <w:numId w:val="5"/>
        </w:numPr>
        <w:spacing w:before="0"/>
        <w:rPr>
          <w:rFonts w:ascii="Verdana" w:hAnsi="Verdana"/>
          <w:noProof/>
          <w:sz w:val="20"/>
        </w:rPr>
      </w:pPr>
      <w:r>
        <w:rPr>
          <w:rFonts w:ascii="Verdana" w:hAnsi="Verdana"/>
          <w:b/>
          <w:noProof/>
          <w:sz w:val="20"/>
        </w:rPr>
        <w:t>User-centric</w:t>
      </w:r>
      <w:r>
        <w:rPr>
          <w:rFonts w:ascii="Verdana" w:hAnsi="Verdana"/>
          <w:noProof/>
          <w:sz w:val="20"/>
        </w:rPr>
        <w:t>: user-centric security and privacy mechanisms accessible through their devices that inform users about their privacy settings including preferences (e.g., cook</w:t>
      </w:r>
      <w:r>
        <w:rPr>
          <w:rFonts w:ascii="Verdana" w:hAnsi="Verdana"/>
          <w:noProof/>
          <w:sz w:val="20"/>
        </w:rPr>
        <w:t xml:space="preserve">ies) and information regarding the collected data about them by the different entities such as native apps, web browsers, and web applications. The study should detail the mechanisms considering the scope chosen, for example, if the focus is decided to be </w:t>
      </w:r>
      <w:r>
        <w:rPr>
          <w:rFonts w:ascii="Verdana" w:hAnsi="Verdana"/>
          <w:noProof/>
          <w:sz w:val="20"/>
        </w:rPr>
        <w:t>on Android apps then user-centric privacy mechanisms should be included.</w:t>
      </w:r>
    </w:p>
    <w:p w:rsidR="0077224F" w:rsidRDefault="00D973EE">
      <w:pPr>
        <w:pStyle w:val="ListParagraph"/>
        <w:numPr>
          <w:ilvl w:val="0"/>
          <w:numId w:val="5"/>
        </w:numPr>
        <w:spacing w:before="0"/>
        <w:rPr>
          <w:rFonts w:ascii="Verdana" w:hAnsi="Verdana"/>
          <w:noProof/>
          <w:sz w:val="20"/>
        </w:rPr>
      </w:pPr>
      <w:r>
        <w:rPr>
          <w:rFonts w:ascii="Verdana" w:hAnsi="Verdana"/>
          <w:b/>
          <w:noProof/>
          <w:sz w:val="20"/>
        </w:rPr>
        <w:t>Application Runtime Environment</w:t>
      </w:r>
      <w:r>
        <w:rPr>
          <w:rFonts w:ascii="Verdana" w:hAnsi="Verdana"/>
          <w:noProof/>
          <w:sz w:val="20"/>
        </w:rPr>
        <w:t>: mechanisms provided by the operating system to control rights and obligations of native applications, for example, which resources can be accessed and</w:t>
      </w:r>
      <w:r>
        <w:rPr>
          <w:rFonts w:ascii="Verdana" w:hAnsi="Verdana"/>
          <w:noProof/>
          <w:sz w:val="20"/>
        </w:rPr>
        <w:t xml:space="preserve"> how the stored application data is managed.</w:t>
      </w:r>
    </w:p>
    <w:p w:rsidR="0077224F" w:rsidRDefault="00D973EE">
      <w:pPr>
        <w:pStyle w:val="ListParagraph"/>
        <w:numPr>
          <w:ilvl w:val="0"/>
          <w:numId w:val="5"/>
        </w:numPr>
        <w:spacing w:before="0"/>
        <w:rPr>
          <w:rFonts w:ascii="Verdana" w:hAnsi="Verdana"/>
          <w:noProof/>
          <w:sz w:val="20"/>
        </w:rPr>
      </w:pPr>
      <w:r>
        <w:rPr>
          <w:rFonts w:ascii="Verdana" w:hAnsi="Verdana"/>
          <w:b/>
          <w:noProof/>
          <w:sz w:val="20"/>
        </w:rPr>
        <w:t>IoT communication with Cloud</w:t>
      </w:r>
      <w:r>
        <w:rPr>
          <w:rFonts w:ascii="Verdana" w:hAnsi="Verdana"/>
          <w:noProof/>
          <w:sz w:val="20"/>
        </w:rPr>
        <w:t>: mechanisms to enable control over the flow of information between IoT hub devices and server-side components that may retrieve/store IoT device data, and maybe also include firmware</w:t>
      </w:r>
      <w:r>
        <w:rPr>
          <w:rFonts w:ascii="Verdana" w:hAnsi="Verdana"/>
          <w:noProof/>
          <w:sz w:val="20"/>
        </w:rPr>
        <w:t xml:space="preserve"> updates.</w:t>
      </w:r>
    </w:p>
    <w:p w:rsidR="0077224F" w:rsidRDefault="00D973EE">
      <w:pPr>
        <w:pStyle w:val="ListParagraph"/>
        <w:numPr>
          <w:ilvl w:val="0"/>
          <w:numId w:val="5"/>
        </w:numPr>
        <w:spacing w:before="0"/>
        <w:rPr>
          <w:rFonts w:ascii="Verdana" w:hAnsi="Verdana"/>
          <w:noProof/>
          <w:sz w:val="20"/>
        </w:rPr>
      </w:pPr>
      <w:r>
        <w:rPr>
          <w:rFonts w:ascii="Verdana" w:hAnsi="Verdana"/>
          <w:b/>
          <w:noProof/>
          <w:sz w:val="20"/>
        </w:rPr>
        <w:t>Device Network Gateway</w:t>
      </w:r>
      <w:r>
        <w:rPr>
          <w:rFonts w:ascii="Verdana" w:hAnsi="Verdana"/>
          <w:noProof/>
          <w:sz w:val="20"/>
        </w:rPr>
        <w:t>: mechanisms available for users to evaluate their connection to the network, for example, to use restricted configurations for public/private access network hotspots (e.g., open WiFi networks).</w:t>
      </w:r>
    </w:p>
    <w:p w:rsidR="0077224F" w:rsidRDefault="00D973EE">
      <w:pPr>
        <w:pStyle w:val="ListParagraph"/>
        <w:numPr>
          <w:ilvl w:val="0"/>
          <w:numId w:val="5"/>
        </w:numPr>
        <w:spacing w:before="0"/>
        <w:rPr>
          <w:rFonts w:ascii="Verdana" w:hAnsi="Verdana"/>
          <w:noProof/>
          <w:sz w:val="20"/>
        </w:rPr>
      </w:pPr>
      <w:r>
        <w:rPr>
          <w:rFonts w:ascii="Verdana" w:hAnsi="Verdana"/>
          <w:b/>
          <w:noProof/>
          <w:sz w:val="20"/>
        </w:rPr>
        <w:t>Telecom Network User Access</w:t>
      </w:r>
      <w:r>
        <w:rPr>
          <w:rFonts w:ascii="Verdana" w:hAnsi="Verdana"/>
          <w:noProof/>
          <w:sz w:val="20"/>
        </w:rPr>
        <w:t xml:space="preserve">: </w:t>
      </w:r>
      <w:r>
        <w:rPr>
          <w:rFonts w:ascii="Verdana" w:hAnsi="Verdana"/>
          <w:noProof/>
          <w:sz w:val="20"/>
        </w:rPr>
        <w:t>mechanisms to prevent user tracking/traffic monitoring by telecom network providers (e.g., Tor). This should also include a security and privacy analysis of different protocols used, for example, for VoIP (Voice Over IP), instant messaging, etc.</w:t>
      </w:r>
    </w:p>
    <w:p w:rsidR="0077224F" w:rsidRDefault="00D973EE">
      <w:pPr>
        <w:pStyle w:val="ListParagraph"/>
        <w:numPr>
          <w:ilvl w:val="0"/>
          <w:numId w:val="5"/>
        </w:numPr>
        <w:spacing w:before="0"/>
        <w:rPr>
          <w:rFonts w:ascii="Verdana" w:hAnsi="Verdana"/>
          <w:noProof/>
          <w:sz w:val="20"/>
        </w:rPr>
      </w:pPr>
      <w:r>
        <w:rPr>
          <w:rFonts w:ascii="Verdana" w:hAnsi="Verdana"/>
          <w:b/>
          <w:noProof/>
          <w:sz w:val="20"/>
        </w:rPr>
        <w:t>Telecom Ne</w:t>
      </w:r>
      <w:r>
        <w:rPr>
          <w:rFonts w:ascii="Verdana" w:hAnsi="Verdana"/>
          <w:b/>
          <w:noProof/>
          <w:sz w:val="20"/>
        </w:rPr>
        <w:t>twork Server Access</w:t>
      </w:r>
      <w:r>
        <w:rPr>
          <w:rFonts w:ascii="Verdana" w:hAnsi="Verdana"/>
          <w:noProof/>
          <w:sz w:val="20"/>
        </w:rPr>
        <w:t>: same as 5, but from a server-side infrastructure point of view, for example, cloud computing platform providers (e.g., Amazon cloud) could also monitor users.</w:t>
      </w:r>
    </w:p>
    <w:p w:rsidR="0077224F" w:rsidRDefault="00D973EE">
      <w:pPr>
        <w:pStyle w:val="ListParagraph"/>
        <w:numPr>
          <w:ilvl w:val="0"/>
          <w:numId w:val="5"/>
        </w:numPr>
        <w:spacing w:before="0"/>
        <w:rPr>
          <w:rFonts w:ascii="Verdana" w:hAnsi="Verdana"/>
          <w:noProof/>
          <w:sz w:val="20"/>
        </w:rPr>
      </w:pPr>
      <w:r>
        <w:rPr>
          <w:rFonts w:ascii="Verdana" w:hAnsi="Verdana"/>
          <w:b/>
          <w:noProof/>
          <w:sz w:val="20"/>
        </w:rPr>
        <w:t>User/server-side Virtualization</w:t>
      </w:r>
      <w:r>
        <w:rPr>
          <w:rFonts w:ascii="Verdana" w:hAnsi="Verdana"/>
          <w:noProof/>
          <w:sz w:val="20"/>
        </w:rPr>
        <w:t>: mechanisms implemented using virtualization</w:t>
      </w:r>
      <w:r>
        <w:rPr>
          <w:rFonts w:ascii="Verdana" w:hAnsi="Verdana"/>
          <w:noProof/>
          <w:sz w:val="20"/>
        </w:rPr>
        <w:t xml:space="preserve"> that could offer an advantage from a security/privacy perspective, for example, client-side sandboxing of apps. From a server-side it is unclear if any virtualization approach could offer an advantage.</w:t>
      </w:r>
    </w:p>
    <w:p w:rsidR="0077224F" w:rsidRDefault="00D973EE">
      <w:pPr>
        <w:rPr>
          <w:noProof/>
        </w:rPr>
      </w:pPr>
      <w:r>
        <w:rPr>
          <w:noProof/>
        </w:rPr>
        <w:fldChar w:fldCharType="begin"/>
      </w:r>
      <w:r>
        <w:rPr>
          <w:noProof/>
        </w:rPr>
        <w:instrText xml:space="preserve"> REF _Ref455503800 \h  \* MERGEFORMAT </w:instrText>
      </w:r>
      <w:r>
        <w:rPr>
          <w:noProof/>
        </w:rPr>
      </w:r>
      <w:r>
        <w:rPr>
          <w:noProof/>
        </w:rPr>
        <w:fldChar w:fldCharType="separate"/>
      </w:r>
      <w:r>
        <w:rPr>
          <w:noProof/>
        </w:rPr>
        <w:t>Figure 4</w:t>
      </w:r>
      <w:r>
        <w:rPr>
          <w:noProof/>
        </w:rPr>
        <w:fldChar w:fldCharType="end"/>
      </w:r>
      <w:r>
        <w:rPr>
          <w:noProof/>
        </w:rPr>
        <w:t xml:space="preserve"> describes instead the different interactions between applications and services running respectively in the end-user device and server. More in details, we consider any type of applications that r</w:t>
      </w:r>
      <w:r>
        <w:rPr>
          <w:noProof/>
        </w:rPr>
        <w:t>un directly under control of the respective operating system including those particular types of applications that use a runtime environment inside of a web browser, namely web apps (a.k.a. websites). Web browsers typically also support an extension mechan</w:t>
      </w:r>
      <w:r>
        <w:rPr>
          <w:noProof/>
        </w:rPr>
        <w:t>ism based on add-ons or plugins that allow any 3</w:t>
      </w:r>
      <w:r>
        <w:rPr>
          <w:noProof/>
          <w:vertAlign w:val="superscript"/>
        </w:rPr>
        <w:t>rd</w:t>
      </w:r>
      <w:r>
        <w:rPr>
          <w:noProof/>
        </w:rPr>
        <w:t xml:space="preserve"> party to extend their functionalities, for example, to allow visualization of particular types of content (e.g., Flash) or to include extended security management functionality (e.g., cookie management). I</w:t>
      </w:r>
      <w:r>
        <w:rPr>
          <w:noProof/>
        </w:rPr>
        <w:t>n the server side we depict software distribution and management platforms to distributed applications including updates (e.g., Google Play for Android mobile devices) and the backend components of web apps. We distinguish between the end-user and server s</w:t>
      </w:r>
      <w:r>
        <w:rPr>
          <w:noProof/>
        </w:rPr>
        <w:t xml:space="preserve">ide components of web apps since they have different implications in the user privacy: the end-user side may include executable code to collect user information that is further communicated to the server side part for processing. Similarly to </w:t>
      </w:r>
      <w:r>
        <w:rPr>
          <w:noProof/>
        </w:rPr>
        <w:fldChar w:fldCharType="begin"/>
      </w:r>
      <w:r>
        <w:rPr>
          <w:noProof/>
        </w:rPr>
        <w:instrText xml:space="preserve"> REF _Ref4489</w:instrText>
      </w:r>
      <w:r>
        <w:rPr>
          <w:noProof/>
        </w:rPr>
        <w:instrText xml:space="preserve">12105 \h  \* MERGEFORMAT </w:instrText>
      </w:r>
      <w:r>
        <w:rPr>
          <w:noProof/>
        </w:rPr>
      </w:r>
      <w:r>
        <w:rPr>
          <w:noProof/>
        </w:rPr>
        <w:fldChar w:fldCharType="separate"/>
      </w:r>
      <w:r>
        <w:rPr>
          <w:noProof/>
        </w:rPr>
        <w:t>Figure 3</w:t>
      </w:r>
      <w:r>
        <w:rPr>
          <w:noProof/>
        </w:rPr>
        <w:fldChar w:fldCharType="end"/>
      </w:r>
      <w:r>
        <w:rPr>
          <w:noProof/>
        </w:rPr>
        <w:t xml:space="preserve">, the set of blue ellipses to </w:t>
      </w:r>
      <w:r>
        <w:rPr>
          <w:noProof/>
        </w:rPr>
        <w:fldChar w:fldCharType="begin"/>
      </w:r>
      <w:r>
        <w:rPr>
          <w:noProof/>
        </w:rPr>
        <w:instrText xml:space="preserve"> REF _Ref455503800 \h  \* MERGEFORMAT </w:instrText>
      </w:r>
      <w:r>
        <w:rPr>
          <w:noProof/>
        </w:rPr>
      </w:r>
      <w:r>
        <w:rPr>
          <w:noProof/>
        </w:rPr>
        <w:fldChar w:fldCharType="separate"/>
      </w:r>
      <w:r>
        <w:rPr>
          <w:noProof/>
        </w:rPr>
        <w:t>Figure 4</w:t>
      </w:r>
      <w:r>
        <w:rPr>
          <w:noProof/>
        </w:rPr>
        <w:fldChar w:fldCharType="end"/>
      </w:r>
      <w:r>
        <w:rPr>
          <w:noProof/>
        </w:rPr>
        <w:t xml:space="preserve"> represents </w:t>
      </w:r>
      <w:r>
        <w:rPr>
          <w:b/>
          <w:noProof/>
        </w:rPr>
        <w:t>security and privacy mechanisms</w:t>
      </w:r>
      <w:r>
        <w:rPr>
          <w:noProof/>
        </w:rPr>
        <w:t xml:space="preserve"> with the following meaning (the list of examples in the yellow boxes is indicative and not exhaustive):</w:t>
      </w:r>
    </w:p>
    <w:p w:rsidR="0077224F" w:rsidRDefault="00D973EE">
      <w:pPr>
        <w:jc w:val="left"/>
        <w:rPr>
          <w:noProof/>
        </w:rPr>
      </w:pPr>
      <w:r>
        <w:rPr>
          <w:noProof/>
        </w:rPr>
        <w:object w:dxaOrig="10276" w:dyaOrig="4500">
          <v:shape id="_x0000_i1034" type="#_x0000_t75" style="width:450.6pt;height:197.3pt" o:ole="">
            <v:imagedata r:id="rId44" o:title=""/>
          </v:shape>
          <o:OLEObject Type="Embed" ProgID="Visio.Drawing.15" ShapeID="_x0000_i1034" DrawAspect="Content" ObjectID="_1545553412" r:id="rId45"/>
        </w:object>
      </w:r>
    </w:p>
    <w:p w:rsidR="0077224F" w:rsidRDefault="00D973EE">
      <w:pPr>
        <w:pStyle w:val="Caption"/>
        <w:rPr>
          <w:rFonts w:ascii="Verdana" w:hAnsi="Verdana"/>
          <w:noProof/>
          <w:color w:val="auto"/>
          <w:sz w:val="16"/>
          <w:lang w:val="en-GB"/>
        </w:rPr>
      </w:pPr>
      <w:bookmarkStart w:id="403" w:name="_Ref455503800"/>
      <w:bookmarkStart w:id="404" w:name="_Toc466024082"/>
      <w:r>
        <w:rPr>
          <w:rFonts w:ascii="Verdana" w:hAnsi="Verdana"/>
          <w:noProof/>
          <w:color w:val="auto"/>
          <w:sz w:val="16"/>
          <w:lang w:val="en-GB"/>
        </w:rPr>
        <w:t xml:space="preserve">Figure </w:t>
      </w:r>
      <w:r>
        <w:rPr>
          <w:rFonts w:ascii="Verdana" w:hAnsi="Verdana"/>
          <w:noProof/>
          <w:color w:val="auto"/>
          <w:sz w:val="16"/>
          <w:lang w:val="en-GB"/>
        </w:rPr>
        <w:fldChar w:fldCharType="begin"/>
      </w:r>
      <w:r>
        <w:rPr>
          <w:rFonts w:ascii="Verdana" w:hAnsi="Verdana"/>
          <w:noProof/>
          <w:color w:val="auto"/>
          <w:sz w:val="16"/>
          <w:lang w:val="en-GB"/>
        </w:rPr>
        <w:instrText xml:space="preserve"> SEQ Figure \* ARABIC </w:instrText>
      </w:r>
      <w:r>
        <w:rPr>
          <w:rFonts w:ascii="Verdana" w:hAnsi="Verdana"/>
          <w:noProof/>
          <w:color w:val="auto"/>
          <w:sz w:val="16"/>
          <w:lang w:val="en-GB"/>
        </w:rPr>
        <w:fldChar w:fldCharType="separate"/>
      </w:r>
      <w:r>
        <w:rPr>
          <w:rFonts w:ascii="Verdana" w:hAnsi="Verdana"/>
          <w:noProof/>
          <w:color w:val="auto"/>
          <w:sz w:val="16"/>
          <w:lang w:val="en-GB"/>
        </w:rPr>
        <w:t>4</w:t>
      </w:r>
      <w:r>
        <w:rPr>
          <w:rFonts w:ascii="Verdana" w:hAnsi="Verdana"/>
          <w:noProof/>
          <w:color w:val="auto"/>
          <w:sz w:val="16"/>
          <w:lang w:val="en-GB"/>
        </w:rPr>
        <w:fldChar w:fldCharType="end"/>
      </w:r>
      <w:bookmarkEnd w:id="403"/>
      <w:r>
        <w:rPr>
          <w:rFonts w:ascii="Verdana" w:hAnsi="Verdana"/>
          <w:noProof/>
          <w:color w:val="auto"/>
          <w:sz w:val="16"/>
          <w:lang w:val="en-GB"/>
        </w:rPr>
        <w:t xml:space="preserve"> – User Applications and Server Services</w:t>
      </w:r>
      <w:bookmarkEnd w:id="404"/>
    </w:p>
    <w:p w:rsidR="0077224F" w:rsidRDefault="00D973EE">
      <w:pPr>
        <w:pStyle w:val="ListParagraph"/>
        <w:numPr>
          <w:ilvl w:val="0"/>
          <w:numId w:val="5"/>
        </w:numPr>
        <w:spacing w:before="0"/>
        <w:rPr>
          <w:rFonts w:ascii="Verdana" w:hAnsi="Verdana"/>
          <w:noProof/>
          <w:sz w:val="20"/>
          <w:szCs w:val="20"/>
        </w:rPr>
      </w:pPr>
      <w:r>
        <w:rPr>
          <w:rFonts w:ascii="Verdana" w:hAnsi="Verdana"/>
          <w:b/>
          <w:noProof/>
          <w:sz w:val="20"/>
          <w:szCs w:val="20"/>
        </w:rPr>
        <w:t xml:space="preserve">Web Applications </w:t>
      </w:r>
      <w:r>
        <w:rPr>
          <w:rFonts w:ascii="Verdana" w:hAnsi="Verdana"/>
          <w:b/>
          <w:noProof/>
          <w:sz w:val="20"/>
          <w:szCs w:val="20"/>
        </w:rPr>
        <w:t>(end-user side)</w:t>
      </w:r>
      <w:r>
        <w:rPr>
          <w:rFonts w:ascii="Verdana" w:hAnsi="Verdana"/>
          <w:noProof/>
          <w:sz w:val="20"/>
          <w:szCs w:val="20"/>
        </w:rPr>
        <w:t>: mechanisms provided by the web browser in order to protect users from data collection on the client side, for example, private browsing modes and cookie management. It also includes mechanisms to enable control of the resources and local c</w:t>
      </w:r>
      <w:r>
        <w:rPr>
          <w:rFonts w:ascii="Verdana" w:hAnsi="Verdana"/>
          <w:noProof/>
          <w:sz w:val="20"/>
          <w:szCs w:val="20"/>
        </w:rPr>
        <w:t>ached data of web applications.</w:t>
      </w:r>
    </w:p>
    <w:p w:rsidR="0077224F" w:rsidRDefault="00D973EE">
      <w:pPr>
        <w:pStyle w:val="ListParagraph"/>
        <w:numPr>
          <w:ilvl w:val="0"/>
          <w:numId w:val="5"/>
        </w:numPr>
        <w:spacing w:before="0"/>
        <w:rPr>
          <w:rFonts w:ascii="Verdana" w:hAnsi="Verdana"/>
          <w:noProof/>
          <w:sz w:val="20"/>
          <w:szCs w:val="20"/>
        </w:rPr>
      </w:pPr>
      <w:r>
        <w:rPr>
          <w:rFonts w:ascii="Verdana" w:hAnsi="Verdana"/>
          <w:b/>
          <w:noProof/>
          <w:sz w:val="20"/>
          <w:szCs w:val="20"/>
        </w:rPr>
        <w:t>Mashups of Web Apps</w:t>
      </w:r>
      <w:r>
        <w:rPr>
          <w:rFonts w:ascii="Verdana" w:hAnsi="Verdana"/>
          <w:noProof/>
          <w:sz w:val="20"/>
          <w:szCs w:val="20"/>
        </w:rPr>
        <w:t>: mechanisms used to manage the flow of data between complex web apps that are in fact a composition of many apps. For example, some apps may embed social networking functionalities (Facebook/LinkedIn like</w:t>
      </w:r>
      <w:r>
        <w:rPr>
          <w:rFonts w:ascii="Verdana" w:hAnsi="Verdana"/>
          <w:noProof/>
          <w:sz w:val="20"/>
          <w:szCs w:val="20"/>
        </w:rPr>
        <w:t xml:space="preserve"> buttons) in their pages, use external services (embedded Google Maps) that enable flow of sensitive user data, or even use a single-sign-on mechanism (Facebook/Google account) to access different web applications. The focus is on the analysis of permissio</w:t>
      </w:r>
      <w:r>
        <w:rPr>
          <w:rFonts w:ascii="Verdana" w:hAnsi="Verdana"/>
          <w:noProof/>
          <w:sz w:val="20"/>
          <w:szCs w:val="20"/>
        </w:rPr>
        <w:t>ns and security mechanisms that allow users to control their flow of data, as well as information about this flow for a scenario like the ones described above.</w:t>
      </w:r>
    </w:p>
    <w:p w:rsidR="0077224F" w:rsidRDefault="00D973EE">
      <w:pPr>
        <w:pStyle w:val="ListParagraph"/>
        <w:numPr>
          <w:ilvl w:val="0"/>
          <w:numId w:val="5"/>
        </w:numPr>
        <w:spacing w:before="0"/>
        <w:rPr>
          <w:rFonts w:ascii="Verdana" w:hAnsi="Verdana"/>
          <w:noProof/>
          <w:sz w:val="20"/>
          <w:szCs w:val="20"/>
        </w:rPr>
      </w:pPr>
      <w:r>
        <w:rPr>
          <w:rFonts w:ascii="Verdana" w:hAnsi="Verdana"/>
          <w:b/>
          <w:noProof/>
          <w:sz w:val="20"/>
          <w:szCs w:val="20"/>
        </w:rPr>
        <w:t>Web Browser Add-ons:</w:t>
      </w:r>
      <w:r>
        <w:rPr>
          <w:rFonts w:ascii="Verdana" w:hAnsi="Verdana"/>
          <w:noProof/>
          <w:sz w:val="20"/>
          <w:szCs w:val="20"/>
        </w:rPr>
        <w:t xml:space="preserve"> mechanisms used by browsers to control the permissions of add-ons that can </w:t>
      </w:r>
      <w:r>
        <w:rPr>
          <w:rFonts w:ascii="Verdana" w:hAnsi="Verdana"/>
          <w:noProof/>
          <w:sz w:val="20"/>
          <w:szCs w:val="20"/>
        </w:rPr>
        <w:t>be installed by users in their web browsers. Add-ons are particularly dangerous since they may allow the installation of executable code that may indiscriminately have access to all user sessions and web app data.</w:t>
      </w:r>
    </w:p>
    <w:p w:rsidR="0077224F" w:rsidRDefault="00D973EE">
      <w:pPr>
        <w:pStyle w:val="ListParagraph"/>
        <w:numPr>
          <w:ilvl w:val="0"/>
          <w:numId w:val="5"/>
        </w:numPr>
        <w:spacing w:before="0"/>
        <w:rPr>
          <w:rFonts w:ascii="Verdana" w:hAnsi="Verdana"/>
          <w:noProof/>
          <w:sz w:val="20"/>
          <w:szCs w:val="20"/>
        </w:rPr>
      </w:pPr>
      <w:r>
        <w:rPr>
          <w:rFonts w:ascii="Verdana" w:hAnsi="Verdana"/>
          <w:b/>
          <w:noProof/>
          <w:sz w:val="20"/>
          <w:szCs w:val="20"/>
        </w:rPr>
        <w:t>Web Applications (server-side)</w:t>
      </w:r>
      <w:r>
        <w:rPr>
          <w:rFonts w:ascii="Verdana" w:hAnsi="Verdana"/>
          <w:noProof/>
          <w:sz w:val="20"/>
          <w:szCs w:val="20"/>
        </w:rPr>
        <w:t>: mechanisms</w:t>
      </w:r>
      <w:r>
        <w:rPr>
          <w:rFonts w:ascii="Verdana" w:hAnsi="Verdana"/>
          <w:noProof/>
          <w:sz w:val="20"/>
          <w:szCs w:val="20"/>
        </w:rPr>
        <w:t xml:space="preserve"> used to control flows and management of user data by the server-side part of web applications, including privacy preferences that regulate the access and future use of this information. Detailed user tracking data stored for advertisement and analytics pu</w:t>
      </w:r>
      <w:r>
        <w:rPr>
          <w:rFonts w:ascii="Verdana" w:hAnsi="Verdana"/>
          <w:noProof/>
          <w:sz w:val="20"/>
          <w:szCs w:val="20"/>
        </w:rPr>
        <w:t>rposes should also be covered.</w:t>
      </w:r>
    </w:p>
    <w:p w:rsidR="0077224F" w:rsidRDefault="00D973EE">
      <w:pPr>
        <w:pStyle w:val="ListParagraph"/>
        <w:numPr>
          <w:ilvl w:val="0"/>
          <w:numId w:val="5"/>
        </w:numPr>
        <w:spacing w:before="0"/>
        <w:rPr>
          <w:rFonts w:ascii="Verdana" w:hAnsi="Verdana"/>
          <w:noProof/>
          <w:sz w:val="20"/>
          <w:szCs w:val="20"/>
        </w:rPr>
      </w:pPr>
      <w:r>
        <w:rPr>
          <w:rFonts w:ascii="Verdana" w:hAnsi="Verdana"/>
          <w:b/>
          <w:noProof/>
          <w:sz w:val="20"/>
          <w:szCs w:val="20"/>
        </w:rPr>
        <w:t>Software Installation and Updates</w:t>
      </w:r>
      <w:r>
        <w:rPr>
          <w:rFonts w:ascii="Verdana" w:hAnsi="Verdana"/>
          <w:noProof/>
          <w:sz w:val="20"/>
          <w:szCs w:val="20"/>
        </w:rPr>
        <w:t>: represent mechanisms that support users in the installation or update of software including native apps, web browsers and their add-ons, operating system components, etc. A main point of int</w:t>
      </w:r>
      <w:r>
        <w:rPr>
          <w:rFonts w:ascii="Verdana" w:hAnsi="Verdana"/>
          <w:noProof/>
          <w:sz w:val="20"/>
          <w:szCs w:val="20"/>
        </w:rPr>
        <w:t>erest is app markets currently deployed for different platforms, which may be able to track users since they are aware of the precise software stack configuration and can be used for device fingerprinting.</w:t>
      </w:r>
    </w:p>
    <w:p w:rsidR="0077224F" w:rsidRDefault="00D973EE">
      <w:pPr>
        <w:rPr>
          <w:noProof/>
        </w:rPr>
      </w:pPr>
      <w:r>
        <w:rPr>
          <w:noProof/>
        </w:rPr>
        <w:t>From this list of security and privacy mechanisms,</w:t>
      </w:r>
      <w:r>
        <w:rPr>
          <w:noProof/>
        </w:rPr>
        <w:t xml:space="preserve"> points 1, 5, and 8 are already addressed in the current Directive, but the advent of new technologies requires revising them together with further investigation on all other points.</w:t>
      </w:r>
    </w:p>
    <w:p w:rsidR="0077224F" w:rsidRDefault="00D973EE">
      <w:pPr>
        <w:rPr>
          <w:noProof/>
        </w:rPr>
      </w:pPr>
      <w:r>
        <w:rPr>
          <w:noProof/>
        </w:rPr>
        <w:t>As claimed before, the surface composed by these elements is too wide and</w:t>
      </w:r>
      <w:r>
        <w:rPr>
          <w:noProof/>
        </w:rPr>
        <w:t xml:space="preserve"> a prioritization is needed to allow an effective support to the ePrivacy revision process. </w:t>
      </w:r>
    </w:p>
    <w:p w:rsidR="0077224F" w:rsidRDefault="00D973EE">
      <w:pPr>
        <w:rPr>
          <w:noProof/>
        </w:rPr>
      </w:pPr>
      <w:r>
        <w:rPr>
          <w:noProof/>
        </w:rPr>
        <w:t xml:space="preserve">With reference to the previous domains, here below is a prioritization list of the areas addressed in this document: </w:t>
      </w:r>
    </w:p>
    <w:p w:rsidR="0077224F" w:rsidRDefault="00D973EE">
      <w:pPr>
        <w:pStyle w:val="ListParagraph"/>
        <w:numPr>
          <w:ilvl w:val="0"/>
          <w:numId w:val="6"/>
        </w:numPr>
        <w:spacing w:before="0"/>
        <w:rPr>
          <w:rFonts w:ascii="Verdana" w:hAnsi="Verdana"/>
          <w:noProof/>
          <w:sz w:val="20"/>
        </w:rPr>
      </w:pPr>
      <w:r>
        <w:rPr>
          <w:rFonts w:ascii="Verdana" w:hAnsi="Verdana"/>
          <w:b/>
          <w:noProof/>
          <w:sz w:val="20"/>
        </w:rPr>
        <w:t>Operating Systems</w:t>
      </w:r>
    </w:p>
    <w:p w:rsidR="0077224F" w:rsidRDefault="00D973EE">
      <w:pPr>
        <w:pStyle w:val="ListParagraph"/>
        <w:numPr>
          <w:ilvl w:val="0"/>
          <w:numId w:val="6"/>
        </w:numPr>
        <w:spacing w:before="0"/>
        <w:rPr>
          <w:rFonts w:ascii="Verdana" w:hAnsi="Verdana"/>
          <w:noProof/>
          <w:sz w:val="20"/>
        </w:rPr>
      </w:pPr>
      <w:r>
        <w:rPr>
          <w:rFonts w:ascii="Verdana" w:hAnsi="Verdana"/>
          <w:b/>
          <w:noProof/>
          <w:sz w:val="20"/>
        </w:rPr>
        <w:t xml:space="preserve">Privacy settings including </w:t>
      </w:r>
      <w:r>
        <w:rPr>
          <w:rFonts w:ascii="Verdana" w:hAnsi="Verdana"/>
          <w:b/>
          <w:noProof/>
          <w:sz w:val="20"/>
        </w:rPr>
        <w:t xml:space="preserve">preferences (e.g., cookies) </w:t>
      </w:r>
      <w:r>
        <w:rPr>
          <w:rFonts w:ascii="Verdana" w:hAnsi="Verdana"/>
          <w:noProof/>
          <w:sz w:val="20"/>
        </w:rPr>
        <w:t>of modern Internet services.</w:t>
      </w:r>
    </w:p>
    <w:p w:rsidR="0077224F" w:rsidRDefault="00D973EE">
      <w:pPr>
        <w:pStyle w:val="ListParagraph"/>
        <w:numPr>
          <w:ilvl w:val="0"/>
          <w:numId w:val="6"/>
        </w:numPr>
        <w:spacing w:before="0"/>
        <w:rPr>
          <w:rFonts w:ascii="Verdana" w:hAnsi="Verdana"/>
          <w:noProof/>
          <w:sz w:val="20"/>
        </w:rPr>
      </w:pPr>
      <w:r>
        <w:rPr>
          <w:rFonts w:ascii="Verdana" w:hAnsi="Verdana"/>
          <w:b/>
          <w:noProof/>
          <w:sz w:val="20"/>
        </w:rPr>
        <w:t>Web Applications (end-user side)</w:t>
      </w:r>
    </w:p>
    <w:p w:rsidR="0077224F" w:rsidRDefault="00D973EE">
      <w:pPr>
        <w:pStyle w:val="ListParagraph"/>
        <w:numPr>
          <w:ilvl w:val="0"/>
          <w:numId w:val="6"/>
        </w:numPr>
        <w:spacing w:before="0"/>
        <w:rPr>
          <w:rFonts w:ascii="Verdana" w:hAnsi="Verdana"/>
          <w:noProof/>
          <w:sz w:val="20"/>
        </w:rPr>
      </w:pPr>
      <w:r>
        <w:rPr>
          <w:rFonts w:ascii="Verdana" w:hAnsi="Verdana"/>
          <w:b/>
          <w:noProof/>
          <w:sz w:val="20"/>
        </w:rPr>
        <w:t>Web Applications (server-side)</w:t>
      </w:r>
    </w:p>
    <w:p w:rsidR="0077224F" w:rsidRDefault="00D973EE">
      <w:pPr>
        <w:pStyle w:val="ListParagraph"/>
        <w:numPr>
          <w:ilvl w:val="0"/>
          <w:numId w:val="6"/>
        </w:numPr>
        <w:spacing w:before="0"/>
        <w:rPr>
          <w:rFonts w:ascii="Verdana" w:hAnsi="Verdana"/>
          <w:noProof/>
          <w:sz w:val="20"/>
        </w:rPr>
      </w:pPr>
      <w:r>
        <w:rPr>
          <w:rFonts w:ascii="Verdana" w:hAnsi="Verdana"/>
          <w:b/>
          <w:noProof/>
          <w:sz w:val="20"/>
        </w:rPr>
        <w:t>Software Installation and Updates</w:t>
      </w:r>
    </w:p>
    <w:p w:rsidR="0077224F" w:rsidRDefault="00D973EE">
      <w:pPr>
        <w:rPr>
          <w:noProof/>
        </w:rPr>
      </w:pPr>
      <w:r>
        <w:rPr>
          <w:noProof/>
        </w:rPr>
        <w:t>In the following sections we develop these topics starting from the ground (operating systems).</w:t>
      </w: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D973EE">
      <w:pPr>
        <w:pStyle w:val="Heading1"/>
        <w:rPr>
          <w:noProof/>
        </w:rPr>
      </w:pPr>
      <w:bookmarkStart w:id="405" w:name="_Toc466024036"/>
      <w:bookmarkStart w:id="406" w:name="_Toc468790046"/>
      <w:bookmarkStart w:id="407" w:name="_Toc468794878"/>
      <w:bookmarkStart w:id="408" w:name="_Toc468795186"/>
      <w:r>
        <w:rPr>
          <w:noProof/>
        </w:rPr>
        <w:t>User Applications</w:t>
      </w:r>
      <w:bookmarkEnd w:id="405"/>
      <w:bookmarkEnd w:id="406"/>
      <w:bookmarkEnd w:id="407"/>
      <w:bookmarkEnd w:id="408"/>
    </w:p>
    <w:p w:rsidR="0077224F" w:rsidRDefault="00D973EE">
      <w:pPr>
        <w:rPr>
          <w:noProof/>
        </w:rPr>
      </w:pPr>
      <w:r>
        <w:rPr>
          <w:noProof/>
        </w:rPr>
        <w:t>User applications refer to applications that are installed on the users’ device. They provide all possible functionalities to the users, boosting their experience with their device and allowing them</w:t>
      </w:r>
      <w:r>
        <w:rPr>
          <w:noProof/>
        </w:rPr>
        <w:t xml:space="preserve"> to personalize it in order to meet their demands. Applications are usually downloaded from the associated application market of the device but, especially on desktop computers, can also be downloaded freely from any source.</w:t>
      </w:r>
    </w:p>
    <w:p w:rsidR="0077224F" w:rsidRDefault="00D973EE">
      <w:pPr>
        <w:pStyle w:val="Heading2"/>
        <w:rPr>
          <w:noProof/>
        </w:rPr>
      </w:pPr>
      <w:bookmarkStart w:id="409" w:name="_Toc465845835"/>
      <w:bookmarkStart w:id="410" w:name="_Toc453341731"/>
      <w:bookmarkStart w:id="411" w:name="_Toc458157991"/>
      <w:bookmarkStart w:id="412" w:name="_Toc465876769"/>
      <w:bookmarkStart w:id="413" w:name="_Toc466024037"/>
      <w:bookmarkStart w:id="414" w:name="_Toc468790047"/>
      <w:bookmarkStart w:id="415" w:name="_Toc468794879"/>
      <w:bookmarkStart w:id="416" w:name="_Toc468795187"/>
      <w:bookmarkEnd w:id="409"/>
      <w:r>
        <w:rPr>
          <w:noProof/>
        </w:rPr>
        <w:t>Malicious Applications</w:t>
      </w:r>
      <w:bookmarkEnd w:id="410"/>
      <w:bookmarkEnd w:id="411"/>
      <w:bookmarkEnd w:id="412"/>
      <w:bookmarkEnd w:id="413"/>
      <w:bookmarkEnd w:id="414"/>
      <w:bookmarkEnd w:id="415"/>
      <w:bookmarkEnd w:id="416"/>
    </w:p>
    <w:p w:rsidR="0077224F" w:rsidRDefault="00D973EE">
      <w:pPr>
        <w:rPr>
          <w:noProof/>
        </w:rPr>
      </w:pPr>
      <w:r>
        <w:rPr>
          <w:noProof/>
        </w:rPr>
        <w:t xml:space="preserve">The aim </w:t>
      </w:r>
      <w:r>
        <w:rPr>
          <w:noProof/>
        </w:rPr>
        <w:t>of malware found on applications is mainly to steal personal user information that could be later used on the advantage of the attacker. Such information can be for example, credit card numbers, user biographic information, user activities, etc. The most c</w:t>
      </w:r>
      <w:r>
        <w:rPr>
          <w:noProof/>
        </w:rPr>
        <w:t xml:space="preserve">ommon way that malware reaches the users’ device is through an infected application. In the next sections we explain the appearance of malware in different platforms and the reasons for the diversity between different operating systems. </w:t>
      </w:r>
    </w:p>
    <w:p w:rsidR="0077224F" w:rsidRDefault="00D973EE">
      <w:pPr>
        <w:rPr>
          <w:noProof/>
        </w:rPr>
      </w:pPr>
      <w:r>
        <w:rPr>
          <w:noProof/>
        </w:rPr>
        <w:t>While analysing th</w:t>
      </w:r>
      <w:r>
        <w:rPr>
          <w:noProof/>
        </w:rPr>
        <w:t>e privacy issues of malicious applications, it is in any case important, especially in the context of this document, to take into consideration that the same problems, are valid also for perfectly licit applications, which might fall somehow on the “malici</w:t>
      </w:r>
      <w:r>
        <w:rPr>
          <w:noProof/>
        </w:rPr>
        <w:t xml:space="preserve">ous side” due to their invasiveness in term of privacy. What we mean with that is that privacy breaches are not the exclusive domain of software developed by hackers, but also of applications downloaded through licit channels which pay little attention to </w:t>
      </w:r>
      <w:r>
        <w:rPr>
          <w:noProof/>
        </w:rPr>
        <w:t>the privacy rights of the citizens and that gather more information than what they indeed need to operate, without asking the consent to end users.</w:t>
      </w:r>
    </w:p>
    <w:p w:rsidR="0077224F" w:rsidRDefault="00D973EE">
      <w:pPr>
        <w:pStyle w:val="Heading3"/>
        <w:rPr>
          <w:noProof/>
        </w:rPr>
      </w:pPr>
      <w:bookmarkStart w:id="417" w:name="_Ref453319312"/>
      <w:bookmarkStart w:id="418" w:name="_Toc453330938"/>
      <w:bookmarkStart w:id="419" w:name="_Toc453341732"/>
      <w:bookmarkStart w:id="420" w:name="_Toc458157992"/>
      <w:bookmarkStart w:id="421" w:name="_Toc465876770"/>
      <w:bookmarkStart w:id="422" w:name="_Toc466024038"/>
      <w:bookmarkStart w:id="423" w:name="_Toc468790048"/>
      <w:bookmarkStart w:id="424" w:name="_Toc468794880"/>
      <w:bookmarkStart w:id="425" w:name="_Toc468795188"/>
      <w:r>
        <w:rPr>
          <w:noProof/>
        </w:rPr>
        <w:t>Android (Google)</w:t>
      </w:r>
      <w:bookmarkEnd w:id="417"/>
      <w:bookmarkEnd w:id="418"/>
      <w:bookmarkEnd w:id="419"/>
      <w:bookmarkEnd w:id="420"/>
      <w:bookmarkEnd w:id="421"/>
      <w:bookmarkEnd w:id="422"/>
      <w:bookmarkEnd w:id="423"/>
      <w:bookmarkEnd w:id="424"/>
      <w:bookmarkEnd w:id="425"/>
    </w:p>
    <w:p w:rsidR="0077224F" w:rsidRDefault="00D973EE">
      <w:pPr>
        <w:rPr>
          <w:noProof/>
        </w:rPr>
      </w:pPr>
      <w:r>
        <w:rPr>
          <w:noProof/>
        </w:rPr>
        <w:t xml:space="preserve">The vast majority of the malware written for mobile devices is targeting Android, reaching </w:t>
      </w:r>
      <w:r>
        <w:rPr>
          <w:noProof/>
        </w:rPr>
        <w:t xml:space="preserve">97% </w:t>
      </w:r>
      <w:r>
        <w:rPr>
          <w:noProof/>
        </w:rPr>
        <w:fldChar w:fldCharType="begin"/>
      </w:r>
      <w:r>
        <w:rPr>
          <w:noProof/>
        </w:rPr>
        <w:instrText xml:space="preserve"> ADDIN ZOTERO_ITEM CSL_CITATION {"citationID":"1pc5bdca2p","properties":{"formattedCitation":"[1]","plainCitation":"[1]"},"citationItems":[{"id":298,"uris":["http://zotero.org/groups/583788/items/ECC9BKRM"],"uri":["http://zotero.org/groups/583788/items</w:instrText>
      </w:r>
      <w:r>
        <w:rPr>
          <w:noProof/>
        </w:rPr>
        <w:instrText>/ECC9BKRM"],"itemData":{"id":298,"type":"webpage","title":"2015 Mobile Threat Report | Pulse Secure Mobile Threat Center","abstract":"The 2015 Mobile Threat Report is based on data and research of more than 2.5 million mobile applications gathered by the P</w:instrText>
      </w:r>
      <w:r>
        <w:rPr>
          <w:noProof/>
        </w:rPr>
        <w:instrText xml:space="preserve">ulse Secure Mobile Threat Center research facility.","URL":"https://www.pulsesecure.net/lp/mobile-threat-report-2014/","accessed":{"date-parts":[["2016",7,25]]}}}],"schema":"https://github.com/citation-style-language/schema/raw/master/csl-citation.json"} </w:instrText>
      </w:r>
      <w:r>
        <w:rPr>
          <w:noProof/>
        </w:rPr>
        <w:fldChar w:fldCharType="separate"/>
      </w:r>
      <w:r>
        <w:rPr>
          <w:noProof/>
        </w:rPr>
        <w:t>[</w:t>
      </w:r>
      <w:r>
        <w:rPr>
          <w:noProof/>
        </w:rPr>
        <w:t>1]</w:t>
      </w:r>
      <w:r>
        <w:rPr>
          <w:noProof/>
        </w:rPr>
        <w:fldChar w:fldCharType="end"/>
      </w:r>
      <w:r>
        <w:rPr>
          <w:noProof/>
        </w:rPr>
        <w:t xml:space="preserve">. The main reason for this is the very big market share of Android (around 80% </w:t>
      </w:r>
      <w:r>
        <w:rPr>
          <w:noProof/>
        </w:rPr>
        <w:fldChar w:fldCharType="begin"/>
      </w:r>
      <w:r>
        <w:rPr>
          <w:noProof/>
        </w:rPr>
        <w:instrText xml:space="preserve"> ADDIN ZOTERO_ITEM CSL_CITATION {"citationID":"rdu19kng9","properties":{"formattedCitation":"[2]","plainCitation":"[2]"},"citationItems":[{"id":299,"uris":["http://zotero.org/groups/583788/items/X7ZMFVW3"],"uri":["http://zotero.org/groups/583788/items/X7ZM</w:instrText>
      </w:r>
      <w:r>
        <w:rPr>
          <w:noProof/>
        </w:rPr>
        <w:instrText>FVW3"],"itemData":{"id":299,"type":"webpage","title":"IDC: Smartphone OS Market Share","container-title":"www.idc.com","URL":"http://www.idc.com/prodserv/smartphone-os-market-share.jsp","shortTitle":"IDC","accessed":{"date-parts":[["2016",7,25]]}}}],"schem</w:instrText>
      </w:r>
      <w:r>
        <w:rPr>
          <w:noProof/>
        </w:rPr>
        <w:instrText xml:space="preserve">a":"https://github.com/citation-style-language/schema/raw/master/csl-citation.json"} </w:instrText>
      </w:r>
      <w:r>
        <w:rPr>
          <w:noProof/>
        </w:rPr>
        <w:fldChar w:fldCharType="separate"/>
      </w:r>
      <w:r>
        <w:rPr>
          <w:noProof/>
        </w:rPr>
        <w:t>[2]</w:t>
      </w:r>
      <w:r>
        <w:rPr>
          <w:noProof/>
        </w:rPr>
        <w:fldChar w:fldCharType="end"/>
      </w:r>
      <w:r>
        <w:rPr>
          <w:noProof/>
        </w:rPr>
        <w:t>), which makes it the preferable target, as well as the business model that Android uses. Android gives the users the possibility to download applications from any m</w:t>
      </w:r>
      <w:r>
        <w:rPr>
          <w:noProof/>
        </w:rPr>
        <w:t>arket, even if they do recommend using the official download channel of Google Play. Moreover, as Android is open source, it is used by many different manufacturers, each of which implements and maintains it in a different way. For example, if a security v</w:t>
      </w:r>
      <w:r>
        <w:rPr>
          <w:noProof/>
        </w:rPr>
        <w:t>ulnerability is found and Google fixes it with a patch, a new update will have to be downloaded on the Android devices with the same OS version. This happens almost directly for the Google devices (i.e. all Nexus/Pixel devices) but for the rest, the manufa</w:t>
      </w:r>
      <w:r>
        <w:rPr>
          <w:noProof/>
        </w:rPr>
        <w:t xml:space="preserve">cturer (e.g., Samsung, HTC, Motorola, etc.) will have to first receive the update, integrate it with their customized OS and then release it to the users. This procedure takes usually a lot of time, and sometimes does not happen at all, thus leaving users </w:t>
      </w:r>
      <w:r>
        <w:rPr>
          <w:noProof/>
        </w:rPr>
        <w:t xml:space="preserve">vulnerable to known threats. Moreover, the customized OS that each manufacturer provides, may be vulnerable to even more threats compared to the native Android OS as it has more services built on top of it (a detailed description of Android’s update model </w:t>
      </w:r>
      <w:r>
        <w:rPr>
          <w:noProof/>
        </w:rPr>
        <w:t xml:space="preserve">is given in 4.1.1). </w:t>
      </w:r>
    </w:p>
    <w:p w:rsidR="0077224F" w:rsidRDefault="00D973EE">
      <w:pPr>
        <w:pStyle w:val="Heading3"/>
        <w:rPr>
          <w:noProof/>
        </w:rPr>
      </w:pPr>
      <w:bookmarkStart w:id="426" w:name="_Toc453330939"/>
      <w:bookmarkStart w:id="427" w:name="_Toc453341733"/>
      <w:bookmarkStart w:id="428" w:name="_Toc458157993"/>
      <w:bookmarkStart w:id="429" w:name="_Toc465876771"/>
      <w:bookmarkStart w:id="430" w:name="_Toc466024039"/>
      <w:bookmarkStart w:id="431" w:name="_Toc468790049"/>
      <w:bookmarkStart w:id="432" w:name="_Toc468794881"/>
      <w:bookmarkStart w:id="433" w:name="_Toc468795189"/>
      <w:r>
        <w:rPr>
          <w:noProof/>
        </w:rPr>
        <w:t>iOS (Apple)</w:t>
      </w:r>
      <w:bookmarkEnd w:id="426"/>
      <w:bookmarkEnd w:id="427"/>
      <w:bookmarkEnd w:id="428"/>
      <w:bookmarkEnd w:id="429"/>
      <w:bookmarkEnd w:id="430"/>
      <w:bookmarkEnd w:id="431"/>
      <w:bookmarkEnd w:id="432"/>
      <w:bookmarkEnd w:id="433"/>
    </w:p>
    <w:p w:rsidR="0077224F" w:rsidRDefault="00D973EE">
      <w:pPr>
        <w:rPr>
          <w:noProof/>
        </w:rPr>
      </w:pPr>
      <w:r>
        <w:rPr>
          <w:noProof/>
        </w:rPr>
        <w:t>iOS on the other hand is a closed environment and Apple is the only manufacturer. The procedure of “publishing” an application on the App store goes through an extended review which among others controls the application for</w:t>
      </w:r>
      <w:r>
        <w:rPr>
          <w:noProof/>
        </w:rPr>
        <w:t xml:space="preserve"> malicious content. Even with these measures in place, there have been cases where malware applications have reached the App store </w:t>
      </w:r>
      <w:r>
        <w:rPr>
          <w:noProof/>
        </w:rPr>
        <w:fldChar w:fldCharType="begin"/>
      </w:r>
      <w:r>
        <w:rPr>
          <w:noProof/>
        </w:rPr>
        <w:instrText xml:space="preserve"> ADDIN ZOTERO_ITEM CSL_CITATION {"citationID":"1epbukvp6q","properties":{"formattedCitation":"[3]","plainCitation":"[3]"},"ci</w:instrText>
      </w:r>
      <w:r>
        <w:rPr>
          <w:noProof/>
        </w:rPr>
        <w:instrText>tationItems":[{"id":300,"uris":["http://zotero.org/groups/583788/items/XHK4ABXJ"],"uri":["http://zotero.org/groups/583788/items/XHK4ABXJ"],"itemData":{"id":300,"type":"webpage","title":"Mobile malware evolution 2015 - Securelist","URL":"https://securelist.</w:instrText>
      </w:r>
      <w:r>
        <w:rPr>
          <w:noProof/>
        </w:rPr>
        <w:instrText xml:space="preserve">com/analysis/kaspersky-security-bulletin/73839/mobile-malware-evolution-2015/","accessed":{"date-parts":[["2016",7,25]]}}}],"schema":"https://github.com/citation-style-language/schema/raw/master/csl-citation.json"} </w:instrText>
      </w:r>
      <w:r>
        <w:rPr>
          <w:noProof/>
        </w:rPr>
        <w:fldChar w:fldCharType="separate"/>
      </w:r>
      <w:r>
        <w:rPr>
          <w:noProof/>
        </w:rPr>
        <w:t>[3]</w:t>
      </w:r>
      <w:r>
        <w:rPr>
          <w:noProof/>
        </w:rPr>
        <w:fldChar w:fldCharType="end"/>
      </w:r>
      <w:r>
        <w:rPr>
          <w:noProof/>
        </w:rPr>
        <w:t>.</w:t>
      </w:r>
    </w:p>
    <w:p w:rsidR="0077224F" w:rsidRDefault="00D973EE">
      <w:pPr>
        <w:rPr>
          <w:noProof/>
        </w:rPr>
      </w:pPr>
      <w:r>
        <w:rPr>
          <w:noProof/>
        </w:rPr>
        <w:t>Moreover, in contrast with Androi</w:t>
      </w:r>
      <w:r>
        <w:rPr>
          <w:noProof/>
        </w:rPr>
        <w:t>d, if a user wants to install an application from another market he/she will have to jailbreak his/her device. That means that he/she will voluntarily remove security measures from the device in order to give access to other markets. Of course by doing so,</w:t>
      </w:r>
      <w:r>
        <w:rPr>
          <w:noProof/>
        </w:rPr>
        <w:t xml:space="preserve"> the risk of being infected with malware is highly increased. Apple is trying to prevent this from happening and after each release of iOS jailbreaking is becoming more and more difficult. Furthermore, users that jailbreak their device automatically void t</w:t>
      </w:r>
      <w:r>
        <w:rPr>
          <w:noProof/>
        </w:rPr>
        <w:t>he phone guarantee and cannot download and install any OS updates.</w:t>
      </w:r>
    </w:p>
    <w:p w:rsidR="0077224F" w:rsidRDefault="00D973EE">
      <w:pPr>
        <w:pStyle w:val="Heading3"/>
        <w:rPr>
          <w:noProof/>
        </w:rPr>
      </w:pPr>
      <w:bookmarkStart w:id="434" w:name="_Toc453330940"/>
      <w:bookmarkStart w:id="435" w:name="_Toc453341734"/>
      <w:bookmarkStart w:id="436" w:name="_Toc458157994"/>
      <w:bookmarkStart w:id="437" w:name="_Toc465876772"/>
      <w:bookmarkStart w:id="438" w:name="_Toc466024040"/>
      <w:bookmarkStart w:id="439" w:name="_Toc468790050"/>
      <w:bookmarkStart w:id="440" w:name="_Toc468794882"/>
      <w:bookmarkStart w:id="441" w:name="_Toc468795190"/>
      <w:r>
        <w:rPr>
          <w:noProof/>
        </w:rPr>
        <w:t>Mobile Apps (General)</w:t>
      </w:r>
      <w:bookmarkEnd w:id="434"/>
      <w:bookmarkEnd w:id="435"/>
      <w:bookmarkEnd w:id="436"/>
      <w:bookmarkEnd w:id="437"/>
      <w:bookmarkEnd w:id="438"/>
      <w:bookmarkEnd w:id="439"/>
      <w:bookmarkEnd w:id="440"/>
      <w:bookmarkEnd w:id="441"/>
    </w:p>
    <w:p w:rsidR="0077224F" w:rsidRDefault="00D973EE">
      <w:pPr>
        <w:rPr>
          <w:noProof/>
          <w:szCs w:val="20"/>
        </w:rPr>
      </w:pPr>
      <w:r>
        <w:rPr>
          <w:noProof/>
          <w:szCs w:val="20"/>
        </w:rPr>
        <w:t>In 2015, the Kaspersky Lab detected almost 3.000.000 malicious installation packages, 900.000 new malicious mobile applications, and 7000 mobile banking trojans. In ge</w:t>
      </w:r>
      <w:r>
        <w:rPr>
          <w:noProof/>
          <w:szCs w:val="20"/>
        </w:rPr>
        <w:t xml:space="preserve">neral, there is an increase of malware compared to the last years </w:t>
      </w:r>
      <w:r>
        <w:rPr>
          <w:noProof/>
          <w:szCs w:val="20"/>
        </w:rPr>
        <w:fldChar w:fldCharType="begin"/>
      </w:r>
      <w:r>
        <w:rPr>
          <w:noProof/>
          <w:szCs w:val="20"/>
        </w:rPr>
        <w:instrText xml:space="preserve"> ADDIN ZOTERO_ITEM CSL_CITATION {"citationID":"1329jbt63l","properties":{"formattedCitation":"[3]","plainCitation":"[3]"},"citationItems":[{"id":300,"uris":["http://zotero.org/groups/583788/</w:instrText>
      </w:r>
      <w:r>
        <w:rPr>
          <w:noProof/>
          <w:szCs w:val="20"/>
        </w:rPr>
        <w:instrText>items/XHK4ABXJ"],"uri":["http://zotero.org/groups/583788/items/XHK4ABXJ"],"itemData":{"id":300,"type":"webpage","title":"Mobile malware evolution 2015 - Securelist","URL":"https://securelist.com/analysis/kaspersky-security-bulletin/73839/mobile-malware-evo</w:instrText>
      </w:r>
      <w:r>
        <w:rPr>
          <w:noProof/>
          <w:szCs w:val="20"/>
        </w:rPr>
        <w:instrText xml:space="preserve">lution-2015/","accessed":{"date-parts":[["2016",7,25]]}}}],"schema":"https://github.com/citation-style-language/schema/raw/master/csl-citation.json"} </w:instrText>
      </w:r>
      <w:r>
        <w:rPr>
          <w:noProof/>
          <w:szCs w:val="20"/>
        </w:rPr>
        <w:fldChar w:fldCharType="separate"/>
      </w:r>
      <w:r>
        <w:rPr>
          <w:noProof/>
          <w:szCs w:val="20"/>
        </w:rPr>
        <w:t>[3]</w:t>
      </w:r>
      <w:r>
        <w:rPr>
          <w:noProof/>
          <w:szCs w:val="20"/>
        </w:rPr>
        <w:fldChar w:fldCharType="end"/>
      </w:r>
      <w:r>
        <w:rPr>
          <w:noProof/>
          <w:szCs w:val="20"/>
        </w:rPr>
        <w:t xml:space="preserve">.The most common malware categories are Trojans, Adware and PUA (Potentially Unwanted Applications) </w:t>
      </w:r>
      <w:r>
        <w:rPr>
          <w:noProof/>
          <w:szCs w:val="20"/>
        </w:rPr>
        <w:fldChar w:fldCharType="begin"/>
      </w:r>
      <w:r>
        <w:rPr>
          <w:noProof/>
          <w:szCs w:val="20"/>
        </w:rPr>
        <w:instrText xml:space="preserve"> ADDIN ZOTERO_ITEM CSL_CITATION {"citationID":"1lu2o67cco","properties":{"formattedCitation":"[1]","plainCitation":"[1]"},"citationItems":[{"id":298,"uris":["http://zotero.org/groups/583788/items/ECC9BKRM"],"uri":["http://zotero.org/groups/583788/items/ECC</w:instrText>
      </w:r>
      <w:r>
        <w:rPr>
          <w:noProof/>
          <w:szCs w:val="20"/>
        </w:rPr>
        <w:instrText>9BKRM"],"itemData":{"id":298,"type":"webpage","title":"2015 Mobile Threat Report | Pulse Secure Mobile Threat Center","abstract":"The 2015 Mobile Threat Report is based on data and research of more than 2.5 million mobile applications gathered by the Pulse</w:instrText>
      </w:r>
      <w:r>
        <w:rPr>
          <w:noProof/>
          <w:szCs w:val="20"/>
        </w:rPr>
        <w:instrText xml:space="preserve"> Secure Mobile Threat Center research facility.","URL":"https://www.pulsesecure.net/lp/mobile-threat-report-2014/","accessed":{"date-parts":[["2016",7,25]]}}}],"schema":"https://github.com/citation-style-language/schema/raw/master/csl-citation.json"} </w:instrText>
      </w:r>
      <w:r>
        <w:rPr>
          <w:noProof/>
          <w:szCs w:val="20"/>
        </w:rPr>
        <w:fldChar w:fldCharType="separate"/>
      </w:r>
      <w:r>
        <w:rPr>
          <w:noProof/>
          <w:szCs w:val="20"/>
        </w:rPr>
        <w:t>[1]</w:t>
      </w:r>
      <w:r>
        <w:rPr>
          <w:noProof/>
          <w:szCs w:val="20"/>
        </w:rPr>
        <w:fldChar w:fldCharType="end"/>
      </w:r>
      <w:r>
        <w:rPr>
          <w:noProof/>
          <w:szCs w:val="20"/>
        </w:rPr>
        <w:t>.</w:t>
      </w:r>
    </w:p>
    <w:p w:rsidR="0077224F" w:rsidRDefault="00D973EE">
      <w:pPr>
        <w:rPr>
          <w:noProof/>
          <w:szCs w:val="20"/>
        </w:rPr>
      </w:pPr>
      <w:r>
        <w:rPr>
          <w:noProof/>
          <w:szCs w:val="20"/>
        </w:rPr>
        <w:t xml:space="preserve">According to OWASP </w:t>
      </w:r>
      <w:r>
        <w:rPr>
          <w:noProof/>
        </w:rPr>
        <w:t>(Open Web Application Security Project)</w:t>
      </w:r>
      <w:r>
        <w:rPr>
          <w:noProof/>
          <w:szCs w:val="20"/>
        </w:rPr>
        <w:t xml:space="preserve">, the top 10 Mobile Risks are the following </w:t>
      </w:r>
      <w:r>
        <w:rPr>
          <w:noProof/>
          <w:szCs w:val="20"/>
        </w:rPr>
        <w:fldChar w:fldCharType="begin"/>
      </w:r>
      <w:r>
        <w:rPr>
          <w:noProof/>
          <w:szCs w:val="20"/>
        </w:rPr>
        <w:instrText xml:space="preserve"> ADDIN ZOTERO_ITEM CSL_CITATION {"citationID":"cpiid8dl9","properties":{"formattedCitation":"[4]","plainCitation":"[4]"},"citationItems":[{"id":301,"ur</w:instrText>
      </w:r>
      <w:r>
        <w:rPr>
          <w:noProof/>
          <w:szCs w:val="20"/>
        </w:rPr>
        <w:instrText>is":["http://zotero.org/groups/583788/items/QTRJQ7NT"],"uri":["http://zotero.org/groups/583788/items/QTRJQ7NT"],"itemData":{"id":301,"type":"webpage","title":"OWASP Mobile Security Project - OWASP","URL":"https://www.owasp.org/index.php/Mobile#tab=Top_10_M</w:instrText>
      </w:r>
      <w:r>
        <w:rPr>
          <w:noProof/>
          <w:szCs w:val="20"/>
        </w:rPr>
        <w:instrText xml:space="preserve">obile_Risks","accessed":{"date-parts":[["2016",7,25]]}}}],"schema":"https://github.com/citation-style-language/schema/raw/master/csl-citation.json"} </w:instrText>
      </w:r>
      <w:r>
        <w:rPr>
          <w:noProof/>
          <w:szCs w:val="20"/>
        </w:rPr>
        <w:fldChar w:fldCharType="separate"/>
      </w:r>
      <w:r>
        <w:rPr>
          <w:noProof/>
          <w:szCs w:val="20"/>
        </w:rPr>
        <w:t>[4]</w:t>
      </w:r>
      <w:r>
        <w:rPr>
          <w:noProof/>
          <w:szCs w:val="20"/>
        </w:rPr>
        <w:fldChar w:fldCharType="end"/>
      </w:r>
      <w:r>
        <w:rPr>
          <w:noProof/>
          <w:szCs w:val="20"/>
        </w:rPr>
        <w:t>:</w:t>
      </w:r>
    </w:p>
    <w:p w:rsidR="0077224F" w:rsidRDefault="00D973EE">
      <w:pPr>
        <w:pStyle w:val="ListParagraph"/>
        <w:numPr>
          <w:ilvl w:val="0"/>
          <w:numId w:val="7"/>
        </w:numPr>
        <w:spacing w:before="0" w:after="0"/>
        <w:ind w:left="714"/>
        <w:rPr>
          <w:rFonts w:ascii="Verdana" w:hAnsi="Verdana"/>
          <w:noProof/>
          <w:sz w:val="20"/>
          <w:szCs w:val="20"/>
        </w:rPr>
      </w:pPr>
      <w:r>
        <w:rPr>
          <w:rFonts w:ascii="Verdana" w:hAnsi="Verdana"/>
          <w:b/>
          <w:noProof/>
          <w:sz w:val="20"/>
          <w:szCs w:val="20"/>
        </w:rPr>
        <w:t>Weak Server Side Controls:</w:t>
      </w:r>
      <w:r>
        <w:rPr>
          <w:rFonts w:ascii="Verdana" w:hAnsi="Verdana"/>
          <w:noProof/>
          <w:sz w:val="20"/>
          <w:szCs w:val="20"/>
        </w:rPr>
        <w:t xml:space="preserve"> Refers to vulnerabilities found on the backend of the application, e.g.,</w:t>
      </w:r>
      <w:r>
        <w:rPr>
          <w:rFonts w:ascii="Verdana" w:hAnsi="Verdana"/>
          <w:noProof/>
          <w:sz w:val="20"/>
          <w:szCs w:val="20"/>
        </w:rPr>
        <w:t xml:space="preserve"> backend API service, web server, etc. Even if this risk is not specific to mobile applications, it is also very relevant in a mobile environment.</w:t>
      </w:r>
    </w:p>
    <w:p w:rsidR="0077224F" w:rsidRDefault="00D973EE">
      <w:pPr>
        <w:pStyle w:val="ListParagraph"/>
        <w:numPr>
          <w:ilvl w:val="0"/>
          <w:numId w:val="7"/>
        </w:numPr>
        <w:spacing w:before="0" w:after="160"/>
        <w:rPr>
          <w:rFonts w:ascii="Verdana" w:hAnsi="Verdana"/>
          <w:noProof/>
          <w:sz w:val="20"/>
          <w:szCs w:val="20"/>
        </w:rPr>
      </w:pPr>
      <w:r>
        <w:rPr>
          <w:rFonts w:ascii="Verdana" w:hAnsi="Verdana"/>
          <w:b/>
          <w:noProof/>
          <w:sz w:val="20"/>
          <w:szCs w:val="20"/>
        </w:rPr>
        <w:t>Insecure Data Storage</w:t>
      </w:r>
      <w:r>
        <w:rPr>
          <w:rFonts w:ascii="Verdana" w:hAnsi="Verdana"/>
          <w:noProof/>
          <w:sz w:val="20"/>
          <w:szCs w:val="20"/>
        </w:rPr>
        <w:t>: Most of the applications that handle data input save data locally on the device. It is</w:t>
      </w:r>
      <w:r>
        <w:rPr>
          <w:rFonts w:ascii="Verdana" w:hAnsi="Verdana"/>
          <w:noProof/>
          <w:sz w:val="20"/>
          <w:szCs w:val="20"/>
        </w:rPr>
        <w:t xml:space="preserve"> important to keep such data protected and prohibit access from unauthorized actors. This is even more important with sensitive data such as passwords, credit cards, etc. </w:t>
      </w:r>
    </w:p>
    <w:p w:rsidR="0077224F" w:rsidRDefault="00D973EE">
      <w:pPr>
        <w:pStyle w:val="ListParagraph"/>
        <w:numPr>
          <w:ilvl w:val="0"/>
          <w:numId w:val="7"/>
        </w:numPr>
        <w:spacing w:before="0" w:after="160"/>
        <w:ind w:left="714"/>
        <w:rPr>
          <w:rFonts w:ascii="Verdana" w:hAnsi="Verdana"/>
          <w:noProof/>
          <w:sz w:val="20"/>
          <w:szCs w:val="20"/>
        </w:rPr>
      </w:pPr>
      <w:r>
        <w:rPr>
          <w:rFonts w:ascii="Verdana" w:hAnsi="Verdana"/>
          <w:b/>
          <w:noProof/>
          <w:sz w:val="20"/>
          <w:szCs w:val="20"/>
        </w:rPr>
        <w:t>Insufficient Transport Layer Protection:</w:t>
      </w:r>
      <w:r>
        <w:rPr>
          <w:rFonts w:ascii="Verdana" w:hAnsi="Verdana"/>
          <w:noProof/>
          <w:sz w:val="20"/>
          <w:szCs w:val="20"/>
        </w:rPr>
        <w:t xml:space="preserve"> Many of the applications communicate with a</w:t>
      </w:r>
      <w:r>
        <w:rPr>
          <w:rFonts w:ascii="Verdana" w:hAnsi="Verdana"/>
          <w:noProof/>
          <w:sz w:val="20"/>
          <w:szCs w:val="20"/>
        </w:rPr>
        <w:t xml:space="preserve"> service over the Internet. It is thus very important to control if the connection is properly encrypted, if the certificates used are valid and make sure that the connection is made towards the intended party.</w:t>
      </w:r>
    </w:p>
    <w:p w:rsidR="0077224F" w:rsidRDefault="00D973EE">
      <w:pPr>
        <w:pStyle w:val="ListParagraph"/>
        <w:numPr>
          <w:ilvl w:val="0"/>
          <w:numId w:val="7"/>
        </w:numPr>
        <w:spacing w:before="0" w:after="160"/>
        <w:ind w:left="714"/>
        <w:rPr>
          <w:rFonts w:ascii="Verdana" w:hAnsi="Verdana"/>
          <w:noProof/>
          <w:sz w:val="20"/>
          <w:szCs w:val="20"/>
        </w:rPr>
      </w:pPr>
      <w:r>
        <w:rPr>
          <w:rFonts w:ascii="Verdana" w:hAnsi="Verdana"/>
          <w:b/>
          <w:noProof/>
          <w:sz w:val="20"/>
          <w:szCs w:val="20"/>
        </w:rPr>
        <w:t>Unintended Data Leakage</w:t>
      </w:r>
      <w:r>
        <w:rPr>
          <w:rFonts w:ascii="Verdana" w:hAnsi="Verdana"/>
          <w:noProof/>
          <w:sz w:val="20"/>
          <w:szCs w:val="20"/>
        </w:rPr>
        <w:t>: Unintended data leak</w:t>
      </w:r>
      <w:r>
        <w:rPr>
          <w:rFonts w:ascii="Verdana" w:hAnsi="Verdana"/>
          <w:noProof/>
          <w:sz w:val="20"/>
          <w:szCs w:val="20"/>
        </w:rPr>
        <w:t>age refers to data leaking due to vulnerabilities that are external to the application itself. For example, data that leak because of vulnerabilities of the underlying operating system, of the hardware, of frameworks that interact with the application, etc</w:t>
      </w:r>
      <w:r>
        <w:rPr>
          <w:rFonts w:ascii="Verdana" w:hAnsi="Verdana"/>
          <w:noProof/>
          <w:sz w:val="20"/>
          <w:szCs w:val="20"/>
        </w:rPr>
        <w:t>. In such cases, it is important that the developers of the application have sufficient documentation to all the services that interact with the application in order to limit such leakage.</w:t>
      </w:r>
    </w:p>
    <w:p w:rsidR="0077224F" w:rsidRDefault="00D973EE">
      <w:pPr>
        <w:pStyle w:val="ListParagraph"/>
        <w:numPr>
          <w:ilvl w:val="0"/>
          <w:numId w:val="7"/>
        </w:numPr>
        <w:spacing w:before="0" w:after="160"/>
        <w:ind w:left="714"/>
        <w:rPr>
          <w:rFonts w:ascii="Verdana" w:hAnsi="Verdana"/>
          <w:noProof/>
          <w:sz w:val="20"/>
          <w:szCs w:val="20"/>
        </w:rPr>
      </w:pPr>
      <w:r>
        <w:rPr>
          <w:rFonts w:ascii="Verdana" w:hAnsi="Verdana"/>
          <w:b/>
          <w:noProof/>
          <w:sz w:val="20"/>
          <w:szCs w:val="20"/>
        </w:rPr>
        <w:t xml:space="preserve">Poor Authorization and Authentication: </w:t>
      </w:r>
      <w:r>
        <w:rPr>
          <w:rFonts w:ascii="Verdana" w:hAnsi="Verdana"/>
          <w:noProof/>
          <w:sz w:val="20"/>
          <w:szCs w:val="20"/>
        </w:rPr>
        <w:t>The applications that requir</w:t>
      </w:r>
      <w:r>
        <w:rPr>
          <w:rFonts w:ascii="Verdana" w:hAnsi="Verdana"/>
          <w:noProof/>
          <w:sz w:val="20"/>
          <w:szCs w:val="20"/>
        </w:rPr>
        <w:t>e authentication, should make sure that the authentication is equivalent to the one used when browsing from a computer. It is also important to avoid authenticating on the mobile device but instead perform authentication on the server side.</w:t>
      </w:r>
    </w:p>
    <w:p w:rsidR="0077224F" w:rsidRDefault="00D973EE">
      <w:pPr>
        <w:pStyle w:val="ListParagraph"/>
        <w:numPr>
          <w:ilvl w:val="0"/>
          <w:numId w:val="7"/>
        </w:numPr>
        <w:spacing w:before="0" w:after="160"/>
        <w:ind w:left="714"/>
        <w:rPr>
          <w:rFonts w:ascii="Verdana" w:hAnsi="Verdana"/>
          <w:noProof/>
          <w:sz w:val="20"/>
          <w:szCs w:val="20"/>
        </w:rPr>
      </w:pPr>
      <w:r>
        <w:rPr>
          <w:rFonts w:ascii="Verdana" w:hAnsi="Verdana"/>
          <w:b/>
          <w:noProof/>
          <w:sz w:val="20"/>
          <w:szCs w:val="20"/>
        </w:rPr>
        <w:t>Broken Cryptogr</w:t>
      </w:r>
      <w:r>
        <w:rPr>
          <w:rFonts w:ascii="Verdana" w:hAnsi="Verdana"/>
          <w:b/>
          <w:noProof/>
          <w:sz w:val="20"/>
          <w:szCs w:val="20"/>
        </w:rPr>
        <w:t>aphy:</w:t>
      </w:r>
      <w:r>
        <w:rPr>
          <w:rFonts w:ascii="Verdana" w:hAnsi="Verdana"/>
          <w:noProof/>
          <w:sz w:val="20"/>
          <w:szCs w:val="20"/>
        </w:rPr>
        <w:t xml:space="preserve"> This risk underlines the dangers of using cryptography in an insecure way. This may mean that either a process is using well-known cryptographic algorithms in an improper way that make them insecure or that the cryptographic algorithms are not secure</w:t>
      </w:r>
      <w:r>
        <w:rPr>
          <w:rFonts w:ascii="Verdana" w:hAnsi="Verdana"/>
          <w:noProof/>
          <w:sz w:val="20"/>
          <w:szCs w:val="20"/>
        </w:rPr>
        <w:t xml:space="preserve"> themselves or are outdated.</w:t>
      </w:r>
    </w:p>
    <w:p w:rsidR="0077224F" w:rsidRDefault="00D973EE">
      <w:pPr>
        <w:pStyle w:val="ListParagraph"/>
        <w:numPr>
          <w:ilvl w:val="0"/>
          <w:numId w:val="7"/>
        </w:numPr>
        <w:spacing w:before="0" w:after="160"/>
        <w:ind w:left="714"/>
        <w:rPr>
          <w:rFonts w:ascii="Verdana" w:hAnsi="Verdana"/>
          <w:noProof/>
          <w:sz w:val="20"/>
          <w:szCs w:val="20"/>
        </w:rPr>
      </w:pPr>
      <w:r>
        <w:rPr>
          <w:rFonts w:ascii="Verdana" w:hAnsi="Verdana"/>
          <w:b/>
          <w:noProof/>
          <w:sz w:val="20"/>
          <w:szCs w:val="20"/>
        </w:rPr>
        <w:t>Client Side Injection:</w:t>
      </w:r>
      <w:r>
        <w:rPr>
          <w:rFonts w:ascii="Verdana" w:hAnsi="Verdana"/>
          <w:i/>
          <w:noProof/>
          <w:sz w:val="20"/>
          <w:szCs w:val="20"/>
        </w:rPr>
        <w:t xml:space="preserve"> </w:t>
      </w:r>
      <w:r>
        <w:rPr>
          <w:rFonts w:ascii="Verdana" w:hAnsi="Verdana"/>
          <w:noProof/>
          <w:sz w:val="20"/>
          <w:szCs w:val="20"/>
        </w:rPr>
        <w:t>Client side injection occurs when a source of the application’s input has been tampered with and is used to insert malicious code inside the application. Such inputs can be the data found on the local sto</w:t>
      </w:r>
      <w:r>
        <w:rPr>
          <w:rFonts w:ascii="Verdana" w:hAnsi="Verdana"/>
          <w:noProof/>
          <w:sz w:val="20"/>
          <w:szCs w:val="20"/>
        </w:rPr>
        <w:t>rage of the device, e.g., though a database or local files, user sessions on the browser, etc. All the inputs of a mobile application should be well known and protected accordingly.</w:t>
      </w:r>
    </w:p>
    <w:p w:rsidR="0077224F" w:rsidRDefault="00D973EE">
      <w:pPr>
        <w:pStyle w:val="ListParagraph"/>
        <w:numPr>
          <w:ilvl w:val="0"/>
          <w:numId w:val="7"/>
        </w:numPr>
        <w:spacing w:before="0" w:after="160"/>
        <w:ind w:left="714"/>
        <w:rPr>
          <w:rFonts w:ascii="Verdana" w:hAnsi="Verdana"/>
          <w:noProof/>
          <w:sz w:val="20"/>
          <w:szCs w:val="20"/>
        </w:rPr>
      </w:pPr>
      <w:r>
        <w:rPr>
          <w:rFonts w:ascii="Verdana" w:hAnsi="Verdana"/>
          <w:b/>
          <w:noProof/>
          <w:sz w:val="20"/>
          <w:szCs w:val="20"/>
        </w:rPr>
        <w:t xml:space="preserve">Security Decisions Via Untrusted Inputs: </w:t>
      </w:r>
      <w:r>
        <w:rPr>
          <w:rFonts w:ascii="Verdana" w:hAnsi="Verdana"/>
          <w:noProof/>
          <w:sz w:val="20"/>
          <w:szCs w:val="20"/>
        </w:rPr>
        <w:t>An application exchanges data wit</w:t>
      </w:r>
      <w:r>
        <w:rPr>
          <w:rFonts w:ascii="Verdana" w:hAnsi="Verdana"/>
          <w:noProof/>
          <w:sz w:val="20"/>
          <w:szCs w:val="20"/>
        </w:rPr>
        <w:t>h many different actors through a process called Inter Process Communication (IPC). This risk concerns the implications of handling in an insecure way such communications. All input received should undergo validation and the use of IPC should be in general</w:t>
      </w:r>
      <w:r>
        <w:rPr>
          <w:rFonts w:ascii="Verdana" w:hAnsi="Verdana"/>
          <w:noProof/>
          <w:sz w:val="20"/>
          <w:szCs w:val="20"/>
        </w:rPr>
        <w:t xml:space="preserve"> restricted to the only absolutely necessary cases.</w:t>
      </w:r>
    </w:p>
    <w:p w:rsidR="0077224F" w:rsidRDefault="00D973EE">
      <w:pPr>
        <w:pStyle w:val="ListParagraph"/>
        <w:numPr>
          <w:ilvl w:val="0"/>
          <w:numId w:val="7"/>
        </w:numPr>
        <w:spacing w:before="0" w:after="160"/>
        <w:ind w:left="714"/>
        <w:rPr>
          <w:rFonts w:ascii="Verdana" w:hAnsi="Verdana"/>
          <w:noProof/>
          <w:sz w:val="20"/>
          <w:szCs w:val="20"/>
        </w:rPr>
      </w:pPr>
      <w:r>
        <w:rPr>
          <w:rFonts w:ascii="Verdana" w:hAnsi="Verdana"/>
          <w:b/>
          <w:noProof/>
          <w:sz w:val="20"/>
          <w:szCs w:val="20"/>
        </w:rPr>
        <w:t>Improper Session Handling:</w:t>
      </w:r>
      <w:r>
        <w:rPr>
          <w:rFonts w:ascii="Verdana" w:hAnsi="Verdana"/>
          <w:noProof/>
          <w:sz w:val="20"/>
          <w:szCs w:val="20"/>
        </w:rPr>
        <w:t xml:space="preserve"> This risk refers to handling in an insecure way a session once a user has been authenticated. Several attacks can take place at a session level, and it is therefore important to take the appropriate precautions in order to avoid them.</w:t>
      </w:r>
    </w:p>
    <w:p w:rsidR="0077224F" w:rsidRDefault="00D973EE">
      <w:pPr>
        <w:pStyle w:val="ListParagraph"/>
        <w:numPr>
          <w:ilvl w:val="0"/>
          <w:numId w:val="7"/>
        </w:numPr>
        <w:spacing w:before="0" w:after="160"/>
        <w:ind w:left="714"/>
        <w:rPr>
          <w:rFonts w:ascii="Verdana" w:hAnsi="Verdana"/>
          <w:noProof/>
          <w:sz w:val="20"/>
          <w:szCs w:val="20"/>
        </w:rPr>
      </w:pPr>
      <w:r>
        <w:rPr>
          <w:rFonts w:ascii="Verdana" w:hAnsi="Verdana"/>
          <w:b/>
          <w:noProof/>
          <w:sz w:val="20"/>
          <w:szCs w:val="20"/>
        </w:rPr>
        <w:t>Lack of Binary Prote</w:t>
      </w:r>
      <w:r>
        <w:rPr>
          <w:rFonts w:ascii="Verdana" w:hAnsi="Verdana"/>
          <w:b/>
          <w:noProof/>
          <w:sz w:val="20"/>
          <w:szCs w:val="20"/>
        </w:rPr>
        <w:t>ctions:</w:t>
      </w:r>
      <w:r>
        <w:rPr>
          <w:rFonts w:ascii="Verdana" w:hAnsi="Verdana"/>
          <w:noProof/>
          <w:sz w:val="20"/>
          <w:szCs w:val="20"/>
        </w:rPr>
        <w:t xml:space="preserve"> Binary executions refer to alterations of the original application after it has been released. These can happen at the mobile device, for example, if an attacker modifies on purpose a part of the app in order to misbehave for his/her own benefit. S</w:t>
      </w:r>
      <w:r>
        <w:rPr>
          <w:rFonts w:ascii="Verdana" w:hAnsi="Verdana"/>
          <w:noProof/>
          <w:sz w:val="20"/>
          <w:szCs w:val="20"/>
        </w:rPr>
        <w:t xml:space="preserve">ecure coding techniques are the most common countermeasure for this threat. </w:t>
      </w:r>
    </w:p>
    <w:p w:rsidR="0077224F" w:rsidRDefault="00D973EE">
      <w:pPr>
        <w:rPr>
          <w:noProof/>
        </w:rPr>
      </w:pPr>
      <w:r>
        <w:rPr>
          <w:noProof/>
        </w:rPr>
        <w:t xml:space="preserve">As it can be concluded from the threats above, most of them (2, 3, 5, 6, 7, 8, 9, 10) can be dealt with during the development phase. </w:t>
      </w:r>
      <w:r>
        <w:rPr>
          <w:b/>
          <w:noProof/>
        </w:rPr>
        <w:t>Introducing security and privacy</w:t>
      </w:r>
      <w:r>
        <w:rPr>
          <w:noProof/>
        </w:rPr>
        <w:t xml:space="preserve"> </w:t>
      </w:r>
      <w:r>
        <w:rPr>
          <w:b/>
          <w:noProof/>
        </w:rPr>
        <w:t>by design</w:t>
      </w:r>
      <w:r>
        <w:rPr>
          <w:noProof/>
        </w:rPr>
        <w:t xml:space="preserve"> is a key factor in reducing such risks. In general it should be pointed out that software security is a system-wide issue that takes into account both security mechanisms and security design </w:t>
      </w:r>
      <w:r>
        <w:rPr>
          <w:noProof/>
        </w:rPr>
        <w:fldChar w:fldCharType="begin"/>
      </w:r>
      <w:r>
        <w:rPr>
          <w:noProof/>
        </w:rPr>
        <w:instrText xml:space="preserve"> ADDIN ZOTERO_ITEM CSL_CITATION {"citationID":"153kn575gq","prop</w:instrText>
      </w:r>
      <w:r>
        <w:rPr>
          <w:noProof/>
        </w:rPr>
        <w:instrText>erties":{"formattedCitation":"[5]","plainCitation":"[5]"},"citationItems":[{"id":297,"uris":["http://zotero.org/groups/583788/items/BSRC67TA"],"uri":["http://zotero.org/groups/583788/items/BSRC67TA"],"itemData":{"id":297,"type":"book","title":"Software sec</w:instrText>
      </w:r>
      <w:r>
        <w:rPr>
          <w:noProof/>
        </w:rPr>
        <w:instrText>urity: building security in","collection-title":"Addison-Wesley software security series","publisher":"Addison-Wesley","publisher-place":"Upper Saddle River, NJ","number-of-pages":"408","source":"Library of Congress ISBN","event-place":"Upper Saddle River,</w:instrText>
      </w:r>
      <w:r>
        <w:rPr>
          <w:noProof/>
        </w:rPr>
        <w:instrText xml:space="preserve"> NJ","ISBN":"978-0-321-35670-3","call-number":"QA76.9.A25 M4286 2006","note":"OCLC: ocm62281747","shortTitle":"Software security","author":[{"family":"McGraw","given":"Gary"}],"issued":{"date-parts":[["2006"]]}}}],"schema":"https://github.com/citation-styl</w:instrText>
      </w:r>
      <w:r>
        <w:rPr>
          <w:noProof/>
        </w:rPr>
        <w:instrText xml:space="preserve">e-language/schema/raw/master/csl-citation.json"} </w:instrText>
      </w:r>
      <w:r>
        <w:rPr>
          <w:noProof/>
        </w:rPr>
        <w:fldChar w:fldCharType="separate"/>
      </w:r>
      <w:r>
        <w:rPr>
          <w:noProof/>
        </w:rPr>
        <w:t>[5]</w:t>
      </w:r>
      <w:r>
        <w:rPr>
          <w:noProof/>
        </w:rPr>
        <w:fldChar w:fldCharType="end"/>
      </w:r>
      <w:r>
        <w:rPr>
          <w:noProof/>
        </w:rPr>
        <w:t>. It is therefore important to remind developers of this, since security design is neglected (usually in the favour of functionality) as there is the belief that its lack can be later replaced by using</w:t>
      </w:r>
      <w:r>
        <w:rPr>
          <w:noProof/>
        </w:rPr>
        <w:t xml:space="preserve"> security mechanisms.</w:t>
      </w:r>
    </w:p>
    <w:p w:rsidR="0077224F" w:rsidRDefault="00D973EE">
      <w:pPr>
        <w:rPr>
          <w:noProof/>
        </w:rPr>
      </w:pPr>
      <w:r>
        <w:rPr>
          <w:noProof/>
        </w:rPr>
        <w:t>Risks found on the backend and not on the user device (1, 4, 5, 9) should also be considered starting from the design phase of the application’s architecture. As these interactions occur outside the mobile device, they may often be ne</w:t>
      </w:r>
      <w:r>
        <w:rPr>
          <w:noProof/>
        </w:rPr>
        <w:t>glected or left to be considered in a later stage. Dealing with them is sometimes not the application’s developer role, since third party services are mostly used for the backend. Nonetheless, the developers should adhere to the codes of practice for secur</w:t>
      </w:r>
      <w:r>
        <w:rPr>
          <w:noProof/>
        </w:rPr>
        <w:t xml:space="preserve">e programming and minimize potentials risks by paying attention to common and well-known security issues. Finally, some of the threats (4, 10) cannot be completely controlled by the application. In such case developers should make sure that they have used </w:t>
      </w:r>
      <w:r>
        <w:rPr>
          <w:noProof/>
        </w:rPr>
        <w:t>all possible mitigations and security mechanisms on their side and should monitor the application dependencies for any new security updates and patches in order to ensure that any new threats will be dealt with immediately.</w:t>
      </w:r>
    </w:p>
    <w:p w:rsidR="0077224F" w:rsidRDefault="00D973EE">
      <w:pPr>
        <w:pStyle w:val="Heading3"/>
        <w:rPr>
          <w:noProof/>
        </w:rPr>
      </w:pPr>
      <w:bookmarkStart w:id="442" w:name="_Toc458157995"/>
      <w:bookmarkStart w:id="443" w:name="_Toc465876773"/>
      <w:bookmarkStart w:id="444" w:name="_Toc466024041"/>
      <w:bookmarkStart w:id="445" w:name="_Toc468790051"/>
      <w:bookmarkStart w:id="446" w:name="_Toc468794883"/>
      <w:bookmarkStart w:id="447" w:name="_Toc468795191"/>
      <w:bookmarkStart w:id="448" w:name="_Toc453330941"/>
      <w:bookmarkStart w:id="449" w:name="_Toc453341735"/>
      <w:r>
        <w:rPr>
          <w:noProof/>
        </w:rPr>
        <w:t>Desktop</w:t>
      </w:r>
      <w:bookmarkEnd w:id="442"/>
      <w:r>
        <w:rPr>
          <w:noProof/>
        </w:rPr>
        <w:t xml:space="preserve"> Operating Systems</w:t>
      </w:r>
      <w:bookmarkEnd w:id="443"/>
      <w:bookmarkEnd w:id="444"/>
      <w:bookmarkEnd w:id="445"/>
      <w:bookmarkEnd w:id="446"/>
      <w:bookmarkEnd w:id="447"/>
    </w:p>
    <w:p w:rsidR="0077224F" w:rsidRDefault="00D973EE">
      <w:pPr>
        <w:rPr>
          <w:noProof/>
        </w:rPr>
      </w:pPr>
      <w:r>
        <w:rPr>
          <w:noProof/>
        </w:rPr>
        <w:t>In pri</w:t>
      </w:r>
      <w:r>
        <w:rPr>
          <w:noProof/>
        </w:rPr>
        <w:t>nciple, desktop operating systems traditionally designed to run on desktop machines and servers should not be taken into consideration in the context of the ePrivacy directive, which deals with telecommunication services and the security of terminal device</w:t>
      </w:r>
      <w:r>
        <w:rPr>
          <w:noProof/>
        </w:rPr>
        <w:t>s. However, two new elements recently emerged which might change this statement:</w:t>
      </w:r>
    </w:p>
    <w:p w:rsidR="0077224F" w:rsidRDefault="00D973EE">
      <w:pPr>
        <w:pStyle w:val="ListParagraph"/>
        <w:numPr>
          <w:ilvl w:val="0"/>
          <w:numId w:val="8"/>
        </w:numPr>
        <w:spacing w:before="0"/>
        <w:rPr>
          <w:rFonts w:ascii="Verdana" w:hAnsi="Verdana"/>
          <w:noProof/>
          <w:sz w:val="20"/>
          <w:szCs w:val="20"/>
        </w:rPr>
      </w:pPr>
      <w:r>
        <w:rPr>
          <w:rFonts w:ascii="Verdana" w:hAnsi="Verdana"/>
          <w:b/>
          <w:noProof/>
          <w:sz w:val="20"/>
          <w:szCs w:val="20"/>
        </w:rPr>
        <w:t>Operating system convergence</w:t>
      </w:r>
      <w:r>
        <w:rPr>
          <w:rFonts w:ascii="Verdana" w:hAnsi="Verdana"/>
          <w:noProof/>
          <w:sz w:val="20"/>
          <w:szCs w:val="20"/>
        </w:rPr>
        <w:t>: terminal devices are becoming more and more as powerful as desktops. Operating systems producers, in an attempt, on one side, to provide a homoge</w:t>
      </w:r>
      <w:r>
        <w:rPr>
          <w:rFonts w:ascii="Verdana" w:hAnsi="Verdana"/>
          <w:noProof/>
          <w:sz w:val="20"/>
          <w:szCs w:val="20"/>
        </w:rPr>
        <w:t>neous user experience, and on the other to optimize the resource investments, are pushing for a fast convergence in operating systems. The last version of Windows 10 running on Windows phones for example, is the same that today runs on every desktop, noteb</w:t>
      </w:r>
      <w:r>
        <w:rPr>
          <w:rFonts w:ascii="Verdana" w:hAnsi="Verdana"/>
          <w:noProof/>
          <w:sz w:val="20"/>
          <w:szCs w:val="20"/>
        </w:rPr>
        <w:t>ook in the market. The same is happening for the Linux world, where new raising distributions are able to work both on mobile phones and on desktops.</w:t>
      </w:r>
    </w:p>
    <w:p w:rsidR="0077224F" w:rsidRDefault="00D973EE">
      <w:pPr>
        <w:pStyle w:val="ListParagraph"/>
        <w:numPr>
          <w:ilvl w:val="0"/>
          <w:numId w:val="8"/>
        </w:numPr>
        <w:spacing w:before="0"/>
        <w:rPr>
          <w:rFonts w:ascii="Verdana" w:hAnsi="Verdana"/>
          <w:noProof/>
          <w:sz w:val="20"/>
          <w:szCs w:val="20"/>
        </w:rPr>
      </w:pPr>
      <w:r>
        <w:rPr>
          <w:rFonts w:ascii="Verdana" w:hAnsi="Verdana"/>
          <w:b/>
          <w:noProof/>
          <w:sz w:val="20"/>
          <w:szCs w:val="20"/>
        </w:rPr>
        <w:t>Telecommunication layer convergence</w:t>
      </w:r>
      <w:r>
        <w:rPr>
          <w:rFonts w:ascii="Verdana" w:hAnsi="Verdana"/>
          <w:noProof/>
          <w:sz w:val="20"/>
          <w:szCs w:val="20"/>
        </w:rPr>
        <w:t>: with the advent of VOIP, and the delivery of application layer commun</w:t>
      </w:r>
      <w:r>
        <w:rPr>
          <w:rFonts w:ascii="Verdana" w:hAnsi="Verdana"/>
          <w:noProof/>
          <w:sz w:val="20"/>
          <w:szCs w:val="20"/>
        </w:rPr>
        <w:t>ication services, the definition of “terminal device” most probably needs to be updated and expanded to the domain of portable devices and desktop.</w:t>
      </w:r>
    </w:p>
    <w:p w:rsidR="0077224F" w:rsidRDefault="00D973EE">
      <w:pPr>
        <w:rPr>
          <w:noProof/>
          <w:szCs w:val="20"/>
        </w:rPr>
      </w:pPr>
      <w:r>
        <w:rPr>
          <w:noProof/>
          <w:szCs w:val="20"/>
        </w:rPr>
        <w:t>New services providing similar functionalities available previously only by means of dedicated telecommunica</w:t>
      </w:r>
      <w:r>
        <w:rPr>
          <w:noProof/>
          <w:szCs w:val="20"/>
        </w:rPr>
        <w:t>tion services in portable devices and desktops are now available including:</w:t>
      </w:r>
    </w:p>
    <w:p w:rsidR="0077224F" w:rsidRDefault="00D973EE">
      <w:pPr>
        <w:pStyle w:val="ListParagraph"/>
        <w:numPr>
          <w:ilvl w:val="0"/>
          <w:numId w:val="9"/>
        </w:numPr>
        <w:spacing w:before="0"/>
        <w:rPr>
          <w:rFonts w:ascii="Verdana" w:hAnsi="Verdana"/>
          <w:noProof/>
          <w:sz w:val="20"/>
          <w:szCs w:val="20"/>
        </w:rPr>
      </w:pPr>
      <w:r>
        <w:rPr>
          <w:rFonts w:ascii="Verdana" w:hAnsi="Verdana"/>
          <w:noProof/>
          <w:sz w:val="20"/>
          <w:szCs w:val="20"/>
        </w:rPr>
        <w:t>Instant messaging services like Hangouts, WhatsApp, Facebook Messenger, and Skype.</w:t>
      </w:r>
    </w:p>
    <w:p w:rsidR="0077224F" w:rsidRDefault="00D973EE">
      <w:pPr>
        <w:pStyle w:val="ListParagraph"/>
        <w:numPr>
          <w:ilvl w:val="0"/>
          <w:numId w:val="9"/>
        </w:numPr>
        <w:spacing w:before="0"/>
        <w:rPr>
          <w:rFonts w:ascii="Verdana" w:hAnsi="Verdana"/>
          <w:noProof/>
          <w:sz w:val="20"/>
          <w:szCs w:val="20"/>
        </w:rPr>
      </w:pPr>
      <w:r>
        <w:rPr>
          <w:rFonts w:ascii="Verdana" w:hAnsi="Verdana"/>
          <w:noProof/>
          <w:sz w:val="20"/>
          <w:szCs w:val="20"/>
        </w:rPr>
        <w:t xml:space="preserve">Mashups of social networking and advertisement networks that are able to track fine-grain users’ </w:t>
      </w:r>
      <w:r>
        <w:rPr>
          <w:rFonts w:ascii="Verdana" w:hAnsi="Verdana"/>
          <w:noProof/>
          <w:sz w:val="20"/>
          <w:szCs w:val="20"/>
        </w:rPr>
        <w:t>activities and collect information about their preferences for marketing purposes. For example, some web pages and mobile apps introduce advertisement banners and embed their own code (e.g., Facebook like button or comment box) in all different locations i</w:t>
      </w:r>
      <w:r>
        <w:rPr>
          <w:rFonts w:ascii="Verdana" w:hAnsi="Verdana"/>
          <w:noProof/>
          <w:sz w:val="20"/>
          <w:szCs w:val="20"/>
        </w:rPr>
        <w:t>n order to track users and provide personalized content/ads.</w:t>
      </w:r>
    </w:p>
    <w:p w:rsidR="0077224F" w:rsidRDefault="00D973EE">
      <w:pPr>
        <w:pStyle w:val="ListParagraph"/>
        <w:numPr>
          <w:ilvl w:val="0"/>
          <w:numId w:val="9"/>
        </w:numPr>
        <w:spacing w:before="0"/>
        <w:rPr>
          <w:rFonts w:ascii="Verdana" w:hAnsi="Verdana"/>
          <w:noProof/>
          <w:sz w:val="20"/>
          <w:szCs w:val="20"/>
        </w:rPr>
      </w:pPr>
      <w:r>
        <w:rPr>
          <w:rFonts w:ascii="Verdana" w:hAnsi="Verdana"/>
          <w:noProof/>
          <w:sz w:val="20"/>
          <w:szCs w:val="20"/>
        </w:rPr>
        <w:t>Video Broadcasting: service providers broadcasting video and collecting preferences, traffic, and location data of end users such as YouTube, Netflix, SkyGo. In these services users are also able</w:t>
      </w:r>
      <w:r>
        <w:rPr>
          <w:rFonts w:ascii="Verdana" w:hAnsi="Verdana"/>
          <w:noProof/>
          <w:sz w:val="20"/>
          <w:szCs w:val="20"/>
        </w:rPr>
        <w:t xml:space="preserve"> to manage their own channels and provide their own customized content in partnership with advertisement services.</w:t>
      </w:r>
    </w:p>
    <w:p w:rsidR="0077224F" w:rsidRDefault="00D973EE">
      <w:pPr>
        <w:rPr>
          <w:noProof/>
          <w:szCs w:val="20"/>
        </w:rPr>
      </w:pPr>
      <w:r>
        <w:rPr>
          <w:noProof/>
          <w:szCs w:val="20"/>
        </w:rPr>
        <w:t>For these reasons we also include in the following sections some reflections on the security of desktop operating systems, without pretending</w:t>
      </w:r>
      <w:r>
        <w:rPr>
          <w:noProof/>
          <w:szCs w:val="20"/>
        </w:rPr>
        <w:t xml:space="preserve"> to be exhaustive, but with the intention to remark the fact that the distinction between the desktop world and the mobile world is quickly fading and blurring.</w:t>
      </w:r>
    </w:p>
    <w:p w:rsidR="0077224F" w:rsidRDefault="00D973EE">
      <w:pPr>
        <w:pStyle w:val="Heading4"/>
        <w:spacing w:line="276" w:lineRule="auto"/>
        <w:rPr>
          <w:noProof/>
        </w:rPr>
      </w:pPr>
      <w:bookmarkStart w:id="450" w:name="_Toc465876774"/>
      <w:bookmarkStart w:id="451" w:name="_Toc466024042"/>
      <w:r>
        <w:rPr>
          <w:noProof/>
        </w:rPr>
        <w:t>Windows</w:t>
      </w:r>
      <w:bookmarkEnd w:id="448"/>
      <w:bookmarkEnd w:id="449"/>
      <w:bookmarkEnd w:id="450"/>
      <w:bookmarkEnd w:id="451"/>
    </w:p>
    <w:p w:rsidR="0077224F" w:rsidRDefault="00D973EE">
      <w:pPr>
        <w:rPr>
          <w:noProof/>
        </w:rPr>
      </w:pPr>
      <w:r>
        <w:rPr>
          <w:noProof/>
        </w:rPr>
        <w:t>Windows is the most common target of malware in the domain of desktop operating systems</w:t>
      </w:r>
      <w:r>
        <w:rPr>
          <w:noProof/>
        </w:rPr>
        <w:t>. There are many different reasons for this.</w:t>
      </w:r>
    </w:p>
    <w:p w:rsidR="0077224F" w:rsidRDefault="00D973EE">
      <w:pPr>
        <w:rPr>
          <w:noProof/>
        </w:rPr>
      </w:pPr>
      <w:r>
        <w:rPr>
          <w:noProof/>
        </w:rPr>
        <w:t xml:space="preserve">First of all, and probably most importantly, Windows is by far the most used operating system. So, as a natural consequence, most of the malware are specifically targeted for Windows, reaching directly the vast </w:t>
      </w:r>
      <w:r>
        <w:rPr>
          <w:noProof/>
        </w:rPr>
        <w:t xml:space="preserve">majority of desktop users, trying to exploit known vulnerabilities of the different Windows versions. </w:t>
      </w:r>
    </w:p>
    <w:p w:rsidR="0077224F" w:rsidRDefault="00D973EE">
      <w:pPr>
        <w:rPr>
          <w:noProof/>
        </w:rPr>
      </w:pPr>
      <w:r>
        <w:rPr>
          <w:noProof/>
        </w:rPr>
        <w:t>Moreover, the first versions of Windows (i.e. 3x, 95, 98) did not distinguish between users. All users had the same privileges on the system, which actua</w:t>
      </w:r>
      <w:r>
        <w:rPr>
          <w:noProof/>
        </w:rPr>
        <w:t>lly meant that all users were administrators. As a result, a malicious application once executed could immediately gain permission to sensitive data and functions. Moreover, there was neither an antivirus nor a firewall installed by default. The majority o</w:t>
      </w:r>
      <w:r>
        <w:rPr>
          <w:noProof/>
        </w:rPr>
        <w:t>f the Windows users had no interest or knowledge of the need of such applications and the OS was left without any protection. In general, Windows was initially developed without having security in mind and this affected largely its future versions.</w:t>
      </w:r>
    </w:p>
    <w:p w:rsidR="0077224F" w:rsidRDefault="00D973EE">
      <w:pPr>
        <w:rPr>
          <w:noProof/>
        </w:rPr>
      </w:pPr>
      <w:r>
        <w:rPr>
          <w:noProof/>
        </w:rPr>
        <w:t>With th</w:t>
      </w:r>
      <w:r>
        <w:rPr>
          <w:noProof/>
        </w:rPr>
        <w:t>e latest versions of Windows the situation changed, as Microsoft introduced UAC (User Account Control), which prompted the user for permission when an application was requesting admin rights. Moreover, by default the users where not set directly with admin</w:t>
      </w:r>
      <w:r>
        <w:rPr>
          <w:noProof/>
        </w:rPr>
        <w:t xml:space="preserve"> rights and they were asked every time an application requested admin access. Additionally, an antivirus program and a firewall came preinstalled with Windows.</w:t>
      </w:r>
    </w:p>
    <w:p w:rsidR="0077224F" w:rsidRDefault="00D973EE">
      <w:pPr>
        <w:rPr>
          <w:noProof/>
        </w:rPr>
      </w:pPr>
      <w:r>
        <w:rPr>
          <w:noProof/>
        </w:rPr>
        <w:t xml:space="preserve">Another important reason for Windows to be a common target of malware is the fact that there is </w:t>
      </w:r>
      <w:r>
        <w:rPr>
          <w:noProof/>
        </w:rPr>
        <w:t>no central store where users can download applications. The users can download an executable from any place on the internet and execute it on their computer. As a result, many websites contain malicious applications and trick users in downloading them. Ano</w:t>
      </w:r>
      <w:r>
        <w:rPr>
          <w:noProof/>
        </w:rPr>
        <w:t>ther popular approach is to infect the operating system through a third application. For example, use a malicious PDF or MS Word document that will exploit a security vulnerability on Acrobat Reader or MS Office and then affect the operating system.</w:t>
      </w:r>
    </w:p>
    <w:p w:rsidR="0077224F" w:rsidRDefault="00D973EE">
      <w:pPr>
        <w:pStyle w:val="Heading4"/>
        <w:spacing w:line="276" w:lineRule="auto"/>
        <w:rPr>
          <w:noProof/>
        </w:rPr>
      </w:pPr>
      <w:bookmarkStart w:id="452" w:name="_Toc453330942"/>
      <w:bookmarkStart w:id="453" w:name="_Toc453341736"/>
      <w:bookmarkStart w:id="454" w:name="_Toc465876775"/>
      <w:bookmarkStart w:id="455" w:name="_Toc466024043"/>
      <w:r>
        <w:rPr>
          <w:noProof/>
        </w:rPr>
        <w:t>Linux\</w:t>
      </w:r>
      <w:r>
        <w:rPr>
          <w:noProof/>
        </w:rPr>
        <w:t>Unix</w:t>
      </w:r>
      <w:bookmarkEnd w:id="452"/>
      <w:bookmarkEnd w:id="453"/>
      <w:bookmarkEnd w:id="454"/>
      <w:bookmarkEnd w:id="455"/>
    </w:p>
    <w:p w:rsidR="0077224F" w:rsidRDefault="00D973EE">
      <w:pPr>
        <w:rPr>
          <w:noProof/>
        </w:rPr>
      </w:pPr>
      <w:r>
        <w:rPr>
          <w:noProof/>
        </w:rPr>
        <w:t>Few malwares exist for Linux (Ubuntu, Debian, Fedora, Red Hat, CentOS, etc.) and Unix (OS X, BSD, Solaris, etc.) systems, compared to the quantity of malware for Windows. One of the main reasons for this is that unlike Windows, you download software f</w:t>
      </w:r>
      <w:r>
        <w:rPr>
          <w:noProof/>
        </w:rPr>
        <w:t>rom trusted software repositories (something similar to the App Store and Play Google for mobile devices). As a result, the software found in such repositories has been checked and can be trusted.</w:t>
      </w:r>
    </w:p>
    <w:p w:rsidR="0077224F" w:rsidRDefault="00D973EE">
      <w:pPr>
        <w:rPr>
          <w:noProof/>
        </w:rPr>
      </w:pPr>
      <w:r>
        <w:rPr>
          <w:noProof/>
        </w:rPr>
        <w:t xml:space="preserve">Moreover, users on Linux and Unix are given only the basic </w:t>
      </w:r>
      <w:r>
        <w:rPr>
          <w:noProof/>
        </w:rPr>
        <w:t>user rights. They perform most of their actions as normal users and only when a sensitive action that requires more rights is needed, they temporarily switch to becoming root.</w:t>
      </w:r>
    </w:p>
    <w:p w:rsidR="0077224F" w:rsidRDefault="00D973EE">
      <w:pPr>
        <w:rPr>
          <w:noProof/>
        </w:rPr>
      </w:pPr>
      <w:r>
        <w:rPr>
          <w:noProof/>
        </w:rPr>
        <w:t>Finally, Linux and Unix have a very limited share on the computer market and con</w:t>
      </w:r>
      <w:r>
        <w:rPr>
          <w:noProof/>
        </w:rPr>
        <w:t>sequentially attract less attackers. Even more, most of the users of such operating systems are advanced users and are well familiar with the system they are using and with the consequences of their actions.</w:t>
      </w:r>
    </w:p>
    <w:p w:rsidR="0077224F" w:rsidRDefault="00D973EE">
      <w:pPr>
        <w:rPr>
          <w:noProof/>
        </w:rPr>
      </w:pPr>
      <w:r>
        <w:rPr>
          <w:noProof/>
        </w:rPr>
        <w:t xml:space="preserve">OS X, the operating system that Apple computers </w:t>
      </w:r>
      <w:r>
        <w:rPr>
          <w:noProof/>
        </w:rPr>
        <w:t>use, is a Unix distribution. It has the same and in some cases enhanced security features compared to other Unix OS. Moreover, like iOS, it has a dedicated App Store and mechanisms that control that the applications installed come from verified producers a</w:t>
      </w:r>
      <w:r>
        <w:rPr>
          <w:noProof/>
        </w:rPr>
        <w:t>nd do not include malware.</w:t>
      </w:r>
    </w:p>
    <w:p w:rsidR="0077224F" w:rsidRDefault="0077224F">
      <w:pPr>
        <w:rPr>
          <w:noProof/>
        </w:rPr>
      </w:pPr>
    </w:p>
    <w:p w:rsidR="0077224F" w:rsidRDefault="0077224F">
      <w:pPr>
        <w:rPr>
          <w:noProof/>
        </w:rPr>
      </w:pPr>
    </w:p>
    <w:p w:rsidR="0077224F" w:rsidRDefault="00D973EE">
      <w:pPr>
        <w:pStyle w:val="Heading1"/>
        <w:rPr>
          <w:noProof/>
        </w:rPr>
      </w:pPr>
      <w:bookmarkStart w:id="456" w:name="_Toc466024044"/>
      <w:bookmarkStart w:id="457" w:name="_Toc468790052"/>
      <w:bookmarkStart w:id="458" w:name="_Toc468794884"/>
      <w:bookmarkStart w:id="459" w:name="_Toc468795192"/>
      <w:r>
        <w:rPr>
          <w:noProof/>
        </w:rPr>
        <w:t>Mobile App Ecosystem (a detailed look)</w:t>
      </w:r>
      <w:bookmarkEnd w:id="456"/>
      <w:bookmarkEnd w:id="457"/>
      <w:bookmarkEnd w:id="458"/>
      <w:bookmarkEnd w:id="459"/>
    </w:p>
    <w:p w:rsidR="0077224F" w:rsidRDefault="00D973EE">
      <w:pPr>
        <w:rPr>
          <w:noProof/>
        </w:rPr>
      </w:pPr>
      <w:r>
        <w:rPr>
          <w:noProof/>
        </w:rPr>
        <w:t xml:space="preserve">The key element for the security of any IT device is the operating system controlling the way in which hardware operate. In this section we review the Android and iOS mobile operating </w:t>
      </w:r>
      <w:r>
        <w:rPr>
          <w:noProof/>
        </w:rPr>
        <w:t>systems (the two dominating OS of the market). We discuss the operating system structure, the app execution environment, the permission management model, the app distribution and code protection approaches, the app data protection model, and threats for us</w:t>
      </w:r>
      <w:r>
        <w:rPr>
          <w:noProof/>
        </w:rPr>
        <w:t>ers of both operating systems.</w:t>
      </w:r>
    </w:p>
    <w:p w:rsidR="0077224F" w:rsidRDefault="00D973EE">
      <w:pPr>
        <w:rPr>
          <w:noProof/>
        </w:rPr>
      </w:pPr>
      <w:r>
        <w:rPr>
          <w:noProof/>
        </w:rPr>
        <w:t xml:space="preserve">In Android and iOS app permissions are requested when specific resources and information found at the operating system/device level are needed for the app to function. These requests are handled differently on each OS and it </w:t>
      </w:r>
      <w:r>
        <w:rPr>
          <w:noProof/>
        </w:rPr>
        <w:t>is the user that in the end decides whether to grant or reject the access. Permission management plays an extremely relevant role when speaking of privacy, since it is only because of the granted permissions that an application is allowed to gather a certa</w:t>
      </w:r>
      <w:r>
        <w:rPr>
          <w:noProof/>
        </w:rPr>
        <w:t>in type and amount of information from a terminal device. Until the version 6.0 of Android, Android and iOS had a quite different approach for handling application permissions, but this situation has now changed as it will be discussed in the following sub</w:t>
      </w:r>
      <w:r>
        <w:rPr>
          <w:noProof/>
        </w:rPr>
        <w:t>sections.</w:t>
      </w:r>
    </w:p>
    <w:p w:rsidR="0077224F" w:rsidRDefault="00D973EE">
      <w:pPr>
        <w:rPr>
          <w:noProof/>
        </w:rPr>
      </w:pPr>
      <w:r>
        <w:rPr>
          <w:noProof/>
        </w:rPr>
        <w:t>The final goal of this chapter is to have an overview of the structure and security mechanisms of the two most common mobile operating systems.</w:t>
      </w:r>
    </w:p>
    <w:p w:rsidR="0077224F" w:rsidRDefault="00D973EE">
      <w:pPr>
        <w:pStyle w:val="Heading2"/>
        <w:rPr>
          <w:noProof/>
        </w:rPr>
      </w:pPr>
      <w:bookmarkStart w:id="460" w:name="_Toc465876778"/>
      <w:bookmarkStart w:id="461" w:name="_Toc466024045"/>
      <w:bookmarkStart w:id="462" w:name="_Toc468790053"/>
      <w:bookmarkStart w:id="463" w:name="_Toc468794885"/>
      <w:bookmarkStart w:id="464" w:name="_Toc468795193"/>
      <w:r>
        <w:rPr>
          <w:noProof/>
        </w:rPr>
        <w:t>Android</w:t>
      </w:r>
      <w:bookmarkEnd w:id="460"/>
      <w:bookmarkEnd w:id="461"/>
      <w:bookmarkEnd w:id="462"/>
      <w:bookmarkEnd w:id="463"/>
      <w:bookmarkEnd w:id="464"/>
    </w:p>
    <w:p w:rsidR="0077224F" w:rsidRDefault="00D973EE">
      <w:pPr>
        <w:rPr>
          <w:noProof/>
          <w:szCs w:val="20"/>
        </w:rPr>
      </w:pPr>
      <w:r>
        <w:rPr>
          <w:noProof/>
          <w:szCs w:val="20"/>
        </w:rPr>
        <w:t>Android is the dominant operating system for mobile devices; it currently has the largest inst</w:t>
      </w:r>
      <w:r>
        <w:rPr>
          <w:noProof/>
          <w:szCs w:val="20"/>
        </w:rPr>
        <w:t xml:space="preserve">alled base mainly because it is supported by many different mobile phone manufacturers. Moreover, it supports a huge variety of different devices such as watches, tablets, TV sets, etc. </w:t>
      </w:r>
    </w:p>
    <w:p w:rsidR="0077224F" w:rsidRDefault="00D973EE">
      <w:pPr>
        <w:rPr>
          <w:noProof/>
          <w:szCs w:val="20"/>
        </w:rPr>
      </w:pPr>
      <w:r>
        <w:rPr>
          <w:noProof/>
          <w:szCs w:val="20"/>
        </w:rPr>
        <w:t xml:space="preserve">Due to its large adoption and everyday use to perform on-line tasks, </w:t>
      </w:r>
      <w:r>
        <w:rPr>
          <w:noProof/>
          <w:szCs w:val="20"/>
        </w:rPr>
        <w:t xml:space="preserve">malicious developers/hackers are increasingly targeting this operating system. Even if the Google Bouncer </w:t>
      </w:r>
      <w:r>
        <w:rPr>
          <w:noProof/>
          <w:szCs w:val="20"/>
        </w:rPr>
        <w:fldChar w:fldCharType="begin"/>
      </w:r>
      <w:r>
        <w:rPr>
          <w:noProof/>
          <w:szCs w:val="20"/>
        </w:rPr>
        <w:instrText xml:space="preserve"> ADDIN ZOTERO_ITEM CSL_CITATION {"citationID":"4nfedinj1","properties":{"formattedCitation":"[6]","plainCitation":"[6]"},"citationItems":[{"id":268,"u</w:instrText>
      </w:r>
      <w:r>
        <w:rPr>
          <w:noProof/>
          <w:szCs w:val="20"/>
        </w:rPr>
        <w:instrText>ris":["http://zotero.org/groups/583788/items/993494F2"],"uri":["http://zotero.org/groups/583788/items/993494F2"],"itemData":{"id":268,"type":"post-weblog","title":"Android and Security - Official Google Mobile Blog","URL":"http://googlemobile.blogspot.com/</w:instrText>
      </w:r>
      <w:r>
        <w:rPr>
          <w:noProof/>
          <w:szCs w:val="20"/>
        </w:rPr>
        <w:instrText xml:space="preserve">2012/02/android-and-security.html","accessed":{"date-parts":[["2016",7,22]]}}}],"schema":"https://github.com/citation-style-language/schema/raw/master/csl-citation.json"} </w:instrText>
      </w:r>
      <w:r>
        <w:rPr>
          <w:noProof/>
          <w:szCs w:val="20"/>
        </w:rPr>
        <w:fldChar w:fldCharType="separate"/>
      </w:r>
      <w:r>
        <w:rPr>
          <w:noProof/>
        </w:rPr>
        <w:t>[6]</w:t>
      </w:r>
      <w:r>
        <w:rPr>
          <w:noProof/>
          <w:szCs w:val="20"/>
        </w:rPr>
        <w:fldChar w:fldCharType="end"/>
      </w:r>
      <w:r>
        <w:rPr>
          <w:noProof/>
          <w:szCs w:val="20"/>
        </w:rPr>
        <w:t xml:space="preserve"> security service scrutinizes applications before allowing them to be published in Google Play, there are evidences </w:t>
      </w:r>
      <w:r>
        <w:rPr>
          <w:noProof/>
          <w:szCs w:val="20"/>
        </w:rPr>
        <w:fldChar w:fldCharType="begin"/>
      </w:r>
      <w:r>
        <w:rPr>
          <w:noProof/>
          <w:szCs w:val="20"/>
        </w:rPr>
        <w:instrText xml:space="preserve"> ADDIN ZOTERO_ITEM CSL_CITATION {"citationID":"fh3694ulh","properties":{"formattedCitation":"[7]","plainCitation":"[7]"},"citationItems":[{"</w:instrText>
      </w:r>
      <w:r>
        <w:rPr>
          <w:noProof/>
          <w:szCs w:val="20"/>
        </w:rPr>
        <w:instrText>id":269,"uris":["http://zotero.org/groups/583788/items/C2FHEEEU"],"uri":["http://zotero.org/groups/583788/items/C2FHEEEU"],"itemData":{"id":269,"type":"webpage","title":"Report: Malware-infected Android apps spike in the Google Play store","container-title</w:instrText>
      </w:r>
      <w:r>
        <w:rPr>
          <w:noProof/>
          <w:szCs w:val="20"/>
        </w:rPr>
        <w:instrText>":"PCWorld","abstract":"Where's My Droid and Speed Night were cited as the most downloaded malicious apps.","URL":"http://www.pcworld.com/article/2099421/report-malwareinfected-android-apps-spike-in-the-google-play-store.html","shortTitle":"Report","issued</w:instrText>
      </w:r>
      <w:r>
        <w:rPr>
          <w:noProof/>
          <w:szCs w:val="20"/>
        </w:rPr>
        <w:instrText xml:space="preserve">":{"date-parts":[["2014",2,19]]},"accessed":{"date-parts":[["2016",7,22]]}}}],"schema":"https://github.com/citation-style-language/schema/raw/master/csl-citation.json"} </w:instrText>
      </w:r>
      <w:r>
        <w:rPr>
          <w:noProof/>
          <w:szCs w:val="20"/>
        </w:rPr>
        <w:fldChar w:fldCharType="separate"/>
      </w:r>
      <w:r>
        <w:rPr>
          <w:noProof/>
        </w:rPr>
        <w:t>[7]</w:t>
      </w:r>
      <w:r>
        <w:rPr>
          <w:noProof/>
          <w:szCs w:val="20"/>
        </w:rPr>
        <w:fldChar w:fldCharType="end"/>
      </w:r>
      <w:r>
        <w:rPr>
          <w:noProof/>
          <w:szCs w:val="20"/>
        </w:rPr>
        <w:t xml:space="preserve"> showing that malicious software (malware) can be found among legitimate applicat</w:t>
      </w:r>
      <w:r>
        <w:rPr>
          <w:noProof/>
          <w:szCs w:val="20"/>
        </w:rPr>
        <w:t>ions as well. In most cases, the main goal of these malware apps is to access sensitive phone resources e.g., personal data, the phone billing system, geo-location information, home banking info, etc.</w:t>
      </w:r>
    </w:p>
    <w:p w:rsidR="0077224F" w:rsidRDefault="00D973EE">
      <w:pPr>
        <w:pStyle w:val="Heading3"/>
        <w:rPr>
          <w:noProof/>
        </w:rPr>
      </w:pPr>
      <w:bookmarkStart w:id="465" w:name="_Toc450066452"/>
      <w:bookmarkStart w:id="466" w:name="_Toc453330949"/>
      <w:bookmarkStart w:id="467" w:name="_Ref453334631"/>
      <w:bookmarkStart w:id="468" w:name="_Toc453341743"/>
      <w:bookmarkStart w:id="469" w:name="_Toc453591949"/>
      <w:bookmarkStart w:id="470" w:name="_Toc454964486"/>
      <w:bookmarkStart w:id="471" w:name="_Toc455503009"/>
      <w:bookmarkStart w:id="472" w:name="_Toc458015468"/>
      <w:bookmarkStart w:id="473" w:name="_Toc458157998"/>
      <w:bookmarkStart w:id="474" w:name="_Toc465876779"/>
      <w:bookmarkStart w:id="475" w:name="_Toc466024046"/>
      <w:bookmarkStart w:id="476" w:name="_Toc468790054"/>
      <w:bookmarkStart w:id="477" w:name="_Toc468794886"/>
      <w:bookmarkStart w:id="478" w:name="_Toc468795194"/>
      <w:r>
        <w:rPr>
          <w:noProof/>
        </w:rPr>
        <w:t>Operating System Structure</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rsidR="0077224F" w:rsidRDefault="00D973EE">
      <w:pPr>
        <w:rPr>
          <w:noProof/>
        </w:rPr>
      </w:pPr>
      <w:r>
        <w:rPr>
          <w:noProof/>
        </w:rPr>
        <w:t xml:space="preserve">The security of the Android </w:t>
      </w:r>
      <w:r>
        <w:rPr>
          <w:noProof/>
        </w:rPr>
        <w:t xml:space="preserve">OS is mainly achieved by its subdivision into layers, which provide platform flexibility and separation of resources at the same time. This separation is reflected in the whole software implementation, shown in </w:t>
      </w:r>
      <w:r>
        <w:rPr>
          <w:noProof/>
        </w:rPr>
        <w:fldChar w:fldCharType="begin"/>
      </w:r>
      <w:r>
        <w:rPr>
          <w:noProof/>
        </w:rPr>
        <w:instrText xml:space="preserve"> REF _Ref449948233 \h  \* MERGEFORMAT </w:instrText>
      </w:r>
      <w:r>
        <w:rPr>
          <w:noProof/>
        </w:rPr>
      </w:r>
      <w:r>
        <w:rPr>
          <w:noProof/>
        </w:rPr>
        <w:fldChar w:fldCharType="separate"/>
      </w:r>
      <w:r>
        <w:rPr>
          <w:noProof/>
        </w:rPr>
        <w:t xml:space="preserve">Figure </w:t>
      </w:r>
      <w:r>
        <w:rPr>
          <w:noProof/>
        </w:rPr>
        <w:t>5</w:t>
      </w:r>
      <w:r>
        <w:rPr>
          <w:noProof/>
        </w:rPr>
        <w:fldChar w:fldCharType="end"/>
      </w:r>
      <w:r>
        <w:rPr>
          <w:noProof/>
        </w:rPr>
        <w:t>. Each level of the stack assumes that the level below is secured. In this section we focus on the security of apps, which run in the Dalvik Virtual Machine (DVM), and have their own secur</w:t>
      </w:r>
      <w:r>
        <w:rPr>
          <w:noProof/>
        </w:rPr>
        <w:t>ity environment and dedicated file system (every mobile app runs into a completely separated virtual environment, emulating the underlying real hardware). The DVM has been completely replaced by the new Android Runtime (ART) from Android version 5.0 (Lolli</w:t>
      </w:r>
      <w:r>
        <w:rPr>
          <w:noProof/>
        </w:rPr>
        <w:t>pop) on.</w:t>
      </w:r>
    </w:p>
    <w:p w:rsidR="0077224F" w:rsidRDefault="00D973EE">
      <w:pPr>
        <w:keepNext/>
        <w:jc w:val="center"/>
        <w:rPr>
          <w:noProof/>
        </w:rPr>
      </w:pPr>
      <w:r>
        <w:rPr>
          <w:noProof/>
        </w:rPr>
        <w:object w:dxaOrig="5010" w:dyaOrig="4965">
          <v:shape id="_x0000_i1035" type="#_x0000_t75" style="width:250.75pt;height:250.25pt" o:ole="">
            <v:imagedata r:id="rId46" o:title=""/>
          </v:shape>
          <o:OLEObject Type="Embed" ProgID="VisioViewer.Viewer.1" ShapeID="_x0000_i1035" DrawAspect="Content" ObjectID="_1545553413" r:id="rId47"/>
        </w:object>
      </w:r>
    </w:p>
    <w:p w:rsidR="0077224F" w:rsidRDefault="00D973EE">
      <w:pPr>
        <w:pStyle w:val="Caption"/>
        <w:rPr>
          <w:rFonts w:ascii="Verdana" w:hAnsi="Verdana"/>
          <w:noProof/>
          <w:color w:val="auto"/>
          <w:sz w:val="16"/>
          <w:lang w:val="en-GB"/>
        </w:rPr>
      </w:pPr>
      <w:bookmarkStart w:id="479" w:name="_Ref449948233"/>
      <w:bookmarkStart w:id="480" w:name="_Toc466024083"/>
      <w:r>
        <w:rPr>
          <w:rFonts w:ascii="Verdana" w:hAnsi="Verdana"/>
          <w:noProof/>
          <w:color w:val="auto"/>
          <w:sz w:val="16"/>
          <w:lang w:val="en-GB"/>
        </w:rPr>
        <w:t xml:space="preserve">Figure </w:t>
      </w:r>
      <w:r>
        <w:rPr>
          <w:rFonts w:ascii="Verdana" w:hAnsi="Verdana"/>
          <w:noProof/>
          <w:color w:val="auto"/>
          <w:sz w:val="16"/>
          <w:lang w:val="en-GB"/>
        </w:rPr>
        <w:fldChar w:fldCharType="begin"/>
      </w:r>
      <w:r>
        <w:rPr>
          <w:rFonts w:ascii="Verdana" w:hAnsi="Verdana"/>
          <w:noProof/>
          <w:color w:val="auto"/>
          <w:sz w:val="16"/>
          <w:lang w:val="en-GB"/>
        </w:rPr>
        <w:instrText xml:space="preserve"> SEQ Figure \* ARABIC </w:instrText>
      </w:r>
      <w:r>
        <w:rPr>
          <w:rFonts w:ascii="Verdana" w:hAnsi="Verdana"/>
          <w:noProof/>
          <w:color w:val="auto"/>
          <w:sz w:val="16"/>
          <w:lang w:val="en-GB"/>
        </w:rPr>
        <w:fldChar w:fldCharType="separate"/>
      </w:r>
      <w:r>
        <w:rPr>
          <w:rFonts w:ascii="Verdana" w:hAnsi="Verdana"/>
          <w:noProof/>
          <w:color w:val="auto"/>
          <w:sz w:val="16"/>
          <w:lang w:val="en-GB"/>
        </w:rPr>
        <w:t>5</w:t>
      </w:r>
      <w:r>
        <w:rPr>
          <w:rFonts w:ascii="Verdana" w:hAnsi="Verdana"/>
          <w:noProof/>
          <w:color w:val="auto"/>
          <w:sz w:val="16"/>
          <w:lang w:val="en-GB"/>
        </w:rPr>
        <w:fldChar w:fldCharType="end"/>
      </w:r>
      <w:bookmarkEnd w:id="479"/>
      <w:r>
        <w:rPr>
          <w:rFonts w:ascii="Verdana" w:hAnsi="Verdana"/>
          <w:noProof/>
          <w:color w:val="auto"/>
          <w:sz w:val="16"/>
          <w:lang w:val="en-GB"/>
        </w:rPr>
        <w:t xml:space="preserve"> – Android software stack</w:t>
      </w:r>
      <w:bookmarkEnd w:id="480"/>
    </w:p>
    <w:p w:rsidR="0077224F" w:rsidRDefault="00D973EE">
      <w:pPr>
        <w:rPr>
          <w:noProof/>
        </w:rPr>
      </w:pPr>
      <w:r>
        <w:rPr>
          <w:noProof/>
        </w:rPr>
        <w:t>One of the aspects which characterized the Android OS since its first deployment is the possibility given to Original Equipment Manufacturers (OEMs) to per</w:t>
      </w:r>
      <w:r>
        <w:rPr>
          <w:noProof/>
        </w:rPr>
        <w:t>form “heavy” customisations. This has an effect on the chain mechanism to deliver the security patches related to the operating system:</w:t>
      </w:r>
    </w:p>
    <w:p w:rsidR="0077224F" w:rsidRDefault="00D973EE">
      <w:pPr>
        <w:pStyle w:val="ListParagraph"/>
        <w:numPr>
          <w:ilvl w:val="0"/>
          <w:numId w:val="12"/>
        </w:numPr>
        <w:spacing w:before="240" w:after="240"/>
        <w:rPr>
          <w:rFonts w:ascii="Verdana" w:hAnsi="Verdana"/>
          <w:noProof/>
          <w:sz w:val="20"/>
          <w:szCs w:val="20"/>
        </w:rPr>
      </w:pPr>
      <w:r>
        <w:rPr>
          <w:rFonts w:ascii="Verdana" w:hAnsi="Verdana"/>
          <w:noProof/>
          <w:sz w:val="20"/>
          <w:szCs w:val="20"/>
        </w:rPr>
        <w:t xml:space="preserve">When a vulnerability is identified, Google releases a patch for the stock version of Android (i.e. the version released </w:t>
      </w:r>
      <w:r>
        <w:rPr>
          <w:rFonts w:ascii="Verdana" w:hAnsi="Verdana"/>
          <w:noProof/>
          <w:sz w:val="20"/>
          <w:szCs w:val="20"/>
        </w:rPr>
        <w:t>by Google without any type of skin, bloatware etc.) to the OEMs;</w:t>
      </w:r>
    </w:p>
    <w:p w:rsidR="0077224F" w:rsidRDefault="00D973EE">
      <w:pPr>
        <w:pStyle w:val="ListParagraph"/>
        <w:numPr>
          <w:ilvl w:val="0"/>
          <w:numId w:val="12"/>
        </w:numPr>
        <w:spacing w:before="240" w:after="240"/>
        <w:rPr>
          <w:rFonts w:ascii="Verdana" w:hAnsi="Verdana"/>
          <w:noProof/>
          <w:sz w:val="20"/>
          <w:szCs w:val="20"/>
        </w:rPr>
      </w:pPr>
      <w:r>
        <w:rPr>
          <w:rFonts w:ascii="Verdana" w:hAnsi="Verdana"/>
          <w:noProof/>
          <w:sz w:val="20"/>
          <w:szCs w:val="20"/>
        </w:rPr>
        <w:t>The OEMs, if needed, work on the patch to adapt it to their phones. Moreover, they release the new version to the telecommunication carriers for the cases where the update is performed throug</w:t>
      </w:r>
      <w:r>
        <w:rPr>
          <w:rFonts w:ascii="Verdana" w:hAnsi="Verdana"/>
          <w:noProof/>
          <w:sz w:val="20"/>
          <w:szCs w:val="20"/>
        </w:rPr>
        <w:t>h the carrier and not the OEM (i.e. SIM-locked devices, carrier specific devices, etc.);</w:t>
      </w:r>
    </w:p>
    <w:p w:rsidR="0077224F" w:rsidRDefault="00D973EE">
      <w:pPr>
        <w:pStyle w:val="ListParagraph"/>
        <w:numPr>
          <w:ilvl w:val="0"/>
          <w:numId w:val="12"/>
        </w:numPr>
        <w:spacing w:before="240" w:after="240"/>
        <w:rPr>
          <w:rFonts w:ascii="Verdana" w:hAnsi="Verdana"/>
          <w:noProof/>
          <w:sz w:val="20"/>
          <w:szCs w:val="20"/>
        </w:rPr>
      </w:pPr>
      <w:r>
        <w:rPr>
          <w:rFonts w:ascii="Verdana" w:hAnsi="Verdana"/>
          <w:noProof/>
          <w:sz w:val="20"/>
          <w:szCs w:val="20"/>
        </w:rPr>
        <w:t>The carriers, if needed, work on the patch to adapt it to their branded phones, and release it to the end-users.</w:t>
      </w:r>
    </w:p>
    <w:p w:rsidR="0077224F" w:rsidRDefault="00D973EE">
      <w:pPr>
        <w:rPr>
          <w:noProof/>
          <w:szCs w:val="20"/>
        </w:rPr>
      </w:pPr>
      <w:r>
        <w:rPr>
          <w:noProof/>
          <w:szCs w:val="20"/>
        </w:rPr>
        <w:t>This approach has two negative effects on the security</w:t>
      </w:r>
      <w:r>
        <w:rPr>
          <w:noProof/>
          <w:szCs w:val="20"/>
        </w:rPr>
        <w:t xml:space="preserve"> of the OS: </w:t>
      </w:r>
    </w:p>
    <w:p w:rsidR="0077224F" w:rsidRDefault="00D973EE">
      <w:pPr>
        <w:pStyle w:val="ListParagraph"/>
        <w:numPr>
          <w:ilvl w:val="0"/>
          <w:numId w:val="10"/>
        </w:numPr>
        <w:spacing w:before="240" w:after="240"/>
        <w:rPr>
          <w:rFonts w:ascii="Verdana" w:hAnsi="Verdana"/>
          <w:noProof/>
          <w:sz w:val="20"/>
          <w:szCs w:val="20"/>
        </w:rPr>
      </w:pPr>
      <w:r>
        <w:rPr>
          <w:rFonts w:ascii="Verdana" w:hAnsi="Verdana"/>
          <w:noProof/>
          <w:sz w:val="20"/>
          <w:szCs w:val="20"/>
        </w:rPr>
        <w:t>The time between the moment in which the vulnerability/problem is discovered and the moment in which all the systems are patched can be considerably long;</w:t>
      </w:r>
    </w:p>
    <w:p w:rsidR="0077224F" w:rsidRDefault="00D973EE">
      <w:pPr>
        <w:pStyle w:val="ListParagraph"/>
        <w:numPr>
          <w:ilvl w:val="0"/>
          <w:numId w:val="10"/>
        </w:numPr>
        <w:spacing w:before="240" w:after="240"/>
        <w:rPr>
          <w:rFonts w:ascii="Verdana" w:hAnsi="Verdana"/>
          <w:noProof/>
          <w:sz w:val="20"/>
          <w:szCs w:val="20"/>
        </w:rPr>
      </w:pPr>
      <w:r>
        <w:rPr>
          <w:rFonts w:ascii="Verdana" w:hAnsi="Verdana"/>
          <w:noProof/>
          <w:sz w:val="20"/>
          <w:szCs w:val="20"/>
        </w:rPr>
        <w:t xml:space="preserve">The OEM can decide to stop the support to a given OS version at any time, making virtually impossible to those terminals mounting this OS version to get the update. </w:t>
      </w:r>
    </w:p>
    <w:p w:rsidR="0077224F" w:rsidRDefault="00D973EE">
      <w:pPr>
        <w:rPr>
          <w:noProof/>
        </w:rPr>
      </w:pPr>
      <w:r>
        <w:rPr>
          <w:noProof/>
        </w:rPr>
        <w:t>The second point is indeed extremely critical from a security point of view, since it leav</w:t>
      </w:r>
      <w:r>
        <w:rPr>
          <w:noProof/>
        </w:rPr>
        <w:t>es a huge portion of the active smartphones in the world un-protected against the last discovered threats.</w:t>
      </w:r>
    </w:p>
    <w:p w:rsidR="0077224F" w:rsidRDefault="00D973EE">
      <w:pPr>
        <w:pStyle w:val="Heading3"/>
        <w:rPr>
          <w:noProof/>
        </w:rPr>
      </w:pPr>
      <w:bookmarkStart w:id="481" w:name="_Toc450066453"/>
      <w:bookmarkStart w:id="482" w:name="_Toc453330950"/>
      <w:bookmarkStart w:id="483" w:name="_Toc453341744"/>
      <w:bookmarkStart w:id="484" w:name="_Toc453591950"/>
      <w:bookmarkStart w:id="485" w:name="_Toc454964487"/>
      <w:bookmarkStart w:id="486" w:name="_Toc455503010"/>
      <w:bookmarkStart w:id="487" w:name="_Toc458015469"/>
      <w:bookmarkStart w:id="488" w:name="_Toc458157999"/>
      <w:bookmarkStart w:id="489" w:name="_Toc465876780"/>
      <w:bookmarkStart w:id="490" w:name="_Toc466024047"/>
      <w:bookmarkStart w:id="491" w:name="_Toc468790055"/>
      <w:bookmarkStart w:id="492" w:name="_Toc468794887"/>
      <w:bookmarkStart w:id="493" w:name="_Toc468795195"/>
      <w:r>
        <w:rPr>
          <w:noProof/>
        </w:rPr>
        <w:t>App Execution Environment</w:t>
      </w:r>
      <w:bookmarkEnd w:id="481"/>
      <w:bookmarkEnd w:id="482"/>
      <w:bookmarkEnd w:id="483"/>
      <w:bookmarkEnd w:id="484"/>
      <w:bookmarkEnd w:id="485"/>
      <w:bookmarkEnd w:id="486"/>
      <w:bookmarkEnd w:id="487"/>
      <w:bookmarkEnd w:id="488"/>
      <w:bookmarkEnd w:id="489"/>
      <w:bookmarkEnd w:id="490"/>
      <w:bookmarkEnd w:id="491"/>
      <w:bookmarkEnd w:id="492"/>
      <w:bookmarkEnd w:id="493"/>
    </w:p>
    <w:p w:rsidR="0077224F" w:rsidRDefault="00D973EE">
      <w:pPr>
        <w:rPr>
          <w:noProof/>
        </w:rPr>
      </w:pPr>
      <w:r>
        <w:rPr>
          <w:noProof/>
        </w:rPr>
        <w:t>The security mechanism for app isolation, which is also in place for native code invoked by the apps</w:t>
      </w:r>
      <w:r>
        <w:rPr>
          <w:rStyle w:val="FootnoteReference"/>
          <w:noProof/>
        </w:rPr>
        <w:footnoteReference w:id="87"/>
      </w:r>
      <w:r>
        <w:rPr>
          <w:noProof/>
        </w:rPr>
        <w:t xml:space="preserve"> is called the Android</w:t>
      </w:r>
      <w:r>
        <w:rPr>
          <w:noProof/>
        </w:rPr>
        <w:t xml:space="preserve"> Application Sandbox. This sandbox is set up in the kernel, thus propagating the isolation on all the layers above and on all kinds of applications. All apps running in the Android OS are assigned a low-privilege user ID, are only allowed access to their o</w:t>
      </w:r>
      <w:r>
        <w:rPr>
          <w:noProof/>
        </w:rPr>
        <w:t>wn files, cannot directly interact with each other, and have a limited access to the OS resources. The isolation is a protection against inter-process security flaws, meaning that a security problem in a given app will not interfere with the resources of o</w:t>
      </w:r>
      <w:r>
        <w:rPr>
          <w:noProof/>
        </w:rPr>
        <w:t>ther apps.</w:t>
      </w:r>
    </w:p>
    <w:p w:rsidR="0077224F" w:rsidRDefault="00D973EE">
      <w:pPr>
        <w:pStyle w:val="Heading3"/>
        <w:rPr>
          <w:noProof/>
        </w:rPr>
      </w:pPr>
      <w:bookmarkStart w:id="494" w:name="_Toc450066454"/>
      <w:bookmarkStart w:id="495" w:name="_Ref453329549"/>
      <w:bookmarkStart w:id="496" w:name="_Ref453330796"/>
      <w:bookmarkStart w:id="497" w:name="_Toc453330951"/>
      <w:bookmarkStart w:id="498" w:name="_Toc453341745"/>
      <w:bookmarkStart w:id="499" w:name="_Toc453591951"/>
      <w:bookmarkStart w:id="500" w:name="_Toc454964488"/>
      <w:bookmarkStart w:id="501" w:name="_Toc455503011"/>
      <w:bookmarkStart w:id="502" w:name="_Toc458015470"/>
      <w:bookmarkStart w:id="503" w:name="_Toc458158000"/>
      <w:bookmarkStart w:id="504" w:name="_Toc465876781"/>
      <w:bookmarkStart w:id="505" w:name="_Toc466024048"/>
      <w:bookmarkStart w:id="506" w:name="_Toc468790056"/>
      <w:bookmarkStart w:id="507" w:name="_Toc468794888"/>
      <w:bookmarkStart w:id="508" w:name="_Toc468795196"/>
      <w:r>
        <w:rPr>
          <w:noProof/>
        </w:rPr>
        <w:t xml:space="preserve">Permission </w:t>
      </w:r>
      <w:bookmarkEnd w:id="494"/>
      <w:bookmarkEnd w:id="495"/>
      <w:bookmarkEnd w:id="496"/>
      <w:bookmarkEnd w:id="497"/>
      <w:bookmarkEnd w:id="498"/>
      <w:bookmarkEnd w:id="499"/>
      <w:r>
        <w:rPr>
          <w:noProof/>
        </w:rPr>
        <w:t>Management</w:t>
      </w:r>
      <w:bookmarkEnd w:id="500"/>
      <w:bookmarkEnd w:id="501"/>
      <w:bookmarkEnd w:id="502"/>
      <w:bookmarkEnd w:id="503"/>
      <w:bookmarkEnd w:id="504"/>
      <w:bookmarkEnd w:id="505"/>
      <w:bookmarkEnd w:id="506"/>
      <w:bookmarkEnd w:id="507"/>
      <w:bookmarkEnd w:id="508"/>
    </w:p>
    <w:p w:rsidR="0077224F" w:rsidRDefault="00D973EE">
      <w:pPr>
        <w:rPr>
          <w:noProof/>
        </w:rPr>
      </w:pPr>
      <w:r>
        <w:rPr>
          <w:noProof/>
        </w:rPr>
        <w:t>In the Android Software Development Kit (SDK), the functionalities an application can use are categorized and grouped in APIs that give access to resources normally accessible only by the OS. For example, among the protecte</w:t>
      </w:r>
      <w:r>
        <w:rPr>
          <w:noProof/>
        </w:rPr>
        <w:t xml:space="preserve">d APIs there are functions for SMS and MMS management, access to location information, camera control, network access, etc. The access to the protected APIs is regulated by a </w:t>
      </w:r>
      <w:r>
        <w:rPr>
          <w:i/>
          <w:noProof/>
        </w:rPr>
        <w:t>permission mechanism</w:t>
      </w:r>
      <w:r>
        <w:rPr>
          <w:noProof/>
        </w:rPr>
        <w:t xml:space="preserve">, in which a specific permission should be granted to an app </w:t>
      </w:r>
      <w:r>
        <w:rPr>
          <w:noProof/>
        </w:rPr>
        <w:t>at installation time in order to allow access to a particular API. Unprotected APIs do not require any special permission to be executed by the app.</w:t>
      </w:r>
    </w:p>
    <w:p w:rsidR="0077224F" w:rsidRDefault="00D973EE">
      <w:pPr>
        <w:rPr>
          <w:noProof/>
        </w:rPr>
      </w:pPr>
      <w:r>
        <w:rPr>
          <w:noProof/>
        </w:rPr>
        <w:t xml:space="preserve">More specifically, permissions in the Android OS are grouped in four different levels considering the risk </w:t>
      </w:r>
      <w:r>
        <w:rPr>
          <w:noProof/>
        </w:rPr>
        <w:t xml:space="preserve">level introduced to the user: </w:t>
      </w:r>
      <w:r>
        <w:rPr>
          <w:i/>
          <w:noProof/>
        </w:rPr>
        <w:t>normal</w:t>
      </w:r>
      <w:r>
        <w:rPr>
          <w:noProof/>
        </w:rPr>
        <w:t xml:space="preserve">, </w:t>
      </w:r>
      <w:r>
        <w:rPr>
          <w:i/>
          <w:noProof/>
        </w:rPr>
        <w:t>dangerous</w:t>
      </w:r>
      <w:r>
        <w:rPr>
          <w:noProof/>
        </w:rPr>
        <w:t xml:space="preserve">, </w:t>
      </w:r>
      <w:r>
        <w:rPr>
          <w:i/>
          <w:noProof/>
        </w:rPr>
        <w:t>signature</w:t>
      </w:r>
      <w:r>
        <w:rPr>
          <w:noProof/>
        </w:rPr>
        <w:t xml:space="preserve">, and </w:t>
      </w:r>
      <w:r>
        <w:rPr>
          <w:i/>
          <w:noProof/>
        </w:rPr>
        <w:t>signature-or-system</w:t>
      </w:r>
      <w:r>
        <w:rPr>
          <w:noProof/>
        </w:rPr>
        <w:t xml:space="preserve">. Normal permissions are considered of low risk to other apps, the system, or the end-user </w:t>
      </w:r>
      <w:r>
        <w:rPr>
          <w:noProof/>
        </w:rPr>
        <w:fldChar w:fldCharType="begin"/>
      </w:r>
      <w:r>
        <w:rPr>
          <w:noProof/>
        </w:rPr>
        <w:instrText xml:space="preserve"> ADDIN ZOTERO_ITEM CSL_CITATION {"citationID":"1323o0h10a","properties":{"formatte</w:instrText>
      </w:r>
      <w:r>
        <w:rPr>
          <w:noProof/>
        </w:rPr>
        <w:instrText>dCitation":"[8]","plainCitation":"[8]"},"citationItems":[{"id":270,"uris":["http://zotero.org/groups/583788/items/3G98HDFK"],"uri":["http://zotero.org/groups/583788/items/3G98HDFK"],"itemData":{"id":270,"type":"webpage","title":"&lt;permission&gt; | Android Deve</w:instrText>
      </w:r>
      <w:r>
        <w:rPr>
          <w:noProof/>
        </w:rPr>
        <w:instrText xml:space="preserve">lopers","URL":"https://developer.android.com/guide/topics/manifest/permission-element.html","accessed":{"date-parts":[["2016",7,22]]}}}],"schema":"https://github.com/citation-style-language/schema/raw/master/csl-citation.json"} </w:instrText>
      </w:r>
      <w:r>
        <w:rPr>
          <w:noProof/>
        </w:rPr>
        <w:fldChar w:fldCharType="separate"/>
      </w:r>
      <w:r>
        <w:rPr>
          <w:noProof/>
        </w:rPr>
        <w:t>[8]</w:t>
      </w:r>
      <w:r>
        <w:rPr>
          <w:noProof/>
        </w:rPr>
        <w:fldChar w:fldCharType="end"/>
      </w:r>
      <w:r>
        <w:rPr>
          <w:noProof/>
        </w:rPr>
        <w:t>. Dangerous permission</w:t>
      </w:r>
      <w:r>
        <w:rPr>
          <w:noProof/>
        </w:rPr>
        <w:t>s have a high risk of negative consequences for the users' personal data and experience. Signature permissions are used to protect exported interfaces accessible only by apps signed with the same developer key. Signature-or-system permissions are used to p</w:t>
      </w:r>
      <w:r>
        <w:rPr>
          <w:noProof/>
        </w:rPr>
        <w:t xml:space="preserve">rotect core resources available only to trusted system apps signed with the firmware key. When installing an app users are notified only about the dangerous permissions required by an app; normal permissions are granted by default. </w:t>
      </w:r>
    </w:p>
    <w:p w:rsidR="0077224F" w:rsidRDefault="00D973EE">
      <w:pPr>
        <w:rPr>
          <w:noProof/>
        </w:rPr>
      </w:pPr>
      <w:r>
        <w:rPr>
          <w:noProof/>
        </w:rPr>
        <w:t xml:space="preserve">The mapping of permissions to methods in the Android APIs is one to many, a characteristic that contributes to make less clear/deterministic which kind of and the actual functionalities an app actually uses. All permissions required by an app are declared </w:t>
      </w:r>
      <w:r>
        <w:rPr>
          <w:noProof/>
        </w:rPr>
        <w:t xml:space="preserve">in the app </w:t>
      </w:r>
      <w:r>
        <w:rPr>
          <w:i/>
          <w:noProof/>
        </w:rPr>
        <w:t>Manifest file</w:t>
      </w:r>
      <w:r>
        <w:rPr>
          <w:noProof/>
        </w:rPr>
        <w:t xml:space="preserve">. Previous to Android version 6.0 (Marshmallow), when installing an app the user was notified about the permissions needed by the application itself and then he/she had to decide if the permissions should be granted or not. In case </w:t>
      </w:r>
      <w:r>
        <w:rPr>
          <w:noProof/>
        </w:rPr>
        <w:t>the user did not agree to grant one or more permissions, the app could not be installed. Instead, only if the user agreed on granting all the requested permissions the app could be installed, and as a consequence would be allowed to use of all the APIs and</w:t>
      </w:r>
      <w:r>
        <w:rPr>
          <w:noProof/>
        </w:rPr>
        <w:t xml:space="preserve"> functionalities related to those permissions.</w:t>
      </w:r>
    </w:p>
    <w:p w:rsidR="0077224F" w:rsidRDefault="00D973EE">
      <w:pPr>
        <w:rPr>
          <w:noProof/>
        </w:rPr>
      </w:pPr>
      <w:r>
        <w:rPr>
          <w:noProof/>
        </w:rPr>
        <w:t xml:space="preserve">In the Android version 6.0 (Marshmallow) release runtime or time-of-use permissions were included as well </w:t>
      </w:r>
      <w:r>
        <w:rPr>
          <w:noProof/>
        </w:rPr>
        <w:fldChar w:fldCharType="begin"/>
      </w:r>
      <w:r>
        <w:rPr>
          <w:noProof/>
        </w:rPr>
        <w:instrText xml:space="preserve"> ADDIN ZOTERO_ITEM CSL_CITATION {"citationID":"rk2abq730","properties":{"formattedCitation":"[9]","plai</w:instrText>
      </w:r>
      <w:r>
        <w:rPr>
          <w:noProof/>
        </w:rPr>
        <w:instrText>nCitation":"[9]"},"citationItems":[{"id":271,"uris":["http://zotero.org/groups/583788/items/MH9MP749"],"uri":["http://zotero.org/groups/583788/items/MH9MP749"],"itemData":{"id":271,"type":"webpage","title":"Working with System Permissions | Android Develop</w:instrText>
      </w:r>
      <w:r>
        <w:rPr>
          <w:noProof/>
        </w:rPr>
        <w:instrText xml:space="preserve">ers","URL":"https://developer.android.com/training/permissions/index.html","accessed":{"date-parts":[["2016",7,22]]}}}],"schema":"https://github.com/citation-style-language/schema/raw/master/csl-citation.json"} </w:instrText>
      </w:r>
      <w:r>
        <w:rPr>
          <w:noProof/>
        </w:rPr>
        <w:fldChar w:fldCharType="separate"/>
      </w:r>
      <w:r>
        <w:rPr>
          <w:noProof/>
        </w:rPr>
        <w:t>[9]</w:t>
      </w:r>
      <w:r>
        <w:rPr>
          <w:noProof/>
        </w:rPr>
        <w:fldChar w:fldCharType="end"/>
      </w:r>
      <w:r>
        <w:rPr>
          <w:noProof/>
        </w:rPr>
        <w:t>, in addition to install-time permissio</w:t>
      </w:r>
      <w:r>
        <w:rPr>
          <w:noProof/>
        </w:rPr>
        <w:t>ns, which were already supported in the previous versions. Time-of-use permissions give users the possibility of denying a permission request at runtime, or permanently revoking an install-time permission already granted. This new privacy feature shows tha</w:t>
      </w:r>
      <w:r>
        <w:rPr>
          <w:noProof/>
        </w:rPr>
        <w:t xml:space="preserve">t the Android community recognizes the need for more advanced privacy and anonymity control for end-users. </w:t>
      </w:r>
    </w:p>
    <w:p w:rsidR="0077224F" w:rsidRDefault="00D973EE">
      <w:pPr>
        <w:rPr>
          <w:noProof/>
        </w:rPr>
      </w:pPr>
      <w:r>
        <w:rPr>
          <w:noProof/>
        </w:rPr>
        <w:t>Even though time-of-use permissions allow end-users to better control over the restricted resources, one drawback introduced is the additional overh</w:t>
      </w:r>
      <w:r>
        <w:rPr>
          <w:noProof/>
        </w:rPr>
        <w:t>ead for end-users because they may be asked multiple times to decide about an app permission request during runtime. However, this usually occurs during the first time the app is executed, or if the user manually changes the permission from the device’s se</w:t>
      </w:r>
      <w:r>
        <w:rPr>
          <w:noProof/>
        </w:rPr>
        <w:t>ttings. If he/she does not want to be asked all the time, it is possible to select the option to never ask again about the same permission. Nevertheless, the lack of protection of many sensitive API functions, the possibility of manipulating apps' features</w:t>
      </w:r>
      <w:r>
        <w:rPr>
          <w:noProof/>
        </w:rPr>
        <w:t xml:space="preserve"> and services, as well as the lack of a restrictive policy-based approach that allows end-users to automate decisions with respect to the protection of their data, privacy, and anonymity, indicate that complementary research work is needed in the Android p</w:t>
      </w:r>
      <w:r>
        <w:rPr>
          <w:noProof/>
        </w:rPr>
        <w:t>latform.</w:t>
      </w:r>
    </w:p>
    <w:p w:rsidR="0077224F" w:rsidRDefault="00D973EE">
      <w:pPr>
        <w:rPr>
          <w:noProof/>
        </w:rPr>
      </w:pPr>
      <w:r>
        <w:rPr>
          <w:noProof/>
        </w:rPr>
        <w:t xml:space="preserve">In Android, upon selecting the application you wanted to download and install from Play Google, you were shown with a comprehensive list of all the permissions that the application requested. There was no choice to select some of them; you either </w:t>
      </w:r>
      <w:r>
        <w:rPr>
          <w:noProof/>
        </w:rPr>
        <w:t>had to accept them all or simply not install the application (</w:t>
      </w:r>
      <w:r>
        <w:rPr>
          <w:noProof/>
        </w:rPr>
        <w:fldChar w:fldCharType="begin"/>
      </w:r>
      <w:r>
        <w:rPr>
          <w:noProof/>
        </w:rPr>
        <w:instrText xml:space="preserve"> REF _Ref465691535 \h  \* MERGEFORMAT </w:instrText>
      </w:r>
      <w:r>
        <w:rPr>
          <w:noProof/>
        </w:rPr>
      </w:r>
      <w:r>
        <w:rPr>
          <w:noProof/>
        </w:rPr>
        <w:fldChar w:fldCharType="separate"/>
      </w:r>
      <w:r>
        <w:rPr>
          <w:noProof/>
        </w:rPr>
        <w:t>Figure 6</w:t>
      </w:r>
      <w:r>
        <w:rPr>
          <w:noProof/>
        </w:rPr>
        <w:fldChar w:fldCharType="end"/>
      </w:r>
      <w:r>
        <w:rPr>
          <w:noProof/>
        </w:rPr>
        <w:t>). However, from version 6.0, after the installation you are prompted to grant a</w:t>
      </w:r>
      <w:r>
        <w:rPr>
          <w:noProof/>
        </w:rPr>
        <w:t>ccess each time a special permission is required by the application (</w:t>
      </w:r>
      <w:r>
        <w:rPr>
          <w:noProof/>
        </w:rPr>
        <w:fldChar w:fldCharType="begin"/>
      </w:r>
      <w:r>
        <w:rPr>
          <w:noProof/>
        </w:rPr>
        <w:instrText xml:space="preserve"> REF _Ref452111625 \h  \* MERGEFORMAT </w:instrText>
      </w:r>
      <w:r>
        <w:rPr>
          <w:noProof/>
        </w:rPr>
      </w:r>
      <w:r>
        <w:rPr>
          <w:noProof/>
        </w:rPr>
        <w:fldChar w:fldCharType="separate"/>
      </w:r>
      <w:r>
        <w:rPr>
          <w:noProof/>
        </w:rPr>
        <w:t>Figure 7</w:t>
      </w:r>
      <w:r>
        <w:rPr>
          <w:noProof/>
        </w:rPr>
        <w:fldChar w:fldCharType="end"/>
      </w:r>
      <w:r>
        <w:rPr>
          <w:noProof/>
        </w:rPr>
        <w:t>). Moreover, you can manually change all the applications’ permissions aft</w:t>
      </w:r>
      <w:r>
        <w:rPr>
          <w:noProof/>
        </w:rPr>
        <w:t>er installation from the App Permission settings (</w:t>
      </w:r>
      <w:r>
        <w:rPr>
          <w:noProof/>
        </w:rPr>
        <w:fldChar w:fldCharType="begin"/>
      </w:r>
      <w:r>
        <w:rPr>
          <w:noProof/>
        </w:rPr>
        <w:instrText xml:space="preserve"> REF _Ref452111635 \h  \* MERGEFORMAT </w:instrText>
      </w:r>
      <w:r>
        <w:rPr>
          <w:noProof/>
        </w:rPr>
      </w:r>
      <w:r>
        <w:rPr>
          <w:noProof/>
        </w:rPr>
        <w:fldChar w:fldCharType="separate"/>
      </w:r>
      <w:r>
        <w:rPr>
          <w:noProof/>
        </w:rPr>
        <w:t>Figure 8</w:t>
      </w:r>
      <w:r>
        <w:rPr>
          <w:noProof/>
        </w:rPr>
        <w:fldChar w:fldCharType="end"/>
      </w:r>
      <w:r>
        <w:rPr>
          <w:noProof/>
        </w:rPr>
        <w:t>). A more detailed description of the permission model is given in 4.1.3.</w:t>
      </w:r>
    </w:p>
    <w:p w:rsidR="0077224F" w:rsidRDefault="00D973EE">
      <w:pPr>
        <w:rPr>
          <w:noProof/>
        </w:rPr>
      </w:pPr>
      <w:r>
        <w:rPr>
          <w:noProof/>
          <w:lang w:eastAsia="zh-CN"/>
        </w:rPr>
        <w:drawing>
          <wp:anchor distT="0" distB="0" distL="114300" distR="114300" simplePos="0" relativeHeight="251747840" behindDoc="0" locked="0" layoutInCell="1" allowOverlap="1" wp14:anchorId="187D0E89" wp14:editId="10A360FC">
            <wp:simplePos x="0" y="0"/>
            <wp:positionH relativeFrom="column">
              <wp:posOffset>3738065</wp:posOffset>
            </wp:positionH>
            <wp:positionV relativeFrom="paragraph">
              <wp:posOffset>81280</wp:posOffset>
            </wp:positionV>
            <wp:extent cx="1863090" cy="3311525"/>
            <wp:effectExtent l="0" t="0" r="3810" b="3175"/>
            <wp:wrapSquare wrapText="bothSides"/>
            <wp:docPr id="20" name="Picture 20" descr="Twitter location per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location permissions"/>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1863090" cy="331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750912" behindDoc="0" locked="0" layoutInCell="1" allowOverlap="1" wp14:anchorId="66CC5466" wp14:editId="47CEB761">
                <wp:simplePos x="0" y="0"/>
                <wp:positionH relativeFrom="column">
                  <wp:posOffset>254635</wp:posOffset>
                </wp:positionH>
                <wp:positionV relativeFrom="paragraph">
                  <wp:posOffset>3274060</wp:posOffset>
                </wp:positionV>
                <wp:extent cx="2596515" cy="63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596515" cy="635"/>
                        </a:xfrm>
                        <a:prstGeom prst="rect">
                          <a:avLst/>
                        </a:prstGeom>
                        <a:solidFill>
                          <a:prstClr val="white"/>
                        </a:solidFill>
                        <a:ln>
                          <a:noFill/>
                        </a:ln>
                      </wps:spPr>
                      <wps:txbx>
                        <w:txbxContent>
                          <w:p w:rsidR="0077224F" w:rsidRDefault="00D973EE">
                            <w:pPr>
                              <w:pStyle w:val="Caption"/>
                              <w:rPr>
                                <w:rFonts w:ascii="Verdana" w:eastAsia="MS Mincho" w:hAnsi="Verdana" w:cs="Times New Roman"/>
                                <w:noProof/>
                                <w:sz w:val="20"/>
                                <w:szCs w:val="24"/>
                                <w:lang w:val="en-GB"/>
                              </w:rPr>
                            </w:pPr>
                            <w:bookmarkStart w:id="509" w:name="_Ref465691535"/>
                            <w:bookmarkStart w:id="510" w:name="_Ref465691530"/>
                            <w:bookmarkStart w:id="511" w:name="_Toc466024084"/>
                            <w:r>
                              <w:rPr>
                                <w:rFonts w:ascii="Verdana" w:hAnsi="Verdana"/>
                                <w:color w:val="auto"/>
                                <w:sz w:val="16"/>
                                <w:lang w:val="en-GB"/>
                              </w:rPr>
                              <w:t xml:space="preserve">Figure </w:t>
                            </w:r>
                            <w:r>
                              <w:rPr>
                                <w:rFonts w:ascii="Verdana" w:hAnsi="Verdana"/>
                                <w:color w:val="auto"/>
                                <w:sz w:val="16"/>
                                <w:lang w:val="en-GB"/>
                              </w:rPr>
                              <w:fldChar w:fldCharType="begin"/>
                            </w:r>
                            <w:r>
                              <w:rPr>
                                <w:rFonts w:ascii="Verdana" w:hAnsi="Verdana"/>
                                <w:color w:val="auto"/>
                                <w:sz w:val="16"/>
                                <w:lang w:val="en-GB"/>
                              </w:rPr>
                              <w:instrText xml:space="preserve"> SEQ Figure \* ARABIC </w:instrText>
                            </w:r>
                            <w:r>
                              <w:rPr>
                                <w:rFonts w:ascii="Verdana" w:hAnsi="Verdana"/>
                                <w:color w:val="auto"/>
                                <w:sz w:val="16"/>
                                <w:lang w:val="en-GB"/>
                              </w:rPr>
                              <w:fldChar w:fldCharType="separate"/>
                            </w:r>
                            <w:r>
                              <w:rPr>
                                <w:rFonts w:ascii="Verdana" w:hAnsi="Verdana"/>
                                <w:noProof/>
                                <w:color w:val="auto"/>
                                <w:sz w:val="16"/>
                                <w:lang w:val="en-GB"/>
                              </w:rPr>
                              <w:t>6</w:t>
                            </w:r>
                            <w:r>
                              <w:rPr>
                                <w:rFonts w:ascii="Verdana" w:hAnsi="Verdana"/>
                                <w:color w:val="auto"/>
                                <w:sz w:val="16"/>
                                <w:lang w:val="en-GB"/>
                              </w:rPr>
                              <w:fldChar w:fldCharType="end"/>
                            </w:r>
                            <w:bookmarkEnd w:id="509"/>
                            <w:r>
                              <w:rPr>
                                <w:rFonts w:ascii="Verdana" w:hAnsi="Verdana"/>
                                <w:color w:val="auto"/>
                                <w:sz w:val="16"/>
                                <w:lang w:val="en-GB"/>
                              </w:rPr>
                              <w:t xml:space="preserve"> – Permissions on Android prior to version 6.0.</w:t>
                            </w:r>
                            <w:bookmarkEnd w:id="510"/>
                            <w:bookmarkEnd w:id="5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7" o:spid="_x0000_s1033" type="#_x0000_t202" style="position:absolute;left:0;text-align:left;margin-left:20.05pt;margin-top:257.8pt;width:204.45pt;height:.05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" stroked="f">
                <v:textbox style="mso-fit-shape-to-text:t" inset="0,0,0,0">
                  <w:txbxContent>
                    <w:p w:rsidR="0077224F" w:rsidRDefault="00D973EE">
                      <w:pPr>
                        <w:pStyle w:val="Caption"/>
                        <w:rPr>
                          <w:rFonts w:ascii="Verdana" w:eastAsia="MS Mincho" w:hAnsi="Verdana" w:cs="Times New Roman"/>
                          <w:noProof/>
                          <w:sz w:val="20"/>
                          <w:szCs w:val="24"/>
                          <w:lang w:val="en-GB"/>
                        </w:rPr>
                      </w:pPr>
                      <w:bookmarkStart w:id="512" w:name="_Ref465691535"/>
                      <w:bookmarkStart w:id="513" w:name="_Ref465691530"/>
                      <w:bookmarkStart w:id="514" w:name="_Toc466024084"/>
                      <w:r>
                        <w:rPr>
                          <w:rFonts w:ascii="Verdana" w:hAnsi="Verdana"/>
                          <w:color w:val="auto"/>
                          <w:sz w:val="16"/>
                          <w:lang w:val="en-GB"/>
                        </w:rPr>
                        <w:t xml:space="preserve">Figure </w:t>
                      </w:r>
                      <w:r>
                        <w:rPr>
                          <w:rFonts w:ascii="Verdana" w:hAnsi="Verdana"/>
                          <w:color w:val="auto"/>
                          <w:sz w:val="16"/>
                          <w:lang w:val="en-GB"/>
                        </w:rPr>
                        <w:fldChar w:fldCharType="begin"/>
                      </w:r>
                      <w:r>
                        <w:rPr>
                          <w:rFonts w:ascii="Verdana" w:hAnsi="Verdana"/>
                          <w:color w:val="auto"/>
                          <w:sz w:val="16"/>
                          <w:lang w:val="en-GB"/>
                        </w:rPr>
                        <w:instrText xml:space="preserve"> SEQ Figure \* ARABIC </w:instrText>
                      </w:r>
                      <w:r>
                        <w:rPr>
                          <w:rFonts w:ascii="Verdana" w:hAnsi="Verdana"/>
                          <w:color w:val="auto"/>
                          <w:sz w:val="16"/>
                          <w:lang w:val="en-GB"/>
                        </w:rPr>
                        <w:fldChar w:fldCharType="separate"/>
                      </w:r>
                      <w:r>
                        <w:rPr>
                          <w:rFonts w:ascii="Verdana" w:hAnsi="Verdana"/>
                          <w:noProof/>
                          <w:color w:val="auto"/>
                          <w:sz w:val="16"/>
                          <w:lang w:val="en-GB"/>
                        </w:rPr>
                        <w:t>6</w:t>
                      </w:r>
                      <w:r>
                        <w:rPr>
                          <w:rFonts w:ascii="Verdana" w:hAnsi="Verdana"/>
                          <w:color w:val="auto"/>
                          <w:sz w:val="16"/>
                          <w:lang w:val="en-GB"/>
                        </w:rPr>
                        <w:fldChar w:fldCharType="end"/>
                      </w:r>
                      <w:bookmarkEnd w:id="512"/>
                      <w:r>
                        <w:rPr>
                          <w:rFonts w:ascii="Verdana" w:hAnsi="Verdana"/>
                          <w:color w:val="auto"/>
                          <w:sz w:val="16"/>
                          <w:lang w:val="en-GB"/>
                        </w:rPr>
                        <w:t xml:space="preserve"> – Permissions on Android prior to version 6.0.</w:t>
                      </w:r>
                      <w:bookmarkEnd w:id="513"/>
                      <w:bookmarkEnd w:id="514"/>
                    </w:p>
                  </w:txbxContent>
                </v:textbox>
                <w10:wrap type="square"/>
              </v:shape>
            </w:pict>
          </mc:Fallback>
        </mc:AlternateContent>
      </w:r>
      <w:r>
        <w:rPr>
          <w:noProof/>
          <w:lang w:eastAsia="zh-CN"/>
        </w:rPr>
        <w:drawing>
          <wp:anchor distT="0" distB="0" distL="114300" distR="114300" simplePos="0" relativeHeight="251746816" behindDoc="0" locked="0" layoutInCell="1" allowOverlap="1" wp14:anchorId="605DD469" wp14:editId="0AAAA7A0">
            <wp:simplePos x="0" y="0"/>
            <wp:positionH relativeFrom="column">
              <wp:posOffset>254730</wp:posOffset>
            </wp:positionH>
            <wp:positionV relativeFrom="paragraph">
              <wp:posOffset>129540</wp:posOffset>
            </wp:positionV>
            <wp:extent cx="2596515" cy="3087370"/>
            <wp:effectExtent l="0" t="0" r="0" b="0"/>
            <wp:wrapSquare wrapText="bothSides"/>
            <wp:docPr id="23" name="Picture 23" descr="http://www.howtogeek.com/wp-content/uploads/2015/10/ximg_562ed4201de09.png.pagespeed.gp+jp+jw+pj+js+rj+rp+rw+ri+cp+md.ic.pYcnowSL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owtogeek.com/wp-content/uploads/2015/10/ximg_562ed4201de09.png.pagespeed.gp+jp+jw+pj+js+rj+rp+rw+ri+cp+md.ic.pYcnowSLte.png"/>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2596515" cy="3087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rPr>
          <w:noProof/>
        </w:rPr>
      </w:pPr>
    </w:p>
    <w:p w:rsidR="0077224F" w:rsidRDefault="0077224F">
      <w:pPr>
        <w:pStyle w:val="Caption"/>
        <w:jc w:val="both"/>
        <w:rPr>
          <w:rFonts w:ascii="Verdana" w:hAnsi="Verdana"/>
          <w:noProof/>
          <w:color w:val="auto"/>
          <w:sz w:val="16"/>
          <w:lang w:val="en-GB"/>
        </w:rPr>
      </w:pPr>
      <w:bookmarkStart w:id="515" w:name="_Ref452104287"/>
    </w:p>
    <w:p w:rsidR="0077224F" w:rsidRDefault="0077224F">
      <w:pPr>
        <w:pStyle w:val="Caption"/>
        <w:jc w:val="both"/>
        <w:rPr>
          <w:rFonts w:ascii="Verdana" w:hAnsi="Verdana"/>
          <w:noProof/>
          <w:color w:val="auto"/>
          <w:sz w:val="16"/>
          <w:lang w:val="en-GB"/>
        </w:rPr>
      </w:pPr>
    </w:p>
    <w:p w:rsidR="0077224F" w:rsidRDefault="0077224F">
      <w:pPr>
        <w:pStyle w:val="Caption"/>
        <w:jc w:val="both"/>
        <w:rPr>
          <w:rFonts w:ascii="Verdana" w:hAnsi="Verdana"/>
          <w:noProof/>
          <w:color w:val="auto"/>
          <w:sz w:val="16"/>
          <w:lang w:val="en-GB"/>
        </w:rPr>
      </w:pPr>
    </w:p>
    <w:p w:rsidR="0077224F" w:rsidRDefault="00D973EE">
      <w:pPr>
        <w:pStyle w:val="Caption"/>
        <w:ind w:left="5760"/>
        <w:rPr>
          <w:rFonts w:ascii="Verdana" w:hAnsi="Verdana"/>
          <w:noProof/>
          <w:color w:val="auto"/>
          <w:sz w:val="16"/>
          <w:lang w:val="en-GB"/>
        </w:rPr>
      </w:pPr>
      <w:bookmarkStart w:id="516" w:name="_Ref452111625"/>
      <w:bookmarkStart w:id="517" w:name="_Toc466024085"/>
      <w:bookmarkEnd w:id="515"/>
      <w:r>
        <w:rPr>
          <w:rFonts w:ascii="Verdana" w:hAnsi="Verdana"/>
          <w:noProof/>
          <w:color w:val="auto"/>
          <w:sz w:val="16"/>
          <w:lang w:val="en-GB"/>
        </w:rPr>
        <w:t xml:space="preserve">Figure </w:t>
      </w:r>
      <w:r>
        <w:rPr>
          <w:rFonts w:ascii="Verdana" w:hAnsi="Verdana"/>
          <w:noProof/>
          <w:color w:val="auto"/>
          <w:sz w:val="16"/>
          <w:lang w:val="en-GB"/>
        </w:rPr>
        <w:fldChar w:fldCharType="begin"/>
      </w:r>
      <w:r>
        <w:rPr>
          <w:rFonts w:ascii="Verdana" w:hAnsi="Verdana"/>
          <w:noProof/>
          <w:color w:val="auto"/>
          <w:sz w:val="16"/>
          <w:lang w:val="en-GB"/>
        </w:rPr>
        <w:instrText xml:space="preserve"> SEQ Figure \* ARABIC </w:instrText>
      </w:r>
      <w:r>
        <w:rPr>
          <w:rFonts w:ascii="Verdana" w:hAnsi="Verdana"/>
          <w:noProof/>
          <w:color w:val="auto"/>
          <w:sz w:val="16"/>
          <w:lang w:val="en-GB"/>
        </w:rPr>
        <w:fldChar w:fldCharType="separate"/>
      </w:r>
      <w:r>
        <w:rPr>
          <w:rFonts w:ascii="Verdana" w:hAnsi="Verdana"/>
          <w:noProof/>
          <w:color w:val="auto"/>
          <w:sz w:val="16"/>
          <w:lang w:val="en-GB"/>
        </w:rPr>
        <w:t>7</w:t>
      </w:r>
      <w:r>
        <w:rPr>
          <w:rFonts w:ascii="Verdana" w:hAnsi="Verdana"/>
          <w:noProof/>
          <w:color w:val="auto"/>
          <w:sz w:val="16"/>
          <w:lang w:val="en-GB"/>
        </w:rPr>
        <w:fldChar w:fldCharType="end"/>
      </w:r>
      <w:bookmarkEnd w:id="516"/>
      <w:r>
        <w:rPr>
          <w:rFonts w:ascii="Verdana" w:hAnsi="Verdana"/>
          <w:noProof/>
          <w:color w:val="auto"/>
          <w:sz w:val="16"/>
          <w:lang w:val="en-GB"/>
        </w:rPr>
        <w:t xml:space="preserve"> – An app is asking for a permission to use the device’s location (Android 6.0)</w:t>
      </w:r>
      <w:bookmarkEnd w:id="517"/>
    </w:p>
    <w:p w:rsidR="0077224F" w:rsidRDefault="00D973EE">
      <w:pPr>
        <w:keepNext/>
        <w:jc w:val="center"/>
        <w:rPr>
          <w:noProof/>
        </w:rPr>
      </w:pPr>
      <w:r>
        <w:rPr>
          <w:noProof/>
          <w:lang w:eastAsia="zh-CN"/>
        </w:rPr>
        <w:drawing>
          <wp:inline distT="0" distB="0" distL="0" distR="0" wp14:anchorId="4FED52AE" wp14:editId="5E89C7D5">
            <wp:extent cx="3967328" cy="3493135"/>
            <wp:effectExtent l="0" t="0" r="0" b="0"/>
            <wp:docPr id="24" name="Picture 24" descr="http://cdn.arstechnica.net/wp-content/uploads/2015/09/apps-980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arstechnica.net/wp-content/uploads/2015/09/apps-980x576.jpg"/>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3967878" cy="3493619"/>
                    </a:xfrm>
                    <a:prstGeom prst="rect">
                      <a:avLst/>
                    </a:prstGeom>
                    <a:noFill/>
                    <a:ln>
                      <a:noFill/>
                    </a:ln>
                    <a:extLst>
                      <a:ext uri="{53640926-AAD7-44D8-BBD7-CCE9431645EC}">
                        <a14:shadowObscured xmlns:a14="http://schemas.microsoft.com/office/drawing/2010/main"/>
                      </a:ext>
                    </a:extLst>
                  </pic:spPr>
                </pic:pic>
              </a:graphicData>
            </a:graphic>
          </wp:inline>
        </w:drawing>
      </w:r>
    </w:p>
    <w:p w:rsidR="0077224F" w:rsidRDefault="00D973EE">
      <w:pPr>
        <w:pStyle w:val="Caption"/>
        <w:rPr>
          <w:rFonts w:ascii="Verdana" w:hAnsi="Verdana"/>
          <w:noProof/>
          <w:color w:val="auto"/>
          <w:sz w:val="16"/>
          <w:lang w:val="en-GB"/>
        </w:rPr>
      </w:pPr>
      <w:bookmarkStart w:id="518" w:name="_Ref452111635"/>
      <w:bookmarkStart w:id="519" w:name="_Toc466024086"/>
      <w:r>
        <w:rPr>
          <w:rFonts w:ascii="Verdana" w:hAnsi="Verdana"/>
          <w:noProof/>
          <w:color w:val="auto"/>
          <w:sz w:val="16"/>
          <w:lang w:val="en-GB"/>
        </w:rPr>
        <w:t xml:space="preserve">Figure </w:t>
      </w:r>
      <w:r>
        <w:rPr>
          <w:rFonts w:ascii="Verdana" w:hAnsi="Verdana"/>
          <w:noProof/>
          <w:color w:val="auto"/>
          <w:sz w:val="16"/>
          <w:lang w:val="en-GB"/>
        </w:rPr>
        <w:fldChar w:fldCharType="begin"/>
      </w:r>
      <w:r>
        <w:rPr>
          <w:rFonts w:ascii="Verdana" w:hAnsi="Verdana"/>
          <w:noProof/>
          <w:color w:val="auto"/>
          <w:sz w:val="16"/>
          <w:lang w:val="en-GB"/>
        </w:rPr>
        <w:instrText xml:space="preserve"> SEQ Figure \* ARABIC </w:instrText>
      </w:r>
      <w:r>
        <w:rPr>
          <w:rFonts w:ascii="Verdana" w:hAnsi="Verdana"/>
          <w:noProof/>
          <w:color w:val="auto"/>
          <w:sz w:val="16"/>
          <w:lang w:val="en-GB"/>
        </w:rPr>
        <w:fldChar w:fldCharType="separate"/>
      </w:r>
      <w:r>
        <w:rPr>
          <w:rFonts w:ascii="Verdana" w:hAnsi="Verdana"/>
          <w:noProof/>
          <w:color w:val="auto"/>
          <w:sz w:val="16"/>
          <w:lang w:val="en-GB"/>
        </w:rPr>
        <w:t>8</w:t>
      </w:r>
      <w:r>
        <w:rPr>
          <w:rFonts w:ascii="Verdana" w:hAnsi="Verdana"/>
          <w:noProof/>
          <w:color w:val="auto"/>
          <w:sz w:val="16"/>
          <w:lang w:val="en-GB"/>
        </w:rPr>
        <w:fldChar w:fldCharType="end"/>
      </w:r>
      <w:bookmarkEnd w:id="518"/>
      <w:r>
        <w:rPr>
          <w:rFonts w:ascii="Verdana" w:hAnsi="Verdana"/>
          <w:noProof/>
          <w:color w:val="auto"/>
          <w:sz w:val="16"/>
          <w:lang w:val="en-GB"/>
        </w:rPr>
        <w:t xml:space="preserve"> – The user can man</w:t>
      </w:r>
      <w:r>
        <w:rPr>
          <w:rFonts w:ascii="Verdana" w:hAnsi="Verdana"/>
          <w:noProof/>
          <w:color w:val="auto"/>
          <w:sz w:val="16"/>
          <w:lang w:val="en-GB"/>
        </w:rPr>
        <w:t>ually change the permissions of all apps (Android 6.0)</w:t>
      </w:r>
      <w:bookmarkEnd w:id="519"/>
    </w:p>
    <w:p w:rsidR="0077224F" w:rsidRDefault="0077224F">
      <w:pPr>
        <w:rPr>
          <w:noProof/>
        </w:rPr>
      </w:pPr>
    </w:p>
    <w:p w:rsidR="0077224F" w:rsidRDefault="00D973EE">
      <w:pPr>
        <w:pStyle w:val="Heading3"/>
        <w:rPr>
          <w:noProof/>
        </w:rPr>
      </w:pPr>
      <w:bookmarkStart w:id="520" w:name="_Toc450066455"/>
      <w:bookmarkStart w:id="521" w:name="_Toc453330952"/>
      <w:bookmarkStart w:id="522" w:name="_Toc453341746"/>
      <w:bookmarkStart w:id="523" w:name="_Toc453591952"/>
      <w:bookmarkStart w:id="524" w:name="_Toc454964489"/>
      <w:bookmarkStart w:id="525" w:name="_Toc455503012"/>
      <w:bookmarkStart w:id="526" w:name="_Toc458015471"/>
      <w:bookmarkStart w:id="527" w:name="_Toc458158001"/>
      <w:bookmarkStart w:id="528" w:name="_Toc465876782"/>
      <w:bookmarkStart w:id="529" w:name="_Toc466024049"/>
      <w:bookmarkStart w:id="530" w:name="_Toc468790057"/>
      <w:bookmarkStart w:id="531" w:name="_Toc468794889"/>
      <w:bookmarkStart w:id="532" w:name="_Toc468795197"/>
      <w:r>
        <w:rPr>
          <w:noProof/>
        </w:rPr>
        <w:t>App Distribution and Code Protection</w:t>
      </w:r>
      <w:bookmarkEnd w:id="520"/>
      <w:bookmarkEnd w:id="521"/>
      <w:bookmarkEnd w:id="522"/>
      <w:bookmarkEnd w:id="523"/>
      <w:bookmarkEnd w:id="524"/>
      <w:bookmarkEnd w:id="525"/>
      <w:bookmarkEnd w:id="526"/>
      <w:bookmarkEnd w:id="527"/>
      <w:bookmarkEnd w:id="528"/>
      <w:bookmarkEnd w:id="529"/>
      <w:bookmarkEnd w:id="530"/>
      <w:bookmarkEnd w:id="531"/>
      <w:bookmarkEnd w:id="532"/>
    </w:p>
    <w:p w:rsidR="0077224F" w:rsidRDefault="00D973EE">
      <w:pPr>
        <w:rPr>
          <w:noProof/>
        </w:rPr>
      </w:pPr>
      <w:r>
        <w:rPr>
          <w:noProof/>
        </w:rPr>
        <w:t>All Android apps should be signed by the developer using his/her private key. In their default configuration Android phones only allow the installation of apps fro</w:t>
      </w:r>
      <w:r>
        <w:rPr>
          <w:noProof/>
        </w:rPr>
        <w:t>m the Google Play, but this security setting can be changed in order to allow the installation of apps from any sources. Other sources of app distribution are e-mail or any arbitrary website, however, updates of apps that are not installed from the officia</w:t>
      </w:r>
      <w:r>
        <w:rPr>
          <w:noProof/>
        </w:rPr>
        <w:t>l app store are not automatically managed by the phone, so users need to update the apps manually.</w:t>
      </w:r>
    </w:p>
    <w:p w:rsidR="0077224F" w:rsidRDefault="00D973EE">
      <w:pPr>
        <w:pStyle w:val="Heading3"/>
        <w:rPr>
          <w:noProof/>
        </w:rPr>
      </w:pPr>
      <w:bookmarkStart w:id="533" w:name="_Toc450066456"/>
      <w:bookmarkStart w:id="534" w:name="_Toc453330953"/>
      <w:bookmarkStart w:id="535" w:name="_Toc453341747"/>
      <w:bookmarkStart w:id="536" w:name="_Toc453591953"/>
      <w:bookmarkStart w:id="537" w:name="_Toc454964490"/>
      <w:bookmarkStart w:id="538" w:name="_Toc455503013"/>
      <w:bookmarkStart w:id="539" w:name="_Toc458015472"/>
      <w:bookmarkStart w:id="540" w:name="_Toc458158002"/>
      <w:bookmarkStart w:id="541" w:name="_Toc465876783"/>
      <w:bookmarkStart w:id="542" w:name="_Toc466024050"/>
      <w:bookmarkStart w:id="543" w:name="_Toc468790058"/>
      <w:bookmarkStart w:id="544" w:name="_Toc468794890"/>
      <w:bookmarkStart w:id="545" w:name="_Toc468795198"/>
      <w:r>
        <w:rPr>
          <w:noProof/>
        </w:rPr>
        <w:t>App Data Protection</w:t>
      </w:r>
      <w:bookmarkEnd w:id="533"/>
      <w:bookmarkEnd w:id="534"/>
      <w:bookmarkEnd w:id="535"/>
      <w:bookmarkEnd w:id="536"/>
      <w:bookmarkEnd w:id="537"/>
      <w:bookmarkEnd w:id="538"/>
      <w:bookmarkEnd w:id="539"/>
      <w:bookmarkEnd w:id="540"/>
      <w:bookmarkEnd w:id="541"/>
      <w:bookmarkEnd w:id="542"/>
      <w:bookmarkEnd w:id="543"/>
      <w:bookmarkEnd w:id="544"/>
      <w:bookmarkEnd w:id="545"/>
    </w:p>
    <w:p w:rsidR="0077224F" w:rsidRDefault="00D973EE">
      <w:pPr>
        <w:rPr>
          <w:noProof/>
        </w:rPr>
      </w:pPr>
      <w:r>
        <w:rPr>
          <w:noProof/>
        </w:rPr>
        <w:t>Android apps have a default directory in the internal memory file system of the mobile device to store their data (i.e. any data that the application needs in order to operate, as well as user data relative the app that is created during the app use), iden</w:t>
      </w:r>
      <w:r>
        <w:rPr>
          <w:noProof/>
        </w:rPr>
        <w:t xml:space="preserve">tified by their package name under the folder </w:t>
      </w:r>
      <w:r>
        <w:rPr>
          <w:i/>
          <w:noProof/>
        </w:rPr>
        <w:t>“/data/data/&lt;name&gt;</w:t>
      </w:r>
      <w:r>
        <w:rPr>
          <w:noProof/>
        </w:rPr>
        <w:t>”. This folder contains all the app data including created databases, settings, libraries, cached data, etc. An alternative directory in external memory (e.g., SD card) is also available under</w:t>
      </w:r>
      <w:r>
        <w:rPr>
          <w:noProof/>
        </w:rPr>
        <w:t xml:space="preserve"> the folder “</w:t>
      </w:r>
      <w:r>
        <w:rPr>
          <w:i/>
          <w:noProof/>
        </w:rPr>
        <w:t>/Android/data/&lt;name&gt;</w:t>
      </w:r>
      <w:r>
        <w:rPr>
          <w:noProof/>
        </w:rPr>
        <w:t>”, which can be used in case the app expects to store a relatively large amount of data that may not fit in the internal memory space. The external memory can in fact be used indiscriminately by all apps, and they are allow</w:t>
      </w:r>
      <w:r>
        <w:rPr>
          <w:noProof/>
        </w:rPr>
        <w:t>ed to create their own folder structure. System or root apps are allowed to read and store data anywhere in the device’s internal memory as well, including access to the default directory of all installed apps. By default, the app data is stored in plain u</w:t>
      </w:r>
      <w:r>
        <w:rPr>
          <w:noProof/>
        </w:rPr>
        <w:t>nencrypted format and is only protected by the OS standard file permissions.</w:t>
      </w:r>
    </w:p>
    <w:p w:rsidR="0077224F" w:rsidRDefault="00D973EE">
      <w:pPr>
        <w:rPr>
          <w:noProof/>
        </w:rPr>
      </w:pPr>
      <w:r>
        <w:rPr>
          <w:noProof/>
        </w:rPr>
        <w:t>Android supports also full disk encryption using the “dm-crypt” kernel feature that is available to all block devices including SD cards. If supported by the specific device the e</w:t>
      </w:r>
      <w:r>
        <w:rPr>
          <w:noProof/>
        </w:rPr>
        <w:t>ncryption key can be stored using a hardware Trusted Execution Environment (TEE).</w:t>
      </w:r>
    </w:p>
    <w:p w:rsidR="0077224F" w:rsidRDefault="00D973EE">
      <w:pPr>
        <w:pStyle w:val="Heading2"/>
        <w:rPr>
          <w:noProof/>
        </w:rPr>
      </w:pPr>
      <w:bookmarkStart w:id="546" w:name="_Toc457984287"/>
      <w:bookmarkStart w:id="547" w:name="_Toc458005896"/>
      <w:bookmarkStart w:id="548" w:name="_Toc458008134"/>
      <w:bookmarkStart w:id="549" w:name="_Toc458014548"/>
      <w:bookmarkStart w:id="550" w:name="_Toc458014693"/>
      <w:bookmarkStart w:id="551" w:name="_Toc458014838"/>
      <w:bookmarkStart w:id="552" w:name="_Toc458015054"/>
      <w:bookmarkStart w:id="553" w:name="_Toc458015331"/>
      <w:bookmarkStart w:id="554" w:name="_Toc457984288"/>
      <w:bookmarkStart w:id="555" w:name="_Toc458005897"/>
      <w:bookmarkStart w:id="556" w:name="_Toc458008135"/>
      <w:bookmarkStart w:id="557" w:name="_Toc458014549"/>
      <w:bookmarkStart w:id="558" w:name="_Toc458014694"/>
      <w:bookmarkStart w:id="559" w:name="_Toc458014839"/>
      <w:bookmarkStart w:id="560" w:name="_Toc458015055"/>
      <w:bookmarkStart w:id="561" w:name="_Toc458015332"/>
      <w:bookmarkStart w:id="562" w:name="_Toc457984289"/>
      <w:bookmarkStart w:id="563" w:name="_Toc458005898"/>
      <w:bookmarkStart w:id="564" w:name="_Toc458008136"/>
      <w:bookmarkStart w:id="565" w:name="_Toc458014550"/>
      <w:bookmarkStart w:id="566" w:name="_Toc458014695"/>
      <w:bookmarkStart w:id="567" w:name="_Toc458014840"/>
      <w:bookmarkStart w:id="568" w:name="_Toc458015056"/>
      <w:bookmarkStart w:id="569" w:name="_Toc458015333"/>
      <w:bookmarkStart w:id="570" w:name="_Toc457984290"/>
      <w:bookmarkStart w:id="571" w:name="_Toc458005899"/>
      <w:bookmarkStart w:id="572" w:name="_Toc458008137"/>
      <w:bookmarkStart w:id="573" w:name="_Toc458014551"/>
      <w:bookmarkStart w:id="574" w:name="_Toc458014696"/>
      <w:bookmarkStart w:id="575" w:name="_Toc458014841"/>
      <w:bookmarkStart w:id="576" w:name="_Toc458015057"/>
      <w:bookmarkStart w:id="577" w:name="_Toc458015334"/>
      <w:bookmarkStart w:id="578" w:name="_Toc457984291"/>
      <w:bookmarkStart w:id="579" w:name="_Toc458005900"/>
      <w:bookmarkStart w:id="580" w:name="_Toc458008138"/>
      <w:bookmarkStart w:id="581" w:name="_Toc458014552"/>
      <w:bookmarkStart w:id="582" w:name="_Toc458014697"/>
      <w:bookmarkStart w:id="583" w:name="_Toc458014842"/>
      <w:bookmarkStart w:id="584" w:name="_Toc458015058"/>
      <w:bookmarkStart w:id="585" w:name="_Toc458015335"/>
      <w:bookmarkStart w:id="586" w:name="_Toc457984292"/>
      <w:bookmarkStart w:id="587" w:name="_Toc458005901"/>
      <w:bookmarkStart w:id="588" w:name="_Toc458008139"/>
      <w:bookmarkStart w:id="589" w:name="_Toc458014553"/>
      <w:bookmarkStart w:id="590" w:name="_Toc458014698"/>
      <w:bookmarkStart w:id="591" w:name="_Toc458014843"/>
      <w:bookmarkStart w:id="592" w:name="_Toc458015059"/>
      <w:bookmarkStart w:id="593" w:name="_Toc458015336"/>
      <w:bookmarkStart w:id="594" w:name="_Toc457984293"/>
      <w:bookmarkStart w:id="595" w:name="_Toc458005902"/>
      <w:bookmarkStart w:id="596" w:name="_Toc458008140"/>
      <w:bookmarkStart w:id="597" w:name="_Toc458014554"/>
      <w:bookmarkStart w:id="598" w:name="_Toc458014699"/>
      <w:bookmarkStart w:id="599" w:name="_Toc458014844"/>
      <w:bookmarkStart w:id="600" w:name="_Toc458015060"/>
      <w:bookmarkStart w:id="601" w:name="_Toc458015337"/>
      <w:bookmarkStart w:id="602" w:name="_Toc457984294"/>
      <w:bookmarkStart w:id="603" w:name="_Toc458005903"/>
      <w:bookmarkStart w:id="604" w:name="_Toc458008141"/>
      <w:bookmarkStart w:id="605" w:name="_Toc458014555"/>
      <w:bookmarkStart w:id="606" w:name="_Toc458014700"/>
      <w:bookmarkStart w:id="607" w:name="_Toc458014845"/>
      <w:bookmarkStart w:id="608" w:name="_Toc458015061"/>
      <w:bookmarkStart w:id="609" w:name="_Toc458015338"/>
      <w:bookmarkStart w:id="610" w:name="_Toc457984295"/>
      <w:bookmarkStart w:id="611" w:name="_Toc458005904"/>
      <w:bookmarkStart w:id="612" w:name="_Toc458008142"/>
      <w:bookmarkStart w:id="613" w:name="_Toc458014556"/>
      <w:bookmarkStart w:id="614" w:name="_Toc458014701"/>
      <w:bookmarkStart w:id="615" w:name="_Toc458014846"/>
      <w:bookmarkStart w:id="616" w:name="_Toc458015062"/>
      <w:bookmarkStart w:id="617" w:name="_Toc458015339"/>
      <w:bookmarkStart w:id="618" w:name="_Toc457984296"/>
      <w:bookmarkStart w:id="619" w:name="_Toc458005905"/>
      <w:bookmarkStart w:id="620" w:name="_Toc458008143"/>
      <w:bookmarkStart w:id="621" w:name="_Toc458014557"/>
      <w:bookmarkStart w:id="622" w:name="_Toc458014702"/>
      <w:bookmarkStart w:id="623" w:name="_Toc458014847"/>
      <w:bookmarkStart w:id="624" w:name="_Toc458015063"/>
      <w:bookmarkStart w:id="625" w:name="_Toc458015340"/>
      <w:bookmarkStart w:id="626" w:name="_Toc457984297"/>
      <w:bookmarkStart w:id="627" w:name="_Toc458005906"/>
      <w:bookmarkStart w:id="628" w:name="_Toc458008144"/>
      <w:bookmarkStart w:id="629" w:name="_Toc458014558"/>
      <w:bookmarkStart w:id="630" w:name="_Toc458014703"/>
      <w:bookmarkStart w:id="631" w:name="_Toc458014848"/>
      <w:bookmarkStart w:id="632" w:name="_Toc458015064"/>
      <w:bookmarkStart w:id="633" w:name="_Toc458015341"/>
      <w:bookmarkStart w:id="634" w:name="_Toc457984298"/>
      <w:bookmarkStart w:id="635" w:name="_Toc458005907"/>
      <w:bookmarkStart w:id="636" w:name="_Toc458008145"/>
      <w:bookmarkStart w:id="637" w:name="_Toc458014559"/>
      <w:bookmarkStart w:id="638" w:name="_Toc458014704"/>
      <w:bookmarkStart w:id="639" w:name="_Toc458014849"/>
      <w:bookmarkStart w:id="640" w:name="_Toc458015065"/>
      <w:bookmarkStart w:id="641" w:name="_Toc458015342"/>
      <w:bookmarkStart w:id="642" w:name="_Toc457984299"/>
      <w:bookmarkStart w:id="643" w:name="_Toc458005908"/>
      <w:bookmarkStart w:id="644" w:name="_Toc458008146"/>
      <w:bookmarkStart w:id="645" w:name="_Toc458014560"/>
      <w:bookmarkStart w:id="646" w:name="_Toc458014705"/>
      <w:bookmarkStart w:id="647" w:name="_Toc458014850"/>
      <w:bookmarkStart w:id="648" w:name="_Toc458015066"/>
      <w:bookmarkStart w:id="649" w:name="_Toc458015343"/>
      <w:bookmarkStart w:id="650" w:name="_Toc457984300"/>
      <w:bookmarkStart w:id="651" w:name="_Toc458005909"/>
      <w:bookmarkStart w:id="652" w:name="_Toc458008147"/>
      <w:bookmarkStart w:id="653" w:name="_Toc458014561"/>
      <w:bookmarkStart w:id="654" w:name="_Toc458014706"/>
      <w:bookmarkStart w:id="655" w:name="_Toc458014851"/>
      <w:bookmarkStart w:id="656" w:name="_Toc458015067"/>
      <w:bookmarkStart w:id="657" w:name="_Toc458015344"/>
      <w:bookmarkStart w:id="658" w:name="_Toc457984301"/>
      <w:bookmarkStart w:id="659" w:name="_Toc458005910"/>
      <w:bookmarkStart w:id="660" w:name="_Toc458008148"/>
      <w:bookmarkStart w:id="661" w:name="_Toc458014562"/>
      <w:bookmarkStart w:id="662" w:name="_Toc458014707"/>
      <w:bookmarkStart w:id="663" w:name="_Toc458014852"/>
      <w:bookmarkStart w:id="664" w:name="_Toc458015068"/>
      <w:bookmarkStart w:id="665" w:name="_Toc458015345"/>
      <w:bookmarkStart w:id="666" w:name="_Toc457984302"/>
      <w:bookmarkStart w:id="667" w:name="_Toc458005911"/>
      <w:bookmarkStart w:id="668" w:name="_Toc458008149"/>
      <w:bookmarkStart w:id="669" w:name="_Toc458014563"/>
      <w:bookmarkStart w:id="670" w:name="_Toc458014708"/>
      <w:bookmarkStart w:id="671" w:name="_Toc458014853"/>
      <w:bookmarkStart w:id="672" w:name="_Toc458015069"/>
      <w:bookmarkStart w:id="673" w:name="_Toc458015346"/>
      <w:bookmarkStart w:id="674" w:name="_Toc457984303"/>
      <w:bookmarkStart w:id="675" w:name="_Toc458005912"/>
      <w:bookmarkStart w:id="676" w:name="_Toc458008150"/>
      <w:bookmarkStart w:id="677" w:name="_Toc458014564"/>
      <w:bookmarkStart w:id="678" w:name="_Toc458014709"/>
      <w:bookmarkStart w:id="679" w:name="_Toc458014854"/>
      <w:bookmarkStart w:id="680" w:name="_Toc458015070"/>
      <w:bookmarkStart w:id="681" w:name="_Toc458015347"/>
      <w:bookmarkStart w:id="682" w:name="_Toc457984304"/>
      <w:bookmarkStart w:id="683" w:name="_Toc458005913"/>
      <w:bookmarkStart w:id="684" w:name="_Toc458008151"/>
      <w:bookmarkStart w:id="685" w:name="_Toc458014565"/>
      <w:bookmarkStart w:id="686" w:name="_Toc458014710"/>
      <w:bookmarkStart w:id="687" w:name="_Toc458014855"/>
      <w:bookmarkStart w:id="688" w:name="_Toc458015071"/>
      <w:bookmarkStart w:id="689" w:name="_Toc458015348"/>
      <w:bookmarkStart w:id="690" w:name="_Toc457984305"/>
      <w:bookmarkStart w:id="691" w:name="_Toc458005914"/>
      <w:bookmarkStart w:id="692" w:name="_Toc458008152"/>
      <w:bookmarkStart w:id="693" w:name="_Toc458014566"/>
      <w:bookmarkStart w:id="694" w:name="_Toc458014711"/>
      <w:bookmarkStart w:id="695" w:name="_Toc458014856"/>
      <w:bookmarkStart w:id="696" w:name="_Toc458015072"/>
      <w:bookmarkStart w:id="697" w:name="_Toc458015349"/>
      <w:bookmarkStart w:id="698" w:name="_Toc457984306"/>
      <w:bookmarkStart w:id="699" w:name="_Toc458005915"/>
      <w:bookmarkStart w:id="700" w:name="_Toc458008153"/>
      <w:bookmarkStart w:id="701" w:name="_Toc458014567"/>
      <w:bookmarkStart w:id="702" w:name="_Toc458014712"/>
      <w:bookmarkStart w:id="703" w:name="_Toc458014857"/>
      <w:bookmarkStart w:id="704" w:name="_Toc458015073"/>
      <w:bookmarkStart w:id="705" w:name="_Toc458015350"/>
      <w:bookmarkStart w:id="706" w:name="_Toc457984307"/>
      <w:bookmarkStart w:id="707" w:name="_Toc458005916"/>
      <w:bookmarkStart w:id="708" w:name="_Toc458008154"/>
      <w:bookmarkStart w:id="709" w:name="_Toc458014568"/>
      <w:bookmarkStart w:id="710" w:name="_Toc458014713"/>
      <w:bookmarkStart w:id="711" w:name="_Toc458014858"/>
      <w:bookmarkStart w:id="712" w:name="_Toc458015074"/>
      <w:bookmarkStart w:id="713" w:name="_Toc458015351"/>
      <w:bookmarkStart w:id="714" w:name="_Toc457984308"/>
      <w:bookmarkStart w:id="715" w:name="_Toc458005917"/>
      <w:bookmarkStart w:id="716" w:name="_Toc458008155"/>
      <w:bookmarkStart w:id="717" w:name="_Toc458014569"/>
      <w:bookmarkStart w:id="718" w:name="_Toc458014714"/>
      <w:bookmarkStart w:id="719" w:name="_Toc458014859"/>
      <w:bookmarkStart w:id="720" w:name="_Toc458015075"/>
      <w:bookmarkStart w:id="721" w:name="_Toc458015352"/>
      <w:bookmarkStart w:id="722" w:name="_Toc457984309"/>
      <w:bookmarkStart w:id="723" w:name="_Toc458005918"/>
      <w:bookmarkStart w:id="724" w:name="_Toc458008156"/>
      <w:bookmarkStart w:id="725" w:name="_Toc458014570"/>
      <w:bookmarkStart w:id="726" w:name="_Toc458014715"/>
      <w:bookmarkStart w:id="727" w:name="_Toc458014860"/>
      <w:bookmarkStart w:id="728" w:name="_Toc458015076"/>
      <w:bookmarkStart w:id="729" w:name="_Toc458015353"/>
      <w:bookmarkStart w:id="730" w:name="_Toc454962978"/>
      <w:bookmarkStart w:id="731" w:name="_Toc454963020"/>
      <w:bookmarkStart w:id="732" w:name="_Toc454963157"/>
      <w:bookmarkStart w:id="733" w:name="_Toc454962979"/>
      <w:bookmarkStart w:id="734" w:name="_Toc454963021"/>
      <w:bookmarkStart w:id="735" w:name="_Toc454963158"/>
      <w:bookmarkStart w:id="736" w:name="_Toc454962980"/>
      <w:bookmarkStart w:id="737" w:name="_Toc454963022"/>
      <w:bookmarkStart w:id="738" w:name="_Toc454963159"/>
      <w:bookmarkStart w:id="739" w:name="_Toc454962981"/>
      <w:bookmarkStart w:id="740" w:name="_Toc454963023"/>
      <w:bookmarkStart w:id="741" w:name="_Toc454963160"/>
      <w:bookmarkStart w:id="742" w:name="_Toc457984310"/>
      <w:bookmarkStart w:id="743" w:name="_Toc458005919"/>
      <w:bookmarkStart w:id="744" w:name="_Toc458008157"/>
      <w:bookmarkStart w:id="745" w:name="_Toc458014571"/>
      <w:bookmarkStart w:id="746" w:name="_Toc458014716"/>
      <w:bookmarkStart w:id="747" w:name="_Toc458014861"/>
      <w:bookmarkStart w:id="748" w:name="_Toc458015077"/>
      <w:bookmarkStart w:id="749" w:name="_Toc458015354"/>
      <w:bookmarkStart w:id="750" w:name="_Toc454964492"/>
      <w:bookmarkStart w:id="751" w:name="_Toc455503015"/>
      <w:bookmarkStart w:id="752" w:name="_Toc458015473"/>
      <w:bookmarkStart w:id="753" w:name="_Toc458158003"/>
      <w:bookmarkStart w:id="754" w:name="_Toc465876784"/>
      <w:bookmarkStart w:id="755" w:name="_Toc466024051"/>
      <w:bookmarkStart w:id="756" w:name="_Toc468790059"/>
      <w:bookmarkStart w:id="757" w:name="_Toc468794891"/>
      <w:bookmarkStart w:id="758" w:name="_Toc468795199"/>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r>
        <w:rPr>
          <w:noProof/>
        </w:rPr>
        <w:t>iOS</w:t>
      </w:r>
      <w:bookmarkEnd w:id="750"/>
      <w:bookmarkEnd w:id="751"/>
      <w:bookmarkEnd w:id="752"/>
      <w:bookmarkEnd w:id="753"/>
      <w:bookmarkEnd w:id="754"/>
      <w:bookmarkEnd w:id="755"/>
      <w:bookmarkEnd w:id="756"/>
      <w:bookmarkEnd w:id="757"/>
      <w:bookmarkEnd w:id="758"/>
    </w:p>
    <w:p w:rsidR="0077224F" w:rsidRDefault="00D973EE">
      <w:pPr>
        <w:rPr>
          <w:noProof/>
        </w:rPr>
      </w:pPr>
      <w:r>
        <w:rPr>
          <w:noProof/>
        </w:rPr>
        <w:t>iOS is a mobile operating system developed by Apple to be run exclusively in hardware also developed by Apple including iPhone, iPod, and iPad devices. Since the hardware</w:t>
      </w:r>
      <w:r>
        <w:rPr>
          <w:noProof/>
        </w:rPr>
        <w:t xml:space="preserve"> of the devices is designed in parallel to the software there is a high level of optimization and customization as no other hardware manufacturers need to be supported. In this regard, this section summarizes many low level details about the iOS design and</w:t>
      </w:r>
      <w:r>
        <w:rPr>
          <w:noProof/>
        </w:rPr>
        <w:t xml:space="preserve"> implementation considering the integration between hardware and software, which in Android would be only possible by analysing hardware details of many manufacturers.</w:t>
      </w:r>
    </w:p>
    <w:p w:rsidR="0077224F" w:rsidRDefault="00D973EE">
      <w:pPr>
        <w:pStyle w:val="Heading3"/>
        <w:rPr>
          <w:noProof/>
        </w:rPr>
      </w:pPr>
      <w:bookmarkStart w:id="759" w:name="_Toc458015474"/>
      <w:bookmarkStart w:id="760" w:name="_Toc458158004"/>
      <w:bookmarkStart w:id="761" w:name="_Toc465876785"/>
      <w:bookmarkStart w:id="762" w:name="_Toc466024052"/>
      <w:bookmarkStart w:id="763" w:name="_Toc468790060"/>
      <w:bookmarkStart w:id="764" w:name="_Toc468794892"/>
      <w:bookmarkStart w:id="765" w:name="_Toc468795200"/>
      <w:r>
        <w:rPr>
          <w:noProof/>
        </w:rPr>
        <w:t>Operating System Structure</w:t>
      </w:r>
      <w:bookmarkEnd w:id="759"/>
      <w:bookmarkEnd w:id="760"/>
      <w:bookmarkEnd w:id="761"/>
      <w:bookmarkEnd w:id="762"/>
      <w:bookmarkEnd w:id="763"/>
      <w:bookmarkEnd w:id="764"/>
      <w:bookmarkEnd w:id="765"/>
    </w:p>
    <w:p w:rsidR="0077224F" w:rsidRDefault="00D973EE">
      <w:pPr>
        <w:rPr>
          <w:noProof/>
        </w:rPr>
      </w:pPr>
      <w:r>
        <w:rPr>
          <w:noProof/>
        </w:rPr>
        <w:fldChar w:fldCharType="begin"/>
      </w:r>
      <w:r>
        <w:rPr>
          <w:noProof/>
        </w:rPr>
        <w:instrText xml:space="preserve"> REF _Ref456879532 \h  \* MERGEFORMAT </w:instrText>
      </w:r>
      <w:r>
        <w:rPr>
          <w:noProof/>
        </w:rPr>
      </w:r>
      <w:r>
        <w:rPr>
          <w:noProof/>
        </w:rPr>
        <w:fldChar w:fldCharType="separate"/>
      </w:r>
      <w:r>
        <w:rPr>
          <w:noProof/>
        </w:rPr>
        <w:t>Figure 9</w:t>
      </w:r>
      <w:r>
        <w:rPr>
          <w:noProof/>
        </w:rPr>
        <w:fldChar w:fldCharType="end"/>
      </w:r>
      <w:r>
        <w:rPr>
          <w:noProof/>
        </w:rPr>
        <w:t xml:space="preserve"> depicts the iOS security architecture</w:t>
      </w:r>
      <w:r>
        <w:rPr>
          <w:noProof/>
        </w:rPr>
        <w:fldChar w:fldCharType="begin"/>
      </w:r>
      <w:r>
        <w:rPr>
          <w:noProof/>
        </w:rPr>
        <w:instrText xml:space="preserve"> ADDIN ZOTERO_ITEM CSL_CITATION {"citationID":"gfek68han","properties":{"formattedCitation":"[10]","plainCitation":"[10]"},"citationItems":[{"id":346,"uris":["http://zotero.org/groups/583788/items/K6MNXSAP"],"uri":["http://zotero.org/groups/583788/items/K6</w:instrText>
      </w:r>
      <w:r>
        <w:rPr>
          <w:noProof/>
        </w:rPr>
        <w:instrText>MNXSAP"],"itemData":{"id":346,"type":"webpage","title":"iOS Security (iOS 9.3 or later)","URL":"https://www.apple.com/business/docs/iOS_Security_Guide.pdf","author":[{"family":"Apple","given":""}]}}],"schema":"https://github.com/citation-style-language/sch</w:instrText>
      </w:r>
      <w:r>
        <w:rPr>
          <w:noProof/>
        </w:rPr>
        <w:instrText xml:space="preserve">ema/raw/master/csl-citation.json"} </w:instrText>
      </w:r>
      <w:r>
        <w:rPr>
          <w:noProof/>
        </w:rPr>
        <w:fldChar w:fldCharType="separate"/>
      </w:r>
      <w:r>
        <w:rPr>
          <w:noProof/>
        </w:rPr>
        <w:t>[10]</w:t>
      </w:r>
      <w:r>
        <w:rPr>
          <w:noProof/>
        </w:rPr>
        <w:fldChar w:fldCharType="end"/>
      </w:r>
      <w:r>
        <w:rPr>
          <w:noProof/>
        </w:rPr>
        <w:t>. In the bottom of the picture the kernel, crypto engine, and boot ROM are part of the hardware and firmware parts providing secret and tamper proof storage of security keys, dedicated crypto engine, and kernel wit</w:t>
      </w:r>
      <w:r>
        <w:rPr>
          <w:noProof/>
        </w:rPr>
        <w:t>h secure enclaves and elements. The upper part shows the software deployment including the file system, the OS partition, and the user partition that contain the app sandboxes assigned to specific data protection classes. Both OS and file system partitions</w:t>
      </w:r>
      <w:r>
        <w:rPr>
          <w:noProof/>
        </w:rPr>
        <w:t xml:space="preserve"> are also encrypted in the device flash memory.</w:t>
      </w:r>
    </w:p>
    <w:p w:rsidR="0077224F" w:rsidRDefault="00D973EE">
      <w:pPr>
        <w:keepNext/>
        <w:jc w:val="center"/>
        <w:rPr>
          <w:noProof/>
        </w:rPr>
      </w:pPr>
      <w:r>
        <w:rPr>
          <w:noProof/>
        </w:rPr>
        <w:object w:dxaOrig="6526" w:dyaOrig="4768">
          <v:shape id="_x0000_i1036" type="#_x0000_t75" style="width:326.3pt;height:238.15pt" o:ole="">
            <v:imagedata r:id="rId51" o:title=""/>
          </v:shape>
          <o:OLEObject Type="Embed" ProgID="Visio.Drawing.15" ShapeID="_x0000_i1036" DrawAspect="Content" ObjectID="_1545553414" r:id="rId52"/>
        </w:object>
      </w:r>
    </w:p>
    <w:p w:rsidR="0077224F" w:rsidRDefault="00D973EE">
      <w:pPr>
        <w:pStyle w:val="Caption"/>
        <w:rPr>
          <w:rFonts w:ascii="Verdana" w:hAnsi="Verdana"/>
          <w:noProof/>
          <w:color w:val="auto"/>
          <w:sz w:val="16"/>
          <w:lang w:val="en-GB"/>
        </w:rPr>
      </w:pPr>
      <w:bookmarkStart w:id="766" w:name="_Ref456879532"/>
      <w:bookmarkStart w:id="767" w:name="_Toc466024087"/>
      <w:r>
        <w:rPr>
          <w:rFonts w:ascii="Verdana" w:hAnsi="Verdana"/>
          <w:noProof/>
          <w:color w:val="auto"/>
          <w:sz w:val="16"/>
          <w:lang w:val="en-GB"/>
        </w:rPr>
        <w:t xml:space="preserve">Figure </w:t>
      </w:r>
      <w:r>
        <w:rPr>
          <w:rFonts w:ascii="Verdana" w:hAnsi="Verdana"/>
          <w:noProof/>
          <w:color w:val="auto"/>
          <w:sz w:val="16"/>
          <w:lang w:val="en-GB"/>
        </w:rPr>
        <w:fldChar w:fldCharType="begin"/>
      </w:r>
      <w:r>
        <w:rPr>
          <w:rFonts w:ascii="Verdana" w:hAnsi="Verdana"/>
          <w:noProof/>
          <w:color w:val="auto"/>
          <w:sz w:val="16"/>
          <w:lang w:val="en-GB"/>
        </w:rPr>
        <w:instrText xml:space="preserve"> SEQ Figure \* ARABIC </w:instrText>
      </w:r>
      <w:r>
        <w:rPr>
          <w:rFonts w:ascii="Verdana" w:hAnsi="Verdana"/>
          <w:noProof/>
          <w:color w:val="auto"/>
          <w:sz w:val="16"/>
          <w:lang w:val="en-GB"/>
        </w:rPr>
        <w:fldChar w:fldCharType="separate"/>
      </w:r>
      <w:r>
        <w:rPr>
          <w:rFonts w:ascii="Verdana" w:hAnsi="Verdana"/>
          <w:noProof/>
          <w:color w:val="auto"/>
          <w:sz w:val="16"/>
          <w:lang w:val="en-GB"/>
        </w:rPr>
        <w:t>9</w:t>
      </w:r>
      <w:r>
        <w:rPr>
          <w:rFonts w:ascii="Verdana" w:hAnsi="Verdana"/>
          <w:noProof/>
          <w:color w:val="auto"/>
          <w:sz w:val="16"/>
          <w:lang w:val="en-GB"/>
        </w:rPr>
        <w:fldChar w:fldCharType="end"/>
      </w:r>
      <w:bookmarkEnd w:id="766"/>
      <w:r>
        <w:rPr>
          <w:rFonts w:ascii="Verdana" w:hAnsi="Verdana"/>
          <w:noProof/>
          <w:color w:val="auto"/>
          <w:sz w:val="16"/>
          <w:lang w:val="en-GB"/>
        </w:rPr>
        <w:t xml:space="preserve"> – iOS Security Architecture</w:t>
      </w:r>
      <w:bookmarkEnd w:id="767"/>
    </w:p>
    <w:p w:rsidR="0077224F" w:rsidRDefault="00D973EE">
      <w:pPr>
        <w:rPr>
          <w:noProof/>
        </w:rPr>
      </w:pPr>
      <w:r>
        <w:rPr>
          <w:noProof/>
        </w:rPr>
        <w:t xml:space="preserve">iOS devices implement a </w:t>
      </w:r>
      <w:r>
        <w:rPr>
          <w:b/>
          <w:noProof/>
        </w:rPr>
        <w:t>secure/trusted boot chain</w:t>
      </w:r>
      <w:r>
        <w:rPr>
          <w:noProof/>
        </w:rPr>
        <w:t xml:space="preserve"> where only code signed by Apple is allowed to be loaded and execute</w:t>
      </w:r>
      <w:r>
        <w:rPr>
          <w:noProof/>
        </w:rPr>
        <w:t>d. The secure boot starts with the boot ROM, which is the first executable immutable code written in the hardware during chip manufacturing and contains the Apple root CA public key. This codes verifies the Low-level Bootloader (LLB) is signed by Apple and</w:t>
      </w:r>
      <w:r>
        <w:rPr>
          <w:noProof/>
        </w:rPr>
        <w:t xml:space="preserve"> only passes execution control to it in case the signature is verified. The LLB executes, performs the device initialization, and only passes control to the next-stage bootloader if the signature matches again. This chain of trusted starting by the boot RO</w:t>
      </w:r>
      <w:r>
        <w:rPr>
          <w:noProof/>
        </w:rPr>
        <w:t>M, acting as the hardware root of trust, guarantees that only signed code by Apple executes in the devices running iOS.</w:t>
      </w:r>
    </w:p>
    <w:p w:rsidR="0077224F" w:rsidRDefault="00D973EE">
      <w:pPr>
        <w:rPr>
          <w:noProof/>
        </w:rPr>
      </w:pPr>
      <w:r>
        <w:rPr>
          <w:noProof/>
        </w:rPr>
        <w:t xml:space="preserve">By default, iOS is a </w:t>
      </w:r>
      <w:r>
        <w:rPr>
          <w:b/>
          <w:noProof/>
        </w:rPr>
        <w:t>stripped down</w:t>
      </w:r>
      <w:r>
        <w:rPr>
          <w:noProof/>
        </w:rPr>
        <w:t xml:space="preserve"> OS as it does not include many binaries found in standard unix distributions (e.g., /bin/sh shell), a</w:t>
      </w:r>
      <w:r>
        <w:rPr>
          <w:noProof/>
        </w:rPr>
        <w:t>nd other utilities such as ls, rm, ps, etc. Therefore, attackers cannot use these utilities to perform analysis of the running system and in case an exploit is found for code execution no shell code can be launched and there is a limited number of activiti</w:t>
      </w:r>
      <w:r>
        <w:rPr>
          <w:noProof/>
        </w:rPr>
        <w:t>es that can be run by an attacker.</w:t>
      </w:r>
    </w:p>
    <w:p w:rsidR="0077224F" w:rsidRDefault="00D973EE">
      <w:pPr>
        <w:rPr>
          <w:noProof/>
        </w:rPr>
      </w:pPr>
      <w:r>
        <w:rPr>
          <w:noProof/>
        </w:rPr>
        <w:t xml:space="preserve">In the same way as Android, iOS implements </w:t>
      </w:r>
      <w:r>
        <w:rPr>
          <w:b/>
          <w:noProof/>
        </w:rPr>
        <w:t>privilege separation</w:t>
      </w:r>
      <w:r>
        <w:rPr>
          <w:noProof/>
        </w:rPr>
        <w:t xml:space="preserve"> and most processes run as a “mobile” user, for example, “MobileSafari”, etc. Access to many system resources requires superuser/root privileges, and in some </w:t>
      </w:r>
      <w:r>
        <w:rPr>
          <w:noProof/>
        </w:rPr>
        <w:t>cases even the superuser is not allowed to perform some tasks (for example to modify the OS executables without breaking the signature).</w:t>
      </w:r>
    </w:p>
    <w:p w:rsidR="0077224F" w:rsidRDefault="00D973EE">
      <w:pPr>
        <w:rPr>
          <w:noProof/>
        </w:rPr>
      </w:pPr>
      <w:r>
        <w:rPr>
          <w:noProof/>
        </w:rPr>
        <w:t xml:space="preserve">All iOS devices include a dedicated AES 256 </w:t>
      </w:r>
      <w:r>
        <w:rPr>
          <w:b/>
          <w:noProof/>
        </w:rPr>
        <w:t>crypto engine</w:t>
      </w:r>
      <w:r>
        <w:rPr>
          <w:noProof/>
        </w:rPr>
        <w:t xml:space="preserve"> built into the Direct Memory Access (DMA) path between the fl</w:t>
      </w:r>
      <w:r>
        <w:rPr>
          <w:noProof/>
        </w:rPr>
        <w:t>ash storage and the main memory, allowing for highly efficient data encryption at runtime. The encryption keys are generated using a device unique ID and group ID created during manufacturing and are not visible to Apple or to any other system component. A</w:t>
      </w:r>
      <w:r>
        <w:rPr>
          <w:noProof/>
        </w:rPr>
        <w:t>ll data is therefore protected in memory using these tamper proof encryption keys. Files in the device’s flash storage are also protected using encryption by assigning each file a class, where the accessibility is determined by the unlocking of a particula</w:t>
      </w:r>
      <w:r>
        <w:rPr>
          <w:noProof/>
        </w:rPr>
        <w:t>r data protection class by any given application.</w:t>
      </w:r>
    </w:p>
    <w:p w:rsidR="0077224F" w:rsidRDefault="00D973EE">
      <w:pPr>
        <w:rPr>
          <w:noProof/>
        </w:rPr>
      </w:pPr>
      <w:r>
        <w:rPr>
          <w:noProof/>
        </w:rPr>
        <w:t xml:space="preserve">Vulnerabilities have been found in iOS allowing users to overwrite the OS code allowing the execution of code not signed by Apple. These vulnerabilities allowed users to </w:t>
      </w:r>
      <w:r>
        <w:rPr>
          <w:b/>
          <w:i/>
          <w:noProof/>
        </w:rPr>
        <w:t>jailbreak</w:t>
      </w:r>
      <w:r>
        <w:rPr>
          <w:noProof/>
        </w:rPr>
        <w:t xml:space="preserve"> their devices, usually in </w:t>
      </w:r>
      <w:r>
        <w:rPr>
          <w:noProof/>
        </w:rPr>
        <w:t xml:space="preserve">untethered or tethered mode. An untethered jailbreak allows permanent violation of the chain of trust, while a tethered jailbreak required the phone to be plugged to a computer and the exploit has to be re-applied every time the phone is restarted to keep </w:t>
      </w:r>
      <w:r>
        <w:rPr>
          <w:noProof/>
        </w:rPr>
        <w:t>the device jailbroken. iOS also enforces a system software authorization process preventing users from downgrading their iOS devices, after a newer or updated version is installed it is impossible to roll back to the older and possibly vulnerable version.</w:t>
      </w:r>
    </w:p>
    <w:p w:rsidR="0077224F" w:rsidRDefault="00D973EE">
      <w:pPr>
        <w:rPr>
          <w:b/>
          <w:noProof/>
        </w:rPr>
      </w:pPr>
      <w:r>
        <w:rPr>
          <w:noProof/>
        </w:rPr>
        <w:t>Jailbreaking an iOS device essentially breaks all the security architecture since it disables code signing requirements, disables many memory protection mechanisms, usually adds user shell and remote shell access (sshd server), and adds many other user uti</w:t>
      </w:r>
      <w:r>
        <w:rPr>
          <w:noProof/>
        </w:rPr>
        <w:t xml:space="preserve">lities with the objective of increasing the system’s functionality and customization. On one hand users benefit significantly of jailbreaking their devices, however, on the other hand they also increase significantly the attack surface of their devices. </w:t>
      </w:r>
    </w:p>
    <w:p w:rsidR="0077224F" w:rsidRDefault="00D973EE">
      <w:pPr>
        <w:pStyle w:val="Heading3"/>
        <w:rPr>
          <w:noProof/>
        </w:rPr>
      </w:pPr>
      <w:bookmarkStart w:id="768" w:name="_Toc458015475"/>
      <w:bookmarkStart w:id="769" w:name="_Toc458158005"/>
      <w:bookmarkStart w:id="770" w:name="_Toc465876786"/>
      <w:bookmarkStart w:id="771" w:name="_Toc466024053"/>
      <w:bookmarkStart w:id="772" w:name="_Toc468790061"/>
      <w:bookmarkStart w:id="773" w:name="_Toc468794893"/>
      <w:bookmarkStart w:id="774" w:name="_Toc468795201"/>
      <w:r>
        <w:rPr>
          <w:noProof/>
        </w:rPr>
        <w:t>A</w:t>
      </w:r>
      <w:r>
        <w:rPr>
          <w:noProof/>
        </w:rPr>
        <w:t>pp Execution Environment</w:t>
      </w:r>
      <w:bookmarkEnd w:id="768"/>
      <w:bookmarkEnd w:id="769"/>
      <w:bookmarkEnd w:id="770"/>
      <w:bookmarkEnd w:id="771"/>
      <w:bookmarkEnd w:id="772"/>
      <w:bookmarkEnd w:id="773"/>
      <w:bookmarkEnd w:id="774"/>
    </w:p>
    <w:p w:rsidR="0077224F" w:rsidRDefault="00D973EE">
      <w:pPr>
        <w:rPr>
          <w:noProof/>
        </w:rPr>
      </w:pPr>
      <w:r>
        <w:rPr>
          <w:noProof/>
        </w:rPr>
        <w:t>All apps are signed and only signed code may be executed at runtime. This feature prevents the introduction of arbitrary code and any change to the executable, allowing only code that has been reviewed by Apple to run in the mobile</w:t>
      </w:r>
      <w:r>
        <w:rPr>
          <w:noProof/>
        </w:rPr>
        <w:t xml:space="preserve"> device.</w:t>
      </w:r>
    </w:p>
    <w:p w:rsidR="0077224F" w:rsidRDefault="00D973EE">
      <w:pPr>
        <w:rPr>
          <w:noProof/>
        </w:rPr>
      </w:pPr>
      <w:r>
        <w:rPr>
          <w:noProof/>
        </w:rPr>
        <w:t xml:space="preserve">The runtime data areas of an iOS app (e.g., stack and heap) are marked </w:t>
      </w:r>
      <w:r>
        <w:rPr>
          <w:b/>
          <w:noProof/>
        </w:rPr>
        <w:t>non-executable</w:t>
      </w:r>
      <w:r>
        <w:rPr>
          <w:noProof/>
        </w:rPr>
        <w:t xml:space="preserve"> and at runtime no writable memory area can become executable. This low-level protection scheme prevents attackers from writing executable code in the memory and </w:t>
      </w:r>
      <w:r>
        <w:rPr>
          <w:noProof/>
        </w:rPr>
        <w:t xml:space="preserve">exploiting vulnerabilities in order to make the processor execute this code. </w:t>
      </w:r>
    </w:p>
    <w:p w:rsidR="0077224F" w:rsidRDefault="00D973EE">
      <w:pPr>
        <w:rPr>
          <w:noProof/>
        </w:rPr>
      </w:pPr>
      <w:r>
        <w:rPr>
          <w:noProof/>
        </w:rPr>
        <w:t xml:space="preserve">When loading an app the iOS execution environment implements </w:t>
      </w:r>
      <w:r>
        <w:rPr>
          <w:b/>
          <w:noProof/>
        </w:rPr>
        <w:t>Address Space Layout Randomization</w:t>
      </w:r>
      <w:r>
        <w:rPr>
          <w:noProof/>
        </w:rPr>
        <w:t xml:space="preserve"> (ASLR) for the app execution artefacts including binary, libraries, dynamic loader, heap, stack, etc. Furthermore, it also supports Position Independent Executable (PIE) code, meaning that the app execution artefacts can be randomly positioned in the memo</w:t>
      </w:r>
      <w:r>
        <w:rPr>
          <w:noProof/>
        </w:rPr>
        <w:t xml:space="preserve">ry in order to prevent certain attacks, for example, a buffer overflow that could allow an attacker to selectively redirect the program to specific instructions in memory since their memory location would always be the same. </w:t>
      </w:r>
    </w:p>
    <w:p w:rsidR="0077224F" w:rsidRDefault="00D973EE">
      <w:pPr>
        <w:rPr>
          <w:noProof/>
        </w:rPr>
      </w:pPr>
      <w:r>
        <w:rPr>
          <w:noProof/>
        </w:rPr>
        <w:t>All user-installed apps run in</w:t>
      </w:r>
      <w:r>
        <w:rPr>
          <w:noProof/>
        </w:rPr>
        <w:t xml:space="preserve"> a </w:t>
      </w:r>
      <w:r>
        <w:rPr>
          <w:b/>
          <w:noProof/>
        </w:rPr>
        <w:t>sandbox</w:t>
      </w:r>
      <w:r>
        <w:rPr>
          <w:noProof/>
        </w:rPr>
        <w:t xml:space="preserve"> with a limited set of permissions and restricted file system access. Apple-developed applications have a less restrictive sandbox since they are compiled in the kernel and can, for instance, open the SMS database but are not allowed to fork thei</w:t>
      </w:r>
      <w:r>
        <w:rPr>
          <w:noProof/>
        </w:rPr>
        <w:t xml:space="preserve">r process or send SMS messages. </w:t>
      </w:r>
    </w:p>
    <w:p w:rsidR="0077224F" w:rsidRDefault="00D973EE">
      <w:pPr>
        <w:pStyle w:val="Heading3"/>
        <w:rPr>
          <w:noProof/>
        </w:rPr>
      </w:pPr>
      <w:bookmarkStart w:id="775" w:name="_Toc458015476"/>
      <w:bookmarkStart w:id="776" w:name="_Toc458158006"/>
      <w:bookmarkStart w:id="777" w:name="_Toc465876787"/>
      <w:bookmarkStart w:id="778" w:name="_Toc466024054"/>
      <w:bookmarkStart w:id="779" w:name="_Toc468790062"/>
      <w:bookmarkStart w:id="780" w:name="_Toc468794894"/>
      <w:bookmarkStart w:id="781" w:name="_Toc468795202"/>
      <w:r>
        <w:rPr>
          <w:noProof/>
        </w:rPr>
        <w:t>Permission Management Model</w:t>
      </w:r>
      <w:bookmarkEnd w:id="775"/>
      <w:bookmarkEnd w:id="776"/>
      <w:bookmarkEnd w:id="777"/>
      <w:bookmarkEnd w:id="778"/>
      <w:bookmarkEnd w:id="779"/>
      <w:bookmarkEnd w:id="780"/>
      <w:bookmarkEnd w:id="781"/>
    </w:p>
    <w:p w:rsidR="0077224F" w:rsidRDefault="00D973EE">
      <w:pPr>
        <w:rPr>
          <w:noProof/>
        </w:rPr>
      </w:pPr>
      <w:r>
        <w:rPr>
          <w:noProof/>
        </w:rPr>
        <w:t>The list of permissions associated with an app are called “entitlements” in iOS. iOS apps may also set specific entitlements representing specific capabilities or security permissions. Entitlemen</w:t>
      </w:r>
      <w:r>
        <w:rPr>
          <w:noProof/>
        </w:rPr>
        <w:t>ts may be set for iCloud data storage or push notifications to alert the user even when the app is not running. In iOS, when you download and install an application you are not shown a list of the permissions it requires. Instead, all applications by defau</w:t>
      </w:r>
      <w:r>
        <w:rPr>
          <w:noProof/>
        </w:rPr>
        <w:t xml:space="preserve">lt are granted the basic permissions as defined by iOS. Later on, when the application is running and a special/sensitive permission is required by the app, the user is prompted in order to grant or deny the permission request (see </w:t>
      </w:r>
      <w:r>
        <w:rPr>
          <w:noProof/>
        </w:rPr>
        <w:fldChar w:fldCharType="begin"/>
      </w:r>
      <w:r>
        <w:rPr>
          <w:noProof/>
        </w:rPr>
        <w:instrText xml:space="preserve"> REF _Ref456948355 \h  \</w:instrText>
      </w:r>
      <w:r>
        <w:rPr>
          <w:noProof/>
        </w:rPr>
        <w:instrText xml:space="preserve">* MERGEFORMAT </w:instrText>
      </w:r>
      <w:r>
        <w:rPr>
          <w:noProof/>
        </w:rPr>
      </w:r>
      <w:r>
        <w:rPr>
          <w:noProof/>
        </w:rPr>
        <w:fldChar w:fldCharType="separate"/>
      </w:r>
      <w:r>
        <w:rPr>
          <w:noProof/>
        </w:rPr>
        <w:t>Figure 10</w:t>
      </w:r>
      <w:r>
        <w:rPr>
          <w:noProof/>
        </w:rPr>
        <w:fldChar w:fldCharType="end"/>
      </w:r>
      <w:r>
        <w:rPr>
          <w:noProof/>
        </w:rPr>
        <w:t>). Moreover, from the settings and the privacy tab the user can see a list of all the permissions, the applications that use them, and can change the desired settings</w:t>
      </w:r>
      <w:r>
        <w:rPr>
          <w:noProof/>
        </w:rPr>
        <w:t xml:space="preserve"> directly from there by granting/denying the permission for each respective app (see </w:t>
      </w:r>
      <w:r>
        <w:rPr>
          <w:noProof/>
        </w:rPr>
        <w:fldChar w:fldCharType="begin"/>
      </w:r>
      <w:r>
        <w:rPr>
          <w:noProof/>
        </w:rPr>
        <w:instrText xml:space="preserve"> REF _Ref456959517 \h  \* MERGEFORMAT </w:instrText>
      </w:r>
      <w:r>
        <w:rPr>
          <w:noProof/>
        </w:rPr>
      </w:r>
      <w:r>
        <w:rPr>
          <w:noProof/>
        </w:rPr>
        <w:fldChar w:fldCharType="separate"/>
      </w:r>
      <w:r>
        <w:rPr>
          <w:noProof/>
        </w:rPr>
        <w:t>Figure 11</w:t>
      </w:r>
      <w:r>
        <w:rPr>
          <w:noProof/>
        </w:rPr>
        <w:fldChar w:fldCharType="end"/>
      </w:r>
      <w:r>
        <w:rPr>
          <w:noProof/>
        </w:rPr>
        <w:t>).</w:t>
      </w:r>
    </w:p>
    <w:p w:rsidR="0077224F" w:rsidRDefault="0077224F">
      <w:pPr>
        <w:rPr>
          <w:noProof/>
        </w:rPr>
      </w:pPr>
    </w:p>
    <w:p w:rsidR="0077224F" w:rsidRDefault="00D973EE">
      <w:pPr>
        <w:keepNext/>
        <w:rPr>
          <w:noProof/>
        </w:rPr>
      </w:pPr>
      <w:r>
        <w:rPr>
          <w:noProof/>
          <w:lang w:eastAsia="zh-CN"/>
        </w:rPr>
        <mc:AlternateContent>
          <mc:Choice Requires="wps">
            <w:drawing>
              <wp:anchor distT="0" distB="0" distL="114300" distR="114300" simplePos="0" relativeHeight="251751936" behindDoc="0" locked="0" layoutInCell="1" allowOverlap="1" wp14:anchorId="66C4226C" wp14:editId="0D698698">
                <wp:simplePos x="0" y="0"/>
                <wp:positionH relativeFrom="column">
                  <wp:posOffset>347345</wp:posOffset>
                </wp:positionH>
                <wp:positionV relativeFrom="paragraph">
                  <wp:posOffset>1128395</wp:posOffset>
                </wp:positionV>
                <wp:extent cx="2130425" cy="6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130425" cy="635"/>
                        </a:xfrm>
                        <a:prstGeom prst="rect">
                          <a:avLst/>
                        </a:prstGeom>
                        <a:solidFill>
                          <a:prstClr val="white"/>
                        </a:solidFill>
                        <a:ln>
                          <a:noFill/>
                        </a:ln>
                      </wps:spPr>
                      <wps:txbx>
                        <w:txbxContent>
                          <w:p w:rsidR="0077224F" w:rsidRDefault="00D973EE">
                            <w:pPr>
                              <w:pStyle w:val="Caption"/>
                              <w:rPr>
                                <w:rFonts w:ascii="Verdana" w:hAnsi="Verdana"/>
                                <w:color w:val="auto"/>
                                <w:sz w:val="16"/>
                                <w:lang w:val="en-GB"/>
                              </w:rPr>
                            </w:pPr>
                            <w:bookmarkStart w:id="782" w:name="_Ref456948355"/>
                            <w:bookmarkStart w:id="783" w:name="_Toc466024088"/>
                            <w:r>
                              <w:rPr>
                                <w:rFonts w:ascii="Verdana" w:hAnsi="Verdana"/>
                                <w:color w:val="auto"/>
                                <w:sz w:val="16"/>
                                <w:lang w:val="en-GB"/>
                              </w:rPr>
                              <w:t xml:space="preserve">Figure </w:t>
                            </w:r>
                            <w:r>
                              <w:rPr>
                                <w:rFonts w:ascii="Verdana" w:hAnsi="Verdana"/>
                                <w:color w:val="auto"/>
                                <w:sz w:val="16"/>
                                <w:lang w:val="en-GB"/>
                              </w:rPr>
                              <w:fldChar w:fldCharType="begin"/>
                            </w:r>
                            <w:r>
                              <w:rPr>
                                <w:rFonts w:ascii="Verdana" w:hAnsi="Verdana"/>
                                <w:color w:val="auto"/>
                                <w:sz w:val="16"/>
                                <w:lang w:val="en-GB"/>
                              </w:rPr>
                              <w:instrText xml:space="preserve"> SEQ Figure \* ARABIC </w:instrText>
                            </w:r>
                            <w:r>
                              <w:rPr>
                                <w:rFonts w:ascii="Verdana" w:hAnsi="Verdana"/>
                                <w:color w:val="auto"/>
                                <w:sz w:val="16"/>
                                <w:lang w:val="en-GB"/>
                              </w:rPr>
                              <w:fldChar w:fldCharType="separate"/>
                            </w:r>
                            <w:r>
                              <w:rPr>
                                <w:rFonts w:ascii="Verdana" w:hAnsi="Verdana"/>
                                <w:noProof/>
                                <w:color w:val="auto"/>
                                <w:sz w:val="16"/>
                                <w:lang w:val="en-GB"/>
                              </w:rPr>
                              <w:t>10</w:t>
                            </w:r>
                            <w:r>
                              <w:rPr>
                                <w:rFonts w:ascii="Verdana" w:hAnsi="Verdana"/>
                                <w:color w:val="auto"/>
                                <w:sz w:val="16"/>
                                <w:lang w:val="en-GB"/>
                              </w:rPr>
                              <w:fldChar w:fldCharType="end"/>
                            </w:r>
                            <w:bookmarkEnd w:id="782"/>
                            <w:r>
                              <w:rPr>
                                <w:rFonts w:ascii="Verdana" w:hAnsi="Verdana"/>
                                <w:color w:val="auto"/>
                                <w:sz w:val="16"/>
                                <w:lang w:val="en-GB"/>
                              </w:rPr>
                              <w:t xml:space="preserve"> – An app is as</w:t>
                            </w:r>
                            <w:r>
                              <w:rPr>
                                <w:rFonts w:ascii="Verdana" w:hAnsi="Verdana"/>
                                <w:color w:val="auto"/>
                                <w:sz w:val="16"/>
                                <w:lang w:val="en-GB"/>
                              </w:rPr>
                              <w:t>king to access the location data in iOS</w:t>
                            </w:r>
                            <w:bookmarkEnd w:id="7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8" o:spid="_x0000_s1034" type="#_x0000_t202" style="position:absolute;left:0;text-align:left;margin-left:27.35pt;margin-top:88.85pt;width:167.75pt;height:.05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" stroked="f">
                <v:textbox style="mso-fit-shape-to-text:t" inset="0,0,0,0">
                  <w:txbxContent>
                    <w:p w:rsidR="0077224F" w:rsidRDefault="00D973EE">
                      <w:pPr>
                        <w:pStyle w:val="Caption"/>
                        <w:rPr>
                          <w:rFonts w:ascii="Verdana" w:hAnsi="Verdana"/>
                          <w:color w:val="auto"/>
                          <w:sz w:val="16"/>
                          <w:lang w:val="en-GB"/>
                        </w:rPr>
                      </w:pPr>
                      <w:bookmarkStart w:id="784" w:name="_Ref456948355"/>
                      <w:bookmarkStart w:id="785" w:name="_Toc466024088"/>
                      <w:r>
                        <w:rPr>
                          <w:rFonts w:ascii="Verdana" w:hAnsi="Verdana"/>
                          <w:color w:val="auto"/>
                          <w:sz w:val="16"/>
                          <w:lang w:val="en-GB"/>
                        </w:rPr>
                        <w:t xml:space="preserve">Figure </w:t>
                      </w:r>
                      <w:r>
                        <w:rPr>
                          <w:rFonts w:ascii="Verdana" w:hAnsi="Verdana"/>
                          <w:color w:val="auto"/>
                          <w:sz w:val="16"/>
                          <w:lang w:val="en-GB"/>
                        </w:rPr>
                        <w:fldChar w:fldCharType="begin"/>
                      </w:r>
                      <w:r>
                        <w:rPr>
                          <w:rFonts w:ascii="Verdana" w:hAnsi="Verdana"/>
                          <w:color w:val="auto"/>
                          <w:sz w:val="16"/>
                          <w:lang w:val="en-GB"/>
                        </w:rPr>
                        <w:instrText xml:space="preserve"> SEQ Figure \* ARABIC </w:instrText>
                      </w:r>
                      <w:r>
                        <w:rPr>
                          <w:rFonts w:ascii="Verdana" w:hAnsi="Verdana"/>
                          <w:color w:val="auto"/>
                          <w:sz w:val="16"/>
                          <w:lang w:val="en-GB"/>
                        </w:rPr>
                        <w:fldChar w:fldCharType="separate"/>
                      </w:r>
                      <w:r>
                        <w:rPr>
                          <w:rFonts w:ascii="Verdana" w:hAnsi="Verdana"/>
                          <w:noProof/>
                          <w:color w:val="auto"/>
                          <w:sz w:val="16"/>
                          <w:lang w:val="en-GB"/>
                        </w:rPr>
                        <w:t>10</w:t>
                      </w:r>
                      <w:r>
                        <w:rPr>
                          <w:rFonts w:ascii="Verdana" w:hAnsi="Verdana"/>
                          <w:color w:val="auto"/>
                          <w:sz w:val="16"/>
                          <w:lang w:val="en-GB"/>
                        </w:rPr>
                        <w:fldChar w:fldCharType="end"/>
                      </w:r>
                      <w:bookmarkEnd w:id="784"/>
                      <w:r>
                        <w:rPr>
                          <w:rFonts w:ascii="Verdana" w:hAnsi="Verdana"/>
                          <w:color w:val="auto"/>
                          <w:sz w:val="16"/>
                          <w:lang w:val="en-GB"/>
                        </w:rPr>
                        <w:t xml:space="preserve"> – An app is as</w:t>
                      </w:r>
                      <w:r>
                        <w:rPr>
                          <w:rFonts w:ascii="Verdana" w:hAnsi="Verdana"/>
                          <w:color w:val="auto"/>
                          <w:sz w:val="16"/>
                          <w:lang w:val="en-GB"/>
                        </w:rPr>
                        <w:t>king to access the location data in iOS</w:t>
                      </w:r>
                      <w:bookmarkEnd w:id="785"/>
                    </w:p>
                  </w:txbxContent>
                </v:textbox>
                <w10:wrap type="square"/>
              </v:shape>
            </w:pict>
          </mc:Fallback>
        </mc:AlternateContent>
      </w:r>
      <w:r>
        <w:rPr>
          <w:noProof/>
          <w:lang w:eastAsia="zh-CN"/>
        </w:rPr>
        <w:drawing>
          <wp:anchor distT="0" distB="0" distL="114300" distR="114300" simplePos="0" relativeHeight="251748864" behindDoc="0" locked="0" layoutInCell="1" allowOverlap="1" wp14:anchorId="245D2447" wp14:editId="24456DF8">
            <wp:simplePos x="0" y="0"/>
            <wp:positionH relativeFrom="column">
              <wp:posOffset>347345</wp:posOffset>
            </wp:positionH>
            <wp:positionV relativeFrom="paragraph">
              <wp:posOffset>80010</wp:posOffset>
            </wp:positionV>
            <wp:extent cx="2130425" cy="991235"/>
            <wp:effectExtent l="0" t="0" r="3175" b="0"/>
            <wp:wrapSquare wrapText="bothSides"/>
            <wp:docPr id="25" name="Picture 25" descr="http://www.howtogeek.com/wp-content/uploads/2013/12/650x300xios-permission-prompt4.png.pagespeed.gp+jp+jw+pj+js+rj+rp+rw+ri+cp+md.ic.oGRHL_FQ0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wtogeek.com/wp-content/uploads/2013/12/650x300xios-permission-prompt4.png.pagespeed.gp+jp+jw+pj+js+rj+rp+rw+ri+cp+md.ic.oGRHL_FQ0r.png"/>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2130425" cy="991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49888" behindDoc="0" locked="0" layoutInCell="1" allowOverlap="1" wp14:anchorId="16988316" wp14:editId="73E99B1C">
            <wp:simplePos x="0" y="0"/>
            <wp:positionH relativeFrom="column">
              <wp:posOffset>3441255</wp:posOffset>
            </wp:positionH>
            <wp:positionV relativeFrom="paragraph">
              <wp:posOffset>10160</wp:posOffset>
            </wp:positionV>
            <wp:extent cx="2157730" cy="2113280"/>
            <wp:effectExtent l="0" t="0" r="0" b="1270"/>
            <wp:wrapSquare wrapText="bothSides"/>
            <wp:docPr id="26" name="Picture 26" descr="http://www.blogcdn.com/media/2012/09/screen-shot-2012-09-18-at-7.44.26-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logcdn.com/media/2012/09/screen-shot-2012-09-18-at-7.44.26-pm.pn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157730" cy="211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24F" w:rsidRDefault="0077224F">
      <w:pPr>
        <w:pStyle w:val="Caption"/>
        <w:jc w:val="both"/>
        <w:rPr>
          <w:rFonts w:ascii="Verdana" w:hAnsi="Verdana"/>
          <w:noProof/>
          <w:lang w:val="en-GB"/>
        </w:rPr>
      </w:pPr>
    </w:p>
    <w:p w:rsidR="0077224F" w:rsidRDefault="0077224F">
      <w:pPr>
        <w:pStyle w:val="Caption"/>
        <w:jc w:val="both"/>
        <w:rPr>
          <w:rFonts w:ascii="Verdana" w:hAnsi="Verdana"/>
          <w:noProof/>
          <w:lang w:val="en-GB"/>
        </w:rPr>
      </w:pPr>
    </w:p>
    <w:p w:rsidR="0077224F" w:rsidRDefault="0077224F">
      <w:pPr>
        <w:pStyle w:val="Caption"/>
        <w:jc w:val="both"/>
        <w:rPr>
          <w:rFonts w:ascii="Verdana" w:hAnsi="Verdana"/>
          <w:noProof/>
          <w:lang w:val="en-GB"/>
        </w:rPr>
      </w:pPr>
    </w:p>
    <w:p w:rsidR="0077224F" w:rsidRDefault="0077224F">
      <w:pPr>
        <w:pStyle w:val="Caption"/>
        <w:jc w:val="both"/>
        <w:rPr>
          <w:rFonts w:ascii="Verdana" w:hAnsi="Verdana"/>
          <w:noProof/>
          <w:lang w:val="en-GB"/>
        </w:rPr>
      </w:pPr>
    </w:p>
    <w:p w:rsidR="0077224F" w:rsidRDefault="00D973EE">
      <w:pPr>
        <w:pStyle w:val="Caption"/>
        <w:ind w:left="5040"/>
        <w:rPr>
          <w:rFonts w:ascii="Verdana" w:hAnsi="Verdana"/>
          <w:noProof/>
          <w:color w:val="auto"/>
          <w:sz w:val="16"/>
          <w:lang w:val="en-GB"/>
        </w:rPr>
      </w:pPr>
      <w:bookmarkStart w:id="786" w:name="_Ref456959517"/>
      <w:bookmarkStart w:id="787" w:name="_Toc466024089"/>
      <w:r>
        <w:rPr>
          <w:rFonts w:ascii="Verdana" w:hAnsi="Verdana"/>
          <w:noProof/>
          <w:color w:val="auto"/>
          <w:sz w:val="16"/>
          <w:lang w:val="en-GB"/>
        </w:rPr>
        <w:t xml:space="preserve">Figure </w:t>
      </w:r>
      <w:r>
        <w:rPr>
          <w:rFonts w:ascii="Verdana" w:hAnsi="Verdana"/>
          <w:noProof/>
          <w:color w:val="auto"/>
          <w:sz w:val="16"/>
          <w:lang w:val="en-GB"/>
        </w:rPr>
        <w:fldChar w:fldCharType="begin"/>
      </w:r>
      <w:r>
        <w:rPr>
          <w:rFonts w:ascii="Verdana" w:hAnsi="Verdana"/>
          <w:noProof/>
          <w:color w:val="auto"/>
          <w:sz w:val="16"/>
          <w:lang w:val="en-GB"/>
        </w:rPr>
        <w:instrText xml:space="preserve"> SEQ Figure \* ARABIC </w:instrText>
      </w:r>
      <w:r>
        <w:rPr>
          <w:rFonts w:ascii="Verdana" w:hAnsi="Verdana"/>
          <w:noProof/>
          <w:color w:val="auto"/>
          <w:sz w:val="16"/>
          <w:lang w:val="en-GB"/>
        </w:rPr>
        <w:fldChar w:fldCharType="separate"/>
      </w:r>
      <w:r>
        <w:rPr>
          <w:rFonts w:ascii="Verdana" w:hAnsi="Verdana"/>
          <w:noProof/>
          <w:color w:val="auto"/>
          <w:sz w:val="16"/>
          <w:lang w:val="en-GB"/>
        </w:rPr>
        <w:t>11</w:t>
      </w:r>
      <w:r>
        <w:rPr>
          <w:rFonts w:ascii="Verdana" w:hAnsi="Verdana"/>
          <w:noProof/>
          <w:color w:val="auto"/>
          <w:sz w:val="16"/>
          <w:lang w:val="en-GB"/>
        </w:rPr>
        <w:fldChar w:fldCharType="end"/>
      </w:r>
      <w:bookmarkEnd w:id="786"/>
      <w:r>
        <w:rPr>
          <w:rFonts w:ascii="Verdana" w:hAnsi="Verdana"/>
          <w:noProof/>
          <w:color w:val="auto"/>
          <w:sz w:val="16"/>
          <w:lang w:val="en-GB"/>
        </w:rPr>
        <w:t xml:space="preserve"> – Just as on Android 6.0, the user can manually change all permissions in iOS</w:t>
      </w:r>
      <w:bookmarkEnd w:id="787"/>
    </w:p>
    <w:p w:rsidR="0077224F" w:rsidRDefault="00D973EE">
      <w:pPr>
        <w:pStyle w:val="Heading3"/>
        <w:rPr>
          <w:noProof/>
        </w:rPr>
      </w:pPr>
      <w:bookmarkStart w:id="788" w:name="_Toc458015477"/>
      <w:bookmarkStart w:id="789" w:name="_Toc458158007"/>
      <w:bookmarkStart w:id="790" w:name="_Toc465876788"/>
      <w:bookmarkStart w:id="791" w:name="_Toc466024055"/>
      <w:bookmarkStart w:id="792" w:name="_Toc468790063"/>
      <w:bookmarkStart w:id="793" w:name="_Toc468794895"/>
      <w:bookmarkStart w:id="794" w:name="_Toc468795203"/>
      <w:r>
        <w:rPr>
          <w:noProof/>
        </w:rPr>
        <w:t>App Distribution and Code Protection</w:t>
      </w:r>
      <w:bookmarkEnd w:id="788"/>
      <w:bookmarkEnd w:id="789"/>
      <w:bookmarkEnd w:id="790"/>
      <w:bookmarkEnd w:id="791"/>
      <w:bookmarkEnd w:id="792"/>
      <w:bookmarkEnd w:id="793"/>
      <w:bookmarkEnd w:id="794"/>
    </w:p>
    <w:p w:rsidR="0077224F" w:rsidRDefault="00D973EE">
      <w:pPr>
        <w:rPr>
          <w:noProof/>
        </w:rPr>
      </w:pPr>
      <w:r>
        <w:rPr>
          <w:noProof/>
        </w:rPr>
        <w:t>In iOS apps can only be downloaded and installed through the App Store, which acts as an anti-virus against malicious developers. Apple verifies the real-world identities of all developers that are allowed to publish apps in the App Store. All apps are rev</w:t>
      </w:r>
      <w:r>
        <w:rPr>
          <w:noProof/>
        </w:rPr>
        <w:t xml:space="preserve">iewed by Apple before they are made available and only </w:t>
      </w:r>
      <w:r>
        <w:rPr>
          <w:b/>
          <w:noProof/>
        </w:rPr>
        <w:t>apps signed</w:t>
      </w:r>
      <w:r>
        <w:rPr>
          <w:noProof/>
        </w:rPr>
        <w:t xml:space="preserve"> by Apple are allowed to be installed in iOS devices.</w:t>
      </w:r>
    </w:p>
    <w:p w:rsidR="0077224F" w:rsidRDefault="00D973EE">
      <w:pPr>
        <w:rPr>
          <w:noProof/>
        </w:rPr>
      </w:pPr>
      <w:r>
        <w:rPr>
          <w:noProof/>
        </w:rPr>
        <w:t>Apps can also be packaged and provisioned to be installed on specific devices without going through the App Store. In order to be instal</w:t>
      </w:r>
      <w:r>
        <w:rPr>
          <w:noProof/>
        </w:rPr>
        <w:t>led these apps must include the list of all device IDs they will be provisioned to, which may be a solution for enterprise apps that should not go through the App Store.</w:t>
      </w:r>
    </w:p>
    <w:p w:rsidR="0077224F" w:rsidRDefault="00D973EE">
      <w:pPr>
        <w:pStyle w:val="Heading3"/>
        <w:rPr>
          <w:noProof/>
        </w:rPr>
      </w:pPr>
      <w:bookmarkStart w:id="795" w:name="_Toc458015478"/>
      <w:bookmarkStart w:id="796" w:name="_Toc458158008"/>
      <w:bookmarkStart w:id="797" w:name="_Toc465876789"/>
      <w:bookmarkStart w:id="798" w:name="_Toc466024056"/>
      <w:bookmarkStart w:id="799" w:name="_Toc468790064"/>
      <w:bookmarkStart w:id="800" w:name="_Toc468794896"/>
      <w:bookmarkStart w:id="801" w:name="_Toc468795204"/>
      <w:r>
        <w:rPr>
          <w:noProof/>
        </w:rPr>
        <w:t>App Data Protection</w:t>
      </w:r>
      <w:bookmarkEnd w:id="795"/>
      <w:bookmarkEnd w:id="796"/>
      <w:bookmarkEnd w:id="797"/>
      <w:bookmarkEnd w:id="798"/>
      <w:bookmarkEnd w:id="799"/>
      <w:bookmarkEnd w:id="800"/>
      <w:bookmarkEnd w:id="801"/>
    </w:p>
    <w:p w:rsidR="0077224F" w:rsidRDefault="00D973EE">
      <w:pPr>
        <w:rPr>
          <w:noProof/>
          <w:szCs w:val="20"/>
        </w:rPr>
      </w:pPr>
      <w:r>
        <w:rPr>
          <w:noProof/>
          <w:szCs w:val="20"/>
        </w:rPr>
        <w:t xml:space="preserve">For every new file created a data protection class is assigned to </w:t>
      </w:r>
      <w:r>
        <w:rPr>
          <w:noProof/>
          <w:szCs w:val="20"/>
        </w:rPr>
        <w:t>it by the respective app. If a file is not assigned a data protection class, it is still stored in encrypted form (as is all data on an iOS device). Each class has a different policy with respect to key generation and security, which is summarized in the f</w:t>
      </w:r>
      <w:r>
        <w:rPr>
          <w:noProof/>
          <w:szCs w:val="20"/>
        </w:rPr>
        <w:t>ollowing list:</w:t>
      </w:r>
    </w:p>
    <w:p w:rsidR="0077224F" w:rsidRDefault="00D973EE">
      <w:pPr>
        <w:pStyle w:val="ListParagraph"/>
        <w:numPr>
          <w:ilvl w:val="0"/>
          <w:numId w:val="16"/>
        </w:numPr>
        <w:spacing w:before="0"/>
        <w:rPr>
          <w:rFonts w:ascii="Verdana" w:hAnsi="Verdana"/>
          <w:noProof/>
          <w:sz w:val="20"/>
          <w:szCs w:val="20"/>
        </w:rPr>
      </w:pPr>
      <w:r>
        <w:rPr>
          <w:rFonts w:ascii="Verdana" w:hAnsi="Verdana"/>
          <w:b/>
          <w:noProof/>
          <w:sz w:val="20"/>
          <w:szCs w:val="20"/>
        </w:rPr>
        <w:t>Complete Protection</w:t>
      </w:r>
      <w:r>
        <w:rPr>
          <w:rFonts w:ascii="Verdana" w:hAnsi="Verdana"/>
          <w:noProof/>
          <w:sz w:val="20"/>
          <w:szCs w:val="20"/>
        </w:rPr>
        <w:t>: The encryption key for this class of data protection is derived from the user passcode and the device UID, and is removed from the memory when the device is locked so all data is inaccessible until the user unlocks the d</w:t>
      </w:r>
      <w:r>
        <w:rPr>
          <w:rFonts w:ascii="Verdana" w:hAnsi="Verdana"/>
          <w:noProof/>
          <w:sz w:val="20"/>
          <w:szCs w:val="20"/>
        </w:rPr>
        <w:t>evice by entering the passcode or using fingerprint authentication (Touch ID);</w:t>
      </w:r>
    </w:p>
    <w:p w:rsidR="0077224F" w:rsidRDefault="00D973EE">
      <w:pPr>
        <w:pStyle w:val="ListParagraph"/>
        <w:numPr>
          <w:ilvl w:val="0"/>
          <w:numId w:val="16"/>
        </w:numPr>
        <w:spacing w:before="0"/>
        <w:rPr>
          <w:rFonts w:ascii="Verdana" w:hAnsi="Verdana"/>
          <w:noProof/>
          <w:sz w:val="20"/>
          <w:szCs w:val="20"/>
        </w:rPr>
      </w:pPr>
      <w:r>
        <w:rPr>
          <w:rFonts w:ascii="Verdana" w:hAnsi="Verdana"/>
          <w:b/>
          <w:noProof/>
          <w:sz w:val="20"/>
          <w:szCs w:val="20"/>
        </w:rPr>
        <w:t>Protected Until First User Authentication (default)</w:t>
      </w:r>
      <w:r>
        <w:rPr>
          <w:rFonts w:ascii="Verdana" w:hAnsi="Verdana"/>
          <w:noProof/>
          <w:sz w:val="20"/>
          <w:szCs w:val="20"/>
        </w:rPr>
        <w:t>: the same as Complete Protection, except that the decrypted class key is not removed from memory when the device is locked. T</w:t>
      </w:r>
      <w:r>
        <w:rPr>
          <w:rFonts w:ascii="Verdana" w:hAnsi="Verdana"/>
          <w:noProof/>
          <w:sz w:val="20"/>
          <w:szCs w:val="20"/>
        </w:rPr>
        <w:t>he data is not accessible when the device boots before the user unlocks the device for the first time;</w:t>
      </w:r>
    </w:p>
    <w:p w:rsidR="0077224F" w:rsidRDefault="00D973EE">
      <w:pPr>
        <w:pStyle w:val="ListParagraph"/>
        <w:numPr>
          <w:ilvl w:val="0"/>
          <w:numId w:val="16"/>
        </w:numPr>
        <w:spacing w:before="0"/>
        <w:rPr>
          <w:rFonts w:ascii="Verdana" w:hAnsi="Verdana"/>
          <w:noProof/>
          <w:sz w:val="20"/>
          <w:szCs w:val="20"/>
        </w:rPr>
      </w:pPr>
      <w:r>
        <w:rPr>
          <w:rFonts w:ascii="Verdana" w:hAnsi="Verdana"/>
          <w:b/>
          <w:noProof/>
          <w:sz w:val="20"/>
          <w:szCs w:val="20"/>
        </w:rPr>
        <w:t>Protected Unless Open</w:t>
      </w:r>
      <w:r>
        <w:rPr>
          <w:rFonts w:ascii="Verdana" w:hAnsi="Verdana"/>
          <w:noProof/>
          <w:sz w:val="20"/>
          <w:szCs w:val="20"/>
        </w:rPr>
        <w:t>: Some files may need to be written while the device is locked. A good example of this is a mail attachment downloading in the backg</w:t>
      </w:r>
      <w:r>
        <w:rPr>
          <w:rFonts w:ascii="Verdana" w:hAnsi="Verdana"/>
          <w:noProof/>
          <w:sz w:val="20"/>
          <w:szCs w:val="20"/>
        </w:rPr>
        <w:t>round. This behaviour is achieved by using asymmetric elliptic curve cryptography (ECDH over Curve25519) that generates a per-file key wiped from memory when the file is closed. To open the file again, the shared secret is re-created using this same class;</w:t>
      </w:r>
    </w:p>
    <w:p w:rsidR="0077224F" w:rsidRDefault="00D973EE">
      <w:pPr>
        <w:pStyle w:val="ListParagraph"/>
        <w:numPr>
          <w:ilvl w:val="0"/>
          <w:numId w:val="16"/>
        </w:numPr>
        <w:spacing w:before="0"/>
        <w:rPr>
          <w:rFonts w:ascii="Verdana" w:hAnsi="Verdana"/>
          <w:noProof/>
          <w:sz w:val="20"/>
          <w:szCs w:val="20"/>
        </w:rPr>
      </w:pPr>
      <w:r>
        <w:rPr>
          <w:rFonts w:ascii="Verdana" w:hAnsi="Verdana"/>
          <w:b/>
          <w:noProof/>
          <w:sz w:val="20"/>
          <w:szCs w:val="20"/>
        </w:rPr>
        <w:t>No Protection</w:t>
      </w:r>
      <w:r>
        <w:rPr>
          <w:rFonts w:ascii="Verdana" w:hAnsi="Verdana"/>
          <w:noProof/>
          <w:sz w:val="20"/>
          <w:szCs w:val="20"/>
        </w:rPr>
        <w:t xml:space="preserve">: This class key is protected only with the device Unique ID (UID), and is kept in a short time volatile memory called Effaceable Storage. Since all the keys needed to decrypt files in this class are stored on the device, the encryption only </w:t>
      </w:r>
      <w:r>
        <w:rPr>
          <w:rFonts w:ascii="Verdana" w:hAnsi="Verdana"/>
          <w:noProof/>
          <w:sz w:val="20"/>
          <w:szCs w:val="20"/>
        </w:rPr>
        <w:t xml:space="preserve">affords the benefit of fast remote wipe. </w:t>
      </w:r>
    </w:p>
    <w:p w:rsidR="0077224F" w:rsidRDefault="00D973EE">
      <w:pPr>
        <w:rPr>
          <w:noProof/>
          <w:szCs w:val="20"/>
        </w:rPr>
      </w:pPr>
      <w:r>
        <w:rPr>
          <w:noProof/>
          <w:szCs w:val="20"/>
        </w:rPr>
        <w:t>The iOS SDK provides a full suite of APIs to support 3</w:t>
      </w:r>
      <w:r>
        <w:rPr>
          <w:noProof/>
          <w:szCs w:val="20"/>
          <w:vertAlign w:val="superscript"/>
        </w:rPr>
        <w:t>rd</w:t>
      </w:r>
      <w:r>
        <w:rPr>
          <w:noProof/>
          <w:szCs w:val="20"/>
        </w:rPr>
        <w:t xml:space="preserve"> party apps in the implementation of data protection primitives for data encryption of files, configuration data, and databases. In case an app does not choos</w:t>
      </w:r>
      <w:r>
        <w:rPr>
          <w:noProof/>
          <w:szCs w:val="20"/>
        </w:rPr>
        <w:t xml:space="preserve">e an encryption scheme, the “Protect Until First User Authentication” data protection class is chosen by default for all installed user apps. </w:t>
      </w:r>
    </w:p>
    <w:p w:rsidR="0077224F" w:rsidRDefault="00D973EE">
      <w:pPr>
        <w:pStyle w:val="Heading2"/>
        <w:rPr>
          <w:noProof/>
        </w:rPr>
      </w:pPr>
      <w:bookmarkStart w:id="802" w:name="_Toc458015479"/>
      <w:bookmarkStart w:id="803" w:name="_Toc458158009"/>
      <w:bookmarkStart w:id="804" w:name="_Ref465845167"/>
      <w:bookmarkStart w:id="805" w:name="_Toc465876790"/>
      <w:bookmarkStart w:id="806" w:name="_Toc466024057"/>
      <w:bookmarkStart w:id="807" w:name="_Toc468790065"/>
      <w:bookmarkStart w:id="808" w:name="_Toc468794897"/>
      <w:bookmarkStart w:id="809" w:name="_Toc468795205"/>
      <w:r>
        <w:rPr>
          <w:noProof/>
        </w:rPr>
        <w:t>Threats to Users</w:t>
      </w:r>
      <w:bookmarkEnd w:id="802"/>
      <w:bookmarkEnd w:id="803"/>
      <w:bookmarkEnd w:id="804"/>
      <w:bookmarkEnd w:id="805"/>
      <w:bookmarkEnd w:id="806"/>
      <w:bookmarkEnd w:id="807"/>
      <w:bookmarkEnd w:id="808"/>
      <w:bookmarkEnd w:id="809"/>
    </w:p>
    <w:p w:rsidR="0077224F" w:rsidRDefault="00D973EE">
      <w:pPr>
        <w:rPr>
          <w:noProof/>
        </w:rPr>
      </w:pPr>
      <w:r>
        <w:rPr>
          <w:noProof/>
        </w:rPr>
        <w:t>The goal of the iOS and Android permission models is to protect system resources from indiscrimi</w:t>
      </w:r>
      <w:r>
        <w:rPr>
          <w:noProof/>
        </w:rPr>
        <w:t>nate and unauthorized use by apps. However, this model has some inherent problems that might affect end-users’ privacy and anonymity. The following paragraphs describe the types of threats we have identified targeting the permission model for both operatin</w:t>
      </w:r>
      <w:r>
        <w:rPr>
          <w:noProof/>
        </w:rPr>
        <w:t>g systems, i.e. threats related to: pre-installed apps, permission management, permission granularity, permission notification, unused permissions, and lack of security.</w:t>
      </w:r>
    </w:p>
    <w:p w:rsidR="0077224F" w:rsidRDefault="00D973EE">
      <w:pPr>
        <w:rPr>
          <w:noProof/>
        </w:rPr>
      </w:pPr>
      <w:r>
        <w:rPr>
          <w:noProof/>
        </w:rPr>
        <w:t>First of all, pre-installed or OEM apps in Android are automatically granted all requi</w:t>
      </w:r>
      <w:r>
        <w:rPr>
          <w:noProof/>
        </w:rPr>
        <w:t>red permissions and are considered trusted since they are part of the OS firmware. Therefore, users are not informed about the required permissions of these apps, since consent is normally granted by users for an app’s required permissions during the insta</w:t>
      </w:r>
      <w:r>
        <w:rPr>
          <w:noProof/>
        </w:rPr>
        <w:t xml:space="preserve">llation process. This means that end-users do not have any indication which resources are accessed by these apps, and are vulnerable to privacy invasive behaviour by them. In the case of Android 6.0 and iOS, however, the permissions are granted at runtime </w:t>
      </w:r>
      <w:r>
        <w:rPr>
          <w:noProof/>
        </w:rPr>
        <w:t>when the app is used for the first time and the user can check and change these permissions from the permission settings later on to revoke a specific permission.</w:t>
      </w:r>
    </w:p>
    <w:p w:rsidR="0077224F" w:rsidRDefault="00D973EE">
      <w:pPr>
        <w:rPr>
          <w:noProof/>
        </w:rPr>
      </w:pPr>
      <w:r>
        <w:rPr>
          <w:noProof/>
        </w:rPr>
        <w:t>The second important point is the way permissions are managed and granted during the app’s li</w:t>
      </w:r>
      <w:r>
        <w:rPr>
          <w:noProof/>
        </w:rPr>
        <w:t>fe-cycle. As described previously, if an end-user would like to successfully install and use an app, he/she is obliged to grant all the requested permissions. As a result, a common end-user behaviour while installing an app is just to accept all permission</w:t>
      </w:r>
      <w:r>
        <w:rPr>
          <w:noProof/>
        </w:rPr>
        <w:t xml:space="preserve"> requests to reach the end of the installation process as soon as possible. This approach is not adopted in iOS and on Android from 6.0, where the user is prompted for special permissions during the use of the app. However, also in the latter case, a reluc</w:t>
      </w:r>
      <w:r>
        <w:rPr>
          <w:noProof/>
        </w:rPr>
        <w:t>tant user will simply grant the permissions in order to proceed and use the app. Besides, most of the end-users do not have knowledge about possible risks the requested permissions introduce towards their personal data, while the information prompted durin</w:t>
      </w:r>
      <w:r>
        <w:rPr>
          <w:noProof/>
        </w:rPr>
        <w:t xml:space="preserve">g the installation process are not really informative about the real functionalities the app is going to access and with what frequency (e.g., fine grain location tracking, access to microphone when app is executing in background, etc.). </w:t>
      </w:r>
    </w:p>
    <w:p w:rsidR="0077224F" w:rsidRDefault="00D973EE">
      <w:pPr>
        <w:rPr>
          <w:noProof/>
        </w:rPr>
      </w:pPr>
      <w:r>
        <w:rPr>
          <w:noProof/>
        </w:rPr>
        <w:t>More knowledgeabl</w:t>
      </w:r>
      <w:r>
        <w:rPr>
          <w:noProof/>
        </w:rPr>
        <w:t>e end-users might try to evaluate the list of requested permissions, but even for experts it is often unclear how permissions are used. This is a consequence of the fact that permissions are not a one-to-one mapping scheme with the corresponding method cal</w:t>
      </w:r>
      <w:r>
        <w:rPr>
          <w:noProof/>
        </w:rPr>
        <w:t>ls to Android framework API that implements the actual functionality. Indeed, their granularity is quite coarse, and, considering the 197 permissions of Android version 4.2 associated to the 1310 methods, one permission is associated on average to 7 API me</w:t>
      </w:r>
      <w:r>
        <w:rPr>
          <w:noProof/>
        </w:rPr>
        <w:t xml:space="preserve">thods. For instance, a mobile app granted the CAMERA permission is allowed to take pictures or to capture videos using the </w:t>
      </w:r>
      <w:r>
        <w:rPr>
          <w:i/>
          <w:noProof/>
        </w:rPr>
        <w:t>takePicture</w:t>
      </w:r>
      <w:r>
        <w:rPr>
          <w:noProof/>
        </w:rPr>
        <w:t xml:space="preserve"> and </w:t>
      </w:r>
      <w:r>
        <w:rPr>
          <w:i/>
          <w:noProof/>
        </w:rPr>
        <w:t>MediaRecorder</w:t>
      </w:r>
      <w:r>
        <w:rPr>
          <w:noProof/>
        </w:rPr>
        <w:t xml:space="preserve"> methods respectively. This means that an end-user after grating this permission is not aware of the pre</w:t>
      </w:r>
      <w:r>
        <w:rPr>
          <w:noProof/>
        </w:rPr>
        <w:t>cise action performed by the app at any specific time since it can give access to a wider group of more or less sensitive functionalities. In iOS this is also the case, since the number of permissions is much smaller, for example, in the privacy settings u</w:t>
      </w:r>
      <w:r>
        <w:rPr>
          <w:noProof/>
        </w:rPr>
        <w:t>sers can grant/deny 11 permission groups and also additional permissions to specific functionalities introduced by 3</w:t>
      </w:r>
      <w:r>
        <w:rPr>
          <w:noProof/>
          <w:vertAlign w:val="superscript"/>
        </w:rPr>
        <w:t>rd</w:t>
      </w:r>
      <w:r>
        <w:rPr>
          <w:noProof/>
        </w:rPr>
        <w:t xml:space="preserve"> party apps (e.g., post in Facebook timeline). The main issue for iOS and Android is the lack of personalized control and customization fr</w:t>
      </w:r>
      <w:r>
        <w:rPr>
          <w:noProof/>
        </w:rPr>
        <w:t>om the user perspective since permissions can only be managed using a restricted set of options.</w:t>
      </w:r>
    </w:p>
    <w:p w:rsidR="0077224F" w:rsidRDefault="00D973EE">
      <w:pPr>
        <w:rPr>
          <w:noProof/>
        </w:rPr>
      </w:pPr>
      <w:r>
        <w:rPr>
          <w:noProof/>
        </w:rPr>
        <w:t>When revoking permissions to an app users have no guarantees that the application will function in a normal way. Some of these permissions may be crucial to th</w:t>
      </w:r>
      <w:r>
        <w:rPr>
          <w:noProof/>
        </w:rPr>
        <w:t xml:space="preserve">e functionality of the application and disabling them may lead to malfunctioning or not being able to execute at all the application. Android developers until now were not concerned about permissions being denied since their assumption was always that all </w:t>
      </w:r>
      <w:r>
        <w:rPr>
          <w:noProof/>
        </w:rPr>
        <w:t>permissions needed were granted at install time, however, with the change in the permission management model from Android version 6.0 on, the recommendation now is for developers to account for the situation where not all permissions are granted in order t</w:t>
      </w:r>
      <w:r>
        <w:rPr>
          <w:noProof/>
        </w:rPr>
        <w:t>o prevent their apps from malfunctioning or stop working in this case.</w:t>
      </w:r>
    </w:p>
    <w:p w:rsidR="0077224F" w:rsidRDefault="00D973EE">
      <w:pPr>
        <w:rPr>
          <w:noProof/>
        </w:rPr>
      </w:pPr>
      <w:r>
        <w:rPr>
          <w:noProof/>
        </w:rPr>
        <w:t>Another threat to users are the normal level permissions in Android or default entitlements in iOS, which are considered of lower risk and are automatically granted to apps without aski</w:t>
      </w:r>
      <w:r>
        <w:rPr>
          <w:noProof/>
        </w:rPr>
        <w:t>ng end-users explicitly for consent. Even if end-users have the possibility to review this automatic granting, this a priori categorization as low risk may not be perceived by all users in the same way. As a result, though the permission granting mechanism</w:t>
      </w:r>
      <w:r>
        <w:rPr>
          <w:noProof/>
        </w:rPr>
        <w:t xml:space="preserve"> is in place, from the end-user perspective this approach may be wrongly understood as if the apps are not accessing sensitive resources at all. For example, in iOS all apps are granted access to the network by default and there is no mechanism for users t</w:t>
      </w:r>
      <w:r>
        <w:rPr>
          <w:noProof/>
        </w:rPr>
        <w:t>o revoke the access after the app is installed.</w:t>
      </w:r>
    </w:p>
    <w:p w:rsidR="0077224F" w:rsidRDefault="00D973EE">
      <w:pPr>
        <w:rPr>
          <w:noProof/>
        </w:rPr>
      </w:pPr>
      <w:r>
        <w:rPr>
          <w:noProof/>
        </w:rPr>
        <w:t>Some apps may also request permissions that are not used in the app implementation, and that are not actually needed for accomplishing their task (unused permissions). These apps are usually labelled as over-</w:t>
      </w:r>
      <w:r>
        <w:rPr>
          <w:noProof/>
        </w:rPr>
        <w:t>privileged, and could lead to privilege escalation problems in terms of sensitive resources they can access after an update. Privilege escalation may also lead to confused deputy attacks, when an app that has been granted a specific permission is exploited</w:t>
      </w:r>
      <w:r>
        <w:rPr>
          <w:noProof/>
        </w:rPr>
        <w:t xml:space="preserve"> by other apps that do not have this permission in order to perform sensitive tasks. A classic example is an app that is allowed to send SMS messages and allows other apps to use its interfaces to send SMS messages as well. Previous studies of JRC </w:t>
      </w:r>
      <w:r>
        <w:rPr>
          <w:noProof/>
        </w:rPr>
        <w:fldChar w:fldCharType="begin"/>
      </w:r>
      <w:r>
        <w:rPr>
          <w:noProof/>
        </w:rPr>
        <w:instrText xml:space="preserve"> ADDIN Z</w:instrText>
      </w:r>
      <w:r>
        <w:rPr>
          <w:noProof/>
        </w:rPr>
        <w:instrText>OTERO_ITEM CSL_CITATION {"citationID":"1vnnsetkhl","properties":{"formattedCitation":"[11]","plainCitation":"[11]"},"citationItems":[{"id":279,"uris":["http://zotero.org/groups/583788/items/UZSI5VSJ"],"uri":["http://zotero.org/groups/583788/items/UZSI5VSJ"</w:instrText>
      </w:r>
      <w:r>
        <w:rPr>
          <w:noProof/>
        </w:rPr>
        <w:instrText>],"itemData":{"id":279,"type":"report","title":"Mobile Applications Privacy, Towards a methodology to identify over-privileged applications","publisher":"Publications Office of the European Union","genre":"EUR - Scientific and Technical Research Reports","</w:instrText>
      </w:r>
      <w:r>
        <w:rPr>
          <w:noProof/>
        </w:rPr>
        <w:instrText>source":"publications.jrc.ec.europa.eu","archive_location":"JRC87818","abstract":"Smart-phones are today used to perform a huge amount of online activities. They are\nused as interfaces to access the cloud, as storage resource, as social network tools,\nag</w:instrText>
      </w:r>
      <w:r>
        <w:rPr>
          <w:noProof/>
        </w:rPr>
        <w:instrText>enda, digital wallet, digital identity repository etc. In other words smart-phone are\ntoday the citizen’s digital companion, and, as such, they are the explicit or implicit\nrepository of a huge amount of personal information. The criticality of these dev</w:instrText>
      </w:r>
      <w:r>
        <w:rPr>
          <w:noProof/>
        </w:rPr>
        <w:instrText>ices is\ngenerally due to the following considerations:\n1. Being mobile by nature, they are exposed full-time to a potentially adverse environment\n2. The need, for mobile applications, to cut the development costs to maintain the\nprice appealing for the</w:instrText>
      </w:r>
      <w:r>
        <w:rPr>
          <w:noProof/>
        </w:rPr>
        <w:instrText xml:space="preserve"> mobile-application market, is often translated into a quickprototyping\napproach, rather than a careful cyber-security oriented code development\n3. Being the smart-phone strongly linked to their owner, a successful exploitation of\na smart-phone can dire</w:instrText>
      </w:r>
      <w:r>
        <w:rPr>
          <w:noProof/>
        </w:rPr>
        <w:instrText>ctly impact the security and privacy of its owner\nOne of the major source of back-doors of mobile applications, is the bad use of privilege\npermissions. Developers tend to attribute to their applications as much permission\nrights as possible, even if th</w:instrText>
      </w:r>
      <w:r>
        <w:rPr>
          <w:noProof/>
        </w:rPr>
        <w:instrText>ey are not indeed needed.Malicious applications can leverage\nof these permissions to create covert channels allowing to get private information\nstored into the smart-phone.\nIn this report we investigate on the “Declarative permissions scheme model” on\n</w:instrText>
      </w:r>
      <w:r>
        <w:rPr>
          <w:noProof/>
        </w:rPr>
        <w:instrText>which relies the security layer of Android, proposing an innovative technique combining\ntogether dynamic and static analysis to profile mobile applications and identify if\nthey are over-privileged. In the same report we introduce also a first proposal fo</w:instrText>
      </w:r>
      <w:r>
        <w:rPr>
          <w:noProof/>
        </w:rPr>
        <w:instrText>r enforcing\nthe end-user control on the hidden behaviours of mobile applications.","URL":"http://publications.jrc.ec.europa.eu/repository/handle/111111111/33860","language":"ENG","author":[{"family":"Nai Fovino","given":"Igor"},{"family":"Neisse","given":</w:instrText>
      </w:r>
      <w:r>
        <w:rPr>
          <w:noProof/>
        </w:rPr>
        <w:instrText>"Ricardo"},{"family":"Geneiatakis","given":"Dimitrios"},{"family":"Kounelis","given":"Ioannis"}],"issued":{"date-parts":[["2014"]]},"accessed":{"date-parts":[["2016",7,22]]}}}],"schema":"https://github.com/citation-style-language/schema/raw/master/csl-cita</w:instrText>
      </w:r>
      <w:r>
        <w:rPr>
          <w:noProof/>
        </w:rPr>
        <w:instrText xml:space="preserve">tion.json"} </w:instrText>
      </w:r>
      <w:r>
        <w:rPr>
          <w:noProof/>
        </w:rPr>
        <w:fldChar w:fldCharType="separate"/>
      </w:r>
      <w:r>
        <w:rPr>
          <w:noProof/>
        </w:rPr>
        <w:t>[11]</w:t>
      </w:r>
      <w:r>
        <w:rPr>
          <w:noProof/>
        </w:rPr>
        <w:fldChar w:fldCharType="end"/>
      </w:r>
      <w:r>
        <w:rPr>
          <w:noProof/>
        </w:rPr>
        <w:t xml:space="preserve"> </w:t>
      </w:r>
      <w:r>
        <w:rPr>
          <w:noProof/>
        </w:rPr>
        <w:fldChar w:fldCharType="begin"/>
      </w:r>
      <w:r>
        <w:rPr>
          <w:noProof/>
        </w:rPr>
        <w:instrText xml:space="preserve"> ADDIN ZOTERO_ITEM CSL_CITATION {"citationID":"qbrv8vfq7","properties":{"formattedCitation":"[12]","plainCitation":"[12]"},"citationItems":[{"id":278,"uris":["http://zotero.org/groups/583788/items/KVCXB9IR"],"uri":["http://zotero.org/groups/583788/items/KV</w:instrText>
      </w:r>
      <w:r>
        <w:rPr>
          <w:noProof/>
        </w:rPr>
        <w:instrText>CXB9IR"],"itemData":{"id":278,"type":"chapter","title":"On the Efficacy of Static Features to Detect Malicious Applications in Android","container-title":"Trust, Privacy and Security in Digital Business","collection-title":"Lecture Notes in Computer Scienc</w:instrText>
      </w:r>
      <w:r>
        <w:rPr>
          <w:noProof/>
        </w:rPr>
        <w:instrText>e","collection-number":"9264","publisher":"Springer International Publishing","page":"87-98","source":"link.springer.com","abstract":"The Android OS environment is today increasingly targeted by malwares. Traditional signature based detection algorithms ar</w:instrText>
      </w:r>
      <w:r>
        <w:rPr>
          <w:noProof/>
        </w:rPr>
        <w:instrText>e not able to provide complete protection especially against ad-hoc created malwares. In this paper, we present a feasibility analysis for enhancing the detection accuracy on Android malware for approaches relying on machine learning classifiers and Androi</w:instrText>
      </w:r>
      <w:r>
        <w:rPr>
          <w:noProof/>
        </w:rPr>
        <w:instrText>d applications’ static features. Specifically, our study builds on the basis of machine learning classifiers operating over different fusion rules on Android applications’ permissions and APIs. We analyse the performance of different configurations in term</w:instrText>
      </w:r>
      <w:r>
        <w:rPr>
          <w:noProof/>
        </w:rPr>
        <w:instrText>s of false alarms tradeoff. Results demonstrate that malware detection accuracy could be enhanced in case that detection approaches introduce additional fusion rules e.g., squared average score over the examined features.","URL":"http://link.springer.com/c</w:instrText>
      </w:r>
      <w:r>
        <w:rPr>
          <w:noProof/>
        </w:rPr>
        <w:instrText>hapter/10.1007/978-3-319-22906-5_7","ISBN":"978-3-319-22905-8","note":"DOI: 10.1007/978-3-319-22906-5_7","language":"en","author":[{"family":"Geneiatakis","given":"Dimitris"},{"family":"Satta","given":"Riccardo"},{"family":"Fovino","given":"Igor Nai"},{"fa</w:instrText>
      </w:r>
      <w:r>
        <w:rPr>
          <w:noProof/>
        </w:rPr>
        <w:instrText>mily":"Neisse","given":"Ricardo"}],"editor":[{"family":"Fischer-Hübner","given":"Simone"},{"family":"Lambrinoudakis","given":"Costas"},{"family":"López","given":"Javier"}],"issued":{"date-parts":[["2015",9,1]]},"accessed":{"date-parts":[["2016",7,22]]}}}],</w:instrText>
      </w:r>
      <w:r>
        <w:rPr>
          <w:noProof/>
        </w:rPr>
        <w:instrText xml:space="preserve">"schema":"https://github.com/citation-style-language/schema/raw/master/csl-citation.json"} </w:instrText>
      </w:r>
      <w:r>
        <w:rPr>
          <w:noProof/>
        </w:rPr>
        <w:fldChar w:fldCharType="separate"/>
      </w:r>
      <w:r>
        <w:rPr>
          <w:noProof/>
        </w:rPr>
        <w:t>[12]</w:t>
      </w:r>
      <w:r>
        <w:rPr>
          <w:noProof/>
        </w:rPr>
        <w:fldChar w:fldCharType="end"/>
      </w:r>
      <w:r>
        <w:rPr>
          <w:noProof/>
        </w:rPr>
        <w:t xml:space="preserve"> </w:t>
      </w:r>
      <w:r>
        <w:rPr>
          <w:noProof/>
        </w:rPr>
        <w:fldChar w:fldCharType="begin"/>
      </w:r>
      <w:r>
        <w:rPr>
          <w:noProof/>
        </w:rPr>
        <w:instrText xml:space="preserve"> ADDIN ZOTERO_ITEM CSL_CITATION {"citationID":"1ubov6kna2","properties":{"formattedCitation":"[13]","plainCitation":"[13]"},"citationItems":[{"id":280,"uris"</w:instrText>
      </w:r>
      <w:r>
        <w:rPr>
          <w:noProof/>
        </w:rPr>
        <w:instrText>:["http://zotero.org/groups/583788/items/WAPXS652"],"uri":["http://zotero.org/groups/583788/items/WAPXS652"],"itemData":{"id":280,"type":"article-journal","title":"A Permission Verification Approach for Android Mobile Applications","container-title":"Compu</w:instrText>
      </w:r>
      <w:r>
        <w:rPr>
          <w:noProof/>
        </w:rPr>
        <w:instrText>ters &amp; Security","source":"CrossRef","URL":"http://linkinghub.elsevier.com/retrieve/pii/S0167404814001515","DOI":"10.1016/j.cose.2014.10.005","ISSN":"01674048","language":"en","author":[{"family":"Geneiatakis","given":"Dimitris"},{"family":"Fovino","given"</w:instrText>
      </w:r>
      <w:r>
        <w:rPr>
          <w:noProof/>
        </w:rPr>
        <w:instrText>:"Igor Nai"},{"family":"Kounelis","given":"Ioannis"},{"family":"Stirparo","given":"Paquale"}],"issued":{"date-parts":[["2014",11]]},"accessed":{"date-parts":[["2014",11,18]]}}}],"schema":"https://github.com/citation-style-language/schema/raw/master/csl-cit</w:instrText>
      </w:r>
      <w:r>
        <w:rPr>
          <w:noProof/>
        </w:rPr>
        <w:instrText xml:space="preserve">ation.json"} </w:instrText>
      </w:r>
      <w:r>
        <w:rPr>
          <w:noProof/>
        </w:rPr>
        <w:fldChar w:fldCharType="separate"/>
      </w:r>
      <w:r>
        <w:rPr>
          <w:noProof/>
        </w:rPr>
        <w:t>[13]</w:t>
      </w:r>
      <w:r>
        <w:rPr>
          <w:noProof/>
        </w:rPr>
        <w:fldChar w:fldCharType="end"/>
      </w:r>
      <w:r>
        <w:rPr>
          <w:noProof/>
        </w:rPr>
        <w:t xml:space="preserve"> demonstrated that the majority of the existing mobile applications can be considered today over-privileged. The reason is in general not linked to malicious purposes, but rather due to bad software development habits: the design of mob</w:t>
      </w:r>
      <w:r>
        <w:rPr>
          <w:noProof/>
        </w:rPr>
        <w:t>ile apps with the largest set of permission is indeed a way to ensure the largest space of options when developing future software updates. Unfortunately, this behaviour even if licit, exposes the end-user to several risks. In iOS unused permissions are no</w:t>
      </w:r>
      <w:r>
        <w:rPr>
          <w:noProof/>
        </w:rPr>
        <w:t>t an issue since permissions are only granted the first time the app tries to use it.</w:t>
      </w:r>
    </w:p>
    <w:p w:rsidR="0077224F" w:rsidRDefault="00D973EE">
      <w:pPr>
        <w:rPr>
          <w:noProof/>
        </w:rPr>
      </w:pPr>
      <w:r>
        <w:rPr>
          <w:noProof/>
        </w:rPr>
        <w:t>Finally, some methods in the Android API are still not protected by specific permissions and introduce a lack of security with respect to the sensitive resources they may</w:t>
      </w:r>
      <w:r>
        <w:rPr>
          <w:noProof/>
        </w:rPr>
        <w:t xml:space="preserve"> allow access to. For instance, an app might use the </w:t>
      </w:r>
      <w:r>
        <w:rPr>
          <w:i/>
          <w:noProof/>
        </w:rPr>
        <w:t>exec(String prog)</w:t>
      </w:r>
      <w:r>
        <w:rPr>
          <w:noProof/>
        </w:rPr>
        <w:t xml:space="preserve"> method to execute the process </w:t>
      </w:r>
      <w:r>
        <w:rPr>
          <w:i/>
          <w:noProof/>
        </w:rPr>
        <w:t>prog</w:t>
      </w:r>
      <w:r>
        <w:rPr>
          <w:noProof/>
        </w:rPr>
        <w:t xml:space="preserve"> passed as parameter. This means any app could silently execute unprotected system commands in order to read system information from the </w:t>
      </w:r>
      <w:r>
        <w:rPr>
          <w:i/>
          <w:noProof/>
        </w:rPr>
        <w:t>proc</w:t>
      </w:r>
      <w:r>
        <w:rPr>
          <w:noProof/>
        </w:rPr>
        <w:t xml:space="preserve"> filesyste</w:t>
      </w:r>
      <w:r>
        <w:rPr>
          <w:noProof/>
        </w:rPr>
        <w:t xml:space="preserve">m, retrieve the list of installed and running apps, read the SD card contents, etc. </w:t>
      </w:r>
    </w:p>
    <w:p w:rsidR="0077224F" w:rsidRDefault="00D973EE">
      <w:pPr>
        <w:pStyle w:val="Heading3"/>
        <w:rPr>
          <w:noProof/>
        </w:rPr>
      </w:pPr>
      <w:bookmarkStart w:id="810" w:name="_Toc465876791"/>
      <w:bookmarkStart w:id="811" w:name="_Toc466024058"/>
      <w:bookmarkStart w:id="812" w:name="_Toc468790066"/>
      <w:bookmarkStart w:id="813" w:name="_Toc468794898"/>
      <w:bookmarkStart w:id="814" w:name="_Toc468795206"/>
      <w:r>
        <w:rPr>
          <w:noProof/>
        </w:rPr>
        <w:t>Threats to Users' Privacy</w:t>
      </w:r>
      <w:bookmarkEnd w:id="810"/>
      <w:bookmarkEnd w:id="811"/>
      <w:bookmarkEnd w:id="812"/>
      <w:bookmarkEnd w:id="813"/>
      <w:bookmarkEnd w:id="814"/>
    </w:p>
    <w:p w:rsidR="0077224F" w:rsidRDefault="00D973EE">
      <w:pPr>
        <w:rPr>
          <w:noProof/>
        </w:rPr>
      </w:pPr>
      <w:r>
        <w:rPr>
          <w:noProof/>
        </w:rPr>
        <w:t xml:space="preserve">Threats to users' privacy may be posed not only by malware apps but also by legitimate apps. Many legitimate apps are characterized by a certain </w:t>
      </w:r>
      <w:r>
        <w:rPr>
          <w:noProof/>
        </w:rPr>
        <w:t>degree of privacy invasiveness, which is related to the permissions they request and to which use they make out of the protected methods. In this direction, TaintDroid for Android as well as other papers in the literature demonstrate the type of end-users'</w:t>
      </w:r>
      <w:r>
        <w:rPr>
          <w:noProof/>
        </w:rPr>
        <w:t xml:space="preserve"> personal data manipulation performed by mobile apps.</w:t>
      </w:r>
    </w:p>
    <w:p w:rsidR="0077224F" w:rsidRDefault="00D973EE">
      <w:pPr>
        <w:rPr>
          <w:noProof/>
        </w:rPr>
      </w:pPr>
      <w:r>
        <w:rPr>
          <w:noProof/>
        </w:rPr>
        <w:t xml:space="preserve">Examples of privacy-invasive behaviour apps are, for instance, games that request access to unique identifiers or user location that are not needed by the app to function. Ultimately, it is up to each mobile device’s user to judge if an app’s behaviour is </w:t>
      </w:r>
      <w:r>
        <w:rPr>
          <w:noProof/>
        </w:rPr>
        <w:t xml:space="preserve">privacy-invasive according to his/her personal perceptions. In this direction, the Android OS and iOS provides security services that verify apps distributed in the respective app stores before installation, and in Android also to periodically scan the OS </w:t>
      </w:r>
      <w:r>
        <w:rPr>
          <w:noProof/>
        </w:rPr>
        <w:t xml:space="preserve">for harmful apps. </w:t>
      </w:r>
    </w:p>
    <w:p w:rsidR="0077224F" w:rsidRDefault="00D973EE">
      <w:pPr>
        <w:rPr>
          <w:noProof/>
        </w:rPr>
      </w:pPr>
      <w:r>
        <w:rPr>
          <w:noProof/>
        </w:rPr>
        <w:t>Unfortunately, these services themselves are also privacy-invasive because, according to the Android documentation, the device “</w:t>
      </w:r>
      <w:r>
        <w:rPr>
          <w:i/>
          <w:noProof/>
        </w:rPr>
        <w:t>may send information to Google identifying the app, including log information, URLs related to the app, devic</w:t>
      </w:r>
      <w:r>
        <w:rPr>
          <w:i/>
          <w:noProof/>
        </w:rPr>
        <w:t>e ID, your OS version, and IP address</w:t>
      </w:r>
      <w:r>
        <w:rPr>
          <w:noProof/>
        </w:rPr>
        <w:t>”</w:t>
      </w:r>
      <w:r>
        <w:rPr>
          <w:rStyle w:val="FootnoteReference"/>
          <w:noProof/>
        </w:rPr>
        <w:footnoteReference w:id="88"/>
      </w:r>
      <w:r>
        <w:rPr>
          <w:noProof/>
        </w:rPr>
        <w:t>. Therefore, the user-desired functionality is bound to a privacy-invasive behaviour, and users have no choice when using these services to control or restrict the personal data shared with Google. Furthermore, Google</w:t>
      </w:r>
      <w:r>
        <w:rPr>
          <w:noProof/>
        </w:rPr>
        <w:t>, in the Android developers documentation</w:t>
      </w:r>
      <w:r>
        <w:rPr>
          <w:rStyle w:val="FootnoteReference"/>
          <w:noProof/>
        </w:rPr>
        <w:footnoteReference w:id="89"/>
      </w:r>
      <w:r>
        <w:rPr>
          <w:noProof/>
        </w:rPr>
        <w:t>, suggests as apps distribution options alternative to the Google Play Store, e-mail and websites, thus exposing packages to the risk of malicious code injection. As a consequence, the existing features aimed at pr</w:t>
      </w:r>
      <w:r>
        <w:rPr>
          <w:noProof/>
        </w:rPr>
        <w:t>otecting end-users from privacy-invasive applications is quite limited. On the other hand, in iOS all apps must be distributed through the certified Apple app store and only jailbroken devices can install apps from other sources.</w:t>
      </w:r>
    </w:p>
    <w:p w:rsidR="0077224F" w:rsidRDefault="00D973EE">
      <w:pPr>
        <w:pStyle w:val="Heading3"/>
        <w:rPr>
          <w:noProof/>
        </w:rPr>
      </w:pPr>
      <w:bookmarkStart w:id="815" w:name="_Toc465876792"/>
      <w:bookmarkStart w:id="816" w:name="_Toc466024059"/>
      <w:bookmarkStart w:id="817" w:name="_Toc468790067"/>
      <w:bookmarkStart w:id="818" w:name="_Toc468794899"/>
      <w:bookmarkStart w:id="819" w:name="_Toc468795207"/>
      <w:r>
        <w:rPr>
          <w:noProof/>
        </w:rPr>
        <w:t>Threats to the OS Update M</w:t>
      </w:r>
      <w:r>
        <w:rPr>
          <w:noProof/>
        </w:rPr>
        <w:t>odel</w:t>
      </w:r>
      <w:bookmarkEnd w:id="815"/>
      <w:bookmarkEnd w:id="816"/>
      <w:bookmarkEnd w:id="817"/>
      <w:bookmarkEnd w:id="818"/>
      <w:bookmarkEnd w:id="819"/>
    </w:p>
    <w:p w:rsidR="0077224F" w:rsidRDefault="00D973EE">
      <w:pPr>
        <w:rPr>
          <w:noProof/>
        </w:rPr>
      </w:pPr>
      <w:r>
        <w:rPr>
          <w:noProof/>
        </w:rPr>
        <w:t>As every operating system, Android is not immune to software vulnerabilities. From time to time, new vulnerabilities are discovered and a patch needs to be released to fix the problem. However, as already described, the update model used by Android is</w:t>
      </w:r>
      <w:r>
        <w:rPr>
          <w:noProof/>
        </w:rPr>
        <w:t xml:space="preserve"> quite complicated; indeed, the patch might require to be handled by several "hands" (Google, OEM, Network Carries) before reaching the end-user device. </w:t>
      </w:r>
    </w:p>
    <w:p w:rsidR="0077224F" w:rsidRDefault="00D973EE">
      <w:pPr>
        <w:rPr>
          <w:noProof/>
        </w:rPr>
      </w:pPr>
      <w:r>
        <w:rPr>
          <w:noProof/>
        </w:rPr>
        <w:t>On top of this, even if a patch is released by Google (which we remind here is the “owner” of Android)</w:t>
      </w:r>
      <w:r>
        <w:rPr>
          <w:noProof/>
        </w:rPr>
        <w:t>, it is not automatically said that it will reach the final destination since OEMs could decide that it is not “economically” viable to invest in the re-engineering effort required to adapt the patch to their customized version of Android for each model sm</w:t>
      </w:r>
      <w:r>
        <w:rPr>
          <w:noProof/>
        </w:rPr>
        <w:t>art-phone model they produce. For the same reason when an entirely new version of Android is released, not all the devices will be able to receive it.</w:t>
      </w:r>
    </w:p>
    <w:p w:rsidR="0077224F" w:rsidRDefault="00D973EE">
      <w:pPr>
        <w:rPr>
          <w:noProof/>
        </w:rPr>
      </w:pPr>
      <w:r>
        <w:rPr>
          <w:noProof/>
        </w:rPr>
        <w:t xml:space="preserve">Typically, low-end smart-phones "die" with the same Android OS version which was originally installed on </w:t>
      </w:r>
      <w:r>
        <w:rPr>
          <w:noProof/>
        </w:rPr>
        <w:t>them while high-end smart-phones receive updates for a couple of years in average. The net effect is that a huge amount of smart-phones is today using a version of Android not maintained anymore, hence potentially exposed to newly discovered vulnerabilitie</w:t>
      </w:r>
      <w:r>
        <w:rPr>
          <w:noProof/>
        </w:rPr>
        <w:t>s without any possibility of being patched.</w:t>
      </w:r>
    </w:p>
    <w:p w:rsidR="0077224F" w:rsidRDefault="00D973EE">
      <w:pPr>
        <w:rPr>
          <w:noProof/>
        </w:rPr>
      </w:pPr>
      <w:r>
        <w:rPr>
          <w:noProof/>
        </w:rPr>
        <w:t>In iOS the update model is much more agile considering that hardware and software are all produced by the same manufacturer. Therefore, updates can be released and pushed in devices in a matter of days, therefore</w:t>
      </w:r>
      <w:r>
        <w:rPr>
          <w:noProof/>
        </w:rPr>
        <w:t xml:space="preserve"> efficiently maintaining older devices with fixed security vulnerabilities.</w:t>
      </w:r>
    </w:p>
    <w:p w:rsidR="0077224F" w:rsidRDefault="00D973EE">
      <w:pPr>
        <w:pStyle w:val="Heading2"/>
        <w:rPr>
          <w:noProof/>
        </w:rPr>
      </w:pPr>
      <w:bookmarkStart w:id="820" w:name="_Toc458015480"/>
      <w:bookmarkStart w:id="821" w:name="_Toc458158010"/>
      <w:bookmarkStart w:id="822" w:name="_Toc465876793"/>
      <w:bookmarkStart w:id="823" w:name="_Toc466024060"/>
      <w:bookmarkStart w:id="824" w:name="_Toc468790068"/>
      <w:bookmarkStart w:id="825" w:name="_Toc468794900"/>
      <w:bookmarkStart w:id="826" w:name="_Toc468795208"/>
      <w:r>
        <w:rPr>
          <w:noProof/>
        </w:rPr>
        <w:t>Comparison of iOS and Android Security Features</w:t>
      </w:r>
      <w:bookmarkEnd w:id="820"/>
      <w:bookmarkEnd w:id="821"/>
      <w:bookmarkEnd w:id="822"/>
      <w:bookmarkEnd w:id="823"/>
      <w:bookmarkEnd w:id="824"/>
      <w:bookmarkEnd w:id="825"/>
      <w:bookmarkEnd w:id="826"/>
    </w:p>
    <w:p w:rsidR="0077224F" w:rsidRDefault="00D973EE">
      <w:pPr>
        <w:rPr>
          <w:noProof/>
        </w:rPr>
      </w:pPr>
      <w:r>
        <w:rPr>
          <w:noProof/>
        </w:rPr>
        <w:t>The following table summarizes some of the important differences between iOS and Android devices mostly with respect to the availabl</w:t>
      </w:r>
      <w:r>
        <w:rPr>
          <w:noProof/>
        </w:rPr>
        <w:t>e security features.</w:t>
      </w:r>
    </w:p>
    <w:p w:rsidR="0077224F" w:rsidRDefault="00D973EE">
      <w:pPr>
        <w:pStyle w:val="Caption"/>
        <w:keepNext/>
        <w:rPr>
          <w:rFonts w:ascii="Verdana" w:hAnsi="Verdana"/>
          <w:noProof/>
          <w:color w:val="auto"/>
          <w:sz w:val="16"/>
        </w:rPr>
      </w:pPr>
      <w:bookmarkStart w:id="827" w:name="_Toc466024098"/>
      <w:r>
        <w:rPr>
          <w:rFonts w:ascii="Verdana" w:hAnsi="Verdana"/>
          <w:noProof/>
          <w:color w:val="auto"/>
          <w:sz w:val="16"/>
        </w:rPr>
        <w:t xml:space="preserve">Table </w:t>
      </w:r>
      <w:r>
        <w:rPr>
          <w:rFonts w:ascii="Verdana" w:hAnsi="Verdana"/>
          <w:noProof/>
          <w:color w:val="auto"/>
          <w:sz w:val="16"/>
        </w:rPr>
        <w:fldChar w:fldCharType="begin"/>
      </w:r>
      <w:r>
        <w:rPr>
          <w:rFonts w:ascii="Verdana" w:hAnsi="Verdana"/>
          <w:noProof/>
          <w:color w:val="auto"/>
          <w:sz w:val="16"/>
        </w:rPr>
        <w:instrText xml:space="preserve"> SEQ Table \* ARABIC </w:instrText>
      </w:r>
      <w:r>
        <w:rPr>
          <w:rFonts w:ascii="Verdana" w:hAnsi="Verdana"/>
          <w:noProof/>
          <w:color w:val="auto"/>
          <w:sz w:val="16"/>
        </w:rPr>
        <w:fldChar w:fldCharType="separate"/>
      </w:r>
      <w:r>
        <w:rPr>
          <w:rFonts w:ascii="Verdana" w:hAnsi="Verdana"/>
          <w:noProof/>
          <w:color w:val="auto"/>
          <w:sz w:val="16"/>
        </w:rPr>
        <w:t>1</w:t>
      </w:r>
      <w:r>
        <w:rPr>
          <w:rFonts w:ascii="Verdana" w:hAnsi="Verdana"/>
          <w:noProof/>
          <w:color w:val="auto"/>
          <w:sz w:val="16"/>
        </w:rPr>
        <w:fldChar w:fldCharType="end"/>
      </w:r>
      <w:r>
        <w:rPr>
          <w:rFonts w:ascii="Verdana" w:hAnsi="Verdana"/>
          <w:noProof/>
          <w:color w:val="auto"/>
          <w:sz w:val="16"/>
        </w:rPr>
        <w:t xml:space="preserve"> – Differences between iOS and Android</w:t>
      </w:r>
      <w:bookmarkEnd w:id="827"/>
    </w:p>
    <w:tbl>
      <w:tblPr>
        <w:tblW w:w="9059" w:type="dxa"/>
        <w:tblBorders>
          <w:insideH w:val="single" w:sz="4" w:space="0" w:color="auto"/>
          <w:insideV w:val="single" w:sz="4" w:space="0" w:color="auto"/>
        </w:tblBorders>
        <w:tblLook w:val="04A0" w:firstRow="1" w:lastRow="0" w:firstColumn="1" w:lastColumn="0" w:noHBand="0" w:noVBand="1"/>
      </w:tblPr>
      <w:tblGrid>
        <w:gridCol w:w="1848"/>
        <w:gridCol w:w="2401"/>
        <w:gridCol w:w="2386"/>
        <w:gridCol w:w="2424"/>
      </w:tblGrid>
      <w:tr w:rsidR="0077224F">
        <w:trPr>
          <w:trHeight w:val="443"/>
          <w:tblHeader/>
        </w:trPr>
        <w:tc>
          <w:tcPr>
            <w:tcW w:w="1848" w:type="dxa"/>
            <w:shd w:val="clear" w:color="auto" w:fill="BFBFBF" w:themeFill="background1" w:themeFillShade="BF"/>
          </w:tcPr>
          <w:p w:rsidR="0077224F" w:rsidRDefault="00D973EE">
            <w:pPr>
              <w:rPr>
                <w:b/>
                <w:noProof/>
              </w:rPr>
            </w:pPr>
            <w:r>
              <w:rPr>
                <w:b/>
                <w:noProof/>
              </w:rPr>
              <w:t>Feature</w:t>
            </w:r>
          </w:p>
        </w:tc>
        <w:tc>
          <w:tcPr>
            <w:tcW w:w="2401" w:type="dxa"/>
            <w:shd w:val="clear" w:color="auto" w:fill="BFBFBF" w:themeFill="background1" w:themeFillShade="BF"/>
          </w:tcPr>
          <w:p w:rsidR="0077224F" w:rsidRDefault="00D973EE">
            <w:pPr>
              <w:rPr>
                <w:b/>
                <w:noProof/>
              </w:rPr>
            </w:pPr>
            <w:r>
              <w:rPr>
                <w:b/>
                <w:noProof/>
              </w:rPr>
              <w:t>iOS</w:t>
            </w:r>
          </w:p>
        </w:tc>
        <w:tc>
          <w:tcPr>
            <w:tcW w:w="2386" w:type="dxa"/>
            <w:shd w:val="clear" w:color="auto" w:fill="BFBFBF" w:themeFill="background1" w:themeFillShade="BF"/>
          </w:tcPr>
          <w:p w:rsidR="0077224F" w:rsidRDefault="00D973EE">
            <w:pPr>
              <w:rPr>
                <w:b/>
                <w:noProof/>
              </w:rPr>
            </w:pPr>
            <w:r>
              <w:rPr>
                <w:b/>
                <w:noProof/>
              </w:rPr>
              <w:t>Android</w:t>
            </w:r>
          </w:p>
        </w:tc>
        <w:tc>
          <w:tcPr>
            <w:tcW w:w="2424" w:type="dxa"/>
            <w:shd w:val="clear" w:color="auto" w:fill="BFBFBF" w:themeFill="background1" w:themeFillShade="BF"/>
          </w:tcPr>
          <w:p w:rsidR="0077224F" w:rsidRDefault="00D973EE">
            <w:pPr>
              <w:rPr>
                <w:b/>
                <w:noProof/>
              </w:rPr>
            </w:pPr>
            <w:r>
              <w:rPr>
                <w:b/>
                <w:noProof/>
              </w:rPr>
              <w:t>Comment</w:t>
            </w:r>
          </w:p>
        </w:tc>
      </w:tr>
      <w:tr w:rsidR="0077224F">
        <w:trPr>
          <w:trHeight w:val="1835"/>
        </w:trPr>
        <w:tc>
          <w:tcPr>
            <w:tcW w:w="1848" w:type="dxa"/>
          </w:tcPr>
          <w:p w:rsidR="0077224F" w:rsidRDefault="00D973EE">
            <w:pPr>
              <w:rPr>
                <w:b/>
                <w:noProof/>
              </w:rPr>
            </w:pPr>
            <w:r>
              <w:rPr>
                <w:b/>
                <w:noProof/>
              </w:rPr>
              <w:t>Device hardware manufacturer</w:t>
            </w:r>
          </w:p>
        </w:tc>
        <w:tc>
          <w:tcPr>
            <w:tcW w:w="2401" w:type="dxa"/>
          </w:tcPr>
          <w:p w:rsidR="0077224F" w:rsidRDefault="00D973EE">
            <w:pPr>
              <w:rPr>
                <w:noProof/>
              </w:rPr>
            </w:pPr>
            <w:r>
              <w:rPr>
                <w:noProof/>
              </w:rPr>
              <w:t>Single hardware optimized for software</w:t>
            </w:r>
          </w:p>
        </w:tc>
        <w:tc>
          <w:tcPr>
            <w:tcW w:w="2386" w:type="dxa"/>
          </w:tcPr>
          <w:p w:rsidR="0077224F" w:rsidRDefault="00D973EE">
            <w:pPr>
              <w:rPr>
                <w:noProof/>
              </w:rPr>
            </w:pPr>
            <w:r>
              <w:rPr>
                <w:noProof/>
              </w:rPr>
              <w:t>Multi-vendors and custom network carriers</w:t>
            </w:r>
          </w:p>
        </w:tc>
        <w:tc>
          <w:tcPr>
            <w:tcW w:w="2424" w:type="dxa"/>
          </w:tcPr>
          <w:p w:rsidR="0077224F" w:rsidRDefault="00D973EE">
            <w:pPr>
              <w:rPr>
                <w:noProof/>
              </w:rPr>
            </w:pPr>
            <w:r>
              <w:rPr>
                <w:noProof/>
              </w:rPr>
              <w:t xml:space="preserve">iOS is capable of </w:t>
            </w:r>
            <w:r>
              <w:rPr>
                <w:noProof/>
              </w:rPr>
              <w:t>providing a higher-level of optimization and more agile update model since there is one single hardware and software manufacturer.</w:t>
            </w:r>
          </w:p>
        </w:tc>
      </w:tr>
      <w:tr w:rsidR="0077224F">
        <w:trPr>
          <w:trHeight w:val="2056"/>
        </w:trPr>
        <w:tc>
          <w:tcPr>
            <w:tcW w:w="1848" w:type="dxa"/>
          </w:tcPr>
          <w:p w:rsidR="0077224F" w:rsidRDefault="00D973EE">
            <w:pPr>
              <w:rPr>
                <w:b/>
                <w:noProof/>
              </w:rPr>
            </w:pPr>
            <w:r>
              <w:rPr>
                <w:b/>
                <w:noProof/>
              </w:rPr>
              <w:t>Trusted boot</w:t>
            </w:r>
          </w:p>
        </w:tc>
        <w:tc>
          <w:tcPr>
            <w:tcW w:w="2401" w:type="dxa"/>
          </w:tcPr>
          <w:p w:rsidR="0077224F" w:rsidRDefault="00D973EE">
            <w:pPr>
              <w:rPr>
                <w:noProof/>
              </w:rPr>
            </w:pPr>
            <w:r>
              <w:rPr>
                <w:noProof/>
              </w:rPr>
              <w:t>Trusted boot chain in all devices from low level Boot ROM up to app/firmware level</w:t>
            </w:r>
          </w:p>
        </w:tc>
        <w:tc>
          <w:tcPr>
            <w:tcW w:w="2386" w:type="dxa"/>
          </w:tcPr>
          <w:p w:rsidR="0077224F" w:rsidRDefault="00D973EE">
            <w:pPr>
              <w:rPr>
                <w:noProof/>
              </w:rPr>
            </w:pPr>
            <w:r>
              <w:rPr>
                <w:noProof/>
              </w:rPr>
              <w:t>Vendor-specific security fea</w:t>
            </w:r>
            <w:r>
              <w:rPr>
                <w:noProof/>
              </w:rPr>
              <w:t>tures with different levels of assurance depending on the manufacturer and versions</w:t>
            </w:r>
          </w:p>
        </w:tc>
        <w:tc>
          <w:tcPr>
            <w:tcW w:w="2424" w:type="dxa"/>
          </w:tcPr>
          <w:p w:rsidR="0077224F" w:rsidRDefault="00D973EE">
            <w:pPr>
              <w:rPr>
                <w:noProof/>
              </w:rPr>
            </w:pPr>
            <w:r>
              <w:rPr>
                <w:noProof/>
              </w:rPr>
              <w:t>iOS with a single manufacturer for hardware and software provides a higher level of assurance on average. Android in most cases can be rooted without many issues.</w:t>
            </w:r>
          </w:p>
        </w:tc>
      </w:tr>
      <w:tr w:rsidR="0077224F">
        <w:trPr>
          <w:trHeight w:val="1149"/>
        </w:trPr>
        <w:tc>
          <w:tcPr>
            <w:tcW w:w="1848" w:type="dxa"/>
          </w:tcPr>
          <w:p w:rsidR="0077224F" w:rsidRDefault="00D973EE">
            <w:pPr>
              <w:rPr>
                <w:b/>
                <w:noProof/>
              </w:rPr>
            </w:pPr>
            <w:r>
              <w:rPr>
                <w:b/>
                <w:noProof/>
              </w:rPr>
              <w:t xml:space="preserve">Roll </w:t>
            </w:r>
            <w:r>
              <w:rPr>
                <w:b/>
                <w:noProof/>
              </w:rPr>
              <w:t>back to previous versions</w:t>
            </w:r>
          </w:p>
        </w:tc>
        <w:tc>
          <w:tcPr>
            <w:tcW w:w="2401" w:type="dxa"/>
          </w:tcPr>
          <w:p w:rsidR="0077224F" w:rsidRDefault="00D973EE">
            <w:pPr>
              <w:rPr>
                <w:noProof/>
              </w:rPr>
            </w:pPr>
            <w:r>
              <w:rPr>
                <w:noProof/>
              </w:rPr>
              <w:t>System software authorization prevents users to downgrade their systems</w:t>
            </w:r>
          </w:p>
        </w:tc>
        <w:tc>
          <w:tcPr>
            <w:tcW w:w="2386" w:type="dxa"/>
          </w:tcPr>
          <w:p w:rsidR="0077224F" w:rsidRDefault="00D973EE">
            <w:pPr>
              <w:rPr>
                <w:noProof/>
              </w:rPr>
            </w:pPr>
            <w:r>
              <w:rPr>
                <w:noProof/>
              </w:rPr>
              <w:t>Users are allowed to downgrade most of Android devices without many issues</w:t>
            </w:r>
          </w:p>
        </w:tc>
        <w:tc>
          <w:tcPr>
            <w:tcW w:w="2424" w:type="dxa"/>
          </w:tcPr>
          <w:p w:rsidR="0077224F" w:rsidRDefault="0077224F">
            <w:pPr>
              <w:rPr>
                <w:noProof/>
              </w:rPr>
            </w:pPr>
          </w:p>
        </w:tc>
      </w:tr>
      <w:tr w:rsidR="0077224F">
        <w:trPr>
          <w:trHeight w:val="1593"/>
        </w:trPr>
        <w:tc>
          <w:tcPr>
            <w:tcW w:w="1848" w:type="dxa"/>
          </w:tcPr>
          <w:p w:rsidR="0077224F" w:rsidRDefault="00D973EE">
            <w:pPr>
              <w:rPr>
                <w:b/>
                <w:noProof/>
              </w:rPr>
            </w:pPr>
            <w:r>
              <w:rPr>
                <w:b/>
                <w:noProof/>
              </w:rPr>
              <w:t>OS customization</w:t>
            </w:r>
          </w:p>
        </w:tc>
        <w:tc>
          <w:tcPr>
            <w:tcW w:w="2401" w:type="dxa"/>
          </w:tcPr>
          <w:p w:rsidR="0077224F" w:rsidRDefault="00D973EE">
            <w:pPr>
              <w:rPr>
                <w:noProof/>
              </w:rPr>
            </w:pPr>
            <w:r>
              <w:rPr>
                <w:noProof/>
              </w:rPr>
              <w:t>Single version for all device models and configurations.</w:t>
            </w:r>
          </w:p>
        </w:tc>
        <w:tc>
          <w:tcPr>
            <w:tcW w:w="2386" w:type="dxa"/>
          </w:tcPr>
          <w:p w:rsidR="0077224F" w:rsidRDefault="00D973EE">
            <w:pPr>
              <w:rPr>
                <w:noProof/>
              </w:rPr>
            </w:pPr>
            <w:r>
              <w:rPr>
                <w:noProof/>
              </w:rPr>
              <w:t>Multi c</w:t>
            </w:r>
            <w:r>
              <w:rPr>
                <w:noProof/>
              </w:rPr>
              <w:t>ustom OEM versions</w:t>
            </w:r>
          </w:p>
        </w:tc>
        <w:tc>
          <w:tcPr>
            <w:tcW w:w="2424" w:type="dxa"/>
          </w:tcPr>
          <w:p w:rsidR="0077224F" w:rsidRDefault="00D973EE">
            <w:pPr>
              <w:rPr>
                <w:noProof/>
              </w:rPr>
            </w:pPr>
            <w:r>
              <w:rPr>
                <w:noProof/>
              </w:rPr>
              <w:t>iOS is capable of reacting much faster to bugs since there is no need for porting the fixes to multiple vendors/carriers/etc.</w:t>
            </w:r>
          </w:p>
        </w:tc>
      </w:tr>
      <w:tr w:rsidR="0077224F">
        <w:trPr>
          <w:trHeight w:val="1586"/>
        </w:trPr>
        <w:tc>
          <w:tcPr>
            <w:tcW w:w="1848" w:type="dxa"/>
          </w:tcPr>
          <w:p w:rsidR="0077224F" w:rsidRDefault="00D973EE">
            <w:pPr>
              <w:rPr>
                <w:b/>
                <w:noProof/>
              </w:rPr>
            </w:pPr>
            <w:r>
              <w:rPr>
                <w:b/>
                <w:noProof/>
              </w:rPr>
              <w:t>App distribution and installation</w:t>
            </w:r>
          </w:p>
        </w:tc>
        <w:tc>
          <w:tcPr>
            <w:tcW w:w="2401" w:type="dxa"/>
          </w:tcPr>
          <w:p w:rsidR="0077224F" w:rsidRDefault="00D973EE">
            <w:pPr>
              <w:rPr>
                <w:noProof/>
              </w:rPr>
            </w:pPr>
            <w:r>
              <w:rPr>
                <w:noProof/>
              </w:rPr>
              <w:t xml:space="preserve">Apple signs all apps and users cannot install from alternative sources, </w:t>
            </w:r>
            <w:r>
              <w:rPr>
                <w:noProof/>
              </w:rPr>
              <w:t>unless the device is jailbroken</w:t>
            </w:r>
          </w:p>
        </w:tc>
        <w:tc>
          <w:tcPr>
            <w:tcW w:w="2386" w:type="dxa"/>
          </w:tcPr>
          <w:p w:rsidR="0077224F" w:rsidRDefault="00D973EE">
            <w:pPr>
              <w:rPr>
                <w:noProof/>
              </w:rPr>
            </w:pPr>
            <w:r>
              <w:rPr>
                <w:noProof/>
              </w:rPr>
              <w:t>Google distributes apps but users are free to install apps signed and distributed even by e-mail directly by the developers</w:t>
            </w:r>
          </w:p>
        </w:tc>
        <w:tc>
          <w:tcPr>
            <w:tcW w:w="2424" w:type="dxa"/>
          </w:tcPr>
          <w:p w:rsidR="0077224F" w:rsidRDefault="00D973EE">
            <w:pPr>
              <w:rPr>
                <w:noProof/>
              </w:rPr>
            </w:pPr>
            <w:r>
              <w:rPr>
                <w:noProof/>
              </w:rPr>
              <w:t>Android users have a higher risk since they may inadvertently install malicious apps from any source</w:t>
            </w:r>
          </w:p>
        </w:tc>
      </w:tr>
      <w:tr w:rsidR="0077224F">
        <w:trPr>
          <w:trHeight w:val="1593"/>
        </w:trPr>
        <w:tc>
          <w:tcPr>
            <w:tcW w:w="1848" w:type="dxa"/>
          </w:tcPr>
          <w:p w:rsidR="0077224F" w:rsidRDefault="00D973EE">
            <w:pPr>
              <w:rPr>
                <w:b/>
                <w:noProof/>
              </w:rPr>
            </w:pPr>
            <w:r>
              <w:rPr>
                <w:b/>
                <w:noProof/>
              </w:rPr>
              <w:t>Jailbreak and rooting</w:t>
            </w:r>
          </w:p>
        </w:tc>
        <w:tc>
          <w:tcPr>
            <w:tcW w:w="2401" w:type="dxa"/>
          </w:tcPr>
          <w:p w:rsidR="0077224F" w:rsidRDefault="00D973EE">
            <w:pPr>
              <w:rPr>
                <w:noProof/>
              </w:rPr>
            </w:pPr>
            <w:r>
              <w:rPr>
                <w:noProof/>
              </w:rPr>
              <w:t>Users can in some cases jailbreak their devices to run custom software not distributed through the Apple Store and have admin rights</w:t>
            </w:r>
          </w:p>
        </w:tc>
        <w:tc>
          <w:tcPr>
            <w:tcW w:w="2386" w:type="dxa"/>
          </w:tcPr>
          <w:p w:rsidR="0077224F" w:rsidRDefault="00D973EE">
            <w:pPr>
              <w:rPr>
                <w:noProof/>
              </w:rPr>
            </w:pPr>
            <w:r>
              <w:rPr>
                <w:noProof/>
              </w:rPr>
              <w:t>Users in most of the cases can root their devices to have admin rights</w:t>
            </w:r>
          </w:p>
        </w:tc>
        <w:tc>
          <w:tcPr>
            <w:tcW w:w="2424" w:type="dxa"/>
          </w:tcPr>
          <w:p w:rsidR="0077224F" w:rsidRDefault="0077224F">
            <w:pPr>
              <w:rPr>
                <w:noProof/>
              </w:rPr>
            </w:pPr>
          </w:p>
        </w:tc>
      </w:tr>
      <w:tr w:rsidR="0077224F">
        <w:trPr>
          <w:trHeight w:val="2056"/>
        </w:trPr>
        <w:tc>
          <w:tcPr>
            <w:tcW w:w="1848" w:type="dxa"/>
          </w:tcPr>
          <w:p w:rsidR="0077224F" w:rsidRDefault="00D973EE">
            <w:pPr>
              <w:rPr>
                <w:b/>
                <w:noProof/>
              </w:rPr>
            </w:pPr>
            <w:r>
              <w:rPr>
                <w:b/>
                <w:noProof/>
              </w:rPr>
              <w:t>Custom ROMs</w:t>
            </w:r>
          </w:p>
        </w:tc>
        <w:tc>
          <w:tcPr>
            <w:tcW w:w="2401" w:type="dxa"/>
          </w:tcPr>
          <w:p w:rsidR="0077224F" w:rsidRDefault="00D973EE">
            <w:pPr>
              <w:rPr>
                <w:noProof/>
              </w:rPr>
            </w:pPr>
            <w:r>
              <w:rPr>
                <w:noProof/>
              </w:rPr>
              <w:t xml:space="preserve">iOS is closed </w:t>
            </w:r>
            <w:r>
              <w:rPr>
                <w:noProof/>
              </w:rPr>
              <w:t>source and there are no custom ROMs available. The bootloader cannot be unlocked since it relies on the signature of the firmware using Apple’s private key.</w:t>
            </w:r>
          </w:p>
        </w:tc>
        <w:tc>
          <w:tcPr>
            <w:tcW w:w="2386" w:type="dxa"/>
          </w:tcPr>
          <w:p w:rsidR="0077224F" w:rsidRDefault="00D973EE">
            <w:pPr>
              <w:rPr>
                <w:noProof/>
              </w:rPr>
            </w:pPr>
            <w:r>
              <w:rPr>
                <w:noProof/>
              </w:rPr>
              <w:t>Android allows custom ROMs and makes it possible because the system is open source and the bootload</w:t>
            </w:r>
            <w:r>
              <w:rPr>
                <w:noProof/>
              </w:rPr>
              <w:t>er can be unlocked</w:t>
            </w:r>
          </w:p>
        </w:tc>
        <w:tc>
          <w:tcPr>
            <w:tcW w:w="2424" w:type="dxa"/>
          </w:tcPr>
          <w:p w:rsidR="0077224F" w:rsidRDefault="0077224F">
            <w:pPr>
              <w:rPr>
                <w:noProof/>
              </w:rPr>
            </w:pPr>
          </w:p>
        </w:tc>
      </w:tr>
      <w:tr w:rsidR="0077224F">
        <w:trPr>
          <w:trHeight w:val="2078"/>
        </w:trPr>
        <w:tc>
          <w:tcPr>
            <w:tcW w:w="1848" w:type="dxa"/>
          </w:tcPr>
          <w:p w:rsidR="0077224F" w:rsidRDefault="00D973EE">
            <w:pPr>
              <w:rPr>
                <w:b/>
                <w:noProof/>
              </w:rPr>
            </w:pPr>
            <w:r>
              <w:rPr>
                <w:b/>
                <w:noProof/>
              </w:rPr>
              <w:t>Default system apps</w:t>
            </w:r>
          </w:p>
        </w:tc>
        <w:tc>
          <w:tcPr>
            <w:tcW w:w="2401" w:type="dxa"/>
          </w:tcPr>
          <w:p w:rsidR="0077224F" w:rsidRDefault="00D973EE">
            <w:pPr>
              <w:rPr>
                <w:noProof/>
              </w:rPr>
            </w:pPr>
            <w:r>
              <w:rPr>
                <w:noProof/>
              </w:rPr>
              <w:t xml:space="preserve">Apple controls all default installed system apps, which are the same for all different types of devices. </w:t>
            </w:r>
          </w:p>
        </w:tc>
        <w:tc>
          <w:tcPr>
            <w:tcW w:w="2386" w:type="dxa"/>
          </w:tcPr>
          <w:p w:rsidR="0077224F" w:rsidRDefault="00D973EE">
            <w:pPr>
              <w:rPr>
                <w:noProof/>
              </w:rPr>
            </w:pPr>
            <w:r>
              <w:rPr>
                <w:noProof/>
              </w:rPr>
              <w:t>Each OEM manufacturer and region may add to their devices their own custom system and pre-installed apps.</w:t>
            </w:r>
          </w:p>
        </w:tc>
        <w:tc>
          <w:tcPr>
            <w:tcW w:w="2424" w:type="dxa"/>
          </w:tcPr>
          <w:p w:rsidR="0077224F" w:rsidRDefault="00D973EE">
            <w:pPr>
              <w:rPr>
                <w:noProof/>
              </w:rPr>
            </w:pPr>
            <w:r>
              <w:rPr>
                <w:noProof/>
              </w:rPr>
              <w:t>Due</w:t>
            </w:r>
            <w:r>
              <w:rPr>
                <w:noProof/>
              </w:rPr>
              <w:t xml:space="preserve"> to the higher number of possible customizations in Android there is a bigger attack surface or opportunity for vulnerabilities to be exploited.</w:t>
            </w:r>
          </w:p>
        </w:tc>
      </w:tr>
      <w:tr w:rsidR="0077224F">
        <w:trPr>
          <w:trHeight w:val="2501"/>
        </w:trPr>
        <w:tc>
          <w:tcPr>
            <w:tcW w:w="1848" w:type="dxa"/>
          </w:tcPr>
          <w:p w:rsidR="0077224F" w:rsidRDefault="00D973EE">
            <w:pPr>
              <w:rPr>
                <w:b/>
                <w:noProof/>
              </w:rPr>
            </w:pPr>
            <w:r>
              <w:rPr>
                <w:b/>
                <w:noProof/>
              </w:rPr>
              <w:t>Memory and file system encryption</w:t>
            </w:r>
          </w:p>
        </w:tc>
        <w:tc>
          <w:tcPr>
            <w:tcW w:w="2401" w:type="dxa"/>
          </w:tcPr>
          <w:p w:rsidR="0077224F" w:rsidRDefault="00D973EE">
            <w:pPr>
              <w:rPr>
                <w:noProof/>
              </w:rPr>
            </w:pPr>
            <w:r>
              <w:rPr>
                <w:noProof/>
              </w:rPr>
              <w:t>Available by default with different classes of encryption to protect against</w:t>
            </w:r>
            <w:r>
              <w:rPr>
                <w:noProof/>
              </w:rPr>
              <w:t xml:space="preserve"> direct flash storage access using forensic tools. Relies always on tamper-proof hardware support for storage of encryption keys and execution of encryption functions.</w:t>
            </w:r>
          </w:p>
        </w:tc>
        <w:tc>
          <w:tcPr>
            <w:tcW w:w="2386" w:type="dxa"/>
          </w:tcPr>
          <w:p w:rsidR="0077224F" w:rsidRDefault="00D973EE">
            <w:pPr>
              <w:rPr>
                <w:noProof/>
              </w:rPr>
            </w:pPr>
            <w:r>
              <w:rPr>
                <w:noProof/>
              </w:rPr>
              <w:t>Flash storage encryption is supported but depends on the device manufacturer. In most ca</w:t>
            </w:r>
            <w:r>
              <w:rPr>
                <w:noProof/>
              </w:rPr>
              <w:t>ses the storage of encryption keys is not tamper proof and secured by hardware.</w:t>
            </w:r>
          </w:p>
        </w:tc>
        <w:tc>
          <w:tcPr>
            <w:tcW w:w="2424" w:type="dxa"/>
          </w:tcPr>
          <w:p w:rsidR="0077224F" w:rsidRDefault="00D973EE">
            <w:pPr>
              <w:rPr>
                <w:noProof/>
              </w:rPr>
            </w:pPr>
            <w:r>
              <w:rPr>
                <w:noProof/>
              </w:rPr>
              <w:t xml:space="preserve">Android is far more vulnerable to attacks using forensic tools to read data even in devices with encryption enabled. iOS implements a level of security that even Apple in some </w:t>
            </w:r>
            <w:r>
              <w:rPr>
                <w:noProof/>
              </w:rPr>
              <w:t>cases is not able to circumvent.</w:t>
            </w:r>
          </w:p>
        </w:tc>
      </w:tr>
      <w:tr w:rsidR="0077224F">
        <w:trPr>
          <w:trHeight w:val="1835"/>
        </w:trPr>
        <w:tc>
          <w:tcPr>
            <w:tcW w:w="1848" w:type="dxa"/>
          </w:tcPr>
          <w:p w:rsidR="0077224F" w:rsidRDefault="00D973EE">
            <w:pPr>
              <w:rPr>
                <w:b/>
                <w:noProof/>
              </w:rPr>
            </w:pPr>
            <w:r>
              <w:rPr>
                <w:b/>
                <w:noProof/>
              </w:rPr>
              <w:t>OS features</w:t>
            </w:r>
          </w:p>
        </w:tc>
        <w:tc>
          <w:tcPr>
            <w:tcW w:w="2401" w:type="dxa"/>
          </w:tcPr>
          <w:p w:rsidR="0077224F" w:rsidRDefault="00D973EE">
            <w:pPr>
              <w:rPr>
                <w:noProof/>
              </w:rPr>
            </w:pPr>
            <w:r>
              <w:rPr>
                <w:noProof/>
              </w:rPr>
              <w:t>Stripped down from basic commands, utilities, and shell.</w:t>
            </w:r>
          </w:p>
        </w:tc>
        <w:tc>
          <w:tcPr>
            <w:tcW w:w="2386" w:type="dxa"/>
          </w:tcPr>
          <w:p w:rsidR="0077224F" w:rsidRDefault="00D973EE">
            <w:pPr>
              <w:rPr>
                <w:noProof/>
              </w:rPr>
            </w:pPr>
            <w:r>
              <w:rPr>
                <w:noProof/>
              </w:rPr>
              <w:t>Most standard utilities are available and some are not protected by permissions.</w:t>
            </w:r>
          </w:p>
        </w:tc>
        <w:tc>
          <w:tcPr>
            <w:tcW w:w="2424" w:type="dxa"/>
          </w:tcPr>
          <w:p w:rsidR="0077224F" w:rsidRDefault="00D973EE">
            <w:pPr>
              <w:rPr>
                <w:noProof/>
              </w:rPr>
            </w:pPr>
            <w:r>
              <w:rPr>
                <w:noProof/>
              </w:rPr>
              <w:t xml:space="preserve">In Android an app can run a “ps” command to get the list of running </w:t>
            </w:r>
            <w:r>
              <w:rPr>
                <w:noProof/>
              </w:rPr>
              <w:t>processes and infer the installed app by the users without requiring any specific permission.</w:t>
            </w:r>
          </w:p>
        </w:tc>
      </w:tr>
    </w:tbl>
    <w:p w:rsidR="0077224F" w:rsidRDefault="0077224F">
      <w:pPr>
        <w:rPr>
          <w:noProof/>
        </w:rPr>
      </w:pPr>
    </w:p>
    <w:p w:rsidR="0077224F" w:rsidRDefault="00D973EE">
      <w:pPr>
        <w:pStyle w:val="Heading2"/>
        <w:rPr>
          <w:noProof/>
        </w:rPr>
      </w:pPr>
      <w:bookmarkStart w:id="828" w:name="_Toc458158011"/>
      <w:bookmarkStart w:id="829" w:name="_Toc465876794"/>
      <w:bookmarkStart w:id="830" w:name="_Toc466024061"/>
      <w:bookmarkStart w:id="831" w:name="_Toc468790069"/>
      <w:bookmarkStart w:id="832" w:name="_Toc468794901"/>
      <w:bookmarkStart w:id="833" w:name="_Toc468795209"/>
      <w:r>
        <w:rPr>
          <w:noProof/>
        </w:rPr>
        <w:t>General User Guidelines for Applications</w:t>
      </w:r>
      <w:bookmarkEnd w:id="828"/>
      <w:bookmarkEnd w:id="829"/>
      <w:bookmarkEnd w:id="830"/>
      <w:bookmarkEnd w:id="831"/>
      <w:bookmarkEnd w:id="832"/>
      <w:bookmarkEnd w:id="833"/>
    </w:p>
    <w:p w:rsidR="0077224F" w:rsidRDefault="00D973EE">
      <w:pPr>
        <w:rPr>
          <w:noProof/>
          <w:szCs w:val="20"/>
        </w:rPr>
      </w:pPr>
      <w:r>
        <w:rPr>
          <w:noProof/>
          <w:szCs w:val="20"/>
        </w:rPr>
        <w:t xml:space="preserve">From our overall experience, the below are some suggested practices in order to avoid malicious or insecure </w:t>
      </w:r>
      <w:r>
        <w:rPr>
          <w:noProof/>
          <w:szCs w:val="20"/>
        </w:rPr>
        <w:t>applications:</w:t>
      </w:r>
    </w:p>
    <w:p w:rsidR="0077224F" w:rsidRDefault="00D973EE">
      <w:pPr>
        <w:pStyle w:val="ListParagraph"/>
        <w:numPr>
          <w:ilvl w:val="0"/>
          <w:numId w:val="11"/>
        </w:numPr>
        <w:spacing w:before="0" w:after="160"/>
        <w:rPr>
          <w:rFonts w:ascii="Verdana" w:hAnsi="Verdana"/>
          <w:noProof/>
          <w:sz w:val="20"/>
          <w:szCs w:val="20"/>
        </w:rPr>
      </w:pPr>
      <w:r>
        <w:rPr>
          <w:rFonts w:ascii="Verdana" w:hAnsi="Verdana"/>
          <w:noProof/>
          <w:sz w:val="20"/>
          <w:szCs w:val="20"/>
        </w:rPr>
        <w:t>Download applications from the original market store. Applications are controlled both before and during their availability on the market. Moreover, in case a central store is not available or the user needs to download an application outside</w:t>
      </w:r>
      <w:r>
        <w:rPr>
          <w:rFonts w:ascii="Verdana" w:hAnsi="Verdana"/>
          <w:noProof/>
          <w:sz w:val="20"/>
          <w:szCs w:val="20"/>
        </w:rPr>
        <w:t xml:space="preserve"> of the store, the origin of the application should be checked with precautions and not be blindly trusted.</w:t>
      </w:r>
    </w:p>
    <w:p w:rsidR="0077224F" w:rsidRDefault="00D973EE">
      <w:pPr>
        <w:pStyle w:val="ListParagraph"/>
        <w:numPr>
          <w:ilvl w:val="0"/>
          <w:numId w:val="11"/>
        </w:numPr>
        <w:spacing w:before="0" w:after="160"/>
        <w:rPr>
          <w:rFonts w:ascii="Verdana" w:hAnsi="Verdana"/>
          <w:noProof/>
          <w:sz w:val="20"/>
          <w:szCs w:val="20"/>
        </w:rPr>
      </w:pPr>
      <w:r>
        <w:rPr>
          <w:rFonts w:ascii="Verdana" w:hAnsi="Verdana"/>
          <w:noProof/>
          <w:sz w:val="20"/>
          <w:szCs w:val="20"/>
        </w:rPr>
        <w:t>Once an application has been installed in the system, the user should make sure to update it regularly. Vulnerabilities are found during the lifecyc</w:t>
      </w:r>
      <w:r>
        <w:rPr>
          <w:rFonts w:ascii="Verdana" w:hAnsi="Verdana"/>
          <w:noProof/>
          <w:sz w:val="20"/>
          <w:szCs w:val="20"/>
        </w:rPr>
        <w:t xml:space="preserve">le of applications and updates are released in order to fix them. By having an up to date application, the exposure to known vulnerabilities is decreased. </w:t>
      </w:r>
    </w:p>
    <w:p w:rsidR="0077224F" w:rsidRDefault="00D973EE">
      <w:pPr>
        <w:pStyle w:val="ListParagraph"/>
        <w:numPr>
          <w:ilvl w:val="0"/>
          <w:numId w:val="11"/>
        </w:numPr>
        <w:spacing w:before="0" w:after="160"/>
        <w:rPr>
          <w:rFonts w:ascii="Verdana" w:hAnsi="Verdana"/>
          <w:noProof/>
          <w:sz w:val="20"/>
          <w:szCs w:val="20"/>
        </w:rPr>
      </w:pPr>
      <w:r>
        <w:rPr>
          <w:rFonts w:ascii="Verdana" w:hAnsi="Verdana"/>
          <w:noProof/>
          <w:sz w:val="20"/>
          <w:szCs w:val="20"/>
        </w:rPr>
        <w:t>When installing and using an application the permissions should be carefully checked. Many of the ap</w:t>
      </w:r>
      <w:r>
        <w:rPr>
          <w:rFonts w:ascii="Verdana" w:hAnsi="Verdana"/>
          <w:noProof/>
          <w:sz w:val="20"/>
          <w:szCs w:val="20"/>
        </w:rPr>
        <w:t xml:space="preserve">plications are over-privileged and the user should control what permissions are granted to each application. </w:t>
      </w:r>
    </w:p>
    <w:p w:rsidR="0077224F" w:rsidRDefault="00D973EE">
      <w:pPr>
        <w:pStyle w:val="ListParagraph"/>
        <w:numPr>
          <w:ilvl w:val="0"/>
          <w:numId w:val="11"/>
        </w:numPr>
        <w:spacing w:before="0" w:after="160"/>
        <w:rPr>
          <w:rFonts w:ascii="Verdana" w:hAnsi="Verdana"/>
          <w:noProof/>
          <w:sz w:val="20"/>
          <w:szCs w:val="20"/>
        </w:rPr>
      </w:pPr>
      <w:r>
        <w:rPr>
          <w:rFonts w:ascii="Verdana" w:hAnsi="Verdana"/>
          <w:noProof/>
          <w:sz w:val="20"/>
          <w:szCs w:val="20"/>
        </w:rPr>
        <w:t xml:space="preserve">Avoid removing the built in security mechanisms of the operating system, e.g., jailbreak. </w:t>
      </w:r>
    </w:p>
    <w:p w:rsidR="0077224F" w:rsidRDefault="00D973EE">
      <w:pPr>
        <w:pStyle w:val="Heading2"/>
        <w:rPr>
          <w:noProof/>
          <w:sz w:val="26"/>
        </w:rPr>
      </w:pPr>
      <w:bookmarkStart w:id="834" w:name="_Toc458158012"/>
      <w:bookmarkStart w:id="835" w:name="_Toc465876795"/>
      <w:bookmarkStart w:id="836" w:name="_Toc466024062"/>
      <w:bookmarkStart w:id="837" w:name="_Toc468790070"/>
      <w:bookmarkStart w:id="838" w:name="_Toc468794902"/>
      <w:bookmarkStart w:id="839" w:name="_Toc468795210"/>
      <w:r>
        <w:rPr>
          <w:noProof/>
        </w:rPr>
        <w:t>Considerations on privacy vs mobile OS</w:t>
      </w:r>
      <w:bookmarkEnd w:id="834"/>
      <w:bookmarkEnd w:id="835"/>
      <w:bookmarkEnd w:id="836"/>
      <w:bookmarkEnd w:id="837"/>
      <w:bookmarkEnd w:id="838"/>
      <w:bookmarkEnd w:id="839"/>
    </w:p>
    <w:p w:rsidR="0077224F" w:rsidRDefault="00D973EE">
      <w:pPr>
        <w:rPr>
          <w:noProof/>
          <w:szCs w:val="20"/>
        </w:rPr>
      </w:pPr>
      <w:r>
        <w:rPr>
          <w:noProof/>
          <w:szCs w:val="20"/>
        </w:rPr>
        <w:t xml:space="preserve">On the light of </w:t>
      </w:r>
      <w:r>
        <w:rPr>
          <w:noProof/>
          <w:szCs w:val="20"/>
        </w:rPr>
        <w:t xml:space="preserve">what described in the previous sections it is possible to identify three main sources of threats against the end-user privacy related to mobile operating systems: </w:t>
      </w:r>
    </w:p>
    <w:p w:rsidR="0077224F" w:rsidRDefault="00D973EE">
      <w:pPr>
        <w:pStyle w:val="ListParagraph"/>
        <w:numPr>
          <w:ilvl w:val="0"/>
          <w:numId w:val="15"/>
        </w:numPr>
        <w:rPr>
          <w:rFonts w:ascii="Verdana" w:hAnsi="Verdana"/>
          <w:noProof/>
          <w:sz w:val="20"/>
          <w:szCs w:val="20"/>
        </w:rPr>
      </w:pPr>
      <w:r>
        <w:rPr>
          <w:rFonts w:ascii="Verdana" w:hAnsi="Verdana"/>
          <w:noProof/>
          <w:sz w:val="20"/>
          <w:szCs w:val="20"/>
        </w:rPr>
        <w:t>Threats related to the permission model and to the opacity of permission granting with respe</w:t>
      </w:r>
      <w:r>
        <w:rPr>
          <w:rFonts w:ascii="Verdana" w:hAnsi="Verdana"/>
          <w:noProof/>
          <w:sz w:val="20"/>
          <w:szCs w:val="20"/>
        </w:rPr>
        <w:t>ct to the information surface accessed.</w:t>
      </w:r>
    </w:p>
    <w:p w:rsidR="0077224F" w:rsidRDefault="00D973EE">
      <w:pPr>
        <w:pStyle w:val="ListParagraph"/>
        <w:numPr>
          <w:ilvl w:val="0"/>
          <w:numId w:val="15"/>
        </w:numPr>
        <w:rPr>
          <w:rFonts w:ascii="Verdana" w:hAnsi="Verdana"/>
          <w:noProof/>
          <w:sz w:val="20"/>
          <w:szCs w:val="20"/>
        </w:rPr>
      </w:pPr>
      <w:r>
        <w:rPr>
          <w:rFonts w:ascii="Verdana" w:hAnsi="Verdana"/>
          <w:noProof/>
          <w:sz w:val="20"/>
          <w:szCs w:val="20"/>
        </w:rPr>
        <w:t>Threats related to the way in which apps get access to and treat personal information hence impacting directly the privacy of the end-user</w:t>
      </w:r>
    </w:p>
    <w:p w:rsidR="0077224F" w:rsidRDefault="00D973EE">
      <w:pPr>
        <w:pStyle w:val="ListParagraph"/>
        <w:numPr>
          <w:ilvl w:val="0"/>
          <w:numId w:val="15"/>
        </w:numPr>
        <w:rPr>
          <w:rFonts w:ascii="Verdana" w:hAnsi="Verdana"/>
          <w:noProof/>
          <w:sz w:val="20"/>
          <w:szCs w:val="20"/>
        </w:rPr>
      </w:pPr>
      <w:r>
        <w:rPr>
          <w:rFonts w:ascii="Verdana" w:hAnsi="Verdana"/>
          <w:noProof/>
          <w:sz w:val="20"/>
          <w:szCs w:val="20"/>
        </w:rPr>
        <w:t>Threats related to the update model adopted by Android. Indeed, the fact that</w:t>
      </w:r>
      <w:r>
        <w:rPr>
          <w:rFonts w:ascii="Verdana" w:hAnsi="Verdana"/>
          <w:noProof/>
          <w:sz w:val="20"/>
          <w:szCs w:val="20"/>
        </w:rPr>
        <w:t xml:space="preserve"> Google implemented in its last version of Android (6.0) a more refined permission model allowing at run time to disable permissions previously granted to mobile applications, is a clear sign that our evaluation of the problem mentioned in point (i) is cor</w:t>
      </w:r>
      <w:r>
        <w:rPr>
          <w:rFonts w:ascii="Verdana" w:hAnsi="Verdana"/>
          <w:noProof/>
          <w:sz w:val="20"/>
          <w:szCs w:val="20"/>
        </w:rPr>
        <w:t>rect. However, the permission model and its implications are still complex and do not allow end-users to fully understand the implications of granting or not a permission to a mobile application.</w:t>
      </w:r>
    </w:p>
    <w:p w:rsidR="0077224F" w:rsidRDefault="00D973EE">
      <w:pPr>
        <w:rPr>
          <w:noProof/>
          <w:szCs w:val="20"/>
        </w:rPr>
      </w:pPr>
      <w:r>
        <w:rPr>
          <w:noProof/>
          <w:szCs w:val="20"/>
        </w:rPr>
        <w:t>There is here a big gap between the typical understanding of</w:t>
      </w:r>
      <w:r>
        <w:rPr>
          <w:noProof/>
          <w:szCs w:val="20"/>
        </w:rPr>
        <w:t xml:space="preserve"> the end-user about the actions performed by the applications he/she installs and the real potential they have when granted with the full set of permissions specified in the manifest. The security update model of Android is indeed another relevant source o</w:t>
      </w:r>
      <w:r>
        <w:rPr>
          <w:noProof/>
          <w:szCs w:val="20"/>
        </w:rPr>
        <w:t>f possible risks, since:</w:t>
      </w:r>
    </w:p>
    <w:p w:rsidR="0077224F" w:rsidRDefault="00D973EE">
      <w:pPr>
        <w:pStyle w:val="ListParagraph"/>
        <w:numPr>
          <w:ilvl w:val="0"/>
          <w:numId w:val="13"/>
        </w:numPr>
        <w:rPr>
          <w:rFonts w:ascii="Verdana" w:hAnsi="Verdana"/>
          <w:noProof/>
          <w:sz w:val="20"/>
          <w:szCs w:val="20"/>
        </w:rPr>
      </w:pPr>
      <w:r>
        <w:rPr>
          <w:rFonts w:ascii="Verdana" w:hAnsi="Verdana"/>
          <w:noProof/>
          <w:sz w:val="20"/>
          <w:szCs w:val="20"/>
        </w:rPr>
        <w:t>it slows down the response to the discovery of new vulnerabilities;</w:t>
      </w:r>
    </w:p>
    <w:p w:rsidR="0077224F" w:rsidRDefault="00D973EE">
      <w:pPr>
        <w:pStyle w:val="ListParagraph"/>
        <w:numPr>
          <w:ilvl w:val="0"/>
          <w:numId w:val="13"/>
        </w:numPr>
        <w:rPr>
          <w:rFonts w:ascii="Verdana" w:hAnsi="Verdana"/>
          <w:noProof/>
          <w:sz w:val="20"/>
          <w:szCs w:val="20"/>
        </w:rPr>
      </w:pPr>
      <w:r>
        <w:rPr>
          <w:rFonts w:ascii="Verdana" w:hAnsi="Verdana"/>
          <w:noProof/>
          <w:sz w:val="20"/>
          <w:szCs w:val="20"/>
        </w:rPr>
        <w:t>it leaves completely unsupported a huge portion of the installed Android systems, since the maintenance is guaranteed only for a very limited amount of time and it</w:t>
      </w:r>
      <w:r>
        <w:rPr>
          <w:rFonts w:ascii="Verdana" w:hAnsi="Verdana"/>
          <w:noProof/>
          <w:sz w:val="20"/>
          <w:szCs w:val="20"/>
        </w:rPr>
        <w:t xml:space="preserve"> is completely left to the willingness of the OEMs.</w:t>
      </w:r>
    </w:p>
    <w:p w:rsidR="0077224F" w:rsidRDefault="00D973EE">
      <w:pPr>
        <w:rPr>
          <w:noProof/>
          <w:szCs w:val="20"/>
        </w:rPr>
      </w:pPr>
      <w:r>
        <w:rPr>
          <w:noProof/>
          <w:szCs w:val="20"/>
        </w:rPr>
        <w:t>This last point is the most critical since it leaves every year millions of devices prone to vulnerabilities. A survey on existing solutions allowing to deploy a more privacy and security friendly smart-p</w:t>
      </w:r>
      <w:r>
        <w:rPr>
          <w:noProof/>
          <w:szCs w:val="20"/>
        </w:rPr>
        <w:t>hone ecosystem shows that technical solutions exist, however they are all at an academic level, hence demonstrating how, still, the industry has not yet perceived the security and privacy principles as mandatory. Indeed, this is the point where policy acti</w:t>
      </w:r>
      <w:r>
        <w:rPr>
          <w:noProof/>
          <w:szCs w:val="20"/>
        </w:rPr>
        <w:t>ons might be needed:</w:t>
      </w:r>
    </w:p>
    <w:p w:rsidR="0077224F" w:rsidRDefault="00D973EE">
      <w:pPr>
        <w:pStyle w:val="ListParagraph"/>
        <w:numPr>
          <w:ilvl w:val="0"/>
          <w:numId w:val="14"/>
        </w:numPr>
        <w:rPr>
          <w:rFonts w:ascii="Verdana" w:hAnsi="Verdana"/>
          <w:noProof/>
          <w:sz w:val="20"/>
          <w:szCs w:val="20"/>
        </w:rPr>
      </w:pPr>
      <w:r>
        <w:rPr>
          <w:rFonts w:ascii="Verdana" w:hAnsi="Verdana"/>
          <w:b/>
          <w:noProof/>
          <w:sz w:val="20"/>
          <w:szCs w:val="20"/>
        </w:rPr>
        <w:t>Privacy Aware Mobile Code Platform</w:t>
      </w:r>
      <w:r>
        <w:rPr>
          <w:rFonts w:ascii="Verdana" w:hAnsi="Verdana"/>
          <w:noProof/>
          <w:sz w:val="20"/>
          <w:szCs w:val="20"/>
        </w:rPr>
        <w:t>: mobile applications need to be developed from the beginning with privacy and security in mind. Unfortunately, as mentioned in the introduction, privacy and security represent often an additional cost</w:t>
      </w:r>
      <w:r>
        <w:rPr>
          <w:rFonts w:ascii="Verdana" w:hAnsi="Verdana"/>
          <w:noProof/>
          <w:sz w:val="20"/>
          <w:szCs w:val="20"/>
        </w:rPr>
        <w:t xml:space="preserve"> to software developers which can be hardly covered by the revenues generated by mobile applications downloads. In this context, a series of initiatives could be developed at European level to stimulate the creation of a new </w:t>
      </w:r>
      <w:r>
        <w:rPr>
          <w:rFonts w:ascii="Verdana" w:hAnsi="Verdana"/>
          <w:b/>
          <w:noProof/>
          <w:sz w:val="20"/>
          <w:szCs w:val="20"/>
        </w:rPr>
        <w:t>privacy by design</w:t>
      </w:r>
      <w:r>
        <w:rPr>
          <w:rFonts w:ascii="Verdana" w:hAnsi="Verdana"/>
          <w:noProof/>
          <w:sz w:val="20"/>
          <w:szCs w:val="20"/>
        </w:rPr>
        <w:t xml:space="preserve"> development f</w:t>
      </w:r>
      <w:r>
        <w:rPr>
          <w:rFonts w:ascii="Verdana" w:hAnsi="Verdana"/>
          <w:noProof/>
          <w:sz w:val="20"/>
          <w:szCs w:val="20"/>
        </w:rPr>
        <w:t>ramework for mobile applications. Under this name should go a development platform putting at disposal of mobile developers pre-packaged and configured libraries already integrating privacy friendly features. In this way, the mobile-app developers would no</w:t>
      </w:r>
      <w:r>
        <w:rPr>
          <w:rFonts w:ascii="Verdana" w:hAnsi="Verdana"/>
          <w:noProof/>
          <w:sz w:val="20"/>
          <w:szCs w:val="20"/>
        </w:rPr>
        <w:t>t have to invest a lot of their time in rethinking from scratch privacy enhancing solutions for their applications. A similar initiative obviously could be successfully exploited bringing on board at the same time the big actors on the mobile app scene tog</w:t>
      </w:r>
      <w:r>
        <w:rPr>
          <w:rFonts w:ascii="Verdana" w:hAnsi="Verdana"/>
          <w:noProof/>
          <w:sz w:val="20"/>
          <w:szCs w:val="20"/>
        </w:rPr>
        <w:t>ether with the open-source community.</w:t>
      </w:r>
    </w:p>
    <w:p w:rsidR="0077224F" w:rsidRDefault="00D973EE">
      <w:pPr>
        <w:pStyle w:val="ListParagraph"/>
        <w:numPr>
          <w:ilvl w:val="0"/>
          <w:numId w:val="14"/>
        </w:numPr>
        <w:rPr>
          <w:rFonts w:ascii="Verdana" w:hAnsi="Verdana"/>
          <w:noProof/>
          <w:sz w:val="20"/>
          <w:szCs w:val="20"/>
        </w:rPr>
      </w:pPr>
      <w:r>
        <w:rPr>
          <w:rFonts w:ascii="Verdana" w:hAnsi="Verdana"/>
          <w:b/>
          <w:noProof/>
          <w:sz w:val="20"/>
          <w:szCs w:val="20"/>
        </w:rPr>
        <w:t>Code Development Best Practices</w:t>
      </w:r>
      <w:r>
        <w:rPr>
          <w:rFonts w:ascii="Verdana" w:hAnsi="Verdana"/>
          <w:noProof/>
          <w:sz w:val="20"/>
          <w:szCs w:val="20"/>
        </w:rPr>
        <w:t>: the previous initiative could have success only if accompanied by a set of parallel initiatives to foster a new generation of mobile application developers conscious of the means in whi</w:t>
      </w:r>
      <w:r>
        <w:rPr>
          <w:rFonts w:ascii="Verdana" w:hAnsi="Verdana"/>
          <w:noProof/>
          <w:sz w:val="20"/>
          <w:szCs w:val="20"/>
        </w:rPr>
        <w:t>ch smart-phone services should be developed in a secure and privacy friendly way.</w:t>
      </w:r>
    </w:p>
    <w:p w:rsidR="0077224F" w:rsidRDefault="00D973EE">
      <w:pPr>
        <w:pStyle w:val="ListParagraph"/>
        <w:numPr>
          <w:ilvl w:val="0"/>
          <w:numId w:val="14"/>
        </w:numPr>
        <w:rPr>
          <w:rFonts w:ascii="Verdana" w:hAnsi="Verdana"/>
          <w:noProof/>
          <w:sz w:val="20"/>
          <w:szCs w:val="20"/>
        </w:rPr>
      </w:pPr>
      <w:r>
        <w:rPr>
          <w:rFonts w:ascii="Verdana" w:hAnsi="Verdana"/>
          <w:b/>
          <w:noProof/>
          <w:sz w:val="20"/>
          <w:szCs w:val="20"/>
        </w:rPr>
        <w:t>Certification and Labelling</w:t>
      </w:r>
      <w:r>
        <w:rPr>
          <w:rFonts w:ascii="Verdana" w:hAnsi="Verdana"/>
          <w:noProof/>
          <w:sz w:val="20"/>
          <w:szCs w:val="20"/>
        </w:rPr>
        <w:t>: certification and labelling are two powerful mechanisms helping the end-user to discriminate between privacy respectful and privacy invasive mobi</w:t>
      </w:r>
      <w:r>
        <w:rPr>
          <w:rFonts w:ascii="Verdana" w:hAnsi="Verdana"/>
          <w:noProof/>
          <w:sz w:val="20"/>
          <w:szCs w:val="20"/>
        </w:rPr>
        <w:t>le applications. It is true that the mobile application ecosystem is so vastly populated that it would be almost impossible to certify and label everything. However, certification and labelling could be requested for those applications dealing with sensiti</w:t>
      </w:r>
      <w:r>
        <w:rPr>
          <w:rFonts w:ascii="Verdana" w:hAnsi="Verdana"/>
          <w:noProof/>
          <w:sz w:val="20"/>
          <w:szCs w:val="20"/>
        </w:rPr>
        <w:t>ve information (e.g., mobile banking, e-government, social networks, e-health applications). The presence of a certification and labelling scheme would surely increase the level of trust of end-users in critical mobile applications and, at the same time, i</w:t>
      </w:r>
      <w:r>
        <w:rPr>
          <w:rFonts w:ascii="Verdana" w:hAnsi="Verdana"/>
          <w:noProof/>
          <w:sz w:val="20"/>
          <w:szCs w:val="20"/>
        </w:rPr>
        <w:t xml:space="preserve">t could be used as rewarding mechanism for virtuous European companies, in the sense that their certification as privacy-friendly, should incentive the end-users to use their services. </w:t>
      </w:r>
    </w:p>
    <w:p w:rsidR="0077224F" w:rsidRDefault="00D973EE">
      <w:pPr>
        <w:pStyle w:val="ListParagraph"/>
        <w:numPr>
          <w:ilvl w:val="0"/>
          <w:numId w:val="14"/>
        </w:numPr>
        <w:rPr>
          <w:rFonts w:ascii="Verdana" w:hAnsi="Verdana"/>
          <w:noProof/>
          <w:sz w:val="20"/>
          <w:szCs w:val="20"/>
        </w:rPr>
      </w:pPr>
      <w:r>
        <w:rPr>
          <w:rFonts w:ascii="Verdana" w:hAnsi="Verdana"/>
          <w:b/>
          <w:noProof/>
          <w:sz w:val="20"/>
          <w:szCs w:val="20"/>
        </w:rPr>
        <w:t>Smart-Phone Operating Systems and Cyber Security Industry</w:t>
      </w:r>
      <w:r>
        <w:rPr>
          <w:rFonts w:ascii="Verdana" w:hAnsi="Verdana"/>
          <w:noProof/>
          <w:sz w:val="20"/>
          <w:szCs w:val="20"/>
        </w:rPr>
        <w:t>: Europe is t</w:t>
      </w:r>
      <w:r>
        <w:rPr>
          <w:rFonts w:ascii="Verdana" w:hAnsi="Verdana"/>
          <w:noProof/>
          <w:sz w:val="20"/>
          <w:szCs w:val="20"/>
        </w:rPr>
        <w:t>oday in a weak position when speaking of Operating System and Cyber Security Industry. Initiatives should be taken in this area on a side to promote the design of more privacy-friendly operating systems for mobile devices, and on the other to stimulate the</w:t>
      </w:r>
      <w:r>
        <w:rPr>
          <w:rFonts w:ascii="Verdana" w:hAnsi="Verdana"/>
          <w:noProof/>
          <w:sz w:val="20"/>
          <w:szCs w:val="20"/>
        </w:rPr>
        <w:t xml:space="preserve"> development of a vibrant and active Cyber-security industry in the mobile device domain. A good vehicle to stimulate developments in this area could be a set of ad-hoc crafted H2020 initiatives.</w:t>
      </w:r>
    </w:p>
    <w:p w:rsidR="0077224F" w:rsidRDefault="00D973EE">
      <w:pPr>
        <w:pStyle w:val="ListParagraph"/>
        <w:numPr>
          <w:ilvl w:val="0"/>
          <w:numId w:val="14"/>
        </w:numPr>
        <w:rPr>
          <w:rFonts w:ascii="Verdana" w:hAnsi="Verdana"/>
          <w:noProof/>
          <w:sz w:val="20"/>
          <w:szCs w:val="20"/>
        </w:rPr>
      </w:pPr>
      <w:r>
        <w:rPr>
          <w:rFonts w:ascii="Verdana" w:hAnsi="Verdana"/>
          <w:b/>
          <w:noProof/>
          <w:sz w:val="20"/>
          <w:szCs w:val="20"/>
        </w:rPr>
        <w:t xml:space="preserve">Data protection impact assessment: </w:t>
      </w:r>
      <w:r>
        <w:rPr>
          <w:rFonts w:ascii="Verdana" w:hAnsi="Verdana"/>
          <w:noProof/>
          <w:sz w:val="20"/>
          <w:szCs w:val="20"/>
        </w:rPr>
        <w:t>introduction of prescript</w:t>
      </w:r>
      <w:r>
        <w:rPr>
          <w:rFonts w:ascii="Verdana" w:hAnsi="Verdana"/>
          <w:noProof/>
          <w:sz w:val="20"/>
          <w:szCs w:val="20"/>
        </w:rPr>
        <w:t>ive and sectorial rules making mandatory the execution of a data-protection impact assessment analysis for apps and OS (similar to that introduced by DG-ENER in the smart-grid and smart-metering areas).</w:t>
      </w:r>
    </w:p>
    <w:p w:rsidR="0077224F" w:rsidRDefault="00D973EE">
      <w:pPr>
        <w:rPr>
          <w:noProof/>
          <w:szCs w:val="20"/>
        </w:rPr>
      </w:pPr>
      <w:r>
        <w:rPr>
          <w:noProof/>
          <w:szCs w:val="20"/>
        </w:rPr>
        <w:t xml:space="preserve">However, the most advanced techniques to improve the </w:t>
      </w:r>
      <w:r>
        <w:rPr>
          <w:noProof/>
          <w:szCs w:val="20"/>
        </w:rPr>
        <w:t>privacy level of mobile-devices objects are useless if the end-user does not have any perception of the risks to which he/she is exposed. In this sense, ad-hoc initiatives should be taken to raise the awareness of the citizen toward privacy threats in mobi</w:t>
      </w:r>
      <w:r>
        <w:rPr>
          <w:noProof/>
          <w:szCs w:val="20"/>
        </w:rPr>
        <w:t>le devices. In this area, apart from usual informational campaigns, initiatives in the educational sector (primary and secondary schools) could be a good way to forge the new generation of digital citizens with more developed privacy awareness.</w:t>
      </w:r>
    </w:p>
    <w:p w:rsidR="0077224F" w:rsidRDefault="0077224F">
      <w:pPr>
        <w:pStyle w:val="Heading1"/>
        <w:keepLines/>
        <w:pageBreakBefore/>
        <w:numPr>
          <w:ilvl w:val="0"/>
          <w:numId w:val="0"/>
        </w:numPr>
        <w:spacing w:before="480" w:after="0" w:line="276" w:lineRule="auto"/>
        <w:ind w:left="432"/>
        <w:rPr>
          <w:noProof/>
        </w:rPr>
      </w:pPr>
      <w:bookmarkStart w:id="840" w:name="_Toc453342736"/>
      <w:bookmarkStart w:id="841" w:name="_Toc458158013"/>
      <w:bookmarkStart w:id="842" w:name="_Toc465876796"/>
      <w:bookmarkStart w:id="843" w:name="_Toc453341753"/>
    </w:p>
    <w:p w:rsidR="0077224F" w:rsidRDefault="00D973EE">
      <w:pPr>
        <w:pStyle w:val="Heading1"/>
        <w:keepLines/>
        <w:pageBreakBefore/>
        <w:spacing w:before="480" w:after="0" w:line="276" w:lineRule="auto"/>
        <w:rPr>
          <w:noProof/>
        </w:rPr>
      </w:pPr>
      <w:bookmarkStart w:id="844" w:name="_Toc466024063"/>
      <w:bookmarkStart w:id="845" w:name="_Toc468790071"/>
      <w:bookmarkStart w:id="846" w:name="_Toc468794903"/>
      <w:bookmarkStart w:id="847" w:name="_Toc468795211"/>
      <w:r>
        <w:rPr>
          <w:noProof/>
        </w:rPr>
        <w:t>Web Applic</w:t>
      </w:r>
      <w:r>
        <w:rPr>
          <w:noProof/>
        </w:rPr>
        <w:t>ations</w:t>
      </w:r>
      <w:bookmarkEnd w:id="840"/>
      <w:bookmarkEnd w:id="841"/>
      <w:bookmarkEnd w:id="842"/>
      <w:bookmarkEnd w:id="844"/>
      <w:bookmarkEnd w:id="845"/>
      <w:bookmarkEnd w:id="846"/>
      <w:bookmarkEnd w:id="847"/>
    </w:p>
    <w:p w:rsidR="0077224F" w:rsidRDefault="00D973EE">
      <w:pPr>
        <w:rPr>
          <w:noProof/>
        </w:rPr>
      </w:pPr>
      <w:r>
        <w:rPr>
          <w:noProof/>
        </w:rPr>
        <w:t>Web applications can be understood as client-server application where the client runs in a web browser. The distinction between simple “web-pages” and “web-applications” is today becoming very blurry as web-pages are today rarely static and often of</w:t>
      </w:r>
      <w:r>
        <w:rPr>
          <w:noProof/>
        </w:rPr>
        <w:t>fer several application services.</w:t>
      </w:r>
    </w:p>
    <w:p w:rsidR="0077224F" w:rsidRDefault="00D973EE">
      <w:pPr>
        <w:rPr>
          <w:noProof/>
        </w:rPr>
      </w:pPr>
      <w:r>
        <w:rPr>
          <w:noProof/>
        </w:rPr>
        <w:t>In this section we describe privacy invasive approaches used to track users including user and server-side mechanisms currently adopted by web app providers that may impact on the security of users. We also describe existi</w:t>
      </w:r>
      <w:r>
        <w:rPr>
          <w:noProof/>
        </w:rPr>
        <w:t xml:space="preserve">ng user-centric security and privacy tools/mechanisms that inform users about their privacy preferences (e.g., allowed/blocked cookies) and about the data collected about them by web apps. Tools and mechanisms include, for example, private browsing modes, </w:t>
      </w:r>
      <w:r>
        <w:rPr>
          <w:noProof/>
        </w:rPr>
        <w:t>cookie management tools, mechanisms to enable control of the managed resources and local cached data of web applications, privacy preferences that regulate the access and future use of this information, and detailed user tracking data stored for advertisem</w:t>
      </w:r>
      <w:r>
        <w:rPr>
          <w:noProof/>
        </w:rPr>
        <w:t>ent and analytics purposes.</w:t>
      </w:r>
    </w:p>
    <w:p w:rsidR="0077224F" w:rsidRDefault="00D973EE">
      <w:pPr>
        <w:rPr>
          <w:noProof/>
        </w:rPr>
      </w:pPr>
      <w:r>
        <w:rPr>
          <w:noProof/>
        </w:rPr>
        <w:t xml:space="preserve">Web applications usually track users </w:t>
      </w:r>
      <w:r>
        <w:rPr>
          <w:noProof/>
        </w:rPr>
        <w:fldChar w:fldCharType="begin"/>
      </w:r>
      <w:r>
        <w:rPr>
          <w:noProof/>
        </w:rPr>
        <w:instrText xml:space="preserve"> ADDIN ZOTERO_ITEM CSL_CITATION {"citationID":"1d1367flko","properties":{"formattedCitation":"[14]","plainCitation":"[14]"},"citationItems":[{"id":1004,"uris":["http://zotero.org/groups/58378</w:instrText>
      </w:r>
      <w:r>
        <w:rPr>
          <w:noProof/>
        </w:rPr>
        <w:instrText>8/items/DAR8CNWW"],"uri":["http://zotero.org/groups/583788/items/DAR8CNWW"],"itemData":{"id":1004,"type":"webpage","title":"Do Not Track","container-title":"Do Not Track","abstract":"Do Not Track, a personalized web series about privacy and the web economy</w:instrText>
      </w:r>
      <w:r>
        <w:rPr>
          <w:noProof/>
        </w:rPr>
        <w:instrText xml:space="preserve">. Directed by Brett Gaylor, coproduced by Upian, Arte, ONF &amp; BR.","URL":"https://donottrack-doc.com/en/","accessed":{"date-parts":[["2016",10,31]]}}}],"schema":"https://github.com/citation-style-language/schema/raw/master/csl-citation.json"} </w:instrText>
      </w:r>
      <w:r>
        <w:rPr>
          <w:noProof/>
        </w:rPr>
        <w:fldChar w:fldCharType="separate"/>
      </w:r>
      <w:r>
        <w:rPr>
          <w:noProof/>
        </w:rPr>
        <w:t>[14]</w:t>
      </w:r>
      <w:r>
        <w:rPr>
          <w:noProof/>
        </w:rPr>
        <w:fldChar w:fldCharType="end"/>
      </w:r>
      <w:r>
        <w:rPr>
          <w:noProof/>
        </w:rPr>
        <w:t xml:space="preserve"> in ord</w:t>
      </w:r>
      <w:r>
        <w:rPr>
          <w:noProof/>
        </w:rPr>
        <w:t>er to collect data that is needed to (1) improve/adapt/customize the service provided or to (2) build user profiles that are used for personalized advertisement purposes. Examples of both categories are cookies set in order to keep track of the user sessio</w:t>
      </w:r>
      <w:r>
        <w:rPr>
          <w:noProof/>
        </w:rPr>
        <w:t>n and to remember the items selected in a web-shop for later acquisition in the user shopping basket, or cookies set in order to keep track of all browsing history of users to learn their interests, preferences, and all possible information about the users</w:t>
      </w:r>
      <w:r>
        <w:rPr>
          <w:noProof/>
        </w:rPr>
        <w:t xml:space="preserve"> in order to suggest items for them to buy.</w:t>
      </w:r>
    </w:p>
    <w:p w:rsidR="0077224F" w:rsidRDefault="00D973EE">
      <w:pPr>
        <w:rPr>
          <w:noProof/>
        </w:rPr>
      </w:pPr>
      <w:r>
        <w:rPr>
          <w:noProof/>
        </w:rPr>
        <w:t>The following subsections describe the different types of privacy intrusive approaches (e.g., user tracking), the technical aspects involved, existing tools that put the problem in evidence, and technical recomme</w:t>
      </w:r>
      <w:r>
        <w:rPr>
          <w:noProof/>
        </w:rPr>
        <w:t>ndations from the JRC or the community on how to address this problem.</w:t>
      </w:r>
    </w:p>
    <w:p w:rsidR="0077224F" w:rsidRDefault="00D973EE">
      <w:pPr>
        <w:pStyle w:val="Heading2"/>
        <w:rPr>
          <w:noProof/>
        </w:rPr>
      </w:pPr>
      <w:bookmarkStart w:id="848" w:name="_Ref453342236"/>
      <w:bookmarkStart w:id="849" w:name="_Toc453342738"/>
      <w:bookmarkStart w:id="850" w:name="_Toc458158014"/>
      <w:bookmarkStart w:id="851" w:name="_Toc465876797"/>
      <w:bookmarkStart w:id="852" w:name="_Toc466024064"/>
      <w:bookmarkStart w:id="853" w:name="_Toc468790072"/>
      <w:bookmarkStart w:id="854" w:name="_Toc468794904"/>
      <w:bookmarkStart w:id="855" w:name="_Toc468795212"/>
      <w:r>
        <w:rPr>
          <w:noProof/>
        </w:rPr>
        <w:t>Web Cookies and Trackers</w:t>
      </w:r>
      <w:bookmarkEnd w:id="848"/>
      <w:bookmarkEnd w:id="849"/>
      <w:bookmarkEnd w:id="850"/>
      <w:bookmarkEnd w:id="851"/>
      <w:bookmarkEnd w:id="852"/>
      <w:bookmarkEnd w:id="853"/>
      <w:bookmarkEnd w:id="854"/>
      <w:bookmarkEnd w:id="855"/>
    </w:p>
    <w:p w:rsidR="0077224F" w:rsidRDefault="00D973EE">
      <w:pPr>
        <w:rPr>
          <w:noProof/>
        </w:rPr>
      </w:pPr>
      <w:r>
        <w:rPr>
          <w:b/>
          <w:noProof/>
        </w:rPr>
        <w:t>Cookies</w:t>
      </w:r>
      <w:r>
        <w:rPr>
          <w:noProof/>
        </w:rPr>
        <w:t xml:space="preserve"> are name-value pairs of strings that can be written and read by a web app in the user’s computer and are managed by the web browser (a.k.a. </w:t>
      </w:r>
      <w:r>
        <w:rPr>
          <w:b/>
          <w:noProof/>
        </w:rPr>
        <w:t>web</w:t>
      </w:r>
      <w:r>
        <w:rPr>
          <w:noProof/>
        </w:rPr>
        <w:t xml:space="preserve"> </w:t>
      </w:r>
      <w:r>
        <w:rPr>
          <w:b/>
          <w:noProof/>
        </w:rPr>
        <w:t>cookies</w:t>
      </w:r>
      <w:r>
        <w:rPr>
          <w:noProof/>
        </w:rPr>
        <w:t xml:space="preserve">) or by the Adobe Flash Player (AFP) (a.k.a. </w:t>
      </w:r>
      <w:r>
        <w:rPr>
          <w:b/>
          <w:noProof/>
        </w:rPr>
        <w:t>flash cookies</w:t>
      </w:r>
      <w:r>
        <w:rPr>
          <w:noProof/>
        </w:rPr>
        <w:t>). Since flash cookies do not appear in the standard cookie management setting in the web browsers users are usually unaware of them and may not even configure any restrictions on their use simply b</w:t>
      </w:r>
      <w:r>
        <w:rPr>
          <w:noProof/>
        </w:rPr>
        <w:t>ecause they do not know about this option.</w:t>
      </w:r>
    </w:p>
    <w:p w:rsidR="0077224F" w:rsidRDefault="00D973EE">
      <w:pPr>
        <w:rPr>
          <w:noProof/>
        </w:rPr>
      </w:pPr>
      <w:r>
        <w:rPr>
          <w:noProof/>
        </w:rPr>
        <w:t>Cookies are commonly used to store the user session identifier in order to allow the web app to remember the user while he/she navigates through the different parts/pages of the app. For example, if users access a</w:t>
      </w:r>
      <w:r>
        <w:rPr>
          <w:noProof/>
        </w:rPr>
        <w:t xml:space="preserve"> webshop and add items to their shopping baskets the app is able to remember the added items and display the list later on to the users without requiring the user to explicitly login with a username and password. Cookies are also used for analytics purpose</w:t>
      </w:r>
      <w:r>
        <w:rPr>
          <w:noProof/>
        </w:rPr>
        <w:t xml:space="preserve"> to make a complete profile of the user navigation and preferences.</w:t>
      </w:r>
    </w:p>
    <w:p w:rsidR="0077224F" w:rsidRDefault="00D973EE">
      <w:pPr>
        <w:rPr>
          <w:noProof/>
        </w:rPr>
      </w:pPr>
      <w:r>
        <w:rPr>
          <w:noProof/>
        </w:rPr>
        <w:t xml:space="preserve">The management of access rights to cookies follows a </w:t>
      </w:r>
      <w:r>
        <w:rPr>
          <w:i/>
          <w:noProof/>
        </w:rPr>
        <w:t>same-origin policy</w:t>
      </w:r>
      <w:r>
        <w:rPr>
          <w:noProof/>
        </w:rPr>
        <w:t>, meaning that cookies written by a specific domain URL (e.g., www.website.com) can be only accessed by web apps in t</w:t>
      </w:r>
      <w:r>
        <w:rPr>
          <w:noProof/>
        </w:rPr>
        <w:t xml:space="preserve">he same domain. </w:t>
      </w:r>
      <w:r>
        <w:rPr>
          <w:noProof/>
        </w:rPr>
        <w:fldChar w:fldCharType="begin"/>
      </w:r>
      <w:r>
        <w:rPr>
          <w:noProof/>
        </w:rPr>
        <w:instrText xml:space="preserve"> REF _Ref455580943 \h  \* MERGEFORMAT </w:instrText>
      </w:r>
      <w:r>
        <w:rPr>
          <w:noProof/>
        </w:rPr>
      </w:r>
      <w:r>
        <w:rPr>
          <w:noProof/>
        </w:rPr>
        <w:fldChar w:fldCharType="separate"/>
      </w:r>
      <w:r>
        <w:rPr>
          <w:noProof/>
        </w:rPr>
        <w:t>Figure 12</w:t>
      </w:r>
      <w:r>
        <w:rPr>
          <w:noProof/>
        </w:rPr>
        <w:fldChar w:fldCharType="end"/>
      </w:r>
      <w:r>
        <w:rPr>
          <w:noProof/>
        </w:rPr>
        <w:t xml:space="preserve"> illustrates the scenario when a user accesses the page “showBikes” from the server with domain name “website.com”. The access</w:t>
      </w:r>
      <w:r>
        <w:rPr>
          <w:noProof/>
        </w:rPr>
        <w:t xml:space="preserve"> consists of an HTTP request for the page, and an HTTP response by the server with the requested content. Any cookies saved in the web browser to this domain are also sent together in the HTTP request, and the server may decide to overwrite or create new c</w:t>
      </w:r>
      <w:r>
        <w:rPr>
          <w:noProof/>
        </w:rPr>
        <w:t>ookies by embedding them in the response sent to the web browser. Cookies are simply name/value pairs, for example, the website may create a cookie to contain the user e-mail with the name/value: “e-mail=bob@website.com”.</w:t>
      </w:r>
    </w:p>
    <w:p w:rsidR="0077224F" w:rsidRDefault="00D973EE">
      <w:pPr>
        <w:keepNext/>
        <w:rPr>
          <w:noProof/>
        </w:rPr>
      </w:pPr>
      <w:r>
        <w:rPr>
          <w:noProof/>
        </w:rPr>
        <w:object w:dxaOrig="9016" w:dyaOrig="1515">
          <v:shape id="_x0000_i1037" type="#_x0000_t75" style="width:449.45pt;height:76.2pt" o:ole="">
            <v:imagedata r:id="rId55" o:title=""/>
          </v:shape>
          <o:OLEObject Type="Embed" ProgID="Visio.Drawing.15" ShapeID="_x0000_i1037" DrawAspect="Content" ObjectID="_1545553415" r:id="rId56"/>
        </w:object>
      </w:r>
    </w:p>
    <w:p w:rsidR="0077224F" w:rsidRDefault="00D973EE">
      <w:pPr>
        <w:pStyle w:val="Caption"/>
        <w:rPr>
          <w:rFonts w:ascii="Verdana" w:hAnsi="Verdana"/>
          <w:noProof/>
          <w:color w:val="auto"/>
          <w:sz w:val="16"/>
          <w:lang w:val="en-GB"/>
        </w:rPr>
      </w:pPr>
      <w:bookmarkStart w:id="856" w:name="_Ref455580943"/>
      <w:bookmarkStart w:id="857" w:name="_Toc466024090"/>
      <w:r>
        <w:rPr>
          <w:rFonts w:ascii="Verdana" w:hAnsi="Verdana"/>
          <w:noProof/>
          <w:color w:val="auto"/>
          <w:sz w:val="16"/>
          <w:lang w:val="en-GB"/>
        </w:rPr>
        <w:t>Figur</w:t>
      </w:r>
      <w:r>
        <w:rPr>
          <w:rFonts w:ascii="Verdana" w:hAnsi="Verdana"/>
          <w:noProof/>
          <w:color w:val="auto"/>
          <w:sz w:val="16"/>
          <w:lang w:val="en-GB"/>
        </w:rPr>
        <w:t xml:space="preserve">e </w:t>
      </w:r>
      <w:r>
        <w:rPr>
          <w:rFonts w:ascii="Verdana" w:hAnsi="Verdana"/>
          <w:noProof/>
          <w:color w:val="auto"/>
          <w:sz w:val="16"/>
          <w:lang w:val="en-GB"/>
        </w:rPr>
        <w:fldChar w:fldCharType="begin"/>
      </w:r>
      <w:r>
        <w:rPr>
          <w:rFonts w:ascii="Verdana" w:hAnsi="Verdana"/>
          <w:noProof/>
          <w:color w:val="auto"/>
          <w:sz w:val="16"/>
          <w:lang w:val="en-GB"/>
        </w:rPr>
        <w:instrText xml:space="preserve"> SEQ Figure \* ARABIC </w:instrText>
      </w:r>
      <w:r>
        <w:rPr>
          <w:rFonts w:ascii="Verdana" w:hAnsi="Verdana"/>
          <w:noProof/>
          <w:color w:val="auto"/>
          <w:sz w:val="16"/>
          <w:lang w:val="en-GB"/>
        </w:rPr>
        <w:fldChar w:fldCharType="separate"/>
      </w:r>
      <w:r>
        <w:rPr>
          <w:rFonts w:ascii="Verdana" w:hAnsi="Verdana"/>
          <w:noProof/>
          <w:color w:val="auto"/>
          <w:sz w:val="16"/>
          <w:lang w:val="en-GB"/>
        </w:rPr>
        <w:t>12</w:t>
      </w:r>
      <w:r>
        <w:rPr>
          <w:rFonts w:ascii="Verdana" w:hAnsi="Verdana"/>
          <w:noProof/>
          <w:color w:val="auto"/>
          <w:sz w:val="16"/>
          <w:lang w:val="en-GB"/>
        </w:rPr>
        <w:fldChar w:fldCharType="end"/>
      </w:r>
      <w:bookmarkEnd w:id="856"/>
      <w:r>
        <w:rPr>
          <w:rFonts w:ascii="Verdana" w:hAnsi="Verdana"/>
          <w:noProof/>
          <w:color w:val="auto"/>
          <w:sz w:val="16"/>
          <w:lang w:val="en-GB"/>
        </w:rPr>
        <w:t xml:space="preserve"> – Access to page in server website.com</w:t>
      </w:r>
      <w:bookmarkEnd w:id="857"/>
    </w:p>
    <w:p w:rsidR="0077224F" w:rsidRDefault="00D973EE">
      <w:pPr>
        <w:rPr>
          <w:noProof/>
        </w:rPr>
      </w:pPr>
      <w:r>
        <w:rPr>
          <w:noProof/>
        </w:rPr>
        <w:t>Cookies are also sent to a website in case of a cross site request, for example, if a particular website includes a script or image hosted in www.google.com, the cookies of google are sen</w:t>
      </w:r>
      <w:r>
        <w:rPr>
          <w:noProof/>
        </w:rPr>
        <w:t xml:space="preserve">t together in the request and may even be available to client-side scripting languages to the website that issued the request to www.google.com. </w:t>
      </w:r>
      <w:r>
        <w:rPr>
          <w:noProof/>
        </w:rPr>
        <w:fldChar w:fldCharType="begin"/>
      </w:r>
      <w:r>
        <w:rPr>
          <w:noProof/>
        </w:rPr>
        <w:instrText xml:space="preserve"> REF _Ref455568382 \h  \* MERGEFORMAT </w:instrText>
      </w:r>
      <w:r>
        <w:rPr>
          <w:noProof/>
        </w:rPr>
      </w:r>
      <w:r>
        <w:rPr>
          <w:noProof/>
        </w:rPr>
        <w:fldChar w:fldCharType="separate"/>
      </w:r>
      <w:r>
        <w:rPr>
          <w:noProof/>
        </w:rPr>
        <w:t>Figure 13</w:t>
      </w:r>
      <w:r>
        <w:rPr>
          <w:noProof/>
        </w:rPr>
        <w:fldChar w:fldCharType="end"/>
      </w:r>
      <w:r>
        <w:rPr>
          <w:noProof/>
        </w:rPr>
        <w:t xml:space="preserve"> shows an example scenario of cookie and data flow when a website hosted at “website.com” embedded content from another website “tracking.com”. In this example the user is accessing the page “showBikes”, and when the web browser requests the page from </w:t>
      </w:r>
      <w:r>
        <w:rPr>
          <w:noProof/>
        </w:rPr>
        <w:t>the server it sends in the request all the stored cookies for this domain. In the retrieved page, “website.com/showBikes” includes an embedded content for the content “banner”, which is also loaded by the web browser, and the server “tracking.com” receives</w:t>
      </w:r>
      <w:r>
        <w:rPr>
          <w:noProof/>
        </w:rPr>
        <w:t xml:space="preserve"> in the request the argument “interest=bicycles”, the stored cookies for the domain, and also is able to know that the request originated from “website.com/showBikes”. The cookies sent in this type of scenario to tracking.com are called 3</w:t>
      </w:r>
      <w:r>
        <w:rPr>
          <w:noProof/>
          <w:vertAlign w:val="superscript"/>
        </w:rPr>
        <w:t>rd</w:t>
      </w:r>
      <w:r>
        <w:rPr>
          <w:noProof/>
        </w:rPr>
        <w:t xml:space="preserve"> party cookies, </w:t>
      </w:r>
      <w:r>
        <w:rPr>
          <w:noProof/>
        </w:rPr>
        <w:t>while the cookies sent to website.com are called 1</w:t>
      </w:r>
      <w:r>
        <w:rPr>
          <w:noProof/>
          <w:vertAlign w:val="superscript"/>
        </w:rPr>
        <w:t>st</w:t>
      </w:r>
      <w:r>
        <w:rPr>
          <w:noProof/>
        </w:rPr>
        <w:t xml:space="preserve"> party cookies. Both website.com and tracking.com may have an agreement on the exchanged information, for example, website.com may send other arguments in addition to “interest” such as the user e-mail, l</w:t>
      </w:r>
      <w:r>
        <w:rPr>
          <w:noProof/>
        </w:rPr>
        <w:t>ocation, etc. The cookies set for both websites may include any type of information encoded in strings, including encrypted information that is opaque for end-users.</w:t>
      </w:r>
    </w:p>
    <w:p w:rsidR="0077224F" w:rsidRDefault="00D973EE">
      <w:pPr>
        <w:keepNext/>
        <w:rPr>
          <w:noProof/>
        </w:rPr>
      </w:pPr>
      <w:r>
        <w:rPr>
          <w:noProof/>
        </w:rPr>
        <w:object w:dxaOrig="10636" w:dyaOrig="2806">
          <v:shape id="_x0000_i1038" type="#_x0000_t75" style="width:467.45pt;height:122.35pt" o:ole="">
            <v:imagedata r:id="rId57" o:title=""/>
          </v:shape>
          <o:OLEObject Type="Embed" ProgID="Visio.Drawing.15" ShapeID="_x0000_i1038" DrawAspect="Content" ObjectID="_1545553416" r:id="rId58"/>
        </w:object>
      </w:r>
    </w:p>
    <w:p w:rsidR="0077224F" w:rsidRDefault="00D973EE">
      <w:pPr>
        <w:pStyle w:val="Caption"/>
        <w:rPr>
          <w:rFonts w:ascii="Verdana" w:hAnsi="Verdana"/>
          <w:noProof/>
          <w:color w:val="auto"/>
          <w:sz w:val="16"/>
          <w:lang w:val="en-GB"/>
        </w:rPr>
      </w:pPr>
      <w:bookmarkStart w:id="858" w:name="_Ref455568382"/>
      <w:bookmarkStart w:id="859" w:name="_Toc466024091"/>
      <w:r>
        <w:rPr>
          <w:rFonts w:ascii="Verdana" w:hAnsi="Verdana"/>
          <w:noProof/>
          <w:color w:val="auto"/>
          <w:sz w:val="16"/>
          <w:lang w:val="en-GB"/>
        </w:rPr>
        <w:t xml:space="preserve">Figure </w:t>
      </w:r>
      <w:r>
        <w:rPr>
          <w:rFonts w:ascii="Verdana" w:hAnsi="Verdana"/>
          <w:noProof/>
          <w:color w:val="auto"/>
          <w:sz w:val="16"/>
          <w:lang w:val="en-GB"/>
        </w:rPr>
        <w:fldChar w:fldCharType="begin"/>
      </w:r>
      <w:r>
        <w:rPr>
          <w:rFonts w:ascii="Verdana" w:hAnsi="Verdana"/>
          <w:noProof/>
          <w:color w:val="auto"/>
          <w:sz w:val="16"/>
          <w:lang w:val="en-GB"/>
        </w:rPr>
        <w:instrText xml:space="preserve"> SEQ Figure \* ARABIC </w:instrText>
      </w:r>
      <w:r>
        <w:rPr>
          <w:rFonts w:ascii="Verdana" w:hAnsi="Verdana"/>
          <w:noProof/>
          <w:color w:val="auto"/>
          <w:sz w:val="16"/>
          <w:lang w:val="en-GB"/>
        </w:rPr>
        <w:fldChar w:fldCharType="separate"/>
      </w:r>
      <w:r>
        <w:rPr>
          <w:rFonts w:ascii="Verdana" w:hAnsi="Verdana"/>
          <w:noProof/>
          <w:color w:val="auto"/>
          <w:sz w:val="16"/>
          <w:lang w:val="en-GB"/>
        </w:rPr>
        <w:t>13</w:t>
      </w:r>
      <w:r>
        <w:rPr>
          <w:rFonts w:ascii="Verdana" w:hAnsi="Verdana"/>
          <w:noProof/>
          <w:color w:val="auto"/>
          <w:sz w:val="16"/>
          <w:lang w:val="en-GB"/>
        </w:rPr>
        <w:fldChar w:fldCharType="end"/>
      </w:r>
      <w:bookmarkEnd w:id="858"/>
      <w:r>
        <w:rPr>
          <w:rFonts w:ascii="Verdana" w:hAnsi="Verdana"/>
          <w:noProof/>
          <w:color w:val="auto"/>
          <w:sz w:val="16"/>
          <w:lang w:val="en-GB"/>
        </w:rPr>
        <w:t xml:space="preserve"> – Example of cookie and data flow in websites with embedded content</w:t>
      </w:r>
      <w:bookmarkEnd w:id="859"/>
    </w:p>
    <w:p w:rsidR="0077224F" w:rsidRDefault="00D973EE">
      <w:pPr>
        <w:rPr>
          <w:noProof/>
          <w:szCs w:val="22"/>
        </w:rPr>
      </w:pPr>
      <w:r>
        <w:rPr>
          <w:noProof/>
          <w:szCs w:val="22"/>
        </w:rPr>
        <w:t>There are different types of cookies:</w:t>
      </w:r>
    </w:p>
    <w:p w:rsidR="0077224F" w:rsidRDefault="00D973EE">
      <w:pPr>
        <w:pStyle w:val="ListParagraph"/>
        <w:numPr>
          <w:ilvl w:val="0"/>
          <w:numId w:val="22"/>
        </w:numPr>
        <w:spacing w:before="0"/>
        <w:rPr>
          <w:rFonts w:ascii="Verdana" w:hAnsi="Verdana"/>
          <w:noProof/>
          <w:sz w:val="20"/>
        </w:rPr>
      </w:pPr>
      <w:r>
        <w:rPr>
          <w:rFonts w:ascii="Verdana" w:hAnsi="Verdana"/>
          <w:noProof/>
          <w:sz w:val="20"/>
        </w:rPr>
        <w:t xml:space="preserve">Cookies that manage user sessions across web pages and across browsing sessions (remember me functionality). These sessions are used to store user </w:t>
      </w:r>
      <w:r>
        <w:rPr>
          <w:rFonts w:ascii="Verdana" w:hAnsi="Verdana"/>
          <w:noProof/>
          <w:sz w:val="20"/>
        </w:rPr>
        <w:t>login information, preferences, screen and configurations to improve user experience, etc. This type of cookies should be allowed in an anonymous way for users that have no accounts in the website, and can be enabled in an identifiable way to users that ch</w:t>
      </w:r>
      <w:r>
        <w:rPr>
          <w:rFonts w:ascii="Verdana" w:hAnsi="Verdana"/>
          <w:noProof/>
          <w:sz w:val="20"/>
        </w:rPr>
        <w:t>oose explicitly to create an account and login in the service. Anonymous and authenticated sessions should never be linked to each other, meaning that after login or logout all associated information to the session should be deleted. All information includ</w:t>
      </w:r>
      <w:r>
        <w:rPr>
          <w:rFonts w:ascii="Verdana" w:hAnsi="Verdana"/>
          <w:noProof/>
          <w:sz w:val="20"/>
        </w:rPr>
        <w:t>ing user input cookies associated with the sessions to that domain should be deleted as well when the user logs out and only reset when the user logs in again.</w:t>
      </w:r>
    </w:p>
    <w:p w:rsidR="0077224F" w:rsidRDefault="00D973EE">
      <w:pPr>
        <w:pStyle w:val="ListParagraph"/>
        <w:numPr>
          <w:ilvl w:val="0"/>
          <w:numId w:val="22"/>
        </w:numPr>
        <w:spacing w:before="0"/>
        <w:rPr>
          <w:rFonts w:ascii="Verdana" w:hAnsi="Verdana"/>
          <w:noProof/>
          <w:sz w:val="20"/>
        </w:rPr>
      </w:pPr>
      <w:r>
        <w:rPr>
          <w:rFonts w:ascii="Verdana" w:hAnsi="Verdana"/>
          <w:noProof/>
          <w:sz w:val="20"/>
        </w:rPr>
        <w:t>User input cookies: name, address, to autofill forms;</w:t>
      </w:r>
    </w:p>
    <w:p w:rsidR="0077224F" w:rsidRDefault="00D973EE">
      <w:pPr>
        <w:pStyle w:val="ListParagraph"/>
        <w:numPr>
          <w:ilvl w:val="0"/>
          <w:numId w:val="22"/>
        </w:numPr>
        <w:spacing w:before="0"/>
        <w:rPr>
          <w:rFonts w:ascii="Verdana" w:hAnsi="Verdana"/>
          <w:noProof/>
          <w:sz w:val="20"/>
        </w:rPr>
      </w:pPr>
      <w:r>
        <w:rPr>
          <w:rFonts w:ascii="Verdana" w:hAnsi="Verdana"/>
          <w:noProof/>
          <w:sz w:val="20"/>
        </w:rPr>
        <w:t>Authentication cookies: session identifier</w:t>
      </w:r>
      <w:r>
        <w:rPr>
          <w:rFonts w:ascii="Verdana" w:hAnsi="Verdana"/>
          <w:noProof/>
          <w:sz w:val="20"/>
        </w:rPr>
        <w:t>s, secure cookies for failed login counts;</w:t>
      </w:r>
    </w:p>
    <w:p w:rsidR="0077224F" w:rsidRDefault="00D973EE">
      <w:pPr>
        <w:pStyle w:val="ListParagraph"/>
        <w:numPr>
          <w:ilvl w:val="0"/>
          <w:numId w:val="22"/>
        </w:numPr>
        <w:spacing w:before="0"/>
        <w:rPr>
          <w:rFonts w:ascii="Verdana" w:hAnsi="Verdana"/>
          <w:noProof/>
          <w:sz w:val="20"/>
        </w:rPr>
      </w:pPr>
      <w:r>
        <w:rPr>
          <w:rFonts w:ascii="Verdana" w:hAnsi="Verdana"/>
          <w:noProof/>
          <w:sz w:val="20"/>
        </w:rPr>
        <w:t>User profile cookies: information about the user such as address, birthdate, etc;</w:t>
      </w:r>
    </w:p>
    <w:p w:rsidR="0077224F" w:rsidRDefault="00D973EE">
      <w:pPr>
        <w:pStyle w:val="ListParagraph"/>
        <w:numPr>
          <w:ilvl w:val="0"/>
          <w:numId w:val="22"/>
        </w:numPr>
        <w:spacing w:before="0"/>
        <w:rPr>
          <w:rFonts w:ascii="Verdana" w:hAnsi="Verdana"/>
          <w:noProof/>
          <w:sz w:val="20"/>
        </w:rPr>
      </w:pPr>
      <w:r>
        <w:rPr>
          <w:rFonts w:ascii="Verdana" w:hAnsi="Verdana"/>
          <w:noProof/>
          <w:sz w:val="20"/>
        </w:rPr>
        <w:t>Load balancing cookies: server cookies to redirect users to specific server farms in order to balance the load;</w:t>
      </w:r>
    </w:p>
    <w:p w:rsidR="0077224F" w:rsidRDefault="00D973EE">
      <w:pPr>
        <w:pStyle w:val="ListParagraph"/>
        <w:numPr>
          <w:ilvl w:val="0"/>
          <w:numId w:val="22"/>
        </w:numPr>
        <w:spacing w:before="0"/>
        <w:rPr>
          <w:rFonts w:ascii="Verdana" w:hAnsi="Verdana"/>
          <w:noProof/>
          <w:sz w:val="20"/>
        </w:rPr>
      </w:pPr>
      <w:r>
        <w:rPr>
          <w:rFonts w:ascii="Verdana" w:hAnsi="Verdana"/>
          <w:noProof/>
          <w:sz w:val="20"/>
        </w:rPr>
        <w:t>3</w:t>
      </w:r>
      <w:r>
        <w:rPr>
          <w:rFonts w:ascii="Verdana" w:hAnsi="Verdana"/>
          <w:noProof/>
          <w:sz w:val="20"/>
          <w:vertAlign w:val="superscript"/>
        </w:rPr>
        <w:t>rd</w:t>
      </w:r>
      <w:r>
        <w:rPr>
          <w:rFonts w:ascii="Verdana" w:hAnsi="Verdana"/>
          <w:noProof/>
          <w:sz w:val="20"/>
        </w:rPr>
        <w:t xml:space="preserve"> party Cookies f</w:t>
      </w:r>
      <w:r>
        <w:rPr>
          <w:rFonts w:ascii="Verdana" w:hAnsi="Verdana"/>
          <w:noProof/>
          <w:sz w:val="20"/>
        </w:rPr>
        <w:t>or analytics: not a problem if IP is anonymized.</w:t>
      </w:r>
    </w:p>
    <w:p w:rsidR="0077224F" w:rsidRDefault="00D973EE">
      <w:pPr>
        <w:pStyle w:val="ListParagraph"/>
        <w:numPr>
          <w:ilvl w:val="0"/>
          <w:numId w:val="22"/>
        </w:numPr>
        <w:spacing w:before="0"/>
        <w:rPr>
          <w:rFonts w:ascii="Verdana" w:hAnsi="Verdana"/>
          <w:noProof/>
          <w:sz w:val="20"/>
        </w:rPr>
      </w:pPr>
      <w:r>
        <w:rPr>
          <w:rFonts w:ascii="Verdana" w:hAnsi="Verdana"/>
          <w:noProof/>
          <w:sz w:val="20"/>
        </w:rPr>
        <w:t>Social networking cookies such as twitter, etc. require consent, and are not necessary for the page, only if users really would like to use social networking functionality</w:t>
      </w:r>
      <w:r>
        <w:rPr>
          <w:rFonts w:ascii="Verdana" w:hAnsi="Verdana"/>
          <w:b/>
          <w:noProof/>
          <w:sz w:val="20"/>
        </w:rPr>
        <w:t xml:space="preserve">. </w:t>
      </w:r>
      <w:r>
        <w:rPr>
          <w:rFonts w:ascii="Verdana" w:hAnsi="Verdana"/>
          <w:noProof/>
          <w:sz w:val="20"/>
        </w:rPr>
        <w:t>This type of cookies could be enab</w:t>
      </w:r>
      <w:r>
        <w:rPr>
          <w:rFonts w:ascii="Verdana" w:hAnsi="Verdana"/>
          <w:noProof/>
          <w:sz w:val="20"/>
        </w:rPr>
        <w:t>led on demand if needed when users request the functionality.</w:t>
      </w:r>
    </w:p>
    <w:p w:rsidR="0077224F" w:rsidRDefault="00D973EE">
      <w:pPr>
        <w:pStyle w:val="ListParagraph"/>
        <w:numPr>
          <w:ilvl w:val="0"/>
          <w:numId w:val="22"/>
        </w:numPr>
        <w:spacing w:before="0"/>
        <w:rPr>
          <w:rFonts w:ascii="Verdana" w:hAnsi="Verdana"/>
          <w:noProof/>
          <w:sz w:val="20"/>
        </w:rPr>
      </w:pPr>
      <w:r>
        <w:rPr>
          <w:rFonts w:ascii="Verdana" w:hAnsi="Verdana"/>
          <w:noProof/>
          <w:sz w:val="20"/>
        </w:rPr>
        <w:t>3</w:t>
      </w:r>
      <w:r>
        <w:rPr>
          <w:rFonts w:ascii="Verdana" w:hAnsi="Verdana"/>
          <w:noProof/>
          <w:sz w:val="20"/>
          <w:vertAlign w:val="superscript"/>
        </w:rPr>
        <w:t>rd</w:t>
      </w:r>
      <w:r>
        <w:rPr>
          <w:rFonts w:ascii="Verdana" w:hAnsi="Verdana"/>
          <w:noProof/>
          <w:sz w:val="20"/>
        </w:rPr>
        <w:t xml:space="preserve"> party cookies for advertisement. </w:t>
      </w:r>
    </w:p>
    <w:p w:rsidR="0077224F" w:rsidRDefault="00D973EE">
      <w:pPr>
        <w:rPr>
          <w:noProof/>
        </w:rPr>
      </w:pPr>
      <w:r>
        <w:rPr>
          <w:noProof/>
        </w:rPr>
        <w:fldChar w:fldCharType="begin"/>
      </w:r>
      <w:r>
        <w:rPr>
          <w:noProof/>
        </w:rPr>
        <w:instrText xml:space="preserve"> REF _Ref455568810 \h  \* MERGEFORMAT </w:instrText>
      </w:r>
      <w:r>
        <w:rPr>
          <w:noProof/>
        </w:rPr>
      </w:r>
      <w:r>
        <w:rPr>
          <w:noProof/>
        </w:rPr>
        <w:fldChar w:fldCharType="separate"/>
      </w:r>
      <w:r>
        <w:rPr>
          <w:noProof/>
        </w:rPr>
        <w:t>Figure 14</w:t>
      </w:r>
      <w:r>
        <w:rPr>
          <w:noProof/>
        </w:rPr>
        <w:fldChar w:fldCharType="end"/>
      </w:r>
      <w:r>
        <w:rPr>
          <w:noProof/>
        </w:rPr>
        <w:t xml:space="preserve"> shows the typical content of cookies for </w:t>
      </w:r>
      <w:r>
        <w:rPr>
          <w:noProof/>
        </w:rPr>
        <w:t>three websites. It is rather difficult to understand what information is being stored, however, it can be seen that the user location (dy_df_geo=Europe), search queries (tc_ad_category=bicycle), and user ids (x-wl-uid=…) are stored in this case.</w:t>
      </w:r>
    </w:p>
    <w:p w:rsidR="0077224F" w:rsidRDefault="00D973EE">
      <w:pPr>
        <w:keepNext/>
        <w:rPr>
          <w:noProof/>
        </w:rPr>
      </w:pPr>
      <w:r>
        <w:rPr>
          <w:noProof/>
          <w:lang w:eastAsia="zh-CN"/>
        </w:rPr>
        <w:drawing>
          <wp:inline distT="0" distB="0" distL="0" distR="0" wp14:anchorId="63F0833F" wp14:editId="1CE7EE51">
            <wp:extent cx="2780030" cy="280416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80030" cy="2804160"/>
                    </a:xfrm>
                    <a:prstGeom prst="rect">
                      <a:avLst/>
                    </a:prstGeom>
                    <a:noFill/>
                  </pic:spPr>
                </pic:pic>
              </a:graphicData>
            </a:graphic>
          </wp:inline>
        </w:drawing>
      </w:r>
      <w:r>
        <w:rPr>
          <w:noProof/>
          <w:lang w:eastAsia="zh-CN"/>
        </w:rPr>
        <w:drawing>
          <wp:inline distT="0" distB="0" distL="0" distR="0" wp14:anchorId="08AE5885" wp14:editId="2386978C">
            <wp:extent cx="2865120" cy="28835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5120" cy="2883535"/>
                    </a:xfrm>
                    <a:prstGeom prst="rect">
                      <a:avLst/>
                    </a:prstGeom>
                    <a:noFill/>
                  </pic:spPr>
                </pic:pic>
              </a:graphicData>
            </a:graphic>
          </wp:inline>
        </w:drawing>
      </w:r>
    </w:p>
    <w:p w:rsidR="0077224F" w:rsidRDefault="00D973EE">
      <w:pPr>
        <w:keepNext/>
        <w:jc w:val="center"/>
        <w:rPr>
          <w:noProof/>
        </w:rPr>
      </w:pPr>
      <w:r>
        <w:rPr>
          <w:noProof/>
          <w:lang w:eastAsia="zh-CN"/>
        </w:rPr>
        <w:drawing>
          <wp:inline distT="0" distB="0" distL="0" distR="0" wp14:anchorId="7D70964B" wp14:editId="6342C38A">
            <wp:extent cx="2804160" cy="279844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4160" cy="2798445"/>
                    </a:xfrm>
                    <a:prstGeom prst="rect">
                      <a:avLst/>
                    </a:prstGeom>
                    <a:noFill/>
                  </pic:spPr>
                </pic:pic>
              </a:graphicData>
            </a:graphic>
          </wp:inline>
        </w:drawing>
      </w:r>
    </w:p>
    <w:p w:rsidR="0077224F" w:rsidRDefault="00D973EE">
      <w:pPr>
        <w:pStyle w:val="Caption"/>
        <w:rPr>
          <w:rFonts w:ascii="Verdana" w:hAnsi="Verdana"/>
          <w:noProof/>
          <w:color w:val="auto"/>
          <w:sz w:val="16"/>
          <w:lang w:val="en-GB"/>
        </w:rPr>
      </w:pPr>
      <w:bookmarkStart w:id="860" w:name="_Ref455568810"/>
      <w:bookmarkStart w:id="861" w:name="_Toc466024092"/>
      <w:r>
        <w:rPr>
          <w:rFonts w:ascii="Verdana" w:hAnsi="Verdana"/>
          <w:noProof/>
          <w:color w:val="auto"/>
          <w:sz w:val="16"/>
          <w:lang w:val="en-GB"/>
        </w:rPr>
        <w:t>Figur</w:t>
      </w:r>
      <w:r>
        <w:rPr>
          <w:rFonts w:ascii="Verdana" w:hAnsi="Verdana"/>
          <w:noProof/>
          <w:color w:val="auto"/>
          <w:sz w:val="16"/>
          <w:lang w:val="en-GB"/>
        </w:rPr>
        <w:t xml:space="preserve">e </w:t>
      </w:r>
      <w:r>
        <w:rPr>
          <w:rFonts w:ascii="Verdana" w:hAnsi="Verdana"/>
          <w:noProof/>
          <w:color w:val="auto"/>
          <w:sz w:val="16"/>
          <w:lang w:val="en-GB"/>
        </w:rPr>
        <w:fldChar w:fldCharType="begin"/>
      </w:r>
      <w:r>
        <w:rPr>
          <w:rFonts w:ascii="Verdana" w:hAnsi="Verdana"/>
          <w:noProof/>
          <w:color w:val="auto"/>
          <w:sz w:val="16"/>
          <w:lang w:val="en-GB"/>
        </w:rPr>
        <w:instrText xml:space="preserve"> SEQ Figure \* ARABIC </w:instrText>
      </w:r>
      <w:r>
        <w:rPr>
          <w:rFonts w:ascii="Verdana" w:hAnsi="Verdana"/>
          <w:noProof/>
          <w:color w:val="auto"/>
          <w:sz w:val="16"/>
          <w:lang w:val="en-GB"/>
        </w:rPr>
        <w:fldChar w:fldCharType="separate"/>
      </w:r>
      <w:r>
        <w:rPr>
          <w:rFonts w:ascii="Verdana" w:hAnsi="Verdana"/>
          <w:noProof/>
          <w:color w:val="auto"/>
          <w:sz w:val="16"/>
          <w:lang w:val="en-GB"/>
        </w:rPr>
        <w:t>14</w:t>
      </w:r>
      <w:r>
        <w:rPr>
          <w:rFonts w:ascii="Verdana" w:hAnsi="Verdana"/>
          <w:noProof/>
          <w:color w:val="auto"/>
          <w:sz w:val="16"/>
          <w:lang w:val="en-GB"/>
        </w:rPr>
        <w:fldChar w:fldCharType="end"/>
      </w:r>
      <w:bookmarkEnd w:id="860"/>
      <w:r>
        <w:rPr>
          <w:rFonts w:ascii="Verdana" w:hAnsi="Verdana"/>
          <w:noProof/>
          <w:color w:val="auto"/>
          <w:sz w:val="16"/>
          <w:lang w:val="en-GB"/>
        </w:rPr>
        <w:t xml:space="preserve"> – Typical cookie format stored for news and e-commerce websites</w:t>
      </w:r>
      <w:bookmarkEnd w:id="861"/>
    </w:p>
    <w:p w:rsidR="0077224F" w:rsidRDefault="00D973EE">
      <w:pPr>
        <w:rPr>
          <w:noProof/>
        </w:rPr>
      </w:pPr>
      <w:r>
        <w:rPr>
          <w:noProof/>
        </w:rPr>
        <w:t xml:space="preserve">In order to minimize privacy risks, cookies can be set for a web session only or may persist across sessions, for example, to remember the user after the browser </w:t>
      </w:r>
      <w:r>
        <w:rPr>
          <w:noProof/>
        </w:rPr>
        <w:t>or tab is closed. Furthermore, secure cookies only transmitted over an encrypted (HTTPS) connections, and HttpOnly cookies that are not accessible through client-side scripting languages such as Javascript can also be defined. The Google Chrome web browser</w:t>
      </w:r>
      <w:r>
        <w:rPr>
          <w:noProof/>
        </w:rPr>
        <w:t xml:space="preserve"> also introduced a particular type of cookie called “SameSite”, which is not sent in requests for scripts included in a website that do not share the same origin to prevent specific attacks where cookie information could be leaked. Finally, supercookies ca</w:t>
      </w:r>
      <w:r>
        <w:rPr>
          <w:noProof/>
        </w:rPr>
        <w:t>n also be defined respectively for websites that do not share the same origin and would like to share a cookie, or for websites that share a top-level domain name. For example, a cookie could be defined for the .eu domain and it would be accessed by all we</w:t>
      </w:r>
      <w:r>
        <w:rPr>
          <w:noProof/>
        </w:rPr>
        <w:t>bsites under this domain such as “www.website.eu” or “www.europa.eu” etc.</w:t>
      </w:r>
    </w:p>
    <w:p w:rsidR="0077224F" w:rsidRDefault="00D973EE">
      <w:pPr>
        <w:rPr>
          <w:noProof/>
        </w:rPr>
      </w:pPr>
      <w:r>
        <w:rPr>
          <w:noProof/>
        </w:rPr>
        <w:t>Users can configure in their web browsers the allowed cookies and domains using the standard privacy/security settings. The Vanilla Cookie Manager</w:t>
      </w:r>
      <w:r>
        <w:rPr>
          <w:rStyle w:val="FootnoteReference"/>
          <w:noProof/>
        </w:rPr>
        <w:footnoteReference w:id="90"/>
      </w:r>
      <w:r>
        <w:rPr>
          <w:noProof/>
        </w:rPr>
        <w:t xml:space="preserve"> is an example of an additional too</w:t>
      </w:r>
      <w:r>
        <w:rPr>
          <w:noProof/>
        </w:rPr>
        <w:t xml:space="preserve">l that improves user control over the installed cookies. </w:t>
      </w:r>
      <w:r>
        <w:rPr>
          <w:noProof/>
        </w:rPr>
        <w:fldChar w:fldCharType="begin"/>
      </w:r>
      <w:r>
        <w:rPr>
          <w:noProof/>
        </w:rPr>
        <w:instrText xml:space="preserve"> REF _Ref453334411 \h  \* MERGEFORMAT </w:instrText>
      </w:r>
      <w:r>
        <w:rPr>
          <w:noProof/>
        </w:rPr>
      </w:r>
      <w:r>
        <w:rPr>
          <w:noProof/>
        </w:rPr>
        <w:fldChar w:fldCharType="separate"/>
      </w:r>
      <w:r>
        <w:rPr>
          <w:noProof/>
        </w:rPr>
        <w:t>Figure 15</w:t>
      </w:r>
      <w:r>
        <w:rPr>
          <w:noProof/>
        </w:rPr>
        <w:fldChar w:fldCharType="end"/>
      </w:r>
      <w:r>
        <w:rPr>
          <w:noProof/>
        </w:rPr>
        <w:t xml:space="preserve"> shows the main configuration options of this tool displaying logging, a list of sug</w:t>
      </w:r>
      <w:r>
        <w:rPr>
          <w:noProof/>
        </w:rPr>
        <w:t>gestions for unwanted cookies, the option to delete the cookies, and the option of adding a website/domain to a whitelist that allows all cookies of this domain. For less knowledgeable users a suggestion of unwanted cookies is a desirable feature since sim</w:t>
      </w:r>
      <w:r>
        <w:rPr>
          <w:noProof/>
        </w:rPr>
        <w:t>ply deleting all cookies may result in closing all user sessions and requiring the user to login again in all open web applications with possible loss of session data such as the shopping basket.</w:t>
      </w:r>
    </w:p>
    <w:p w:rsidR="0077224F" w:rsidRDefault="00D973EE">
      <w:pPr>
        <w:keepNext/>
        <w:jc w:val="center"/>
        <w:rPr>
          <w:noProof/>
        </w:rPr>
      </w:pPr>
      <w:r>
        <w:rPr>
          <w:noProof/>
          <w:lang w:eastAsia="zh-CN"/>
        </w:rPr>
        <w:drawing>
          <wp:inline distT="0" distB="0" distL="0" distR="0" wp14:anchorId="13546E8F" wp14:editId="29222D3B">
            <wp:extent cx="2349795" cy="1193085"/>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353004" cy="1194714"/>
                    </a:xfrm>
                    <a:prstGeom prst="rect">
                      <a:avLst/>
                    </a:prstGeom>
                  </pic:spPr>
                </pic:pic>
              </a:graphicData>
            </a:graphic>
          </wp:inline>
        </w:drawing>
      </w:r>
      <w:r>
        <w:rPr>
          <w:noProof/>
          <w:lang w:eastAsia="zh-CN"/>
        </w:rPr>
        <w:drawing>
          <wp:inline distT="0" distB="0" distL="0" distR="0" wp14:anchorId="1F2DFCA3" wp14:editId="4241C8A4">
            <wp:extent cx="1711842" cy="1208928"/>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715447" cy="1211474"/>
                    </a:xfrm>
                    <a:prstGeom prst="rect">
                      <a:avLst/>
                    </a:prstGeom>
                  </pic:spPr>
                </pic:pic>
              </a:graphicData>
            </a:graphic>
          </wp:inline>
        </w:drawing>
      </w:r>
    </w:p>
    <w:p w:rsidR="0077224F" w:rsidRDefault="00D973EE">
      <w:pPr>
        <w:pStyle w:val="Caption"/>
        <w:rPr>
          <w:rFonts w:ascii="Verdana" w:hAnsi="Verdana"/>
          <w:noProof/>
          <w:color w:val="auto"/>
          <w:sz w:val="16"/>
          <w:lang w:val="en-GB"/>
        </w:rPr>
      </w:pPr>
      <w:bookmarkStart w:id="862" w:name="_Ref453334411"/>
      <w:bookmarkStart w:id="863" w:name="_Toc466024093"/>
      <w:r>
        <w:rPr>
          <w:rFonts w:ascii="Verdana" w:hAnsi="Verdana"/>
          <w:noProof/>
          <w:color w:val="auto"/>
          <w:sz w:val="16"/>
          <w:lang w:val="en-GB"/>
        </w:rPr>
        <w:t xml:space="preserve">Figure </w:t>
      </w:r>
      <w:r>
        <w:rPr>
          <w:rFonts w:ascii="Verdana" w:hAnsi="Verdana"/>
          <w:noProof/>
          <w:color w:val="auto"/>
          <w:sz w:val="16"/>
          <w:lang w:val="en-GB"/>
        </w:rPr>
        <w:fldChar w:fldCharType="begin"/>
      </w:r>
      <w:r>
        <w:rPr>
          <w:rFonts w:ascii="Verdana" w:hAnsi="Verdana"/>
          <w:noProof/>
          <w:color w:val="auto"/>
          <w:sz w:val="16"/>
          <w:lang w:val="en-GB"/>
        </w:rPr>
        <w:instrText xml:space="preserve"> SEQ Figure \* ARABIC </w:instrText>
      </w:r>
      <w:r>
        <w:rPr>
          <w:rFonts w:ascii="Verdana" w:hAnsi="Verdana"/>
          <w:noProof/>
          <w:color w:val="auto"/>
          <w:sz w:val="16"/>
          <w:lang w:val="en-GB"/>
        </w:rPr>
        <w:fldChar w:fldCharType="separate"/>
      </w:r>
      <w:r>
        <w:rPr>
          <w:rFonts w:ascii="Verdana" w:hAnsi="Verdana"/>
          <w:noProof/>
          <w:color w:val="auto"/>
          <w:sz w:val="16"/>
          <w:lang w:val="en-GB"/>
        </w:rPr>
        <w:t>15</w:t>
      </w:r>
      <w:r>
        <w:rPr>
          <w:rFonts w:ascii="Verdana" w:hAnsi="Verdana"/>
          <w:noProof/>
          <w:color w:val="auto"/>
          <w:sz w:val="16"/>
          <w:lang w:val="en-GB"/>
        </w:rPr>
        <w:fldChar w:fldCharType="end"/>
      </w:r>
      <w:bookmarkEnd w:id="862"/>
      <w:r>
        <w:rPr>
          <w:rFonts w:ascii="Verdana" w:hAnsi="Verdana"/>
          <w:noProof/>
          <w:color w:val="auto"/>
          <w:sz w:val="16"/>
          <w:lang w:val="en-GB"/>
        </w:rPr>
        <w:t xml:space="preserve"> – Vanilla Cookie Manag</w:t>
      </w:r>
      <w:r>
        <w:rPr>
          <w:rFonts w:ascii="Verdana" w:hAnsi="Verdana"/>
          <w:noProof/>
          <w:color w:val="auto"/>
          <w:sz w:val="16"/>
          <w:lang w:val="en-GB"/>
        </w:rPr>
        <w:t>er options</w:t>
      </w:r>
      <w:bookmarkEnd w:id="863"/>
    </w:p>
    <w:p w:rsidR="0077224F" w:rsidRDefault="00D973EE">
      <w:pPr>
        <w:rPr>
          <w:noProof/>
        </w:rPr>
      </w:pPr>
      <w:r>
        <w:rPr>
          <w:b/>
          <w:noProof/>
        </w:rPr>
        <w:t>Web trackers</w:t>
      </w:r>
      <w:r>
        <w:rPr>
          <w:noProof/>
        </w:rPr>
        <w:t xml:space="preserve"> are complete online platforms dedicated to collect user browsing information for advertisement purposes including all the visited websites, duration of the visit, outgoing visited links, and origin/source of link. This tracking can </w:t>
      </w:r>
      <w:r>
        <w:rPr>
          <w:noProof/>
        </w:rPr>
        <w:t xml:space="preserve">be done using </w:t>
      </w:r>
      <w:r>
        <w:rPr>
          <w:b/>
          <w:noProof/>
        </w:rPr>
        <w:t>web or flash cookies</w:t>
      </w:r>
      <w:r>
        <w:rPr>
          <w:noProof/>
        </w:rPr>
        <w:t xml:space="preserve"> by embedding links, hidden images, or any other type of content from third party locations. Users are mostly unware of web trackers since no user consent is asked in websites given the users the choice of allowing or prev</w:t>
      </w:r>
      <w:r>
        <w:rPr>
          <w:noProof/>
        </w:rPr>
        <w:t>enting tracking of their online activities. In standard web browsers third party cookies related to trackers are also not explicitly shown to users.</w:t>
      </w:r>
    </w:p>
    <w:p w:rsidR="0077224F" w:rsidRDefault="00D973EE">
      <w:pPr>
        <w:rPr>
          <w:noProof/>
        </w:rPr>
      </w:pPr>
      <w:r>
        <w:rPr>
          <w:noProof/>
        </w:rPr>
        <w:t>Lightbeam</w:t>
      </w:r>
      <w:r>
        <w:rPr>
          <w:rStyle w:val="FootnoteReference"/>
          <w:noProof/>
        </w:rPr>
        <w:footnoteReference w:id="91"/>
      </w:r>
      <w:r>
        <w:rPr>
          <w:noProof/>
        </w:rPr>
        <w:t xml:space="preserve"> (formally known as Collusion) is a web browser add-on only available for the Firefox web browser</w:t>
      </w:r>
      <w:r>
        <w:rPr>
          <w:noProof/>
        </w:rPr>
        <w:t xml:space="preserve"> that shows tracker information, including a history showing how trackers connect to each other. </w:t>
      </w:r>
      <w:r>
        <w:rPr>
          <w:noProof/>
        </w:rPr>
        <w:fldChar w:fldCharType="begin"/>
      </w:r>
      <w:r>
        <w:rPr>
          <w:noProof/>
        </w:rPr>
        <w:instrText xml:space="preserve"> REF _Ref453334812 \h  \* MERGEFORMAT </w:instrText>
      </w:r>
      <w:r>
        <w:rPr>
          <w:noProof/>
        </w:rPr>
      </w:r>
      <w:r>
        <w:rPr>
          <w:noProof/>
        </w:rPr>
        <w:fldChar w:fldCharType="separate"/>
      </w:r>
      <w:r>
        <w:rPr>
          <w:noProof/>
        </w:rPr>
        <w:t>Figure 16</w:t>
      </w:r>
      <w:r>
        <w:rPr>
          <w:noProof/>
        </w:rPr>
        <w:fldChar w:fldCharType="end"/>
      </w:r>
      <w:r>
        <w:rPr>
          <w:noProof/>
        </w:rPr>
        <w:t xml:space="preserve"> shows the Lightbeam user interface after ac</w:t>
      </w:r>
      <w:r>
        <w:rPr>
          <w:noProof/>
        </w:rPr>
        <w:t>cessing two well-known news websites, and as can be seen from the picture a series of trackers are connected to both websites, meaning that all user activities in both websites can be identified by these trackers.</w:t>
      </w:r>
    </w:p>
    <w:p w:rsidR="0077224F" w:rsidRDefault="00D973EE">
      <w:pPr>
        <w:keepNext/>
        <w:jc w:val="center"/>
        <w:rPr>
          <w:noProof/>
        </w:rPr>
      </w:pPr>
      <w:r>
        <w:rPr>
          <w:noProof/>
          <w:lang w:eastAsia="zh-CN"/>
        </w:rPr>
        <w:drawing>
          <wp:inline distT="0" distB="0" distL="0" distR="0" wp14:anchorId="70BB03BB" wp14:editId="518B1A10">
            <wp:extent cx="4572635" cy="279146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635" cy="2791460"/>
                    </a:xfrm>
                    <a:prstGeom prst="rect">
                      <a:avLst/>
                    </a:prstGeom>
                    <a:noFill/>
                  </pic:spPr>
                </pic:pic>
              </a:graphicData>
            </a:graphic>
          </wp:inline>
        </w:drawing>
      </w:r>
    </w:p>
    <w:p w:rsidR="0077224F" w:rsidRDefault="00D973EE">
      <w:pPr>
        <w:pStyle w:val="Caption"/>
        <w:rPr>
          <w:rFonts w:ascii="Verdana" w:hAnsi="Verdana"/>
          <w:noProof/>
          <w:color w:val="auto"/>
          <w:sz w:val="16"/>
          <w:lang w:val="en-GB"/>
        </w:rPr>
      </w:pPr>
      <w:bookmarkStart w:id="864" w:name="_Ref453334812"/>
      <w:bookmarkStart w:id="865" w:name="_Toc466024094"/>
      <w:r>
        <w:rPr>
          <w:rFonts w:ascii="Verdana" w:hAnsi="Verdana"/>
          <w:noProof/>
          <w:color w:val="auto"/>
          <w:sz w:val="16"/>
          <w:lang w:val="en-GB"/>
        </w:rPr>
        <w:t xml:space="preserve">Figure </w:t>
      </w:r>
      <w:r>
        <w:rPr>
          <w:rFonts w:ascii="Verdana" w:hAnsi="Verdana"/>
          <w:noProof/>
          <w:color w:val="auto"/>
          <w:sz w:val="16"/>
          <w:lang w:val="en-GB"/>
        </w:rPr>
        <w:fldChar w:fldCharType="begin"/>
      </w:r>
      <w:r>
        <w:rPr>
          <w:rFonts w:ascii="Verdana" w:hAnsi="Verdana"/>
          <w:noProof/>
          <w:color w:val="auto"/>
          <w:sz w:val="16"/>
          <w:lang w:val="en-GB"/>
        </w:rPr>
        <w:instrText xml:space="preserve"> SEQ Figure \* ARABIC </w:instrText>
      </w:r>
      <w:r>
        <w:rPr>
          <w:rFonts w:ascii="Verdana" w:hAnsi="Verdana"/>
          <w:noProof/>
          <w:color w:val="auto"/>
          <w:sz w:val="16"/>
          <w:lang w:val="en-GB"/>
        </w:rPr>
        <w:fldChar w:fldCharType="separate"/>
      </w:r>
      <w:r>
        <w:rPr>
          <w:rFonts w:ascii="Verdana" w:hAnsi="Verdana"/>
          <w:noProof/>
          <w:color w:val="auto"/>
          <w:sz w:val="16"/>
          <w:lang w:val="en-GB"/>
        </w:rPr>
        <w:t>16</w:t>
      </w:r>
      <w:r>
        <w:rPr>
          <w:rFonts w:ascii="Verdana" w:hAnsi="Verdana"/>
          <w:noProof/>
          <w:color w:val="auto"/>
          <w:sz w:val="16"/>
          <w:lang w:val="en-GB"/>
        </w:rPr>
        <w:fldChar w:fldCharType="end"/>
      </w:r>
      <w:bookmarkEnd w:id="864"/>
      <w:r>
        <w:rPr>
          <w:rFonts w:ascii="Verdana" w:hAnsi="Verdana"/>
          <w:noProof/>
          <w:color w:val="auto"/>
          <w:sz w:val="16"/>
          <w:lang w:val="en-GB"/>
        </w:rPr>
        <w:t xml:space="preserve"> – Lig</w:t>
      </w:r>
      <w:r>
        <w:rPr>
          <w:rFonts w:ascii="Verdana" w:hAnsi="Verdana"/>
          <w:noProof/>
          <w:color w:val="auto"/>
          <w:sz w:val="16"/>
          <w:lang w:val="en-GB"/>
        </w:rPr>
        <w:t>htbeam add-on showing the tracker connection between two news websites</w:t>
      </w:r>
      <w:bookmarkEnd w:id="865"/>
    </w:p>
    <w:p w:rsidR="0077224F" w:rsidRDefault="00D973EE">
      <w:pPr>
        <w:rPr>
          <w:noProof/>
        </w:rPr>
      </w:pPr>
      <w:r>
        <w:rPr>
          <w:noProof/>
        </w:rPr>
        <w:t>Disconnect.me is another web browser add-on</w:t>
      </w:r>
      <w:r>
        <w:rPr>
          <w:rStyle w:val="FootnoteReference"/>
          <w:noProof/>
        </w:rPr>
        <w:footnoteReference w:id="92"/>
      </w:r>
      <w:r>
        <w:rPr>
          <w:noProof/>
        </w:rPr>
        <w:t xml:space="preserve"> that monitors for every web app all visited connections (network requests) made to other web apps, which could be potentially trackers as we</w:t>
      </w:r>
      <w:r>
        <w:rPr>
          <w:noProof/>
        </w:rPr>
        <w:t>ll. All these connections are categorized into different groups (Google, Facebook, Twitter, Advertising, Analytics, Social and Content) and are blocked by default, except from requests for content that are unblocked in order to prevent the correct function</w:t>
      </w:r>
      <w:r>
        <w:rPr>
          <w:noProof/>
        </w:rPr>
        <w:t xml:space="preserve">ing of the web app. The user is able to decide to block or unblock any category. The add-on also shows details for each category, including the specific known trackers that may also be (un)blocked by the user. Trusted sites may be added to a whitelist and </w:t>
      </w:r>
      <w:r>
        <w:rPr>
          <w:noProof/>
        </w:rPr>
        <w:t>when visited all categories are unblocked. The add-on is available for Chrome, Firefox, Safari, and Opera web browsers. Ghostery</w:t>
      </w:r>
      <w:r>
        <w:rPr>
          <w:rStyle w:val="FootnoteReference"/>
          <w:noProof/>
        </w:rPr>
        <w:footnoteReference w:id="93"/>
      </w:r>
      <w:r>
        <w:rPr>
          <w:noProof/>
        </w:rPr>
        <w:t xml:space="preserve"> and Privacy Badger</w:t>
      </w:r>
      <w:r>
        <w:rPr>
          <w:rStyle w:val="FootnoteReference"/>
          <w:noProof/>
        </w:rPr>
        <w:footnoteReference w:id="94"/>
      </w:r>
      <w:r>
        <w:rPr>
          <w:noProof/>
        </w:rPr>
        <w:t xml:space="preserve"> provide similar functionality to Disconnect.me, while Privacy Badger has been conceived to work without th</w:t>
      </w:r>
      <w:r>
        <w:rPr>
          <w:noProof/>
        </w:rPr>
        <w:t>e need for any manual configuration or expertise from the user side.</w:t>
      </w:r>
    </w:p>
    <w:p w:rsidR="0077224F" w:rsidRDefault="00D973EE">
      <w:pPr>
        <w:rPr>
          <w:noProof/>
        </w:rPr>
      </w:pPr>
      <w:r>
        <w:rPr>
          <w:noProof/>
        </w:rPr>
        <w:fldChar w:fldCharType="begin"/>
      </w:r>
      <w:r>
        <w:rPr>
          <w:noProof/>
        </w:rPr>
        <w:instrText xml:space="preserve"> REF _Ref451438075 \h  \* MERGEFORMAT </w:instrText>
      </w:r>
      <w:r>
        <w:rPr>
          <w:noProof/>
        </w:rPr>
      </w:r>
      <w:r>
        <w:rPr>
          <w:noProof/>
        </w:rPr>
        <w:fldChar w:fldCharType="separate"/>
      </w:r>
      <w:r>
        <w:rPr>
          <w:noProof/>
        </w:rPr>
        <w:t>Figure 17</w:t>
      </w:r>
      <w:r>
        <w:rPr>
          <w:noProof/>
        </w:rPr>
        <w:fldChar w:fldCharType="end"/>
      </w:r>
      <w:r>
        <w:rPr>
          <w:noProof/>
        </w:rPr>
        <w:t xml:space="preserve"> shows the Chrome add-on displaying network request information for a major news website. In this example there are 5 connections related to advertising, 8 to analysis, and 5 to content requests. The add-on also shows in the top of the user interface if Fa</w:t>
      </w:r>
      <w:r>
        <w:rPr>
          <w:noProof/>
        </w:rPr>
        <w:t>cebook, Google, or Twitter trackers are included in the page, which may indicate also another number of indirect trackers as well.</w:t>
      </w:r>
    </w:p>
    <w:p w:rsidR="0077224F" w:rsidRDefault="00D973EE">
      <w:pPr>
        <w:keepNext/>
        <w:jc w:val="center"/>
        <w:rPr>
          <w:noProof/>
        </w:rPr>
      </w:pPr>
      <w:r>
        <w:rPr>
          <w:noProof/>
          <w:lang w:eastAsia="zh-CN"/>
        </w:rPr>
        <w:drawing>
          <wp:inline distT="0" distB="0" distL="0" distR="0" wp14:anchorId="6073BEB0" wp14:editId="53674ED6">
            <wp:extent cx="1066800" cy="25971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6800" cy="2597150"/>
                    </a:xfrm>
                    <a:prstGeom prst="rect">
                      <a:avLst/>
                    </a:prstGeom>
                    <a:noFill/>
                  </pic:spPr>
                </pic:pic>
              </a:graphicData>
            </a:graphic>
          </wp:inline>
        </w:drawing>
      </w:r>
    </w:p>
    <w:p w:rsidR="0077224F" w:rsidRDefault="00D973EE">
      <w:pPr>
        <w:pStyle w:val="Caption"/>
        <w:rPr>
          <w:rFonts w:ascii="Verdana" w:hAnsi="Verdana"/>
          <w:noProof/>
          <w:color w:val="auto"/>
          <w:sz w:val="16"/>
          <w:lang w:val="en-GB"/>
        </w:rPr>
      </w:pPr>
      <w:bookmarkStart w:id="866" w:name="_Ref451438075"/>
      <w:bookmarkStart w:id="867" w:name="_Toc466024095"/>
      <w:r>
        <w:rPr>
          <w:rFonts w:ascii="Verdana" w:hAnsi="Verdana"/>
          <w:noProof/>
          <w:color w:val="auto"/>
          <w:sz w:val="16"/>
          <w:lang w:val="en-GB"/>
        </w:rPr>
        <w:t xml:space="preserve">Figure </w:t>
      </w:r>
      <w:r>
        <w:rPr>
          <w:rFonts w:ascii="Verdana" w:hAnsi="Verdana"/>
          <w:noProof/>
          <w:color w:val="auto"/>
          <w:sz w:val="16"/>
          <w:lang w:val="en-GB"/>
        </w:rPr>
        <w:fldChar w:fldCharType="begin"/>
      </w:r>
      <w:r>
        <w:rPr>
          <w:rFonts w:ascii="Verdana" w:hAnsi="Verdana"/>
          <w:noProof/>
          <w:color w:val="auto"/>
          <w:sz w:val="16"/>
          <w:lang w:val="en-GB"/>
        </w:rPr>
        <w:instrText xml:space="preserve"> SEQ Figure \* ARABIC </w:instrText>
      </w:r>
      <w:r>
        <w:rPr>
          <w:rFonts w:ascii="Verdana" w:hAnsi="Verdana"/>
          <w:noProof/>
          <w:color w:val="auto"/>
          <w:sz w:val="16"/>
          <w:lang w:val="en-GB"/>
        </w:rPr>
        <w:fldChar w:fldCharType="separate"/>
      </w:r>
      <w:r>
        <w:rPr>
          <w:rFonts w:ascii="Verdana" w:hAnsi="Verdana"/>
          <w:noProof/>
          <w:color w:val="auto"/>
          <w:sz w:val="16"/>
          <w:lang w:val="en-GB"/>
        </w:rPr>
        <w:t>17</w:t>
      </w:r>
      <w:r>
        <w:rPr>
          <w:rFonts w:ascii="Verdana" w:hAnsi="Verdana"/>
          <w:noProof/>
          <w:color w:val="auto"/>
          <w:sz w:val="16"/>
          <w:lang w:val="en-GB"/>
        </w:rPr>
        <w:fldChar w:fldCharType="end"/>
      </w:r>
      <w:bookmarkEnd w:id="866"/>
      <w:r>
        <w:rPr>
          <w:rFonts w:ascii="Verdana" w:hAnsi="Verdana"/>
          <w:noProof/>
          <w:color w:val="auto"/>
          <w:sz w:val="16"/>
          <w:lang w:val="en-GB"/>
        </w:rPr>
        <w:t xml:space="preserve"> – Disconnect.me plugin showing advertising trackers</w:t>
      </w:r>
      <w:bookmarkEnd w:id="867"/>
    </w:p>
    <w:p w:rsidR="0077224F" w:rsidRDefault="00D973EE">
      <w:pPr>
        <w:rPr>
          <w:noProof/>
          <w:sz w:val="22"/>
          <w:szCs w:val="22"/>
        </w:rPr>
      </w:pPr>
      <w:r>
        <w:rPr>
          <w:noProof/>
          <w:sz w:val="22"/>
          <w:szCs w:val="22"/>
        </w:rPr>
        <w:t xml:space="preserve">Existing websites request consent </w:t>
      </w:r>
      <w:r>
        <w:rPr>
          <w:noProof/>
          <w:sz w:val="22"/>
          <w:szCs w:val="22"/>
        </w:rPr>
        <w:t>from users to use cookies but do not provide enough details about the purpose of the cookies they set and the 3</w:t>
      </w:r>
      <w:r>
        <w:rPr>
          <w:noProof/>
          <w:sz w:val="22"/>
          <w:szCs w:val="22"/>
          <w:vertAlign w:val="superscript"/>
        </w:rPr>
        <w:t>rd</w:t>
      </w:r>
      <w:r>
        <w:rPr>
          <w:noProof/>
          <w:sz w:val="22"/>
          <w:szCs w:val="22"/>
        </w:rPr>
        <w:t xml:space="preserve"> party cookies included in their content as illustrated by the Lightbeam tool. The following text was extracted from a website explaining their</w:t>
      </w:r>
      <w:r>
        <w:rPr>
          <w:noProof/>
          <w:sz w:val="22"/>
          <w:szCs w:val="22"/>
        </w:rPr>
        <w:t xml:space="preserve"> use of cookies:</w:t>
      </w:r>
    </w:p>
    <w:p w:rsidR="0077224F" w:rsidRDefault="00D973EE">
      <w:pPr>
        <w:ind w:left="720"/>
        <w:rPr>
          <w:i/>
          <w:noProof/>
          <w:sz w:val="22"/>
          <w:szCs w:val="22"/>
        </w:rPr>
      </w:pPr>
      <w:r>
        <w:rPr>
          <w:i/>
          <w:noProof/>
          <w:sz w:val="22"/>
          <w:szCs w:val="22"/>
        </w:rPr>
        <w:t>This website uses Google Analytics, a web analytics service provided by Google, Inc. (“Google”). Google Analytics uses “cookies”, which are text files placed on your computer, to help the website analyze how users use the site. The informa</w:t>
      </w:r>
      <w:r>
        <w:rPr>
          <w:i/>
          <w:noProof/>
          <w:sz w:val="22"/>
          <w:szCs w:val="22"/>
        </w:rPr>
        <w:t>tion generated by the cookie about your use of the website (including your IP address) will be transmitted to and stored by Google on servers in the United States. Google will use this information for the purpose of evaluating your use of the website, comp</w:t>
      </w:r>
      <w:r>
        <w:rPr>
          <w:i/>
          <w:noProof/>
          <w:sz w:val="22"/>
          <w:szCs w:val="22"/>
        </w:rPr>
        <w:t>iling reports on website activity for website operators and providing other services relating to website activity and internet usage. Google may also transfer this information to third parties where required to do so by law, or where such third parties pro</w:t>
      </w:r>
      <w:r>
        <w:rPr>
          <w:i/>
          <w:noProof/>
          <w:sz w:val="22"/>
          <w:szCs w:val="22"/>
        </w:rPr>
        <w:t xml:space="preserve">cess the information on Google's behalf. Google will not associate your IP address with any other data held by Google. You may refuse the use of cookies by selecting the appropriate settings on your browser, however please note that if you do this you may </w:t>
      </w:r>
      <w:r>
        <w:rPr>
          <w:i/>
          <w:noProof/>
          <w:sz w:val="22"/>
          <w:szCs w:val="22"/>
        </w:rPr>
        <w:t>not be able to use the full functionality of this website. By using this website, you consent to the processing of data about you by Google in the manner and for the purposes set out above.</w:t>
      </w:r>
    </w:p>
    <w:p w:rsidR="0077224F" w:rsidRDefault="00D973EE">
      <w:pPr>
        <w:rPr>
          <w:noProof/>
        </w:rPr>
      </w:pPr>
      <w:r>
        <w:rPr>
          <w:noProof/>
          <w:sz w:val="22"/>
          <w:szCs w:val="22"/>
        </w:rPr>
        <w:t>From this description of the use of cookies the problem of user mi</w:t>
      </w:r>
      <w:r>
        <w:rPr>
          <w:noProof/>
          <w:sz w:val="22"/>
          <w:szCs w:val="22"/>
        </w:rPr>
        <w:t xml:space="preserve">sinformation about the necessity of using cookies is very explicit. The website claims that it may not be able to provide the functionality if cookies are not enabled, while Google Analytics is simply a tool for helping the website providers to </w:t>
      </w:r>
      <w:r>
        <w:rPr>
          <w:noProof/>
        </w:rPr>
        <w:t>analyse</w:t>
      </w:r>
      <w:r>
        <w:rPr>
          <w:noProof/>
          <w:sz w:val="22"/>
          <w:szCs w:val="22"/>
        </w:rPr>
        <w:t xml:space="preserve"> the</w:t>
      </w:r>
      <w:r>
        <w:rPr>
          <w:noProof/>
          <w:sz w:val="22"/>
          <w:szCs w:val="22"/>
        </w:rPr>
        <w:t xml:space="preserve"> access logs, it is not related to the website functionality. The disclaimer information is also vague in the sense that is uses the expression “may”, therefore the precise information that is provided in the cookies is unclear. Browsing this specific webs</w:t>
      </w:r>
      <w:r>
        <w:rPr>
          <w:noProof/>
          <w:sz w:val="22"/>
          <w:szCs w:val="22"/>
        </w:rPr>
        <w:t>ite without enabling cookies had not effect whatsoever in the functionality, in many cases cookies are only required when users need to login and establish an authenticated session with the server.</w:t>
      </w:r>
    </w:p>
    <w:p w:rsidR="0077224F" w:rsidRDefault="00D973EE">
      <w:pPr>
        <w:rPr>
          <w:noProof/>
        </w:rPr>
      </w:pPr>
      <w:r>
        <w:rPr>
          <w:noProof/>
        </w:rPr>
        <w:t xml:space="preserve">The Do Not Track (DNT) policy </w:t>
      </w:r>
      <w:r>
        <w:rPr>
          <w:noProof/>
        </w:rPr>
        <w:fldChar w:fldCharType="begin"/>
      </w:r>
      <w:r>
        <w:rPr>
          <w:noProof/>
        </w:rPr>
        <w:instrText xml:space="preserve"> ADDIN ZOTERO_ITEM CSL_CITAT</w:instrText>
      </w:r>
      <w:r>
        <w:rPr>
          <w:noProof/>
        </w:rPr>
        <w:instrText>ION {"citationID":"f5eji9g64","properties":{"formattedCitation":"[15]","plainCitation":"[15]"},"citationItems":[{"id":338,"uris":["http://zotero.org/groups/583788/items/MPDGH4Q7"],"uri":["http://zotero.org/groups/583788/items/MPDGH4Q7"],"itemData":{"id":33</w:instrText>
      </w:r>
      <w:r>
        <w:rPr>
          <w:noProof/>
        </w:rPr>
        <w:instrText>8,"type":"webpage","title":"A privacy-friendly Do Not Track (DNT) Policy","container-title":"Electronic Frontier Foundation","abstract":"This page provides a copy of EFF's DNT Policy, a text file that domains can post in verbatim form to unilaterally commi</w:instrText>
      </w:r>
      <w:r>
        <w:rPr>
          <w:noProof/>
        </w:rPr>
        <w:instrText>t to respecting a meaningful version of Do Not Track, in such a way that other software can tell they have done so. A human readable summary is available, and there are frequently asked questions below.","URL":"https://www.eff.org/dnt-policy","issued":{"da</w:instrText>
      </w:r>
      <w:r>
        <w:rPr>
          <w:noProof/>
        </w:rPr>
        <w:instrText xml:space="preserve">te-parts":[["2014",4,24]]},"accessed":{"date-parts":[["2016",7,25]]}}}],"schema":"https://github.com/citation-style-language/schema/raw/master/csl-citation.json"} </w:instrText>
      </w:r>
      <w:r>
        <w:rPr>
          <w:noProof/>
        </w:rPr>
        <w:fldChar w:fldCharType="separate"/>
      </w:r>
      <w:r>
        <w:rPr>
          <w:noProof/>
        </w:rPr>
        <w:t>[15]</w:t>
      </w:r>
      <w:r>
        <w:rPr>
          <w:noProof/>
        </w:rPr>
        <w:fldChar w:fldCharType="end"/>
      </w:r>
      <w:r>
        <w:rPr>
          <w:noProof/>
        </w:rPr>
        <w:t xml:space="preserve"> is an opt-out approach for users to notify web servers about their web tracking prefe</w:t>
      </w:r>
      <w:r>
        <w:rPr>
          <w:noProof/>
        </w:rPr>
        <w:t xml:space="preserve">rences. It is opt-out since users have to explicitly state they do not want to be tracked by the website. The DNT policy is implemented technically using an HTTP header field binary option where 1 means the user does not want to be tracked and 0 (default) </w:t>
      </w:r>
      <w:r>
        <w:rPr>
          <w:noProof/>
        </w:rPr>
        <w:t xml:space="preserve">means the user allows tracking in the website. Web servers can also communicate their tracking status </w:t>
      </w:r>
      <w:r>
        <w:rPr>
          <w:noProof/>
        </w:rPr>
        <w:fldChar w:fldCharType="begin"/>
      </w:r>
      <w:r>
        <w:rPr>
          <w:noProof/>
        </w:rPr>
        <w:instrText xml:space="preserve"> ADDIN ZOTERO_ITEM CSL_CITATION {"citationID":"2hpuqg1795","properties":{"formattedCitation":"[16]","plainCitation":"[16]"},"citationItems":[{"id":339,"ur</w:instrText>
      </w:r>
      <w:r>
        <w:rPr>
          <w:noProof/>
        </w:rPr>
        <w:instrText>is":["http://zotero.org/groups/583788/items/NZS7G3PP"],"uri":["http://zotero.org/groups/583788/items/NZS7G3PP"],"itemData":{"id":339,"type":"webpage","title":"Tracking Preference Expression (DNT)","URL":"https://www.w3.org/2011/tracking-protection/drafts/t</w:instrText>
      </w:r>
      <w:r>
        <w:rPr>
          <w:noProof/>
        </w:rPr>
        <w:instrText xml:space="preserve">racking-dnt.html","accessed":{"date-parts":[["2016",7,25]]}}}],"schema":"https://github.com/citation-style-language/schema/raw/master/csl-citation.json"} </w:instrText>
      </w:r>
      <w:r>
        <w:rPr>
          <w:noProof/>
        </w:rPr>
        <w:fldChar w:fldCharType="separate"/>
      </w:r>
      <w:r>
        <w:rPr>
          <w:noProof/>
        </w:rPr>
        <w:t>[16]</w:t>
      </w:r>
      <w:r>
        <w:rPr>
          <w:noProof/>
        </w:rPr>
        <w:fldChar w:fldCharType="end"/>
      </w:r>
      <w:r>
        <w:rPr>
          <w:noProof/>
        </w:rPr>
        <w:t xml:space="preserve">, for example, they only track users with consent, they track users anyway, they disregard the </w:t>
      </w:r>
      <w:r>
        <w:rPr>
          <w:noProof/>
        </w:rPr>
        <w:t>DNT header, etc.</w:t>
      </w:r>
    </w:p>
    <w:p w:rsidR="0077224F" w:rsidRDefault="00D973EE">
      <w:pPr>
        <w:rPr>
          <w:noProof/>
        </w:rPr>
      </w:pPr>
      <w:r>
        <w:rPr>
          <w:noProof/>
        </w:rPr>
        <w:t xml:space="preserve">The “Do Not Track” option was enabled by default in Windows version 8 and Internet Explorer 10 in their express install mode, and was criticized by US advertising companies claiming that this option should be an opt-in choice by users and </w:t>
      </w:r>
      <w:r>
        <w:rPr>
          <w:noProof/>
        </w:rPr>
        <w:t>should not be automatically enabled. Their claim is that this choice of Microsoft was even criticized by Roy Fielding, one of the authors of the DNT standard, and was later removed from Windows version 10 express install mode.</w:t>
      </w:r>
    </w:p>
    <w:p w:rsidR="0077224F" w:rsidRDefault="00D973EE">
      <w:pPr>
        <w:rPr>
          <w:noProof/>
        </w:rPr>
      </w:pPr>
      <w:r>
        <w:rPr>
          <w:noProof/>
        </w:rPr>
        <w:t>The discussion about enabling</w:t>
      </w:r>
      <w:r>
        <w:rPr>
          <w:noProof/>
        </w:rPr>
        <w:t xml:space="preserve"> DNT or not is inconclusive and based on the following arguments:</w:t>
      </w:r>
    </w:p>
    <w:p w:rsidR="0077224F" w:rsidRDefault="00D973EE">
      <w:pPr>
        <w:pStyle w:val="ListParagraph"/>
        <w:numPr>
          <w:ilvl w:val="0"/>
          <w:numId w:val="18"/>
        </w:numPr>
        <w:spacing w:before="0"/>
        <w:rPr>
          <w:rFonts w:ascii="Verdana" w:hAnsi="Verdana"/>
          <w:noProof/>
          <w:sz w:val="20"/>
        </w:rPr>
      </w:pPr>
      <w:r>
        <w:rPr>
          <w:rFonts w:ascii="Verdana" w:hAnsi="Verdana"/>
          <w:noProof/>
          <w:sz w:val="20"/>
        </w:rPr>
        <w:t>Privacy protection should be set by default, and users should opt-out from it in order to protect users that are not knowledgeable and may not even be able to opt-in for the DNT option;</w:t>
      </w:r>
    </w:p>
    <w:p w:rsidR="0077224F" w:rsidRDefault="00D973EE">
      <w:pPr>
        <w:pStyle w:val="ListParagraph"/>
        <w:numPr>
          <w:ilvl w:val="0"/>
          <w:numId w:val="18"/>
        </w:numPr>
        <w:spacing w:before="0"/>
        <w:rPr>
          <w:rFonts w:ascii="Verdana" w:hAnsi="Verdana"/>
          <w:noProof/>
          <w:sz w:val="20"/>
        </w:rPr>
      </w:pPr>
      <w:r>
        <w:rPr>
          <w:rFonts w:ascii="Verdana" w:hAnsi="Verdana"/>
          <w:noProof/>
          <w:sz w:val="20"/>
        </w:rPr>
        <w:t>Setting DNT by default violates the standard specification since it will not be respected if the recipient does not believe this field was explicitly set by a person that favours privacy in detriment of website personalization;</w:t>
      </w:r>
    </w:p>
    <w:p w:rsidR="0077224F" w:rsidRDefault="00D973EE">
      <w:pPr>
        <w:rPr>
          <w:noProof/>
        </w:rPr>
      </w:pPr>
      <w:r>
        <w:rPr>
          <w:noProof/>
        </w:rPr>
        <w:t>The following list summarize</w:t>
      </w:r>
      <w:r>
        <w:rPr>
          <w:noProof/>
        </w:rPr>
        <w:t xml:space="preserve">s a list of technical </w:t>
      </w:r>
      <w:r>
        <w:rPr>
          <w:b/>
          <w:noProof/>
        </w:rPr>
        <w:t>recommendations</w:t>
      </w:r>
      <w:r>
        <w:rPr>
          <w:noProof/>
        </w:rPr>
        <w:t xml:space="preserve"> that could be adopted in order to mitigate the major issues discussed above:</w:t>
      </w:r>
    </w:p>
    <w:p w:rsidR="0077224F" w:rsidRDefault="00D973EE">
      <w:pPr>
        <w:pStyle w:val="ListParagraph"/>
        <w:numPr>
          <w:ilvl w:val="0"/>
          <w:numId w:val="17"/>
        </w:numPr>
        <w:spacing w:before="0" w:after="160"/>
        <w:rPr>
          <w:rFonts w:ascii="Verdana" w:hAnsi="Verdana"/>
          <w:noProof/>
          <w:sz w:val="20"/>
          <w:szCs w:val="20"/>
        </w:rPr>
      </w:pPr>
      <w:r>
        <w:rPr>
          <w:rFonts w:ascii="Verdana" w:hAnsi="Verdana"/>
          <w:b/>
          <w:noProof/>
          <w:sz w:val="20"/>
          <w:szCs w:val="20"/>
        </w:rPr>
        <w:t xml:space="preserve">Transparent and specific cookie consent over cookie information flow: </w:t>
      </w:r>
      <w:r>
        <w:rPr>
          <w:rFonts w:ascii="Verdana" w:hAnsi="Verdana"/>
          <w:noProof/>
          <w:sz w:val="20"/>
          <w:szCs w:val="20"/>
        </w:rPr>
        <w:t>simply asking for user consent to authorize a website to use of cookies</w:t>
      </w:r>
      <w:r>
        <w:rPr>
          <w:rFonts w:ascii="Verdana" w:hAnsi="Verdana"/>
          <w:noProof/>
          <w:sz w:val="20"/>
          <w:szCs w:val="20"/>
        </w:rPr>
        <w:t xml:space="preserve"> is not enough, users should be alerted about the specific </w:t>
      </w:r>
      <w:r>
        <w:rPr>
          <w:rFonts w:ascii="Verdana" w:hAnsi="Verdana"/>
          <w:b/>
          <w:noProof/>
          <w:sz w:val="20"/>
          <w:szCs w:val="20"/>
        </w:rPr>
        <w:t>reason or purpose</w:t>
      </w:r>
      <w:r>
        <w:rPr>
          <w:rFonts w:ascii="Verdana" w:hAnsi="Verdana"/>
          <w:noProof/>
          <w:sz w:val="20"/>
          <w:szCs w:val="20"/>
        </w:rPr>
        <w:t xml:space="preserve"> for setting each cookie (e.g., persistent login, shopping basket, etc.) and </w:t>
      </w:r>
      <w:r>
        <w:rPr>
          <w:rFonts w:ascii="Verdana" w:hAnsi="Verdana"/>
          <w:b/>
          <w:noProof/>
          <w:sz w:val="20"/>
          <w:szCs w:val="20"/>
        </w:rPr>
        <w:t>who can read and write these cookies</w:t>
      </w:r>
      <w:r>
        <w:rPr>
          <w:rFonts w:ascii="Verdana" w:hAnsi="Verdana"/>
          <w:noProof/>
          <w:sz w:val="20"/>
          <w:szCs w:val="20"/>
        </w:rPr>
        <w:t xml:space="preserve">, including possible third parties and also the </w:t>
      </w:r>
      <w:r>
        <w:rPr>
          <w:rFonts w:ascii="Verdana" w:hAnsi="Verdana"/>
          <w:b/>
          <w:noProof/>
          <w:sz w:val="20"/>
          <w:szCs w:val="20"/>
        </w:rPr>
        <w:t xml:space="preserve">specific reason or </w:t>
      </w:r>
      <w:r>
        <w:rPr>
          <w:rFonts w:ascii="Verdana" w:hAnsi="Verdana"/>
          <w:b/>
          <w:noProof/>
          <w:sz w:val="20"/>
          <w:szCs w:val="20"/>
        </w:rPr>
        <w:t>purpose for the information flow</w:t>
      </w:r>
      <w:r>
        <w:rPr>
          <w:rFonts w:ascii="Verdana" w:hAnsi="Verdana"/>
          <w:noProof/>
          <w:sz w:val="20"/>
          <w:szCs w:val="20"/>
        </w:rPr>
        <w:t xml:space="preserve">. Instead of alerting the user saying “we use cookies to improve the service” the website should say: “we set one cookie X in order to remember the items you added to your shopping cart”, or “to remember the order and items </w:t>
      </w:r>
      <w:r>
        <w:rPr>
          <w:rFonts w:ascii="Verdana" w:hAnsi="Verdana"/>
          <w:noProof/>
          <w:sz w:val="20"/>
          <w:szCs w:val="20"/>
        </w:rPr>
        <w:t>you have browsed in our website and to make suggestions for you”, or “this cookie is set to be read by third parties XYZ in order to display advertisements to you”, etc;</w:t>
      </w:r>
    </w:p>
    <w:p w:rsidR="0077224F" w:rsidRDefault="00D973EE">
      <w:pPr>
        <w:pStyle w:val="ListParagraph"/>
        <w:numPr>
          <w:ilvl w:val="0"/>
          <w:numId w:val="17"/>
        </w:numPr>
        <w:spacing w:before="0" w:after="160"/>
        <w:rPr>
          <w:rFonts w:ascii="Verdana" w:hAnsi="Verdana"/>
          <w:noProof/>
          <w:sz w:val="20"/>
          <w:szCs w:val="20"/>
        </w:rPr>
      </w:pPr>
      <w:r>
        <w:rPr>
          <w:rFonts w:ascii="Verdana" w:hAnsi="Verdana"/>
          <w:b/>
          <w:noProof/>
          <w:sz w:val="20"/>
          <w:szCs w:val="20"/>
        </w:rPr>
        <w:t>Users should also be given the chance to oppose/control or to opt-out from specific co</w:t>
      </w:r>
      <w:r>
        <w:rPr>
          <w:rFonts w:ascii="Verdana" w:hAnsi="Verdana"/>
          <w:b/>
          <w:noProof/>
          <w:sz w:val="20"/>
          <w:szCs w:val="20"/>
        </w:rPr>
        <w:t xml:space="preserve">okies: </w:t>
      </w:r>
      <w:r>
        <w:rPr>
          <w:rFonts w:ascii="Verdana" w:hAnsi="Verdana"/>
          <w:noProof/>
          <w:sz w:val="20"/>
          <w:szCs w:val="20"/>
        </w:rPr>
        <w:t>when cookies are read and content is displayed to users it should be clear the source of the adaptation or personalized information, for example, “the user is seeing this ad because website XYZ says he is interested in car parts, mobile devices, bab</w:t>
      </w:r>
      <w:r>
        <w:rPr>
          <w:rFonts w:ascii="Verdana" w:hAnsi="Verdana"/>
          <w:noProof/>
          <w:sz w:val="20"/>
          <w:szCs w:val="20"/>
        </w:rPr>
        <w:t>y items, sport equipment, etc.” Furthermore, users should also be allowed to opt out from their consent. Plugins mechanisms should be also provided by websites or a standard add-on to web browsers to allow user control over the cookies, and different level</w:t>
      </w:r>
      <w:r>
        <w:rPr>
          <w:rFonts w:ascii="Verdana" w:hAnsi="Verdana"/>
          <w:noProof/>
          <w:sz w:val="20"/>
          <w:szCs w:val="20"/>
        </w:rPr>
        <w:t>s of control considering the expertise of the users. Mechanisms for consent from the user should be transparent and selective, in the sense that the user should be allowed to know which data are going to be collected and why, and selectively choose if gran</w:t>
      </w:r>
      <w:r>
        <w:rPr>
          <w:rFonts w:ascii="Verdana" w:hAnsi="Verdana"/>
          <w:noProof/>
          <w:sz w:val="20"/>
          <w:szCs w:val="20"/>
        </w:rPr>
        <w:t xml:space="preserve">ting this collection or not. The mechanism should be similar to the new permission control implemented in Android 6. Of course, in order to make the browsing not too difficult and continuously interrupted by the consent mechanism, it should be possible to </w:t>
      </w:r>
      <w:r>
        <w:rPr>
          <w:rFonts w:ascii="Verdana" w:hAnsi="Verdana"/>
          <w:noProof/>
          <w:sz w:val="20"/>
          <w:szCs w:val="20"/>
        </w:rPr>
        <w:t>define profiles to apply to all the websites by default but still with the possibility to tune them for every single website;</w:t>
      </w:r>
    </w:p>
    <w:p w:rsidR="0077224F" w:rsidRDefault="00D973EE">
      <w:pPr>
        <w:pStyle w:val="ListParagraph"/>
        <w:numPr>
          <w:ilvl w:val="0"/>
          <w:numId w:val="17"/>
        </w:numPr>
        <w:spacing w:before="0" w:after="160"/>
        <w:rPr>
          <w:rFonts w:ascii="Verdana" w:hAnsi="Verdana"/>
          <w:noProof/>
          <w:sz w:val="20"/>
          <w:szCs w:val="20"/>
        </w:rPr>
      </w:pPr>
      <w:r>
        <w:rPr>
          <w:rFonts w:ascii="Verdana" w:hAnsi="Verdana"/>
          <w:b/>
          <w:noProof/>
          <w:sz w:val="20"/>
          <w:szCs w:val="20"/>
        </w:rPr>
        <w:t xml:space="preserve">Explicit information regarding 3rd party cookies/data: </w:t>
      </w:r>
      <w:r>
        <w:rPr>
          <w:rFonts w:ascii="Verdana" w:hAnsi="Verdana"/>
          <w:noProof/>
          <w:sz w:val="20"/>
          <w:szCs w:val="20"/>
        </w:rPr>
        <w:t>when accessing a website all 3</w:t>
      </w:r>
      <w:r>
        <w:rPr>
          <w:rFonts w:ascii="Verdana" w:hAnsi="Verdana"/>
          <w:noProof/>
          <w:sz w:val="20"/>
          <w:szCs w:val="20"/>
          <w:vertAlign w:val="superscript"/>
        </w:rPr>
        <w:t>rd</w:t>
      </w:r>
      <w:r>
        <w:rPr>
          <w:rFonts w:ascii="Verdana" w:hAnsi="Verdana"/>
          <w:noProof/>
          <w:sz w:val="20"/>
          <w:szCs w:val="20"/>
        </w:rPr>
        <w:t xml:space="preserve"> party communication should be blocked by d</w:t>
      </w:r>
      <w:r>
        <w:rPr>
          <w:rFonts w:ascii="Verdana" w:hAnsi="Verdana"/>
          <w:noProof/>
          <w:sz w:val="20"/>
          <w:szCs w:val="20"/>
        </w:rPr>
        <w:t>efault, and only allowed if users explicitly opt-in for it. Furthermore, a control mechanism should be in place to automatically whitelist the allowed 3</w:t>
      </w:r>
      <w:r>
        <w:rPr>
          <w:rFonts w:ascii="Verdana" w:hAnsi="Verdana"/>
          <w:noProof/>
          <w:sz w:val="20"/>
          <w:szCs w:val="20"/>
          <w:vertAlign w:val="superscript"/>
        </w:rPr>
        <w:t>rd</w:t>
      </w:r>
      <w:r>
        <w:rPr>
          <w:rFonts w:ascii="Verdana" w:hAnsi="Verdana"/>
          <w:noProof/>
          <w:sz w:val="20"/>
          <w:szCs w:val="20"/>
        </w:rPr>
        <w:t xml:space="preserve"> party communication, in a way that users can be easily made aware of it. For example, when accessing </w:t>
      </w:r>
      <w:r>
        <w:rPr>
          <w:rFonts w:ascii="Verdana" w:hAnsi="Verdana"/>
          <w:noProof/>
          <w:sz w:val="20"/>
          <w:szCs w:val="20"/>
        </w:rPr>
        <w:t>a website, users should be informed about all 3</w:t>
      </w:r>
      <w:r>
        <w:rPr>
          <w:rFonts w:ascii="Verdana" w:hAnsi="Verdana"/>
          <w:noProof/>
          <w:sz w:val="20"/>
          <w:szCs w:val="20"/>
          <w:vertAlign w:val="superscript"/>
        </w:rPr>
        <w:t>rd</w:t>
      </w:r>
      <w:r>
        <w:rPr>
          <w:rFonts w:ascii="Verdana" w:hAnsi="Verdana"/>
          <w:noProof/>
          <w:sz w:val="20"/>
          <w:szCs w:val="20"/>
        </w:rPr>
        <w:t xml:space="preserve"> parties providing content, storing cookies, etc;</w:t>
      </w:r>
    </w:p>
    <w:p w:rsidR="0077224F" w:rsidRDefault="00D973EE">
      <w:pPr>
        <w:pStyle w:val="ListParagraph"/>
        <w:numPr>
          <w:ilvl w:val="0"/>
          <w:numId w:val="17"/>
        </w:numPr>
        <w:spacing w:before="0" w:after="160"/>
        <w:rPr>
          <w:rFonts w:ascii="Verdana" w:hAnsi="Verdana"/>
          <w:noProof/>
          <w:sz w:val="20"/>
          <w:szCs w:val="20"/>
        </w:rPr>
      </w:pPr>
      <w:r>
        <w:rPr>
          <w:rFonts w:ascii="Verdana" w:hAnsi="Verdana"/>
          <w:b/>
          <w:noProof/>
          <w:sz w:val="20"/>
          <w:szCs w:val="20"/>
        </w:rPr>
        <w:t xml:space="preserve">Trust on browser extensions and solutions: </w:t>
      </w:r>
      <w:r>
        <w:rPr>
          <w:rFonts w:ascii="Verdana" w:hAnsi="Verdana"/>
          <w:noProof/>
          <w:sz w:val="20"/>
          <w:szCs w:val="20"/>
        </w:rPr>
        <w:t>many solutions exist to improve the user privacy and to avoid tracking, cookies, etc. One major issue for users is</w:t>
      </w:r>
      <w:r>
        <w:rPr>
          <w:rFonts w:ascii="Verdana" w:hAnsi="Verdana"/>
          <w:noProof/>
          <w:sz w:val="20"/>
          <w:szCs w:val="20"/>
        </w:rPr>
        <w:t xml:space="preserve"> how to trust these solutions, and to be sure that they are not in fact tracking users even more or that malware software is embedded in benign solutions to empower and protect end users. For this reason, those extensions should be certified or integrated </w:t>
      </w:r>
      <w:r>
        <w:rPr>
          <w:rFonts w:ascii="Verdana" w:hAnsi="Verdana"/>
          <w:noProof/>
          <w:sz w:val="20"/>
          <w:szCs w:val="20"/>
        </w:rPr>
        <w:t>as default functionalities of the browsers, easily accessible by users rather than hidden in the settings.</w:t>
      </w:r>
    </w:p>
    <w:p w:rsidR="0077224F" w:rsidRDefault="00D973EE">
      <w:pPr>
        <w:pStyle w:val="ListParagraph"/>
        <w:numPr>
          <w:ilvl w:val="0"/>
          <w:numId w:val="17"/>
        </w:numPr>
        <w:spacing w:before="0" w:after="160"/>
        <w:rPr>
          <w:rFonts w:ascii="Verdana" w:hAnsi="Verdana"/>
          <w:noProof/>
          <w:sz w:val="20"/>
          <w:szCs w:val="20"/>
        </w:rPr>
      </w:pPr>
      <w:r>
        <w:rPr>
          <w:rFonts w:ascii="Verdana" w:hAnsi="Verdana"/>
          <w:b/>
          <w:noProof/>
          <w:sz w:val="20"/>
          <w:szCs w:val="20"/>
        </w:rPr>
        <w:t>Easier management of cookies stored by every website:</w:t>
      </w:r>
      <w:r>
        <w:rPr>
          <w:rFonts w:ascii="Verdana" w:hAnsi="Verdana"/>
          <w:noProof/>
          <w:sz w:val="20"/>
          <w:szCs w:val="20"/>
        </w:rPr>
        <w:t xml:space="preserve"> in some of the most popular browsers, it is not so easy for a user to find where the list of th</w:t>
      </w:r>
      <w:r>
        <w:rPr>
          <w:rFonts w:ascii="Verdana" w:hAnsi="Verdana"/>
          <w:noProof/>
          <w:sz w:val="20"/>
          <w:szCs w:val="20"/>
        </w:rPr>
        <w:t>e stored cookies is. Facilitating those things, would increase user’s awareness and active participation in privacy settings, rather than always trust in default configurations or previously given consents that would never be revised.</w:t>
      </w:r>
    </w:p>
    <w:p w:rsidR="0077224F" w:rsidRDefault="00D973EE">
      <w:pPr>
        <w:pStyle w:val="Heading2"/>
        <w:rPr>
          <w:noProof/>
        </w:rPr>
      </w:pPr>
      <w:bookmarkStart w:id="868" w:name="_Toc458158015"/>
      <w:bookmarkStart w:id="869" w:name="_Toc465876798"/>
      <w:bookmarkStart w:id="870" w:name="_Toc466024065"/>
      <w:bookmarkStart w:id="871" w:name="_Toc468790073"/>
      <w:bookmarkStart w:id="872" w:name="_Toc468794905"/>
      <w:bookmarkStart w:id="873" w:name="_Toc468795213"/>
      <w:r>
        <w:rPr>
          <w:noProof/>
        </w:rPr>
        <w:t>Redirection to Unencr</w:t>
      </w:r>
      <w:r>
        <w:rPr>
          <w:noProof/>
        </w:rPr>
        <w:t>ypted Content</w:t>
      </w:r>
      <w:bookmarkEnd w:id="868"/>
      <w:bookmarkEnd w:id="869"/>
      <w:bookmarkEnd w:id="870"/>
      <w:bookmarkEnd w:id="871"/>
      <w:bookmarkEnd w:id="872"/>
      <w:bookmarkEnd w:id="873"/>
    </w:p>
    <w:p w:rsidR="0077224F" w:rsidRDefault="00D973EE">
      <w:pPr>
        <w:rPr>
          <w:noProof/>
        </w:rPr>
      </w:pPr>
      <w:r>
        <w:rPr>
          <w:noProof/>
        </w:rPr>
        <w:t>In some cases, users access a secure/encrypted web app (HTTPS) and some of the content or links displayed may redirect the user to unsecure/unencrypted websites (HTTP). Users may unnoticeably access these unsecure links and change from secure</w:t>
      </w:r>
      <w:r>
        <w:rPr>
          <w:noProof/>
        </w:rPr>
        <w:t xml:space="preserve"> to unsecure. This problem has been addressed by the HTTPS everywhere</w:t>
      </w:r>
      <w:r>
        <w:rPr>
          <w:rStyle w:val="FootnoteReference"/>
          <w:noProof/>
        </w:rPr>
        <w:footnoteReference w:id="95"/>
      </w:r>
      <w:r>
        <w:rPr>
          <w:noProof/>
        </w:rPr>
        <w:t xml:space="preserve"> browser extension, which is available for Firefox for desktop/Android, and Opera. This extension automatically replaces all unsecure links in a secure website to secure versions, which </w:t>
      </w:r>
      <w:r>
        <w:rPr>
          <w:noProof/>
        </w:rPr>
        <w:t>may solve the problem. However, some websites may not offer all the unsecure content over a secure version as well, which may result in broken links/content. Cookies that are transmitted over insecure connections may also be leaked in case the user connect</w:t>
      </w:r>
      <w:r>
        <w:rPr>
          <w:noProof/>
        </w:rPr>
        <w:t xml:space="preserve">ion is monitored. From this perspective a technical </w:t>
      </w:r>
      <w:r>
        <w:rPr>
          <w:b/>
          <w:noProof/>
        </w:rPr>
        <w:t>recommendation</w:t>
      </w:r>
      <w:r>
        <w:rPr>
          <w:noProof/>
        </w:rPr>
        <w:t xml:space="preserve"> should be for users to always use secure/encrypted connections in order to prevent possible tracking risks and to have web browsers to enforce the same behaviour as the HTTPS everywhere ext</w:t>
      </w:r>
      <w:r>
        <w:rPr>
          <w:noProof/>
        </w:rPr>
        <w:t>ension by default.</w:t>
      </w:r>
    </w:p>
    <w:p w:rsidR="0077224F" w:rsidRDefault="00D973EE">
      <w:pPr>
        <w:pStyle w:val="Heading2"/>
        <w:rPr>
          <w:noProof/>
        </w:rPr>
      </w:pPr>
      <w:bookmarkStart w:id="874" w:name="_Toc458158016"/>
      <w:bookmarkStart w:id="875" w:name="_Toc465876799"/>
      <w:bookmarkStart w:id="876" w:name="_Toc466024066"/>
      <w:bookmarkStart w:id="877" w:name="_Toc468790074"/>
      <w:bookmarkStart w:id="878" w:name="_Toc468794906"/>
      <w:bookmarkStart w:id="879" w:name="_Toc468795214"/>
      <w:r>
        <w:rPr>
          <w:noProof/>
        </w:rPr>
        <w:t>Private Browsing Modes</w:t>
      </w:r>
      <w:bookmarkEnd w:id="843"/>
      <w:bookmarkEnd w:id="874"/>
      <w:bookmarkEnd w:id="875"/>
      <w:bookmarkEnd w:id="876"/>
      <w:bookmarkEnd w:id="877"/>
      <w:bookmarkEnd w:id="878"/>
      <w:bookmarkEnd w:id="879"/>
    </w:p>
    <w:p w:rsidR="0077224F" w:rsidRDefault="00D973EE">
      <w:pPr>
        <w:rPr>
          <w:noProof/>
        </w:rPr>
      </w:pPr>
      <w:r>
        <w:rPr>
          <w:noProof/>
        </w:rPr>
        <w:t>All top used web browsers</w:t>
      </w:r>
      <w:r>
        <w:rPr>
          <w:rStyle w:val="FootnoteReference"/>
          <w:noProof/>
        </w:rPr>
        <w:footnoteReference w:id="96"/>
      </w:r>
      <w:r>
        <w:rPr>
          <w:noProof/>
        </w:rPr>
        <w:t xml:space="preserve"> include a private/incognito browsing mode where some measures are taken to prevent tracking of the user web activities. For example, in the Chrome browser the incognito mode will not save</w:t>
      </w:r>
      <w:r>
        <w:rPr>
          <w:noProof/>
        </w:rPr>
        <w:t xml:space="preserve"> the user browsing history, and will not transmit any saved cookies to the web apps accessed by the user. All cookies created during incognito mode are only available during the incognito mode session and are immediately deleted as soon as the user closes </w:t>
      </w:r>
      <w:r>
        <w:rPr>
          <w:noProof/>
        </w:rPr>
        <w:t>the session.</w:t>
      </w:r>
    </w:p>
    <w:p w:rsidR="0077224F" w:rsidRDefault="00D973EE">
      <w:pPr>
        <w:rPr>
          <w:noProof/>
        </w:rPr>
      </w:pPr>
      <w:r>
        <w:rPr>
          <w:noProof/>
        </w:rPr>
        <w:t>The Tor project also provides a web browser that in addition to a private browsing mode also allows direct access to the Tor relay network without the need to install any client software. By using the Tor browser users are protected against ne</w:t>
      </w:r>
      <w:r>
        <w:rPr>
          <w:noProof/>
        </w:rPr>
        <w:t>twork layer tracking from their Internet Service Provider (ISP) and Web Application Providers (WAP), meaning that the ISP is not able to identify the web applications accessed by the user and WAPs are not able to distinguish multiple visits of a user to th</w:t>
      </w:r>
      <w:r>
        <w:rPr>
          <w:noProof/>
        </w:rPr>
        <w:t xml:space="preserve">eir web apps simply by looking at their source IP address. Every visit by the users will appear to be originating from a different IP address. </w:t>
      </w:r>
    </w:p>
    <w:p w:rsidR="0077224F" w:rsidRDefault="00D973EE">
      <w:pPr>
        <w:rPr>
          <w:noProof/>
        </w:rPr>
      </w:pPr>
      <w:r>
        <w:rPr>
          <w:noProof/>
        </w:rPr>
        <w:t>JonDonym</w:t>
      </w:r>
      <w:r>
        <w:rPr>
          <w:rStyle w:val="FootnoteReference"/>
          <w:noProof/>
        </w:rPr>
        <w:footnoteReference w:id="97"/>
      </w:r>
      <w:r>
        <w:rPr>
          <w:noProof/>
        </w:rPr>
        <w:t xml:space="preserve"> is a solution for anonymous and secure web browsing, and it is available for Windows, MacOS, and for L</w:t>
      </w:r>
      <w:r>
        <w:rPr>
          <w:noProof/>
        </w:rPr>
        <w:t>inux/BSD. JonDonym establishes an encrypted connection between the user’s web browser and anonymization servers. An anonymization server is called in the JonDonym terminology a Mix, and works in a different way than Tor or I2P</w:t>
      </w:r>
      <w:r>
        <w:rPr>
          <w:rStyle w:val="FootnoteReference"/>
          <w:noProof/>
        </w:rPr>
        <w:footnoteReference w:id="98"/>
      </w:r>
      <w:r>
        <w:rPr>
          <w:noProof/>
        </w:rPr>
        <w:t xml:space="preserve"> since a Mix operator must be</w:t>
      </w:r>
      <w:r>
        <w:rPr>
          <w:noProof/>
        </w:rPr>
        <w:t xml:space="preserve"> certified.</w:t>
      </w:r>
    </w:p>
    <w:p w:rsidR="0077224F" w:rsidRDefault="00D973EE">
      <w:pPr>
        <w:rPr>
          <w:noProof/>
        </w:rPr>
      </w:pPr>
      <w:r>
        <w:rPr>
          <w:noProof/>
        </w:rPr>
        <w:t xml:space="preserve">Private browsing is a useful feature to enable privacy protection among users that share a computer but it </w:t>
      </w:r>
      <w:r>
        <w:rPr>
          <w:b/>
          <w:noProof/>
        </w:rPr>
        <w:t xml:space="preserve">is not a solution to mitigate user tracking and privacy </w:t>
      </w:r>
      <w:r>
        <w:rPr>
          <w:noProof/>
        </w:rPr>
        <w:t>since it is unfeasible from a usability perspective for users to use private brow</w:t>
      </w:r>
      <w:r>
        <w:rPr>
          <w:noProof/>
        </w:rPr>
        <w:t>sing all the time considering the reduction in the usability, for example, multiple login requests for commonly used web apps and impossibility to remember previous activity/sessions. However, for occasional use, private browsing significantly improves the</w:t>
      </w:r>
      <w:r>
        <w:rPr>
          <w:noProof/>
        </w:rPr>
        <w:t xml:space="preserve"> privacy protection of users in the specific browsing session.</w:t>
      </w:r>
    </w:p>
    <w:p w:rsidR="0077224F" w:rsidRDefault="00D973EE">
      <w:pPr>
        <w:pStyle w:val="Heading2"/>
        <w:rPr>
          <w:noProof/>
        </w:rPr>
      </w:pPr>
      <w:bookmarkStart w:id="880" w:name="_Toc453341757"/>
      <w:bookmarkStart w:id="881" w:name="_Toc458158017"/>
      <w:bookmarkStart w:id="882" w:name="_Toc465876800"/>
      <w:bookmarkStart w:id="883" w:name="_Toc466024067"/>
      <w:bookmarkStart w:id="884" w:name="_Toc468790075"/>
      <w:bookmarkStart w:id="885" w:name="_Toc468794907"/>
      <w:bookmarkStart w:id="886" w:name="_Toc468795215"/>
      <w:r>
        <w:rPr>
          <w:noProof/>
        </w:rPr>
        <w:t>Reputation and Certification of Web</w:t>
      </w:r>
      <w:bookmarkEnd w:id="880"/>
      <w:r>
        <w:rPr>
          <w:noProof/>
        </w:rPr>
        <w:t>sites</w:t>
      </w:r>
      <w:bookmarkEnd w:id="881"/>
      <w:bookmarkEnd w:id="882"/>
      <w:bookmarkEnd w:id="883"/>
      <w:bookmarkEnd w:id="884"/>
      <w:bookmarkEnd w:id="885"/>
      <w:bookmarkEnd w:id="886"/>
    </w:p>
    <w:p w:rsidR="0077224F" w:rsidRDefault="00D973EE">
      <w:pPr>
        <w:rPr>
          <w:noProof/>
        </w:rPr>
      </w:pPr>
      <w:r>
        <w:rPr>
          <w:noProof/>
        </w:rPr>
        <w:t>In many cases users are unaware about a website reputation when browsing and allowing the collection of their data. The Web Of Trust (WOT)</w:t>
      </w:r>
      <w:r>
        <w:rPr>
          <w:rStyle w:val="FootnoteReference"/>
          <w:noProof/>
        </w:rPr>
        <w:footnoteReference w:id="99"/>
      </w:r>
      <w:r>
        <w:rPr>
          <w:noProof/>
        </w:rPr>
        <w:t xml:space="preserve"> is a web browser add-on that allows users to rate and get recommendations about websites. </w:t>
      </w:r>
      <w:r>
        <w:rPr>
          <w:noProof/>
        </w:rPr>
        <w:fldChar w:fldCharType="begin"/>
      </w:r>
      <w:r>
        <w:rPr>
          <w:noProof/>
        </w:rPr>
        <w:instrText xml:space="preserve"> REF _Ref451439690 \h  \* MERGEFORMAT </w:instrText>
      </w:r>
      <w:r>
        <w:rPr>
          <w:noProof/>
        </w:rPr>
      </w:r>
      <w:r>
        <w:rPr>
          <w:noProof/>
        </w:rPr>
        <w:fldChar w:fldCharType="separate"/>
      </w:r>
      <w:r>
        <w:rPr>
          <w:noProof/>
        </w:rPr>
        <w:t>Figure 18</w:t>
      </w:r>
      <w:r>
        <w:rPr>
          <w:noProof/>
        </w:rPr>
        <w:fldChar w:fldCharType="end"/>
      </w:r>
      <w:r>
        <w:rPr>
          <w:noProof/>
        </w:rPr>
        <w:t xml:space="preserve"> shows the results for the same news website we an</w:t>
      </w:r>
      <w:r>
        <w:rPr>
          <w:noProof/>
        </w:rPr>
        <w:t xml:space="preserve">alysed previously, observe that it is rated as a good site, even though the Lightbeam solution shows that many trackers are actually used. Social network websites are rated as an </w:t>
      </w:r>
      <w:r>
        <w:rPr>
          <w:b/>
          <w:noProof/>
        </w:rPr>
        <w:t>online tracking</w:t>
      </w:r>
      <w:r>
        <w:rPr>
          <w:noProof/>
        </w:rPr>
        <w:t xml:space="preserve"> websites, but it can be doubtful whether the news website is </w:t>
      </w:r>
      <w:r>
        <w:rPr>
          <w:noProof/>
        </w:rPr>
        <w:t>also tracking their users in the same way Facebook does since users are not informed about the tracking performed in the background.</w:t>
      </w:r>
    </w:p>
    <w:p w:rsidR="0077224F" w:rsidRDefault="00D973EE">
      <w:pPr>
        <w:keepNext/>
        <w:jc w:val="center"/>
        <w:rPr>
          <w:noProof/>
        </w:rPr>
      </w:pPr>
      <w:r>
        <w:rPr>
          <w:noProof/>
          <w:lang w:eastAsia="zh-CN"/>
        </w:rPr>
        <w:drawing>
          <wp:inline distT="0" distB="0" distL="0" distR="0" wp14:anchorId="3D484CF9" wp14:editId="19BDAF25">
            <wp:extent cx="3060700" cy="2280285"/>
            <wp:effectExtent l="0" t="0" r="635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60700" cy="2280285"/>
                    </a:xfrm>
                    <a:prstGeom prst="rect">
                      <a:avLst/>
                    </a:prstGeom>
                    <a:noFill/>
                  </pic:spPr>
                </pic:pic>
              </a:graphicData>
            </a:graphic>
          </wp:inline>
        </w:drawing>
      </w:r>
    </w:p>
    <w:p w:rsidR="0077224F" w:rsidRDefault="00D973EE">
      <w:pPr>
        <w:pStyle w:val="Caption"/>
        <w:rPr>
          <w:rFonts w:ascii="Verdana" w:hAnsi="Verdana"/>
          <w:noProof/>
          <w:color w:val="auto"/>
          <w:sz w:val="16"/>
          <w:lang w:val="en-GB"/>
        </w:rPr>
      </w:pPr>
      <w:bookmarkStart w:id="887" w:name="_Ref451439690"/>
      <w:bookmarkStart w:id="888" w:name="_Toc466024096"/>
      <w:r>
        <w:rPr>
          <w:rFonts w:ascii="Verdana" w:hAnsi="Verdana"/>
          <w:noProof/>
          <w:color w:val="auto"/>
          <w:sz w:val="16"/>
          <w:lang w:val="en-GB"/>
        </w:rPr>
        <w:t xml:space="preserve">Figure </w:t>
      </w:r>
      <w:r>
        <w:rPr>
          <w:rFonts w:ascii="Verdana" w:hAnsi="Verdana"/>
          <w:noProof/>
          <w:color w:val="auto"/>
          <w:sz w:val="16"/>
          <w:lang w:val="en-GB"/>
        </w:rPr>
        <w:fldChar w:fldCharType="begin"/>
      </w:r>
      <w:r>
        <w:rPr>
          <w:rFonts w:ascii="Verdana" w:hAnsi="Verdana"/>
          <w:noProof/>
          <w:color w:val="auto"/>
          <w:sz w:val="16"/>
          <w:lang w:val="en-GB"/>
        </w:rPr>
        <w:instrText xml:space="preserve"> SEQ Figure \* ARABIC </w:instrText>
      </w:r>
      <w:r>
        <w:rPr>
          <w:rFonts w:ascii="Verdana" w:hAnsi="Verdana"/>
          <w:noProof/>
          <w:color w:val="auto"/>
          <w:sz w:val="16"/>
          <w:lang w:val="en-GB"/>
        </w:rPr>
        <w:fldChar w:fldCharType="separate"/>
      </w:r>
      <w:r>
        <w:rPr>
          <w:rFonts w:ascii="Verdana" w:hAnsi="Verdana"/>
          <w:noProof/>
          <w:color w:val="auto"/>
          <w:sz w:val="16"/>
          <w:lang w:val="en-GB"/>
        </w:rPr>
        <w:t>18</w:t>
      </w:r>
      <w:r>
        <w:rPr>
          <w:rFonts w:ascii="Verdana" w:hAnsi="Verdana"/>
          <w:noProof/>
          <w:color w:val="auto"/>
          <w:sz w:val="16"/>
          <w:lang w:val="en-GB"/>
        </w:rPr>
        <w:fldChar w:fldCharType="end"/>
      </w:r>
      <w:bookmarkEnd w:id="887"/>
      <w:r>
        <w:rPr>
          <w:rFonts w:ascii="Verdana" w:hAnsi="Verdana"/>
          <w:noProof/>
          <w:color w:val="auto"/>
          <w:sz w:val="16"/>
          <w:lang w:val="en-GB"/>
        </w:rPr>
        <w:t xml:space="preserve"> – WOT plugin results for the a news website</w:t>
      </w:r>
      <w:bookmarkEnd w:id="888"/>
    </w:p>
    <w:p w:rsidR="0077224F" w:rsidRDefault="00D973EE">
      <w:pPr>
        <w:pStyle w:val="Heading2"/>
        <w:rPr>
          <w:noProof/>
        </w:rPr>
      </w:pPr>
      <w:bookmarkStart w:id="889" w:name="_Toc453341759"/>
      <w:bookmarkStart w:id="890" w:name="_Toc458158018"/>
      <w:bookmarkStart w:id="891" w:name="_Toc465876801"/>
      <w:bookmarkStart w:id="892" w:name="_Toc466024068"/>
      <w:bookmarkStart w:id="893" w:name="_Toc468790076"/>
      <w:bookmarkStart w:id="894" w:name="_Toc468794908"/>
      <w:bookmarkStart w:id="895" w:name="_Toc468795216"/>
      <w:r>
        <w:rPr>
          <w:noProof/>
        </w:rPr>
        <w:t>Tracking User Location using IP Addresses</w:t>
      </w:r>
      <w:bookmarkEnd w:id="889"/>
      <w:bookmarkEnd w:id="890"/>
      <w:bookmarkEnd w:id="891"/>
      <w:bookmarkEnd w:id="892"/>
      <w:bookmarkEnd w:id="893"/>
      <w:bookmarkEnd w:id="894"/>
      <w:bookmarkEnd w:id="895"/>
    </w:p>
    <w:p w:rsidR="0077224F" w:rsidRDefault="00D973EE">
      <w:pPr>
        <w:rPr>
          <w:noProof/>
        </w:rPr>
      </w:pPr>
      <w:r>
        <w:rPr>
          <w:noProof/>
        </w:rPr>
        <w:t>IP addresses can be used to infer information about the geographical position of the user. This can allow (a raw) tracking and proposal of commercial offers based on geographical information, leading to discriminatory conducts. Cases were reported and disc</w:t>
      </w:r>
      <w:r>
        <w:rPr>
          <w:noProof/>
        </w:rPr>
        <w:t xml:space="preserve">ussed in </w:t>
      </w:r>
      <w:r>
        <w:rPr>
          <w:noProof/>
        </w:rPr>
        <w:fldChar w:fldCharType="begin"/>
      </w:r>
      <w:r>
        <w:rPr>
          <w:noProof/>
        </w:rPr>
        <w:instrText xml:space="preserve"> ADDIN ZOTERO_ITEM CSL_CITATION {"citationID":"1glqd2p3he","properties":{"formattedCitation":"[18]","plainCitation":"[18]"},"citationItems":[{"id":307,"uris":["http://zotero.org/groups/583788/items/STW8GIGC"],"uri":["http://zotero.org/groups/58378</w:instrText>
      </w:r>
      <w:r>
        <w:rPr>
          <w:noProof/>
        </w:rPr>
        <w:instrText>8/items/STW8GIGC"],"itemData":{"id":307,"type":"article-newspaper","title":"Websites Vary Prices, Deals Based on Users' Information","container-title":"Wall Street Journal","section":"Tech","source":"Wall Street Journal","abstract":"A Wall Street Journal i</w:instrText>
      </w:r>
      <w:r>
        <w:rPr>
          <w:noProof/>
        </w:rPr>
        <w:instrText>nvestigation identified several companies, including Staples, Discover Financial Services, Rosetta Stone and Home Depot, that were consistently adjusting prices and displaying different product offers on their websites based on a range of characteristics t</w:instrText>
      </w:r>
      <w:r>
        <w:rPr>
          <w:noProof/>
        </w:rPr>
        <w:instrText>hat could be discovered about the Internet shopper, such as geographic location.","URL":"http://www.wsj.com/articles/SB10001424127887323777204578189391813881534","ISSN":"0099-9660","author":[{"family":"Valentino-DeVries","given":"Jennifer"},{"family":"Sing</w:instrText>
      </w:r>
      <w:r>
        <w:rPr>
          <w:noProof/>
        </w:rPr>
        <w:instrText xml:space="preserve">er-Vine","given":"Jeremy"},{"family":"Soltani","given":"Ashkan"}],"issued":{"date-parts":[["2012",12,24]]},"accessed":{"date-parts":[["2016",7,25]]}}}],"schema":"https://github.com/citation-style-language/schema/raw/master/csl-citation.json"} </w:instrText>
      </w:r>
      <w:r>
        <w:rPr>
          <w:noProof/>
        </w:rPr>
        <w:fldChar w:fldCharType="separate"/>
      </w:r>
      <w:r>
        <w:rPr>
          <w:noProof/>
        </w:rPr>
        <w:t>[18]</w:t>
      </w:r>
      <w:r>
        <w:rPr>
          <w:noProof/>
        </w:rPr>
        <w:fldChar w:fldCharType="end"/>
      </w:r>
      <w:r>
        <w:rPr>
          <w:noProof/>
        </w:rPr>
        <w:t>. A we</w:t>
      </w:r>
      <w:r>
        <w:rPr>
          <w:noProof/>
        </w:rPr>
        <w:t>b-based tool called IP Leak</w:t>
      </w:r>
      <w:r>
        <w:rPr>
          <w:rStyle w:val="FootnoteReference"/>
          <w:noProof/>
        </w:rPr>
        <w:footnoteReference w:id="100"/>
      </w:r>
      <w:r>
        <w:rPr>
          <w:noProof/>
        </w:rPr>
        <w:t xml:space="preserve"> showing information about your specific IP address shows also the precise source network of the machine accessing the page.</w:t>
      </w:r>
    </w:p>
    <w:p w:rsidR="0077224F" w:rsidRDefault="00D973EE">
      <w:pPr>
        <w:rPr>
          <w:noProof/>
        </w:rPr>
      </w:pPr>
      <w:r>
        <w:rPr>
          <w:noProof/>
        </w:rPr>
        <w:t>Location tracking is the indirect determination of the user geographical location based on the web-brow</w:t>
      </w:r>
      <w:r>
        <w:rPr>
          <w:noProof/>
        </w:rPr>
        <w:t>ser language, IP address, or user provided information (e.g, geolocation tags in web posts). The location information can reveal not only where the user is at the moment and their moving history, but the combined analysis of geolocation data of a user coul</w:t>
      </w:r>
      <w:r>
        <w:rPr>
          <w:noProof/>
        </w:rPr>
        <w:t xml:space="preserve">d reveal privacy sensitive information including the users home and workplace, as recently shown by </w:t>
      </w:r>
      <w:r>
        <w:rPr>
          <w:noProof/>
        </w:rPr>
        <w:fldChar w:fldCharType="begin"/>
      </w:r>
      <w:r>
        <w:rPr>
          <w:noProof/>
        </w:rPr>
        <w:instrText xml:space="preserve"> ADDIN ZOTERO_ITEM CSL_CITATION {"citationID":"fqvfrpbg8","properties":{"formattedCitation":"[19]","plainCitation":"[19]"},"citationItems":[{"id":341,"uris"</w:instrText>
      </w:r>
      <w:r>
        <w:rPr>
          <w:noProof/>
        </w:rPr>
        <w:instrText>:["http://zotero.org/groups/583788/items/NRUUA94P"],"uri":["http://zotero.org/groups/583788/items/NRUUA94P"],"itemData":{"id":341,"type":"webpage","title":"We know where you live","container-title":"MIT News","abstract":"From location data alone, even low-</w:instrText>
      </w:r>
      <w:r>
        <w:rPr>
          <w:noProof/>
        </w:rPr>
        <w:instrText>tech snoopers can identify Twitter users’ homes, workplaces.","URL":"http://news.mit.edu/2016/twitter-location-data-homes-workplaces-0517","accessed":{"date-parts":[["2016",7,25]]}}}],"schema":"https://github.com/citation-style-language/schema/raw/master/c</w:instrText>
      </w:r>
      <w:r>
        <w:rPr>
          <w:noProof/>
        </w:rPr>
        <w:instrText xml:space="preserve">sl-citation.json"} </w:instrText>
      </w:r>
      <w:r>
        <w:rPr>
          <w:noProof/>
        </w:rPr>
        <w:fldChar w:fldCharType="separate"/>
      </w:r>
      <w:r>
        <w:rPr>
          <w:noProof/>
        </w:rPr>
        <w:t>[19]</w:t>
      </w:r>
      <w:r>
        <w:rPr>
          <w:noProof/>
        </w:rPr>
        <w:fldChar w:fldCharType="end"/>
      </w:r>
      <w:r>
        <w:rPr>
          <w:noProof/>
        </w:rPr>
        <w:t>.</w:t>
      </w:r>
    </w:p>
    <w:p w:rsidR="0077224F" w:rsidRDefault="00D973EE">
      <w:pPr>
        <w:rPr>
          <w:noProof/>
        </w:rPr>
      </w:pPr>
      <w:r>
        <w:rPr>
          <w:noProof/>
        </w:rPr>
        <w:t>Location tracking can only be prevented by network-layer IP anonymization techniques, or by users explicitly preventing web apps from receiving location information about them. The simple tracking of user activity could also rev</w:t>
      </w:r>
      <w:r>
        <w:rPr>
          <w:noProof/>
        </w:rPr>
        <w:t xml:space="preserve">eal their time zone and possibly details about their location as well, since users have clear patterns of activity during the day and night time, for example, late night activity in general is less likely. </w:t>
      </w:r>
    </w:p>
    <w:p w:rsidR="0077224F" w:rsidRDefault="00D973EE">
      <w:pPr>
        <w:pStyle w:val="Heading2"/>
        <w:rPr>
          <w:noProof/>
        </w:rPr>
      </w:pPr>
      <w:bookmarkStart w:id="896" w:name="_Toc453341760"/>
      <w:bookmarkStart w:id="897" w:name="_Toc458158019"/>
      <w:bookmarkStart w:id="898" w:name="_Toc465876802"/>
      <w:bookmarkStart w:id="899" w:name="_Toc466024069"/>
      <w:bookmarkStart w:id="900" w:name="_Toc468790077"/>
      <w:bookmarkStart w:id="901" w:name="_Toc468794909"/>
      <w:bookmarkStart w:id="902" w:name="_Toc468795217"/>
      <w:r>
        <w:rPr>
          <w:noProof/>
        </w:rPr>
        <w:t>Software/Browser Metadata Fingerprinting</w:t>
      </w:r>
      <w:bookmarkEnd w:id="896"/>
      <w:bookmarkEnd w:id="897"/>
      <w:bookmarkEnd w:id="898"/>
      <w:bookmarkEnd w:id="899"/>
      <w:bookmarkEnd w:id="900"/>
      <w:bookmarkEnd w:id="901"/>
      <w:bookmarkEnd w:id="902"/>
    </w:p>
    <w:p w:rsidR="0077224F" w:rsidRDefault="00D973EE">
      <w:pPr>
        <w:rPr>
          <w:noProof/>
        </w:rPr>
      </w:pPr>
      <w:r>
        <w:rPr>
          <w:noProof/>
        </w:rPr>
        <w:t>The user</w:t>
      </w:r>
      <w:r>
        <w:rPr>
          <w:noProof/>
        </w:rPr>
        <w:t xml:space="preserve"> web browser, when accessing a web app, provides by default many detailed information to the server about the client-side configuration, for example, using the HTTP header string </w:t>
      </w:r>
      <w:r>
        <w:rPr>
          <w:i/>
          <w:noProof/>
        </w:rPr>
        <w:t>User-Agent</w:t>
      </w:r>
      <w:r>
        <w:rPr>
          <w:noProof/>
        </w:rPr>
        <w:t>, the supported language, the list of system fonts, the platform, t</w:t>
      </w:r>
      <w:r>
        <w:rPr>
          <w:noProof/>
        </w:rPr>
        <w:t>he screen size, the time zone, etc. For example, the information encoded in the User-Agent string reveals the web browser and version like “</w:t>
      </w:r>
      <w:r>
        <w:rPr>
          <w:i/>
          <w:noProof/>
        </w:rPr>
        <w:t>Mozilla/5.0 (Windows NT 6.1; WOW64) AppleWebKit/537.36 (KHTML, like Gecko) Chrome/50.0.2661.102 Safari/537.36</w:t>
      </w:r>
      <w:r>
        <w:rPr>
          <w:noProof/>
        </w:rPr>
        <w:t>”. By a</w:t>
      </w:r>
      <w:r>
        <w:rPr>
          <w:noProof/>
        </w:rPr>
        <w:t>nalysing all this information it has been shown that users can be uniquely identified since very few users share the same exact set of configurations.</w:t>
      </w:r>
    </w:p>
    <w:p w:rsidR="0077224F" w:rsidRDefault="00D973EE">
      <w:pPr>
        <w:rPr>
          <w:noProof/>
        </w:rPr>
      </w:pPr>
      <w:r>
        <w:rPr>
          <w:noProof/>
        </w:rPr>
        <w:t>Panopticlick</w:t>
      </w:r>
      <w:r>
        <w:rPr>
          <w:rStyle w:val="FootnoteReference"/>
          <w:noProof/>
        </w:rPr>
        <w:footnoteReference w:id="101"/>
      </w:r>
      <w:r>
        <w:rPr>
          <w:noProof/>
        </w:rPr>
        <w:t xml:space="preserve"> is an online tool that illustrates browser metadata fingerprinting capabilities and shows a</w:t>
      </w:r>
      <w:r>
        <w:rPr>
          <w:noProof/>
        </w:rPr>
        <w:t xml:space="preserve">ll the detailed metadata that is available about the web browser and maintains a database showing how unique this configuration is. A sample analysis provided by this tool is displayed in </w:t>
      </w:r>
      <w:r>
        <w:rPr>
          <w:noProof/>
        </w:rPr>
        <w:fldChar w:fldCharType="begin"/>
      </w:r>
      <w:r>
        <w:rPr>
          <w:noProof/>
        </w:rPr>
        <w:instrText xml:space="preserve"> REF _Ref451952659 \h  \* MERGEFORMAT </w:instrText>
      </w:r>
      <w:r>
        <w:rPr>
          <w:noProof/>
        </w:rPr>
      </w:r>
      <w:r>
        <w:rPr>
          <w:noProof/>
        </w:rPr>
        <w:fldChar w:fldCharType="separate"/>
      </w:r>
      <w:r>
        <w:rPr>
          <w:noProof/>
        </w:rPr>
        <w:t>Figure 19</w:t>
      </w:r>
      <w:r>
        <w:rPr>
          <w:noProof/>
        </w:rPr>
        <w:fldChar w:fldCharType="end"/>
      </w:r>
      <w:r>
        <w:rPr>
          <w:noProof/>
        </w:rPr>
        <w:t xml:space="preserve"> on the left side, while the right side shows detailed web browser metadata that in this case uniquely identifies the browser among around 130 thousand web browsers tested. Furthermore, it also tests the resili</w:t>
      </w:r>
      <w:r>
        <w:rPr>
          <w:noProof/>
        </w:rPr>
        <w:t>ence of the web browser against tracking ads and provides a web browser plug-in Privacy Badger</w:t>
      </w:r>
      <w:r>
        <w:rPr>
          <w:rStyle w:val="FootnoteReference"/>
          <w:noProof/>
        </w:rPr>
        <w:footnoteReference w:id="102"/>
      </w:r>
      <w:r>
        <w:rPr>
          <w:noProof/>
        </w:rPr>
        <w:t xml:space="preserve"> to protect users from four tracking approaches used, namely: tracking ads, invisible trackers, unblock 3</w:t>
      </w:r>
      <w:r>
        <w:rPr>
          <w:noProof/>
          <w:vertAlign w:val="superscript"/>
        </w:rPr>
        <w:t>rd</w:t>
      </w:r>
      <w:r>
        <w:rPr>
          <w:noProof/>
        </w:rPr>
        <w:t xml:space="preserve"> parties that promise Do Not Track, and metadata fingerprinting.</w:t>
      </w:r>
    </w:p>
    <w:p w:rsidR="0077224F" w:rsidRDefault="00D973EE">
      <w:pPr>
        <w:keepNext/>
        <w:jc w:val="center"/>
        <w:rPr>
          <w:noProof/>
        </w:rPr>
      </w:pPr>
      <w:r>
        <w:rPr>
          <w:noProof/>
          <w:lang w:eastAsia="zh-CN"/>
        </w:rPr>
        <w:drawing>
          <wp:inline distT="0" distB="0" distL="0" distR="0" wp14:anchorId="1CF4EB3F" wp14:editId="7AF18A54">
            <wp:extent cx="2706170" cy="330898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2565" t="1789" r="2548" b="882"/>
                    <a:stretch/>
                  </pic:blipFill>
                  <pic:spPr bwMode="auto">
                    <a:xfrm>
                      <a:off x="0" y="0"/>
                      <a:ext cx="2707094" cy="331011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zh-CN"/>
        </w:rPr>
        <w:drawing>
          <wp:inline distT="0" distB="0" distL="0" distR="0" wp14:anchorId="1F54AC6F" wp14:editId="0E67D1CE">
            <wp:extent cx="2969658" cy="4288221"/>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976921" cy="4298709"/>
                    </a:xfrm>
                    <a:prstGeom prst="rect">
                      <a:avLst/>
                    </a:prstGeom>
                  </pic:spPr>
                </pic:pic>
              </a:graphicData>
            </a:graphic>
          </wp:inline>
        </w:drawing>
      </w:r>
    </w:p>
    <w:p w:rsidR="0077224F" w:rsidRDefault="00D973EE">
      <w:pPr>
        <w:pStyle w:val="Caption"/>
        <w:rPr>
          <w:rFonts w:ascii="Verdana" w:hAnsi="Verdana"/>
          <w:noProof/>
          <w:color w:val="auto"/>
          <w:sz w:val="16"/>
          <w:lang w:val="en-GB"/>
        </w:rPr>
      </w:pPr>
      <w:bookmarkStart w:id="903" w:name="_Ref451952659"/>
      <w:bookmarkStart w:id="904" w:name="_Toc466024097"/>
      <w:r>
        <w:rPr>
          <w:rFonts w:ascii="Verdana" w:hAnsi="Verdana"/>
          <w:noProof/>
          <w:color w:val="auto"/>
          <w:sz w:val="16"/>
          <w:lang w:val="en-GB"/>
        </w:rPr>
        <w:t xml:space="preserve">Figure </w:t>
      </w:r>
      <w:r>
        <w:rPr>
          <w:rFonts w:ascii="Verdana" w:hAnsi="Verdana"/>
          <w:noProof/>
          <w:color w:val="auto"/>
          <w:sz w:val="16"/>
          <w:lang w:val="en-GB"/>
        </w:rPr>
        <w:fldChar w:fldCharType="begin"/>
      </w:r>
      <w:r>
        <w:rPr>
          <w:rFonts w:ascii="Verdana" w:hAnsi="Verdana"/>
          <w:noProof/>
          <w:color w:val="auto"/>
          <w:sz w:val="16"/>
          <w:lang w:val="en-GB"/>
        </w:rPr>
        <w:instrText xml:space="preserve"> SEQ Figure \* ARABIC </w:instrText>
      </w:r>
      <w:r>
        <w:rPr>
          <w:rFonts w:ascii="Verdana" w:hAnsi="Verdana"/>
          <w:noProof/>
          <w:color w:val="auto"/>
          <w:sz w:val="16"/>
          <w:lang w:val="en-GB"/>
        </w:rPr>
        <w:fldChar w:fldCharType="separate"/>
      </w:r>
      <w:r>
        <w:rPr>
          <w:rFonts w:ascii="Verdana" w:hAnsi="Verdana"/>
          <w:noProof/>
          <w:color w:val="auto"/>
          <w:sz w:val="16"/>
          <w:lang w:val="en-GB"/>
        </w:rPr>
        <w:t>19</w:t>
      </w:r>
      <w:r>
        <w:rPr>
          <w:rFonts w:ascii="Verdana" w:hAnsi="Verdana"/>
          <w:noProof/>
          <w:color w:val="auto"/>
          <w:sz w:val="16"/>
          <w:lang w:val="en-GB"/>
        </w:rPr>
        <w:fldChar w:fldCharType="end"/>
      </w:r>
      <w:bookmarkEnd w:id="903"/>
      <w:r>
        <w:rPr>
          <w:rFonts w:ascii="Verdana" w:hAnsi="Verdana"/>
          <w:noProof/>
          <w:color w:val="auto"/>
          <w:sz w:val="16"/>
          <w:lang w:val="en-GB"/>
        </w:rPr>
        <w:t xml:space="preserve"> – Web-browser tracking and metadata analysis</w:t>
      </w:r>
      <w:bookmarkEnd w:id="904"/>
    </w:p>
    <w:p w:rsidR="0077224F" w:rsidRDefault="00D973EE">
      <w:pPr>
        <w:pStyle w:val="Heading2"/>
        <w:rPr>
          <w:noProof/>
        </w:rPr>
      </w:pPr>
      <w:bookmarkStart w:id="905" w:name="_Toc453341761"/>
      <w:bookmarkStart w:id="906" w:name="_Toc458158020"/>
      <w:bookmarkStart w:id="907" w:name="_Toc465876803"/>
      <w:bookmarkStart w:id="908" w:name="_Toc466024070"/>
      <w:bookmarkStart w:id="909" w:name="_Toc468790078"/>
      <w:bookmarkStart w:id="910" w:name="_Toc468794910"/>
      <w:bookmarkStart w:id="911" w:name="_Toc468795218"/>
      <w:r>
        <w:rPr>
          <w:noProof/>
        </w:rPr>
        <w:t>Device Hardware Fingerprinting</w:t>
      </w:r>
      <w:bookmarkEnd w:id="905"/>
      <w:bookmarkEnd w:id="906"/>
      <w:bookmarkEnd w:id="907"/>
      <w:bookmarkEnd w:id="908"/>
      <w:bookmarkEnd w:id="909"/>
      <w:bookmarkEnd w:id="910"/>
      <w:bookmarkEnd w:id="911"/>
    </w:p>
    <w:p w:rsidR="0077224F" w:rsidRDefault="00D973EE">
      <w:pPr>
        <w:rPr>
          <w:noProof/>
        </w:rPr>
      </w:pPr>
      <w:r>
        <w:rPr>
          <w:noProof/>
        </w:rPr>
        <w:t>Browser fingerprinting is based on characteristics and settings of a software</w:t>
      </w:r>
      <w:r>
        <w:rPr>
          <w:noProof/>
        </w:rPr>
        <w:t xml:space="preserve"> component. However, mobile devices embed several hardware components that present unique characteristics, so that it is possible to extract from them hardware fingerprints, which allow distinguishing a device from another, even of the same model. Those bu</w:t>
      </w:r>
      <w:r>
        <w:rPr>
          <w:noProof/>
        </w:rPr>
        <w:t>ilt-in components are typically the digital camera, radiofrequency transceivers, microelectromechanical sensors (MEMS) like accelerometers and gyroscopes, microphone and speaker, and clock.</w:t>
      </w:r>
    </w:p>
    <w:p w:rsidR="0077224F" w:rsidRDefault="00D973EE">
      <w:pPr>
        <w:rPr>
          <w:noProof/>
        </w:rPr>
      </w:pPr>
      <w:r>
        <w:rPr>
          <w:noProof/>
        </w:rPr>
        <w:t xml:space="preserve">This means that the analysis of the output of these sensors (i.e. </w:t>
      </w:r>
      <w:r>
        <w:rPr>
          <w:noProof/>
        </w:rPr>
        <w:t>a picture, a radio transmission, the acceleration measured for a certain position/movement, a recorded audio or the clock skew) can lead to the identification of a unique pattern (fingerprint) that can be used to identify a particular sensor and then the d</w:t>
      </w:r>
      <w:r>
        <w:rPr>
          <w:noProof/>
        </w:rPr>
        <w:t>evice that contains it. The way to extract these fingerprints in order to classify and identify the device are basically two:</w:t>
      </w:r>
    </w:p>
    <w:p w:rsidR="0077224F" w:rsidRDefault="00D973EE">
      <w:pPr>
        <w:pStyle w:val="ListParagraph"/>
        <w:numPr>
          <w:ilvl w:val="0"/>
          <w:numId w:val="21"/>
        </w:numPr>
        <w:spacing w:before="0"/>
        <w:rPr>
          <w:rFonts w:ascii="Verdana" w:hAnsi="Verdana"/>
          <w:noProof/>
          <w:sz w:val="20"/>
        </w:rPr>
      </w:pPr>
      <w:r>
        <w:rPr>
          <w:rFonts w:ascii="Verdana" w:hAnsi="Verdana"/>
          <w:noProof/>
          <w:sz w:val="20"/>
        </w:rPr>
        <w:t>the output of the component is captured outside the device, without the need to install any software or hardware component on it (</w:t>
      </w:r>
      <w:r>
        <w:rPr>
          <w:rFonts w:ascii="Verdana" w:hAnsi="Verdana"/>
          <w:noProof/>
          <w:sz w:val="20"/>
        </w:rPr>
        <w:t>e.g., a radiofrequency emission is recorded by an external receiver and then processed in order to extract the fingerprint);</w:t>
      </w:r>
    </w:p>
    <w:p w:rsidR="0077224F" w:rsidRDefault="00D973EE">
      <w:pPr>
        <w:pStyle w:val="ListParagraph"/>
        <w:numPr>
          <w:ilvl w:val="0"/>
          <w:numId w:val="21"/>
        </w:numPr>
        <w:spacing w:before="0"/>
        <w:rPr>
          <w:rFonts w:ascii="Verdana" w:hAnsi="Verdana"/>
          <w:noProof/>
          <w:sz w:val="20"/>
        </w:rPr>
      </w:pPr>
      <w:r>
        <w:rPr>
          <w:rFonts w:ascii="Verdana" w:hAnsi="Verdana"/>
          <w:noProof/>
          <w:sz w:val="20"/>
        </w:rPr>
        <w:t>the output of the component is captured on the device by an application (or a malware) that gains access to the component. Here the</w:t>
      </w:r>
      <w:r>
        <w:rPr>
          <w:rFonts w:ascii="Verdana" w:hAnsi="Verdana"/>
          <w:noProof/>
          <w:sz w:val="20"/>
        </w:rPr>
        <w:t xml:space="preserve"> extraction of the fingerprint can be done on the device or by an external system that receives the data read by the application.</w:t>
      </w:r>
    </w:p>
    <w:p w:rsidR="0077224F" w:rsidRDefault="00D973EE">
      <w:pPr>
        <w:rPr>
          <w:noProof/>
        </w:rPr>
      </w:pPr>
      <w:r>
        <w:rPr>
          <w:noProof/>
        </w:rPr>
        <w:t xml:space="preserve">Evidences of the (unique) noise introduced by digital video cameras in the tapes were already discussed and published in 1999 </w:t>
      </w:r>
      <w:r>
        <w:rPr>
          <w:noProof/>
        </w:rPr>
        <w:fldChar w:fldCharType="begin"/>
      </w:r>
      <w:r>
        <w:rPr>
          <w:noProof/>
        </w:rPr>
        <w:instrText xml:space="preserve"> ADDIN ZOTERO_ITEM CSL_CITATION {"citationID":"2ci88jn759","properties":{"formattedCitation":"[20]","plainCitation":"[20]"},"citationItems":[{"id":309,"uris":["http://zotero.org/groups/583788/items/MK24EBMH"],"uri":["http://zotero.org/groups/583788/items/M</w:instrText>
      </w:r>
      <w:r>
        <w:rPr>
          <w:noProof/>
        </w:rPr>
        <w:instrText>K24EBMH"],"itemData":{"id":309,"type":"paper-conference","title":"CCD fingerprint method-identification of a video camera from videotaped images","container-title":"1999 International Conference on Image Processing, 1999. ICIP 99. Proceedings","page":"537-</w:instrText>
      </w:r>
      <w:r>
        <w:rPr>
          <w:noProof/>
        </w:rPr>
        <w:instrText>540 vol.3","volume":"3","source":"IEEE Xplore","event":"1999 International Conference on Image Processing, 1999. ICIP 99. Proceedings","abstract":"We propose a new “CCD Fingerprint” method to identify a camcorder from videotaped images. This method enables</w:instrText>
      </w:r>
      <w:r>
        <w:rPr>
          <w:noProof/>
        </w:rPr>
        <w:instrText xml:space="preserve"> individual camera identification, which does not mean camera-model identification. The clue to the individual camera identification is obtained from nonuniformity of dark currents on CCD chips, which causes a fixed pattern noise. The pattern is quite uniq</w:instrText>
      </w:r>
      <w:r>
        <w:rPr>
          <w:noProof/>
        </w:rPr>
        <w:instrText>ue and intrinsic to an individual camera. Moreover, such a pattern might be recorded on tapes. Using these features, it is expected that the nonuniformity of dark current makes it possible to specify only one camera among same model cameras. In order to ob</w:instrText>
      </w:r>
      <w:r>
        <w:rPr>
          <w:noProof/>
        </w:rPr>
        <w:instrText xml:space="preserve">serve the characteristic noise patterns, we performed experiments with 9 camcorders in 4 types by recording a blank image on videotapes. The results showed that the fixed patterns were observed in most cases by accumulating 100 frames. Furthermore, it was </w:instrText>
      </w:r>
      <w:r>
        <w:rPr>
          <w:noProof/>
        </w:rPr>
        <w:instrText>confirmed that each camera had its own unique pattern","DOI":"10.1109/ICIP.1999.817172","author":[{"family":"Kurosawa","given":"K."},{"family":"Kuroki","given":"K."},{"family":"Saitoh","given":"N."}],"issued":{"date-parts":[["1999"]]}}}],"schema":"https://</w:instrText>
      </w:r>
      <w:r>
        <w:rPr>
          <w:noProof/>
        </w:rPr>
        <w:instrText xml:space="preserve">github.com/citation-style-language/schema/raw/master/csl-citation.json"} </w:instrText>
      </w:r>
      <w:r>
        <w:rPr>
          <w:noProof/>
        </w:rPr>
        <w:fldChar w:fldCharType="separate"/>
      </w:r>
      <w:r>
        <w:rPr>
          <w:noProof/>
        </w:rPr>
        <w:t>[20]</w:t>
      </w:r>
      <w:r>
        <w:rPr>
          <w:noProof/>
        </w:rPr>
        <w:fldChar w:fldCharType="end"/>
      </w:r>
      <w:r>
        <w:rPr>
          <w:noProof/>
        </w:rPr>
        <w:t xml:space="preserve"> while more recent studies on smartphone identification based on photo camera pictures are published for example in </w:t>
      </w:r>
      <w:r>
        <w:rPr>
          <w:noProof/>
        </w:rPr>
        <w:fldChar w:fldCharType="begin"/>
      </w:r>
      <w:r>
        <w:rPr>
          <w:noProof/>
        </w:rPr>
        <w:instrText xml:space="preserve"> ADDIN ZOTERO_ITEM CSL_CITATION {"citationID":"1l3kom2fnj","</w:instrText>
      </w:r>
      <w:r>
        <w:rPr>
          <w:noProof/>
        </w:rPr>
        <w:instrText>properties":{"formattedCitation":"[21]","plainCitation":"[21]"},"citationItems":[{"id":310,"uris":["http://zotero.org/groups/583788/items/T8UM74DQ"],"uri":["http://zotero.org/groups/583788/items/T8UM74DQ"],"itemData":{"id":310,"type":"chapter","title":"Ide</w:instrText>
      </w:r>
      <w:r>
        <w:rPr>
          <w:noProof/>
        </w:rPr>
        <w:instrText>ntification of Smartphone-Image Source and Manipulation","container-title":"Advanced Research in Applied Artificial Intelligence","collection-title":"Lecture Notes in Computer Science","collection-number":"7345","publisher":"Springer Berlin Heidelberg","pa</w:instrText>
      </w:r>
      <w:r>
        <w:rPr>
          <w:noProof/>
        </w:rPr>
        <w:instrText>ge":"262-271","source":"link.springer.com","abstract":"As smartphones are being widely used in daily lives, the images captured by smartphones become ubiquitous and may be used for legal purposes. Accordingly, the authentication of smartphone images and th</w:instrText>
      </w:r>
      <w:r>
        <w:rPr>
          <w:noProof/>
        </w:rPr>
        <w:instrText>e identification of post-capture manipulation are of significant interest in digital forensics. In this paper, we propose a method to determine the smartphone camera source of a particular image and operations that may have been performed on that image. We</w:instrText>
      </w:r>
      <w:r>
        <w:rPr>
          <w:noProof/>
        </w:rPr>
        <w:instrText xml:space="preserve"> first take images using different smartphones and purposely manipulate the images, including different combinations of double JPEG compression, cropping, and rescaling. Then, we extract the marginal density in low frequency coordinates and neighboring joi</w:instrText>
      </w:r>
      <w:r>
        <w:rPr>
          <w:noProof/>
        </w:rPr>
        <w:instrText>nt density features on intra-block and inter-block as features. Finally, we employ a support vector machine to identify the smartphone source as well as to reveal the operations. Experimental results show that our method is very promising for identifying b</w:instrText>
      </w:r>
      <w:r>
        <w:rPr>
          <w:noProof/>
        </w:rPr>
        <w:instrText>oth smartphone source and manipulations. Our study also indicates that applying unsupervised clustering and supervised classification together (clustering first, followed by classification) leads to improvement in identifying smartphone sources and manipul</w:instrText>
      </w:r>
      <w:r>
        <w:rPr>
          <w:noProof/>
        </w:rPr>
        <w:instrText>ations and thus provides a means to address the complexity issue of intentional manipulation.","URL":"http://link.springer.com/chapter/10.1007/978-3-642-31087-4_28","ISBN":"978-3-642-31086-7","note":"DOI: 10.1007/978-3-642-31087-4_28","language":"en","auth</w:instrText>
      </w:r>
      <w:r>
        <w:rPr>
          <w:noProof/>
        </w:rPr>
        <w:instrText>or":[{"family":"Liu","given":"Qingzhong"},{"family":"Li","given":"Xiaodong"},{"family":"Chen","given":"Lei"},{"family":"Cho","given":"Hyuk"},{"family":"Cooper","given":"Peter A."},{"family":"Chen","given":"Zhongxue"},{"family":"Qiao","given":"Mengyu"},{"fa</w:instrText>
      </w:r>
      <w:r>
        <w:rPr>
          <w:noProof/>
        </w:rPr>
        <w:instrText>mily":"Sung","given":"Andrew H."}],"editor":[{"family":"Jiang","given":"He"},{"family":"Ding","given":"Wei"},{"family":"Ali","given":"Moonis"},{"family":"Wu","given":"Xindong"}],"issued":{"date-parts":[["2012",6,9]]},"accessed":{"date-parts":[["2016",7,25]</w:instrText>
      </w:r>
      <w:r>
        <w:rPr>
          <w:noProof/>
        </w:rPr>
        <w:instrText xml:space="preserve">]}}}],"schema":"https://github.com/citation-style-language/schema/raw/master/csl-citation.json"} </w:instrText>
      </w:r>
      <w:r>
        <w:rPr>
          <w:noProof/>
        </w:rPr>
        <w:fldChar w:fldCharType="separate"/>
      </w:r>
      <w:r>
        <w:rPr>
          <w:noProof/>
        </w:rPr>
        <w:t>[21]</w:t>
      </w:r>
      <w:r>
        <w:rPr>
          <w:noProof/>
        </w:rPr>
        <w:fldChar w:fldCharType="end"/>
      </w:r>
      <w:r>
        <w:rPr>
          <w:noProof/>
        </w:rPr>
        <w:t xml:space="preserve"> and </w:t>
      </w:r>
      <w:r>
        <w:rPr>
          <w:noProof/>
        </w:rPr>
        <w:fldChar w:fldCharType="begin"/>
      </w:r>
      <w:r>
        <w:rPr>
          <w:noProof/>
        </w:rPr>
        <w:instrText xml:space="preserve"> ADDIN ZOTERO_ITEM CSL_CITATION {"citationID":"1827ue9fl4","properties":{"formattedCitation":"[22]","plainCitation":"[22]"},"citationItems":[{"id":</w:instrText>
      </w:r>
      <w:r>
        <w:rPr>
          <w:noProof/>
        </w:rPr>
        <w:instrText>311,"uris":["http://zotero.org/groups/583788/items/XP9WX824"],"uri":["http://zotero.org/groups/583788/items/XP9WX824"],"itemData":{"id":311,"type":"paper-conference","title":"Picture-to-Identity linking of social network accounts based on Sensor Pattern No</w:instrText>
      </w:r>
      <w:r>
        <w:rPr>
          <w:noProof/>
        </w:rPr>
        <w:instrText>ise","publisher-place":"London, UK","event":"5th International Conference on Imaging for Crime Detection and Prevention (ICDP 2013)","event-place":"London, UK","author":[{"family":"Satta","given":"Riccardo"},{"family":"Stirparo","given":"Pasquale"}],"issue</w:instrText>
      </w:r>
      <w:r>
        <w:rPr>
          <w:noProof/>
        </w:rPr>
        <w:instrText xml:space="preserve">d":{"date-parts":[["2013"]]}}}],"schema":"https://github.com/citation-style-language/schema/raw/master/csl-citation.json"} </w:instrText>
      </w:r>
      <w:r>
        <w:rPr>
          <w:noProof/>
        </w:rPr>
        <w:fldChar w:fldCharType="separate"/>
      </w:r>
      <w:r>
        <w:rPr>
          <w:noProof/>
        </w:rPr>
        <w:t>[22]</w:t>
      </w:r>
      <w:r>
        <w:rPr>
          <w:noProof/>
        </w:rPr>
        <w:fldChar w:fldCharType="end"/>
      </w:r>
      <w:r>
        <w:rPr>
          <w:noProof/>
        </w:rPr>
        <w:t xml:space="preserve">. For what concerns MEMS, microphones and speakers, evidences are published in </w:t>
      </w:r>
      <w:r>
        <w:rPr>
          <w:noProof/>
        </w:rPr>
        <w:fldChar w:fldCharType="begin"/>
      </w:r>
      <w:r>
        <w:rPr>
          <w:noProof/>
        </w:rPr>
        <w:instrText xml:space="preserve"> ADDIN ZOTERO_ITEM CSL_CITATION {"citationID":"</w:instrText>
      </w:r>
      <w:r>
        <w:rPr>
          <w:noProof/>
        </w:rPr>
        <w:instrText>1b48md6fqc","properties":{"formattedCitation":"[23]","plainCitation":"[23]"},"citationItems":[{"id":321,"uris":["http://zotero.org/groups/583788/items/9SUMBGPV"],"uri":["http://zotero.org/groups/583788/items/9SUMBGPV"],"itemData":{"id":321,"type":"report",</w:instrText>
      </w:r>
      <w:r>
        <w:rPr>
          <w:noProof/>
        </w:rPr>
        <w:instrText>"title":"Mobile Device Identification via Sensor Fingerprinting","URL":"https://crypto.stanford.edu/gyrophone/sensor_id.pdf","author":[{"family":"Bojinov","given":"Hristo"},{"family":"Boneh","given":"Dan"},{"family":"Michalevsky","given":"Yan"},{"family":"</w:instrText>
      </w:r>
      <w:r>
        <w:rPr>
          <w:noProof/>
        </w:rPr>
        <w:instrText xml:space="preserve">Nakibly","given":"Gabi"}],"issued":{"date-parts":[["2014"]]},"accessed":{"date-parts":[["2016",7,25]]}}}],"schema":"https://github.com/citation-style-language/schema/raw/master/csl-citation.json"} </w:instrText>
      </w:r>
      <w:r>
        <w:rPr>
          <w:noProof/>
        </w:rPr>
        <w:fldChar w:fldCharType="separate"/>
      </w:r>
      <w:r>
        <w:rPr>
          <w:noProof/>
        </w:rPr>
        <w:t>[23]</w:t>
      </w:r>
      <w:r>
        <w:rPr>
          <w:noProof/>
        </w:rPr>
        <w:fldChar w:fldCharType="end"/>
      </w:r>
      <w:r>
        <w:rPr>
          <w:noProof/>
        </w:rPr>
        <w:t xml:space="preserve"> and </w:t>
      </w:r>
      <w:r>
        <w:rPr>
          <w:noProof/>
        </w:rPr>
        <w:fldChar w:fldCharType="begin"/>
      </w:r>
      <w:r>
        <w:rPr>
          <w:noProof/>
        </w:rPr>
        <w:instrText xml:space="preserve"> ADDIN ZOTERO_ITEM CSL_CITATION {"citationID":"</w:instrText>
      </w:r>
      <w:r>
        <w:rPr>
          <w:noProof/>
        </w:rPr>
        <w:instrText>1nd4h88p9e","properties":{"formattedCitation":"[24]","plainCitation":"[24]"},"citationItems":[{"id":322,"uris":["http://zotero.org/groups/583788/items/SEWNFANA"],"uri":["http://zotero.org/groups/583788/items/SEWNFANA"],"itemData":{"id":322,"type":"paper-co</w:instrText>
      </w:r>
      <w:r>
        <w:rPr>
          <w:noProof/>
        </w:rPr>
        <w:instrText>nference","title":"AccelPrint: Imperfections of Accelerometers Make Smartphones Trackable","publisher":"Internet Society","source":"CrossRef","URL":"http://www.internetsociety.org/doc/accelprint-imperfections-accelerometers-make-smartphones-trackable","DOI</w:instrText>
      </w:r>
      <w:r>
        <w:rPr>
          <w:noProof/>
        </w:rPr>
        <w:instrText>":"10.14722/ndss.2014.23059","ISBN":"978-1-891562-35-8","shortTitle":"AccelPrint","language":"en","author":[{"family":"Dey","given":"Sanorita"},{"family":"Roy","given":"Nirupam"},{"family":"Xu","given":"Wenyuan"},{"family":"Choudhury","given":"Romit Roy"},</w:instrText>
      </w:r>
      <w:r>
        <w:rPr>
          <w:noProof/>
        </w:rPr>
        <w:instrText xml:space="preserve">{"family":"Nelakuditi","given":"Srihari"}],"issued":{"date-parts":[["2014"]]},"accessed":{"date-parts":[["2016",7,25]]}}}],"schema":"https://github.com/citation-style-language/schema/raw/master/csl-citation.json"} </w:instrText>
      </w:r>
      <w:r>
        <w:rPr>
          <w:noProof/>
        </w:rPr>
        <w:fldChar w:fldCharType="separate"/>
      </w:r>
      <w:r>
        <w:rPr>
          <w:noProof/>
        </w:rPr>
        <w:t>[24]</w:t>
      </w:r>
      <w:r>
        <w:rPr>
          <w:noProof/>
        </w:rPr>
        <w:fldChar w:fldCharType="end"/>
      </w:r>
      <w:r>
        <w:rPr>
          <w:noProof/>
        </w:rPr>
        <w:t>. At the JRC, we conducted a succes</w:t>
      </w:r>
      <w:r>
        <w:rPr>
          <w:noProof/>
        </w:rPr>
        <w:t xml:space="preserve">sful experiment on smartphone accelerometers and gyroscopes fingerprints in </w:t>
      </w:r>
      <w:r>
        <w:rPr>
          <w:noProof/>
        </w:rPr>
        <w:fldChar w:fldCharType="begin"/>
      </w:r>
      <w:r>
        <w:rPr>
          <w:noProof/>
        </w:rPr>
        <w:instrText xml:space="preserve"> ADDIN ZOTERO_ITEM CSL_CITATION {"citationID":"10ljqi5u7u","properties":{"formattedCitation":"[25]","plainCitation":"[25]"},"citationItems":[{"id":324,"uris":["http://zotero.org/gr</w:instrText>
      </w:r>
      <w:r>
        <w:rPr>
          <w:noProof/>
        </w:rPr>
        <w:instrText>oups/583788/items/5R9U5ID9"],"uri":["http://zotero.org/groups/583788/items/5R9U5ID9"],"itemData":{"id":324,"type":"article-journal","title":"Experimental Identification of Smartphones Using Fingerprints of Built-In Micro-Electro Mechanical Systems (MEMS)",</w:instrText>
      </w:r>
      <w:r>
        <w:rPr>
          <w:noProof/>
        </w:rPr>
        <w:instrText>"container-title":"Sensors","page":"818","volume":"16","issue":"6","source":"www.mdpi.com","abstract":"The correct identification of smartphones has various applications in the field of security or the fight against counterfeiting. As the level of sophisti</w:instrText>
      </w:r>
      <w:r>
        <w:rPr>
          <w:noProof/>
        </w:rPr>
        <w:instrText>cation in counterfeit electronics increases, detection procedures must become more accurate but also not destructive for the smartphone under testing. Some components of the smartphone are more likely to reveal their authenticity even without a physical in</w:instrText>
      </w:r>
      <w:r>
        <w:rPr>
          <w:noProof/>
        </w:rPr>
        <w:instrText>spection, since they are characterized by hardware fingerprints detectable by simply examining the data they provide. This is the case of MEMS (Micro Electro-Mechanical Systems) components like accelerometers and gyroscopes, where tiny differences and impr</w:instrText>
      </w:r>
      <w:r>
        <w:rPr>
          <w:noProof/>
        </w:rPr>
        <w:instrText>ecisions in the manufacturing process determine unique patterns in the data output. In this paper, we present the experimental evaluation of the identification of smartphones through their built-in MEMS components. In our study, three different phones of t</w:instrText>
      </w:r>
      <w:r>
        <w:rPr>
          <w:noProof/>
        </w:rPr>
        <w:instrText>he same model are subject to repeatable movements (composing a repeatable scenario) using an high precision robotic arm. The measurements from MEMS for each repeatable scenario are collected and analyzed. The identification algorithm is based on the extrac</w:instrText>
      </w:r>
      <w:r>
        <w:rPr>
          <w:noProof/>
        </w:rPr>
        <w:instrText xml:space="preserve">tion of the statistical features of the collected data for each scenario. The features are used in a support vector machine (SVM) classifier to identify the smartphone. The results of the evaluation are presented for different combinations of features and </w:instrText>
      </w:r>
      <w:r>
        <w:rPr>
          <w:noProof/>
        </w:rPr>
        <w:instrText>Inertial Measurement Unit (IMU) outputs, which show that detection accuracy of higher than 90% is achievable.","DOI":"10.3390/s16060818","language":"en","author":[{"family":"Baldini","given":"Gianmarco"},{"family":"Steri","given":"Gary"},{"family":"Dimc","</w:instrText>
      </w:r>
      <w:r>
        <w:rPr>
          <w:noProof/>
        </w:rPr>
        <w:instrText xml:space="preserve">given":"Franc"},{"family":"Giuliani","given":"Raimondo"},{"family":"Kamnik","given":"Roman"}],"issued":{"date-parts":[["2016",6,3]]}}}],"schema":"https://github.com/citation-style-language/schema/raw/master/csl-citation.json"} </w:instrText>
      </w:r>
      <w:r>
        <w:rPr>
          <w:noProof/>
        </w:rPr>
        <w:fldChar w:fldCharType="separate"/>
      </w:r>
      <w:r>
        <w:rPr>
          <w:noProof/>
        </w:rPr>
        <w:t>[25]</w:t>
      </w:r>
      <w:r>
        <w:rPr>
          <w:noProof/>
        </w:rPr>
        <w:fldChar w:fldCharType="end"/>
      </w:r>
      <w:r>
        <w:rPr>
          <w:noProof/>
        </w:rPr>
        <w:t>, and also on radiofre</w:t>
      </w:r>
      <w:r>
        <w:rPr>
          <w:noProof/>
        </w:rPr>
        <w:t>quency and camera identification.</w:t>
      </w:r>
    </w:p>
    <w:p w:rsidR="0077224F" w:rsidRDefault="00D973EE">
      <w:pPr>
        <w:rPr>
          <w:noProof/>
        </w:rPr>
      </w:pPr>
      <w:r>
        <w:rPr>
          <w:noProof/>
        </w:rPr>
        <w:t xml:space="preserve">From a technical perspective hardware fingerprinting is very difficult to avoid, since it considers intrinsic features of the device that cannot be easily changed or masqueraded. Therefore, from a regulatory perspective a </w:t>
      </w:r>
      <w:r>
        <w:rPr>
          <w:noProof/>
        </w:rPr>
        <w:t xml:space="preserve">possible </w:t>
      </w:r>
      <w:r>
        <w:rPr>
          <w:b/>
          <w:noProof/>
        </w:rPr>
        <w:t>recommendation</w:t>
      </w:r>
      <w:r>
        <w:rPr>
          <w:noProof/>
        </w:rPr>
        <w:t xml:space="preserve"> is to legally prevent companies from collecting, storing, and using this type of information about the devices unless the information is anonymized and the chances of distinguishing one device from another are statistically equivale</w:t>
      </w:r>
      <w:r>
        <w:rPr>
          <w:noProof/>
        </w:rPr>
        <w:t>nt to blindly guessing.</w:t>
      </w:r>
    </w:p>
    <w:p w:rsidR="0077224F" w:rsidRDefault="00D973EE">
      <w:pPr>
        <w:pStyle w:val="Heading2"/>
        <w:rPr>
          <w:noProof/>
        </w:rPr>
      </w:pPr>
      <w:bookmarkStart w:id="912" w:name="_Toc453341762"/>
      <w:bookmarkStart w:id="913" w:name="_Toc458158021"/>
      <w:bookmarkStart w:id="914" w:name="_Toc465876804"/>
      <w:bookmarkStart w:id="915" w:name="_Toc466024071"/>
      <w:bookmarkStart w:id="916" w:name="_Toc468790079"/>
      <w:bookmarkStart w:id="917" w:name="_Toc468794911"/>
      <w:bookmarkStart w:id="918" w:name="_Toc468795219"/>
      <w:r>
        <w:rPr>
          <w:noProof/>
        </w:rPr>
        <w:t>Locally and Remotely Saved Web Browser User Data</w:t>
      </w:r>
      <w:bookmarkEnd w:id="912"/>
      <w:bookmarkEnd w:id="913"/>
      <w:bookmarkEnd w:id="914"/>
      <w:bookmarkEnd w:id="915"/>
      <w:bookmarkEnd w:id="916"/>
      <w:bookmarkEnd w:id="917"/>
      <w:bookmarkEnd w:id="918"/>
    </w:p>
    <w:p w:rsidR="0077224F" w:rsidRDefault="00D973EE">
      <w:pPr>
        <w:rPr>
          <w:noProof/>
        </w:rPr>
      </w:pPr>
      <w:r>
        <w:rPr>
          <w:noProof/>
        </w:rPr>
        <w:t>A potential privacy risk for users is the information saved about them by the web browser in the disk/memory of their device, which may also be synchronized with a remote cloud server</w:t>
      </w:r>
      <w:r>
        <w:rPr>
          <w:noProof/>
        </w:rPr>
        <w:t xml:space="preserve"> if the user creates an account and agrees to do so. For example, the Chrome web browser saves:</w:t>
      </w:r>
    </w:p>
    <w:p w:rsidR="0077224F" w:rsidRDefault="00D973EE">
      <w:pPr>
        <w:pStyle w:val="ListParagraph"/>
        <w:numPr>
          <w:ilvl w:val="0"/>
          <w:numId w:val="19"/>
        </w:numPr>
        <w:spacing w:before="0"/>
        <w:rPr>
          <w:rFonts w:ascii="Verdana" w:hAnsi="Verdana"/>
          <w:noProof/>
          <w:sz w:val="20"/>
        </w:rPr>
      </w:pPr>
      <w:r>
        <w:rPr>
          <w:rFonts w:ascii="Verdana" w:hAnsi="Verdana"/>
          <w:noProof/>
          <w:sz w:val="20"/>
        </w:rPr>
        <w:t xml:space="preserve">Browsing history information containing all the URLs of pages the user has visited, cache files of all text and images, list of some IP addresses linked to the </w:t>
      </w:r>
      <w:r>
        <w:rPr>
          <w:rFonts w:ascii="Verdana" w:hAnsi="Verdana"/>
          <w:noProof/>
          <w:sz w:val="20"/>
        </w:rPr>
        <w:t>visited pages;</w:t>
      </w:r>
    </w:p>
    <w:p w:rsidR="0077224F" w:rsidRDefault="00D973EE">
      <w:pPr>
        <w:pStyle w:val="ListParagraph"/>
        <w:numPr>
          <w:ilvl w:val="0"/>
          <w:numId w:val="19"/>
        </w:numPr>
        <w:spacing w:before="0"/>
        <w:rPr>
          <w:rFonts w:ascii="Verdana" w:hAnsi="Verdana"/>
          <w:noProof/>
          <w:sz w:val="20"/>
        </w:rPr>
      </w:pPr>
      <w:r>
        <w:rPr>
          <w:rFonts w:ascii="Verdana" w:hAnsi="Verdana"/>
          <w:noProof/>
          <w:sz w:val="20"/>
        </w:rPr>
        <w:t>A searchable index of all pages visited by the users optimized for quick search, excluding pages visited using HTTPs;</w:t>
      </w:r>
    </w:p>
    <w:p w:rsidR="0077224F" w:rsidRDefault="00D973EE">
      <w:pPr>
        <w:pStyle w:val="ListParagraph"/>
        <w:numPr>
          <w:ilvl w:val="0"/>
          <w:numId w:val="19"/>
        </w:numPr>
        <w:spacing w:before="0"/>
        <w:rPr>
          <w:rFonts w:ascii="Verdana" w:hAnsi="Verdana"/>
          <w:noProof/>
          <w:sz w:val="20"/>
        </w:rPr>
      </w:pPr>
      <w:r>
        <w:rPr>
          <w:rFonts w:ascii="Verdana" w:hAnsi="Verdana"/>
          <w:noProof/>
          <w:sz w:val="20"/>
        </w:rPr>
        <w:t>Thumbnail-sized screenshots of most pages you visit;</w:t>
      </w:r>
    </w:p>
    <w:p w:rsidR="0077224F" w:rsidRDefault="00D973EE">
      <w:pPr>
        <w:pStyle w:val="ListParagraph"/>
        <w:numPr>
          <w:ilvl w:val="0"/>
          <w:numId w:val="19"/>
        </w:numPr>
        <w:spacing w:before="0"/>
        <w:rPr>
          <w:rFonts w:ascii="Verdana" w:hAnsi="Verdana"/>
          <w:noProof/>
          <w:sz w:val="20"/>
        </w:rPr>
      </w:pPr>
      <w:r>
        <w:rPr>
          <w:rFonts w:ascii="Verdana" w:hAnsi="Verdana"/>
          <w:noProof/>
          <w:sz w:val="20"/>
        </w:rPr>
        <w:t>Cookies or web storage data deposited on your system by websites you v</w:t>
      </w:r>
      <w:r>
        <w:rPr>
          <w:rFonts w:ascii="Verdana" w:hAnsi="Verdana"/>
          <w:noProof/>
          <w:sz w:val="20"/>
        </w:rPr>
        <w:t>isit;</w:t>
      </w:r>
    </w:p>
    <w:p w:rsidR="0077224F" w:rsidRDefault="00D973EE">
      <w:pPr>
        <w:pStyle w:val="ListParagraph"/>
        <w:numPr>
          <w:ilvl w:val="0"/>
          <w:numId w:val="19"/>
        </w:numPr>
        <w:spacing w:before="0"/>
        <w:rPr>
          <w:rFonts w:ascii="Verdana" w:hAnsi="Verdana"/>
          <w:noProof/>
          <w:sz w:val="20"/>
        </w:rPr>
      </w:pPr>
      <w:r>
        <w:rPr>
          <w:rFonts w:ascii="Verdana" w:hAnsi="Verdana"/>
          <w:noProof/>
          <w:sz w:val="20"/>
        </w:rPr>
        <w:t>Locally-stored data saved by add-ons;</w:t>
      </w:r>
    </w:p>
    <w:p w:rsidR="0077224F" w:rsidRDefault="00D973EE">
      <w:pPr>
        <w:pStyle w:val="ListParagraph"/>
        <w:numPr>
          <w:ilvl w:val="0"/>
          <w:numId w:val="19"/>
        </w:numPr>
        <w:spacing w:before="0"/>
        <w:rPr>
          <w:rFonts w:ascii="Verdana" w:hAnsi="Verdana"/>
          <w:noProof/>
          <w:sz w:val="20"/>
        </w:rPr>
      </w:pPr>
      <w:r>
        <w:rPr>
          <w:rFonts w:ascii="Verdana" w:hAnsi="Verdana"/>
          <w:noProof/>
          <w:sz w:val="20"/>
        </w:rPr>
        <w:t>A record of downloads you have made from websites;</w:t>
      </w:r>
    </w:p>
    <w:p w:rsidR="0077224F" w:rsidRDefault="00D973EE">
      <w:pPr>
        <w:pStyle w:val="ListParagraph"/>
        <w:numPr>
          <w:ilvl w:val="0"/>
          <w:numId w:val="19"/>
        </w:numPr>
        <w:spacing w:before="0"/>
        <w:rPr>
          <w:rFonts w:ascii="Verdana" w:hAnsi="Verdana"/>
          <w:noProof/>
          <w:sz w:val="20"/>
        </w:rPr>
      </w:pPr>
      <w:r>
        <w:rPr>
          <w:rFonts w:ascii="Verdana" w:hAnsi="Verdana"/>
          <w:noProof/>
          <w:sz w:val="20"/>
        </w:rPr>
        <w:t>List of active user tabs;</w:t>
      </w:r>
    </w:p>
    <w:p w:rsidR="0077224F" w:rsidRDefault="00D973EE">
      <w:pPr>
        <w:pStyle w:val="ListParagraph"/>
        <w:numPr>
          <w:ilvl w:val="0"/>
          <w:numId w:val="19"/>
        </w:numPr>
        <w:spacing w:before="0"/>
        <w:rPr>
          <w:rFonts w:ascii="Verdana" w:hAnsi="Verdana"/>
          <w:noProof/>
          <w:sz w:val="20"/>
        </w:rPr>
      </w:pPr>
      <w:r>
        <w:rPr>
          <w:rFonts w:ascii="Verdana" w:hAnsi="Verdana"/>
          <w:noProof/>
          <w:sz w:val="20"/>
        </w:rPr>
        <w:t>Passwords and auto complete form data including credit card information, mobile phone numbers, e-mails, etc.</w:t>
      </w:r>
    </w:p>
    <w:p w:rsidR="0077224F" w:rsidRDefault="00D973EE">
      <w:pPr>
        <w:rPr>
          <w:noProof/>
        </w:rPr>
      </w:pPr>
      <w:r>
        <w:rPr>
          <w:noProof/>
        </w:rPr>
        <w:t xml:space="preserve">The storage of this </w:t>
      </w:r>
      <w:r>
        <w:rPr>
          <w:noProof/>
        </w:rPr>
        <w:t>information by the web browser locally or remotely implies a huge risk for users since any security vulnerability in the local machine or in the remove cloud server could imply a complete exposure of all web apps and data. Therefore, from a technical persp</w:t>
      </w:r>
      <w:r>
        <w:rPr>
          <w:noProof/>
        </w:rPr>
        <w:t>ective this information should always be stored remotely in an encrypted format with the encryption keys being only available to the end-user.</w:t>
      </w:r>
    </w:p>
    <w:p w:rsidR="0077224F" w:rsidRDefault="00D973EE">
      <w:pPr>
        <w:pStyle w:val="Heading2"/>
        <w:rPr>
          <w:noProof/>
        </w:rPr>
      </w:pPr>
      <w:bookmarkStart w:id="919" w:name="_Toc453341756"/>
      <w:bookmarkStart w:id="920" w:name="_Toc458158022"/>
      <w:bookmarkStart w:id="921" w:name="_Toc465876805"/>
      <w:bookmarkStart w:id="922" w:name="_Toc466024072"/>
      <w:bookmarkStart w:id="923" w:name="_Toc468790080"/>
      <w:bookmarkStart w:id="924" w:name="_Toc468794912"/>
      <w:bookmarkStart w:id="925" w:name="_Toc468795220"/>
      <w:bookmarkStart w:id="926" w:name="_Toc453341758"/>
      <w:bookmarkStart w:id="927" w:name="_Toc453341763"/>
      <w:r>
        <w:rPr>
          <w:noProof/>
        </w:rPr>
        <w:t>Data Leaks due to breaches in server’s or client’s policy settings</w:t>
      </w:r>
      <w:bookmarkEnd w:id="919"/>
      <w:bookmarkEnd w:id="920"/>
      <w:bookmarkEnd w:id="921"/>
      <w:bookmarkEnd w:id="922"/>
      <w:bookmarkEnd w:id="923"/>
      <w:bookmarkEnd w:id="924"/>
      <w:bookmarkEnd w:id="925"/>
    </w:p>
    <w:p w:rsidR="0077224F" w:rsidRDefault="00D973EE">
      <w:pPr>
        <w:rPr>
          <w:noProof/>
        </w:rPr>
      </w:pPr>
      <w:r>
        <w:rPr>
          <w:noProof/>
        </w:rPr>
        <w:t>Some private information, especially in social</w:t>
      </w:r>
      <w:r>
        <w:rPr>
          <w:noProof/>
        </w:rPr>
        <w:t xml:space="preserve"> networks, can be indirectly or unintentionally disclosed due to privacy insensitive policy settings. An example of personal information that got outed on Facebook was reported in </w:t>
      </w:r>
      <w:r>
        <w:rPr>
          <w:noProof/>
        </w:rPr>
        <w:fldChar w:fldCharType="begin"/>
      </w:r>
      <w:r>
        <w:rPr>
          <w:noProof/>
        </w:rPr>
        <w:instrText xml:space="preserve"> ADDIN ZOTERO_ITEM CSL_CITATION {"citationID":"2555u9j9re","properties":{"fo</w:instrText>
      </w:r>
      <w:r>
        <w:rPr>
          <w:noProof/>
        </w:rPr>
        <w:instrText xml:space="preserve">rmattedCitation":"[26]","plainCitation":"[26]"},"citationItems":[{"id":325,"uris":["http://zotero.org/groups/583788/items/AJMEQBM4"],"uri":["http://zotero.org/groups/583788/items/AJMEQBM4"],"itemData":{"id":325,"type":"article-newspaper","title":"When the </w:instrText>
      </w:r>
      <w:r>
        <w:rPr>
          <w:noProof/>
        </w:rPr>
        <w:instrText>Most Personal Secrets Get Outed on Facebook","container-title":"Wall Street Journal","section":"Tech","source":"Wall Street Journal","abstract":"The era of social networks like Facebook creates a challenge for individuals navigating the personal-data econo</w:instrText>
      </w:r>
      <w:r>
        <w:rPr>
          <w:noProof/>
        </w:rPr>
        <w:instrText>my: how to keep anything private when it is difficult to predict where your information will end up.","URL":"http://www.wsj.com/articles/SB10000872396390444165804578008740578200224","ISSN":"0099-9660","author":[{"family":"Fowler","given":"Geoffrey A."}],"i</w:instrText>
      </w:r>
      <w:r>
        <w:rPr>
          <w:noProof/>
        </w:rPr>
        <w:instrText xml:space="preserve">ssued":{"date-parts":[["2012",10,13]]},"accessed":{"date-parts":[["2016",7,25]]}}}],"schema":"https://github.com/citation-style-language/schema/raw/master/csl-citation.json"} </w:instrText>
      </w:r>
      <w:r>
        <w:rPr>
          <w:noProof/>
        </w:rPr>
        <w:fldChar w:fldCharType="separate"/>
      </w:r>
      <w:r>
        <w:rPr>
          <w:noProof/>
        </w:rPr>
        <w:t>[26]</w:t>
      </w:r>
      <w:r>
        <w:rPr>
          <w:noProof/>
        </w:rPr>
        <w:fldChar w:fldCharType="end"/>
      </w:r>
      <w:r>
        <w:rPr>
          <w:noProof/>
        </w:rPr>
        <w:t>. In this case, some information about joining a discussing group of a spe</w:t>
      </w:r>
      <w:r>
        <w:rPr>
          <w:noProof/>
        </w:rPr>
        <w:t>cific sexual preference was disclosed, thus revealing a private information to users that were not supposed to know about it.</w:t>
      </w:r>
    </w:p>
    <w:p w:rsidR="0077224F" w:rsidRDefault="00D973EE">
      <w:pPr>
        <w:rPr>
          <w:noProof/>
        </w:rPr>
      </w:pPr>
      <w:r>
        <w:rPr>
          <w:noProof/>
        </w:rPr>
        <w:t xml:space="preserve">More in general, wrong or not up to date security and privacy settings both in client and server systems can lead to unauthorized </w:t>
      </w:r>
      <w:r>
        <w:rPr>
          <w:noProof/>
        </w:rPr>
        <w:t xml:space="preserve">access and theft of private data and sensitive information. According to Gartner 75% percent of the mobile security breaches depend on application misconfigurations </w:t>
      </w:r>
      <w:r>
        <w:rPr>
          <w:noProof/>
        </w:rPr>
        <w:fldChar w:fldCharType="begin"/>
      </w:r>
      <w:r>
        <w:rPr>
          <w:noProof/>
        </w:rPr>
        <w:instrText xml:space="preserve"> ADDIN ZOTERO_ITEM CSL_CITATION {"citationID":"1b8c9kacsq","properties":{"formattedCitation</w:instrText>
      </w:r>
      <w:r>
        <w:rPr>
          <w:noProof/>
        </w:rPr>
        <w:instrText xml:space="preserve">":"[27]","plainCitation":"[27]"},"citationItems":[{"id":326,"uris":["http://zotero.org/groups/583788/items/MJJXHN3H"],"uri":["http://zotero.org/groups/583788/items/MJJXHN3H"],"itemData":{"id":326,"type":"webpage","title":"Gartner Says 75 Percent of Mobile </w:instrText>
      </w:r>
      <w:r>
        <w:rPr>
          <w:noProof/>
        </w:rPr>
        <w:instrText>Security Breaches Will Be the Result of Mobile Application Misconfiguration","abstract":"Nearly 2.2 billion smartphones and tablets will be sold to end users in 2014 according to Gartner, Inc. While security incidents originating from mobile devices are ra</w:instrText>
      </w:r>
      <w:r>
        <w:rPr>
          <w:noProof/>
        </w:rPr>
        <w:instrText>re, Gartner said that by 2017, 75 percent of mobile security breaches will be the result of mobile application misconfiguration.","URL":"http://www.gartner.com/newsroom/id/2753017","accessed":{"date-parts":[["2016",7,25]]}}}],"schema":"https://github.com/c</w:instrText>
      </w:r>
      <w:r>
        <w:rPr>
          <w:noProof/>
        </w:rPr>
        <w:instrText xml:space="preserve">itation-style-language/schema/raw/master/csl-citation.json"} </w:instrText>
      </w:r>
      <w:r>
        <w:rPr>
          <w:noProof/>
        </w:rPr>
        <w:fldChar w:fldCharType="separate"/>
      </w:r>
      <w:r>
        <w:rPr>
          <w:noProof/>
        </w:rPr>
        <w:t>[27]</w:t>
      </w:r>
      <w:r>
        <w:rPr>
          <w:noProof/>
        </w:rPr>
        <w:fldChar w:fldCharType="end"/>
      </w:r>
      <w:r>
        <w:rPr>
          <w:noProof/>
        </w:rPr>
        <w:t xml:space="preserve">. OWASP, apart from the top ten web application security flaws proposes a set of </w:t>
      </w:r>
      <w:r>
        <w:rPr>
          <w:b/>
          <w:noProof/>
        </w:rPr>
        <w:t>recommendations</w:t>
      </w:r>
      <w:r>
        <w:rPr>
          <w:noProof/>
        </w:rPr>
        <w:t xml:space="preserve"> that constitute a good guideline and helping tool for safe web applications development and</w:t>
      </w:r>
      <w:r>
        <w:rPr>
          <w:noProof/>
        </w:rPr>
        <w:t xml:space="preserve"> systems configuration </w:t>
      </w:r>
      <w:r>
        <w:rPr>
          <w:noProof/>
        </w:rPr>
        <w:fldChar w:fldCharType="begin"/>
      </w:r>
      <w:r>
        <w:rPr>
          <w:noProof/>
        </w:rPr>
        <w:instrText xml:space="preserve"> ADDIN ZOTERO_ITEM CSL_CITATION {"citationID":"2fhfimud3k","properties":{"formattedCitation":"[28]","plainCitation":"[28]"},"citationItems":[{"id":327,"uris":["http://zotero.org/groups/583788/items/HA4ZR36V"],"uri":["http://zotero.or</w:instrText>
      </w:r>
      <w:r>
        <w:rPr>
          <w:noProof/>
        </w:rPr>
        <w:instrText>g/groups/583788/items/HA4ZR36V"],"itemData":{"id":327,"type":"webpage","title":"OWASP Product Requirement Recommendations Library - OWASP","URL":"https://www.owasp.org/index.php/OWASP_Product_Requirement_Recommendations_Library","accessed":{"date-parts":[[</w:instrText>
      </w:r>
      <w:r>
        <w:rPr>
          <w:noProof/>
        </w:rPr>
        <w:instrText xml:space="preserve">"2016",7,25]]}}}],"schema":"https://github.com/citation-style-language/schema/raw/master/csl-citation.json"} </w:instrText>
      </w:r>
      <w:r>
        <w:rPr>
          <w:noProof/>
        </w:rPr>
        <w:fldChar w:fldCharType="separate"/>
      </w:r>
      <w:r>
        <w:rPr>
          <w:noProof/>
        </w:rPr>
        <w:t>[28]</w:t>
      </w:r>
      <w:r>
        <w:rPr>
          <w:noProof/>
        </w:rPr>
        <w:fldChar w:fldCharType="end"/>
      </w:r>
      <w:r>
        <w:rPr>
          <w:noProof/>
        </w:rPr>
        <w:t>.</w:t>
      </w:r>
    </w:p>
    <w:p w:rsidR="0077224F" w:rsidRDefault="00D973EE">
      <w:pPr>
        <w:rPr>
          <w:noProof/>
        </w:rPr>
      </w:pPr>
      <w:r>
        <w:rPr>
          <w:noProof/>
        </w:rPr>
        <w:t>The Platform for Privacy Preferences Project (P3P) is a language and protocol to support users and web app providers in the exchange of us</w:t>
      </w:r>
      <w:r>
        <w:rPr>
          <w:noProof/>
        </w:rPr>
        <w:t>er privacy preferences and website privacy policies. The specification of user privacy preferences is done using the P3P policy language, while the web app providers specify their internal privacy policies using the Enterprise Privacy Authorization Languag</w:t>
      </w:r>
      <w:r>
        <w:rPr>
          <w:noProof/>
        </w:rPr>
        <w:t>e (EPAL) language. A web browser add-on is used to verify if the EPAL policy provided by the web application matches the P3P requirements specified by the end users. In case there is a match and users believe the web app provider is following their privacy</w:t>
      </w:r>
      <w:r>
        <w:rPr>
          <w:noProof/>
        </w:rPr>
        <w:t xml:space="preserve"> requirements the user data is automatically provided </w:t>
      </w:r>
      <w:r>
        <w:rPr>
          <w:noProof/>
        </w:rPr>
        <w:fldChar w:fldCharType="begin"/>
      </w:r>
      <w:r>
        <w:rPr>
          <w:noProof/>
        </w:rPr>
        <w:instrText xml:space="preserve"> ADDIN ZOTERO_ITEM CSL_CITATION {"citationID":"1lfvp7dj4e","properties":{"formattedCitation":"[29]","plainCitation":"[29]"},"citationItems":[{"id":337,"uris":["http://zotero.org/groups/583788/items/PU28</w:instrText>
      </w:r>
      <w:r>
        <w:rPr>
          <w:noProof/>
        </w:rPr>
        <w:instrText>CKI5"],"uri":["http://zotero.org/groups/583788/items/PU28CKI5"],"itemData":{"id":337,"type":"paper-conference","title":"Specifying Privacy Policies with P3P and EPAL: Lessons Learned","container-title":"Proceedings of the 2004 ACM Workshop on Privacy in th</w:instrText>
      </w:r>
      <w:r>
        <w:rPr>
          <w:noProof/>
        </w:rPr>
        <w:instrText>e Electronic Society","collection-title":"WPES '04","publisher":"ACM","publisher-place":"New York, NY, USA","page":"35–35","source":"ACM Digital Library","event-place":"New York, NY, USA","abstract":"As computing becomes more ubiquitous and Internet use co</w:instrText>
      </w:r>
      <w:r>
        <w:rPr>
          <w:noProof/>
        </w:rPr>
        <w:instrText xml:space="preserve">ntinues to rise, it is increasingly important for organizations to construct accurate and effective privacy policies that document their information handling and usage practices. Most privacy policies are derived and specified in a somewhat ad-hoc manner, </w:instrText>
      </w:r>
      <w:r>
        <w:rPr>
          <w:noProof/>
        </w:rPr>
        <w:instrText>leading to policies that are of limited use to the consumers they are intended to serve. To make privacy policies more readable and enforceable, two privacy policy specification languages have emerged, P3P and EPAL. This paper discusses a case study in whi</w:instrText>
      </w:r>
      <w:r>
        <w:rPr>
          <w:noProof/>
        </w:rPr>
        <w:instrText>ch the authors systematically formalized two real and complex, healthcare website privacy statements, and measured the results against well-known requirements engineering criteria.","URL":"http://doi.acm.org/10.1145/1029179.1029190","DOI":"10.1145/1029179.</w:instrText>
      </w:r>
      <w:r>
        <w:rPr>
          <w:noProof/>
        </w:rPr>
        <w:instrText>1029190","ISBN":"978-1-58113-968-6","shortTitle":"Specifying Privacy Policies with P3P and EPAL","author":[{"family":"Stufflebeam","given":"William H."},{"family":"Antón","given":"Annie I."},{"family":"He","given":"Qingfeng"},{"family":"Jain","given":"Neha</w:instrText>
      </w:r>
      <w:r>
        <w:rPr>
          <w:noProof/>
        </w:rPr>
        <w:instrText xml:space="preserve">"}],"issued":{"date-parts":[["2004"]]},"accessed":{"date-parts":[["2016",7,25]]}}}],"schema":"https://github.com/citation-style-language/schema/raw/master/csl-citation.json"} </w:instrText>
      </w:r>
      <w:r>
        <w:rPr>
          <w:noProof/>
        </w:rPr>
        <w:fldChar w:fldCharType="separate"/>
      </w:r>
      <w:r>
        <w:rPr>
          <w:noProof/>
        </w:rPr>
        <w:t>[29]</w:t>
      </w:r>
      <w:r>
        <w:rPr>
          <w:noProof/>
        </w:rPr>
        <w:fldChar w:fldCharType="end"/>
      </w:r>
      <w:r>
        <w:rPr>
          <w:noProof/>
        </w:rPr>
        <w:t>. The P3P and EPAL languages have been criticized for their complexity and</w:t>
      </w:r>
      <w:r>
        <w:rPr>
          <w:noProof/>
        </w:rPr>
        <w:t xml:space="preserve"> lack of precise semantics since many of the policy assertions were strings open to interpretation.</w:t>
      </w:r>
    </w:p>
    <w:p w:rsidR="0077224F" w:rsidRDefault="00D973EE">
      <w:pPr>
        <w:rPr>
          <w:noProof/>
        </w:rPr>
      </w:pPr>
      <w:r>
        <w:rPr>
          <w:b/>
          <w:noProof/>
        </w:rPr>
        <w:t>Users should be always in control</w:t>
      </w:r>
      <w:r>
        <w:rPr>
          <w:noProof/>
        </w:rPr>
        <w:t xml:space="preserve"> of the information released about them by the web app to other users and should be made aware by the specific web app prov</w:t>
      </w:r>
      <w:r>
        <w:rPr>
          <w:noProof/>
        </w:rPr>
        <w:t xml:space="preserve">ider about the possible privacy implications of using the app. This could be implemented as a </w:t>
      </w:r>
      <w:r>
        <w:rPr>
          <w:b/>
          <w:noProof/>
        </w:rPr>
        <w:t>user-centric risk analysis</w:t>
      </w:r>
      <w:r>
        <w:rPr>
          <w:noProof/>
        </w:rPr>
        <w:t xml:space="preserve"> requirement for all web apps that handle potentially sensitive user information. A concrete approach could include for each web app a l</w:t>
      </w:r>
      <w:r>
        <w:rPr>
          <w:noProof/>
        </w:rPr>
        <w:t>ist of the collected information, where the information is stored, what is the purpose of the collection, a list of potential negative consequences for users if the information is leaked in a data breach, and a plan of action for users in case a data breac</w:t>
      </w:r>
      <w:r>
        <w:rPr>
          <w:noProof/>
        </w:rPr>
        <w:t>h occurs in the future. Users are then more informed to decide if they would like to provide the information or not considering the possible negative consequences.</w:t>
      </w:r>
    </w:p>
    <w:p w:rsidR="0077224F" w:rsidRDefault="00D973EE">
      <w:pPr>
        <w:pStyle w:val="Heading2"/>
        <w:rPr>
          <w:noProof/>
        </w:rPr>
      </w:pPr>
      <w:bookmarkStart w:id="928" w:name="_Toc458158023"/>
      <w:bookmarkStart w:id="929" w:name="_Toc465876806"/>
      <w:bookmarkStart w:id="930" w:name="_Toc466024073"/>
      <w:bookmarkStart w:id="931" w:name="_Toc468790081"/>
      <w:bookmarkStart w:id="932" w:name="_Toc468794913"/>
      <w:bookmarkStart w:id="933" w:name="_Toc468795221"/>
      <w:r>
        <w:rPr>
          <w:noProof/>
        </w:rPr>
        <w:t>Information Leakage to Third party components</w:t>
      </w:r>
      <w:bookmarkEnd w:id="926"/>
      <w:bookmarkEnd w:id="928"/>
      <w:bookmarkEnd w:id="929"/>
      <w:bookmarkEnd w:id="930"/>
      <w:bookmarkEnd w:id="931"/>
      <w:bookmarkEnd w:id="932"/>
      <w:bookmarkEnd w:id="933"/>
    </w:p>
    <w:p w:rsidR="0077224F" w:rsidRDefault="00D973EE">
      <w:pPr>
        <w:rPr>
          <w:noProof/>
        </w:rPr>
      </w:pPr>
      <w:r>
        <w:rPr>
          <w:noProof/>
        </w:rPr>
        <w:t>In order to provide their services/functionali</w:t>
      </w:r>
      <w:r>
        <w:rPr>
          <w:noProof/>
        </w:rPr>
        <w:t xml:space="preserve">ties, some web applications run third party components and applications that get access to user’s personal data. This is the case, for example, of some Facebook’s third-party apps (online games) reported in </w:t>
      </w:r>
      <w:r>
        <w:rPr>
          <w:noProof/>
        </w:rPr>
        <w:fldChar w:fldCharType="begin"/>
      </w:r>
      <w:r>
        <w:rPr>
          <w:noProof/>
        </w:rPr>
        <w:instrText xml:space="preserve"> ADDIN ZOTERO_ITEM CSL_CITATION {"citationID":"2i</w:instrText>
      </w:r>
      <w:r>
        <w:rPr>
          <w:noProof/>
        </w:rPr>
        <w:instrText>qan6687b","properties":{"formattedCitation":"[30]","plainCitation":"[30]"},"citationItems":[{"id":328,"uris":["http://zotero.org/groups/583788/items/69VF3DWG"],"uri":["http://zotero.org/groups/583788/items/69VF3DWG"],"itemData":{"id":328,"type":"article-ne</w:instrText>
      </w:r>
      <w:r>
        <w:rPr>
          <w:noProof/>
        </w:rPr>
        <w:instrText>wspaper","title":"Facebook in Privacy Breach","container-title":"Wall Street Journal","section":"Tech","source":"Wall Street Journal","abstract":"Many of the most popular applications on the social-networking site Facebook have been transmitting identifyin</w:instrText>
      </w:r>
      <w:r>
        <w:rPr>
          <w:noProof/>
        </w:rPr>
        <w:instrText>g information—in effect, providing access to people's names and, in some cases, their friends' names—to dozens of advertising and Internet tracking companies, a Wall Street Journal investigation has found.","URL":"http://www.wsj.com/articles/SB100014240527</w:instrText>
      </w:r>
      <w:r>
        <w:rPr>
          <w:noProof/>
        </w:rPr>
        <w:instrText>02304772804575558484075236968","ISSN":"0099-9660","author":[{"family":"Fowler","given":"Emily Steel And Geoffrey A."}],"issued":{"date-parts":[["2010",10,18]]},"accessed":{"date-parts":[["2016",7,25]]}}}],"schema":"https://github.com/citation-style-languag</w:instrText>
      </w:r>
      <w:r>
        <w:rPr>
          <w:noProof/>
        </w:rPr>
        <w:instrText xml:space="preserve">e/schema/raw/master/csl-citation.json"} </w:instrText>
      </w:r>
      <w:r>
        <w:rPr>
          <w:noProof/>
        </w:rPr>
        <w:fldChar w:fldCharType="separate"/>
      </w:r>
      <w:r>
        <w:rPr>
          <w:noProof/>
        </w:rPr>
        <w:t>[30]</w:t>
      </w:r>
      <w:r>
        <w:rPr>
          <w:noProof/>
        </w:rPr>
        <w:fldChar w:fldCharType="end"/>
      </w:r>
      <w:r>
        <w:rPr>
          <w:noProof/>
        </w:rPr>
        <w:t>, which were able to retrieve the Facebook user ID (useful to identify the user along with some private information) and send it to tracking and ad companies.</w:t>
      </w:r>
    </w:p>
    <w:p w:rsidR="0077224F" w:rsidRDefault="00D973EE">
      <w:pPr>
        <w:rPr>
          <w:noProof/>
        </w:rPr>
      </w:pPr>
      <w:r>
        <w:rPr>
          <w:noProof/>
        </w:rPr>
        <w:t xml:space="preserve">Some frameworks and architectures mostly based on </w:t>
      </w:r>
      <w:r>
        <w:rPr>
          <w:noProof/>
        </w:rPr>
        <w:t xml:space="preserve">information flow control have been proposed in literature. The </w:t>
      </w:r>
      <w:r>
        <w:rPr>
          <w:i/>
          <w:noProof/>
        </w:rPr>
        <w:t>Logical attestation</w:t>
      </w:r>
      <w:r>
        <w:rPr>
          <w:noProof/>
        </w:rPr>
        <w:t xml:space="preserve"> framework </w:t>
      </w:r>
      <w:r>
        <w:rPr>
          <w:noProof/>
        </w:rPr>
        <w:fldChar w:fldCharType="begin"/>
      </w:r>
      <w:r>
        <w:rPr>
          <w:noProof/>
        </w:rPr>
        <w:instrText xml:space="preserve"> ADDIN ZOTERO_ITEM CSL_CITATION {"citationID":"2e6l61a4qd","properties":{"formattedCitation":"[31]","plainCitation":"[31]"},"citationItems":[{"id":329,"uris":["htt</w:instrText>
      </w:r>
      <w:r>
        <w:rPr>
          <w:noProof/>
        </w:rPr>
        <w:instrText>p://zotero.org/groups/583788/items/SPABFTVI"],"uri":["http://zotero.org/groups/583788/items/SPABFTVI"],"itemData":{"id":329,"type":"paper-conference","title":"Logical Attestation: An Authorization Architecture for Trustworthy Computing","container-title":"</w:instrText>
      </w:r>
      <w:r>
        <w:rPr>
          <w:noProof/>
        </w:rPr>
        <w:instrText>Proceedings of the Twenty-Third ACM Symposium on Operating Systems Principles","collection-title":"SOSP '11","publisher":"ACM","publisher-place":"New York, NY, USA","page":"249–264","source":"ACM Digital Library","event-place":"New York, NY, USA","abstract</w:instrText>
      </w:r>
      <w:r>
        <w:rPr>
          <w:noProof/>
        </w:rPr>
        <w:instrText>":"This paper describes the design and implementation of a new operating system authorization architecture to support trustworthy computing. Called logical attestation, this architecture provides a sound framework for reasoning about run time behavior of a</w:instrText>
      </w:r>
      <w:r>
        <w:rPr>
          <w:noProof/>
        </w:rPr>
        <w:instrText xml:space="preserve">pplications. Logical attestation is based on attributable, unforgeable statements about program properties, expressed in a logic. These statements are suitable for mechanical processing, proof construction, and verification; they can serve as credentials, </w:instrText>
      </w:r>
      <w:r>
        <w:rPr>
          <w:noProof/>
        </w:rPr>
        <w:instrText>support authorization based on expressive authorization policies, and enable remote principals to trust software components without restricting the local user's choice of binary implementations. We have implemented logical attestation in a new operating sy</w:instrText>
      </w:r>
      <w:r>
        <w:rPr>
          <w:noProof/>
        </w:rPr>
        <w:instrText>stem called the Nexus. The Nexus executes natively on x86 platforms equipped with secure coprocessors. It supports both native Linux applications and uses logical attestation to support new trustworthy-computing applications. When deployed on a trustworthy</w:instrText>
      </w:r>
      <w:r>
        <w:rPr>
          <w:noProof/>
        </w:rPr>
        <w:instrText xml:space="preserve"> cloud-computing stack, logical attestation is efficient, achieves high-performance, and can run applications that provide qualitative guarantees not possible with existing modes of attestation.","URL":"http://doi.acm.org/10.1145/2043556.2043580","DOI":"10</w:instrText>
      </w:r>
      <w:r>
        <w:rPr>
          <w:noProof/>
        </w:rPr>
        <w:instrText>.1145/2043556.2043580","ISBN":"978-1-4503-0977-6","shortTitle":"Logical Attestation","author":[{"family":"Sirer","given":"Emin Gün"},{"family":"Bruijn","given":"Willem","non-dropping-particle":"de"},{"family":"Reynolds","given":"Patrick"},{"family":"Shieh"</w:instrText>
      </w:r>
      <w:r>
        <w:rPr>
          <w:noProof/>
        </w:rPr>
        <w:instrText>,"given":"Alan"},{"family":"Walsh","given":"Kevin"},{"family":"Williams","given":"Dan"},{"family":"Schneider","given":"Fred B."}],"issued":{"date-parts":[["2011"]]},"accessed":{"date-parts":[["2016",7,25]]}}}],"schema":"https://github.com/citation-style-la</w:instrText>
      </w:r>
      <w:r>
        <w:rPr>
          <w:noProof/>
        </w:rPr>
        <w:instrText xml:space="preserve">nguage/schema/raw/master/csl-citation.json"} </w:instrText>
      </w:r>
      <w:r>
        <w:rPr>
          <w:noProof/>
        </w:rPr>
        <w:fldChar w:fldCharType="separate"/>
      </w:r>
      <w:r>
        <w:rPr>
          <w:noProof/>
        </w:rPr>
        <w:t>[31]</w:t>
      </w:r>
      <w:r>
        <w:rPr>
          <w:noProof/>
        </w:rPr>
        <w:fldChar w:fldCharType="end"/>
      </w:r>
      <w:r>
        <w:rPr>
          <w:noProof/>
        </w:rPr>
        <w:t xml:space="preserve"> (implemented in an operating system called Nexus) allows to specify security policies that all the server-side components have to follow. </w:t>
      </w:r>
      <w:r>
        <w:rPr>
          <w:i/>
          <w:noProof/>
        </w:rPr>
        <w:t>Hails</w:t>
      </w:r>
      <w:r>
        <w:rPr>
          <w:noProof/>
        </w:rPr>
        <w:t xml:space="preserve"> </w:t>
      </w:r>
      <w:r>
        <w:rPr>
          <w:noProof/>
        </w:rPr>
        <w:fldChar w:fldCharType="begin"/>
      </w:r>
      <w:r>
        <w:rPr>
          <w:noProof/>
        </w:rPr>
        <w:instrText xml:space="preserve"> ADDIN ZOTERO_ITEM CSL_CITATION {"citationID":"2lqm1lj77m",</w:instrText>
      </w:r>
      <w:r>
        <w:rPr>
          <w:noProof/>
        </w:rPr>
        <w:instrText>"properties":{"formattedCitation":"[32]","plainCitation":"[32]"},"citationItems":[{"id":330,"uris":["http://zotero.org/groups/583788/items/R7CNCWZS"],"uri":["http://zotero.org/groups/583788/items/R7CNCWZS"],"itemData":{"id":330,"type":"paper-conference","t</w:instrText>
      </w:r>
      <w:r>
        <w:rPr>
          <w:noProof/>
        </w:rPr>
        <w:instrText>itle":"Hails: Protecting Data Privacy in Untrusted Web Applications","container-title":"Proceedings of the 10th USENIX Conference on Operating Systems Design and Implementation","collection-title":"OSDI'12","publisher":"USENIX Association","publisher-place</w:instrText>
      </w:r>
      <w:r>
        <w:rPr>
          <w:noProof/>
        </w:rPr>
        <w:instrText>":"Berkeley, CA, USA","page":"47–60","source":"ACM Digital Library","event-place":"Berkeley, CA, USA","abstract":"Modern extensible web platforms like Facebook and Yammer depend on third-party software to offer a rich experience to their users. Unfortunate</w:instrText>
      </w:r>
      <w:r>
        <w:rPr>
          <w:noProof/>
        </w:rPr>
        <w:instrText>ly, users running a third-party \"app\" have little control over what it does with their private data. Today's platforms offer only ad-hoc constraints on app behavior, leaving users an unfortunate trade-off between convenience and privacy. A principled app</w:instrText>
      </w:r>
      <w:r>
        <w:rPr>
          <w:noProof/>
        </w:rPr>
        <w:instrText>roach to code confinement could allow the integration of untrusted codewhile enforcing flexible, end-to-end policies on data access. This paper presents a new web framework, Hails, that adds mandatory access control and a declarative policy language to the</w:instrText>
      </w:r>
      <w:r>
        <w:rPr>
          <w:noProof/>
        </w:rPr>
        <w:instrText xml:space="preserve"> familiar MVC architecture. We demonstrate the flexibility of Hails through GitStar.com, a code-hosting website that enforces robust privacy policies on user data even while allowing untrusted apps to deliver extended features to users.","URL":"http://dl.a</w:instrText>
      </w:r>
      <w:r>
        <w:rPr>
          <w:noProof/>
        </w:rPr>
        <w:instrText>cm.org/citation.cfm?id=2387880.2387886","ISBN":"978-1-931971-96-6","shortTitle":"Hails","author":[{"family":"Giffin","given":"Daniel B."},{"family":"Levy","given":"Amit"},{"family":"Stefan","given":"Deian"},{"family":"Terei","given":"David"},{"family":"Maz</w:instrText>
      </w:r>
      <w:r>
        <w:rPr>
          <w:noProof/>
        </w:rPr>
        <w:instrText>ières","given":"David"},{"family":"Mitchell","given":"John C."},{"family":"Russo","given":"Alejandro"}],"issued":{"date-parts":[["2012"]]},"accessed":{"date-parts":[["2016",7,25]]}}}],"schema":"https://github.com/citation-style-language/schema/raw/master/c</w:instrText>
      </w:r>
      <w:r>
        <w:rPr>
          <w:noProof/>
        </w:rPr>
        <w:instrText xml:space="preserve">sl-citation.json"} </w:instrText>
      </w:r>
      <w:r>
        <w:rPr>
          <w:noProof/>
        </w:rPr>
        <w:fldChar w:fldCharType="separate"/>
      </w:r>
      <w:r>
        <w:rPr>
          <w:noProof/>
        </w:rPr>
        <w:t>[32]</w:t>
      </w:r>
      <w:r>
        <w:rPr>
          <w:noProof/>
        </w:rPr>
        <w:fldChar w:fldCharType="end"/>
      </w:r>
      <w:r>
        <w:rPr>
          <w:noProof/>
        </w:rPr>
        <w:t xml:space="preserve"> is a framework designed to build web applications where untrusted components are used.</w:t>
      </w:r>
    </w:p>
    <w:p w:rsidR="0077224F" w:rsidRDefault="00D973EE">
      <w:pPr>
        <w:rPr>
          <w:noProof/>
        </w:rPr>
      </w:pPr>
      <w:r>
        <w:rPr>
          <w:noProof/>
        </w:rPr>
        <w:t xml:space="preserve">The studies mentioned above represent a good example on how to protect from the leakage of information to third parties. However, our </w:t>
      </w:r>
      <w:r>
        <w:rPr>
          <w:b/>
          <w:noProof/>
        </w:rPr>
        <w:t>recommen</w:t>
      </w:r>
      <w:r>
        <w:rPr>
          <w:b/>
          <w:noProof/>
        </w:rPr>
        <w:t>dation</w:t>
      </w:r>
      <w:r>
        <w:rPr>
          <w:noProof/>
        </w:rPr>
        <w:t>, as already suggested in section 5.1, is that communications with third partied should initially be blocked by default and, according to the sensitiveness of the information requested, the user, properly informed, can choose if accessing the externa</w:t>
      </w:r>
      <w:r>
        <w:rPr>
          <w:noProof/>
        </w:rPr>
        <w:t>l service and release this information or not. Moreover, the use of certain information should be justified (e.g., an online game might not really need a strong identifier like the Facebook user ID).</w:t>
      </w:r>
    </w:p>
    <w:p w:rsidR="0077224F" w:rsidRDefault="00D973EE">
      <w:pPr>
        <w:pStyle w:val="Heading2"/>
        <w:rPr>
          <w:noProof/>
        </w:rPr>
      </w:pPr>
      <w:bookmarkStart w:id="934" w:name="_Toc453341755"/>
      <w:bookmarkStart w:id="935" w:name="_Toc458158024"/>
      <w:bookmarkStart w:id="936" w:name="_Toc465876807"/>
      <w:bookmarkStart w:id="937" w:name="_Toc466024074"/>
      <w:bookmarkStart w:id="938" w:name="_Toc468790082"/>
      <w:bookmarkStart w:id="939" w:name="_Toc468794914"/>
      <w:bookmarkStart w:id="940" w:name="_Toc468795222"/>
      <w:r>
        <w:rPr>
          <w:noProof/>
        </w:rPr>
        <w:t>Data Mining and Correlation</w:t>
      </w:r>
      <w:bookmarkEnd w:id="934"/>
      <w:bookmarkEnd w:id="935"/>
      <w:bookmarkEnd w:id="936"/>
      <w:bookmarkEnd w:id="937"/>
      <w:bookmarkEnd w:id="938"/>
      <w:bookmarkEnd w:id="939"/>
      <w:bookmarkEnd w:id="940"/>
    </w:p>
    <w:p w:rsidR="0077224F" w:rsidRDefault="00D973EE">
      <w:pPr>
        <w:rPr>
          <w:noProof/>
        </w:rPr>
      </w:pPr>
      <w:r>
        <w:rPr>
          <w:noProof/>
        </w:rPr>
        <w:t>The collection of user’s dat</w:t>
      </w:r>
      <w:r>
        <w:rPr>
          <w:noProof/>
        </w:rPr>
        <w:t>a done using the different tools and techniques mentioned in the previous subsections (e.g., ad trackers, cookies, etc.) produces a huge amount of information. In order to make use of them, mainly for commercial purposes, companies apply data mining techni</w:t>
      </w:r>
      <w:r>
        <w:rPr>
          <w:noProof/>
        </w:rPr>
        <w:t>ques to discover useful or hidden patterns and to predict user’s behaviour. The use of these tools, which is actually the data processing part, can allow to infer sensitive information even from data that apparently do not contain any private fact, especia</w:t>
      </w:r>
      <w:r>
        <w:rPr>
          <w:noProof/>
        </w:rPr>
        <w:t>lly when those are correlated. The purpose of this section then, is to show how powerful these tools are, putting the accent on the importance of limiting the collection of data that can lead to privacy invasions.</w:t>
      </w:r>
    </w:p>
    <w:p w:rsidR="0077224F" w:rsidRDefault="00D973EE">
      <w:pPr>
        <w:rPr>
          <w:noProof/>
        </w:rPr>
      </w:pPr>
      <w:r>
        <w:rPr>
          <w:noProof/>
        </w:rPr>
        <w:t>Actually, there are companies like for ins</w:t>
      </w:r>
      <w:r>
        <w:rPr>
          <w:noProof/>
        </w:rPr>
        <w:t xml:space="preserve">tance the ones cited in </w:t>
      </w:r>
      <w:r>
        <w:rPr>
          <w:noProof/>
        </w:rPr>
        <w:fldChar w:fldCharType="begin"/>
      </w:r>
      <w:r>
        <w:rPr>
          <w:noProof/>
        </w:rPr>
        <w:instrText xml:space="preserve"> ADDIN ZOTERO_ITEM CSL_CITATION {"citationID":"1qbvol1pt9","properties":{"formattedCitation":"[33]","plainCitation":"[33]"},"citationItems":[{"id":331,"uris":["http://zotero.org/groups/583788/items/KDSSI8G4"],"uri":["http://zotero.o</w:instrText>
      </w:r>
      <w:r>
        <w:rPr>
          <w:noProof/>
        </w:rPr>
        <w:instrText>rg/groups/583788/items/KDSSI8G4"],"itemData":{"id":331,"type":"article-magazine","title":"Data Mining: How Companies Now Know Everything About You","container-title":"Time","source":"content.time.com","abstract":"Every detail of your life — what you buy, w</w:instrText>
      </w:r>
      <w:r>
        <w:rPr>
          <w:noProof/>
        </w:rPr>
        <w:instrText>here you go, whom you love — is being extracted from the Internet, bundled and traded by data-mining companies. What's in it for you?","URL":"http://content.time.com/time/magazine/article/0,9171,2058205,00.html","ISSN":"0040-781X","shortTitle":"Data Mining</w:instrText>
      </w:r>
      <w:r>
        <w:rPr>
          <w:noProof/>
        </w:rPr>
        <w:instrText xml:space="preserve">","author":[{"family":"Stein","given":"Joel"}],"issued":{"date-parts":[["2011",3,10]]},"accessed":{"date-parts":[["2016",7,25]]}}}],"schema":"https://github.com/citation-style-language/schema/raw/master/csl-citation.json"} </w:instrText>
      </w:r>
      <w:r>
        <w:rPr>
          <w:noProof/>
        </w:rPr>
        <w:fldChar w:fldCharType="separate"/>
      </w:r>
      <w:r>
        <w:rPr>
          <w:noProof/>
        </w:rPr>
        <w:t>[33]</w:t>
      </w:r>
      <w:r>
        <w:rPr>
          <w:noProof/>
        </w:rPr>
        <w:fldChar w:fldCharType="end"/>
      </w:r>
      <w:r>
        <w:rPr>
          <w:noProof/>
        </w:rPr>
        <w:t>, which are specialized on</w:t>
      </w:r>
      <w:r>
        <w:rPr>
          <w:noProof/>
        </w:rPr>
        <w:t xml:space="preserve"> data mining for digital marketing and provide third party services for analysing those data. Data mining for e-commerce mainly targets the following two points:</w:t>
      </w:r>
    </w:p>
    <w:p w:rsidR="0077224F" w:rsidRDefault="00D973EE">
      <w:pPr>
        <w:pStyle w:val="ListParagraph"/>
        <w:numPr>
          <w:ilvl w:val="0"/>
          <w:numId w:val="20"/>
        </w:numPr>
        <w:spacing w:before="0"/>
        <w:rPr>
          <w:rFonts w:ascii="Verdana" w:hAnsi="Verdana"/>
          <w:noProof/>
          <w:sz w:val="20"/>
        </w:rPr>
      </w:pPr>
      <w:r>
        <w:rPr>
          <w:rFonts w:ascii="Verdana" w:hAnsi="Verdana"/>
          <w:noProof/>
          <w:sz w:val="20"/>
        </w:rPr>
        <w:t>Customer profiling: based on the purchases done, e-commerce platforms try to predict the futur</w:t>
      </w:r>
      <w:r>
        <w:rPr>
          <w:rFonts w:ascii="Verdana" w:hAnsi="Verdana"/>
          <w:noProof/>
          <w:sz w:val="20"/>
        </w:rPr>
        <w:t>e needs of the customer and propose targeted offers;</w:t>
      </w:r>
    </w:p>
    <w:p w:rsidR="0077224F" w:rsidRDefault="00D973EE">
      <w:pPr>
        <w:pStyle w:val="ListParagraph"/>
        <w:numPr>
          <w:ilvl w:val="0"/>
          <w:numId w:val="20"/>
        </w:numPr>
        <w:spacing w:before="0"/>
        <w:rPr>
          <w:rFonts w:ascii="Verdana" w:hAnsi="Verdana"/>
          <w:noProof/>
          <w:sz w:val="20"/>
        </w:rPr>
      </w:pPr>
      <w:r>
        <w:rPr>
          <w:rFonts w:ascii="Verdana" w:hAnsi="Verdana"/>
          <w:noProof/>
          <w:sz w:val="20"/>
        </w:rPr>
        <w:t>Customer behaviour analysis; to make the e-commerce platform more usable and then successful, users’ path traversals are analysed in order to predict future traversal and load the appropriated content in</w:t>
      </w:r>
      <w:r>
        <w:rPr>
          <w:rFonts w:ascii="Verdana" w:hAnsi="Verdana"/>
          <w:noProof/>
          <w:sz w:val="20"/>
        </w:rPr>
        <w:t xml:space="preserve"> advance, resulting in faster browsing;</w:t>
      </w:r>
    </w:p>
    <w:p w:rsidR="0077224F" w:rsidRDefault="00D973EE">
      <w:pPr>
        <w:rPr>
          <w:noProof/>
        </w:rPr>
      </w:pPr>
      <w:r>
        <w:rPr>
          <w:noProof/>
        </w:rPr>
        <w:t>The result of these activities is a personalization of the platform for each customer and a recommendation system that targets individual needs and preferences. Although most of this information could be processed in</w:t>
      </w:r>
      <w:r>
        <w:rPr>
          <w:noProof/>
        </w:rPr>
        <w:t xml:space="preserve"> an anonymized form, threats for user’s privacy come when information are intentionally or unintentionally linked to real identities instead of being just a summary of habits or statistics. For example, the correlation of information coming from different </w:t>
      </w:r>
      <w:r>
        <w:rPr>
          <w:noProof/>
        </w:rPr>
        <w:t>sources, allows to progressively reduce the set of possibilities and, potentially, to infer the identity of a real person (e.g., gender, age, zip code, owned car and so on). On the other side, some of the companies specialized on these activities, have bee</w:t>
      </w:r>
      <w:r>
        <w:rPr>
          <w:noProof/>
        </w:rPr>
        <w:t xml:space="preserve">n criticized about intentional link of information and persons </w:t>
      </w:r>
      <w:r>
        <w:rPr>
          <w:noProof/>
        </w:rPr>
        <w:fldChar w:fldCharType="begin"/>
      </w:r>
      <w:r>
        <w:rPr>
          <w:noProof/>
        </w:rPr>
        <w:instrText xml:space="preserve"> ADDIN ZOTERO_ITEM CSL_CITATION {"citationID":"28kc6p3aqa","properties":{"formattedCitation":"[34]","plainCitation":"[34]"},"citationItems":[{"id":332,"uris":["http://zotero.org/groups/583788/i</w:instrText>
      </w:r>
      <w:r>
        <w:rPr>
          <w:noProof/>
        </w:rPr>
        <w:instrText>tems/BCV4PFWU"],"uri":["http://zotero.org/groups/583788/items/BCV4PFWU"],"itemData":{"id":332,"type":"webpage","title":"The Data Brokers: Selling your personal information","abstract":"Steve Kroft investigates the multibillion dollar industry that collects</w:instrText>
      </w:r>
      <w:r>
        <w:rPr>
          <w:noProof/>
        </w:rPr>
        <w:instrText>, analyzes and sells the personal information of millions of Americans with virtually no oversight","URL":"http://www.cbsnews.com/news/the-data-brokers-selling-your-personal-information/","shortTitle":"The Data Brokers","accessed":{"date-parts":[["2016",7,</w:instrText>
      </w:r>
      <w:r>
        <w:rPr>
          <w:noProof/>
        </w:rPr>
        <w:instrText xml:space="preserve">25]]}}}],"schema":"https://github.com/citation-style-language/schema/raw/master/csl-citation.json"} </w:instrText>
      </w:r>
      <w:r>
        <w:rPr>
          <w:noProof/>
        </w:rPr>
        <w:fldChar w:fldCharType="separate"/>
      </w:r>
      <w:r>
        <w:rPr>
          <w:noProof/>
        </w:rPr>
        <w:t>[34]</w:t>
      </w:r>
      <w:r>
        <w:rPr>
          <w:noProof/>
        </w:rPr>
        <w:fldChar w:fldCharType="end"/>
      </w:r>
      <w:r>
        <w:rPr>
          <w:noProof/>
        </w:rPr>
        <w:t>, leading to individual dossiers containing any kind of personal information ready to be sold to other companies or individuals interested in it.</w:t>
      </w:r>
    </w:p>
    <w:p w:rsidR="0077224F" w:rsidRDefault="00D973EE">
      <w:pPr>
        <w:rPr>
          <w:noProof/>
        </w:rPr>
      </w:pPr>
      <w:r>
        <w:rPr>
          <w:noProof/>
        </w:rPr>
        <w:t>A s</w:t>
      </w:r>
      <w:r>
        <w:rPr>
          <w:noProof/>
        </w:rPr>
        <w:t xml:space="preserve">tudy published in </w:t>
      </w:r>
      <w:r>
        <w:rPr>
          <w:noProof/>
        </w:rPr>
        <w:fldChar w:fldCharType="begin"/>
      </w:r>
      <w:r>
        <w:rPr>
          <w:noProof/>
        </w:rPr>
        <w:instrText xml:space="preserve"> ADDIN ZOTERO_ITEM CSL_CITATION {"citationID":"rosokqle2","properties":{"formattedCitation":"[35]","plainCitation":"[35]"},"citationItems":[{"id":333,"uris":["http://zotero.org/groups/583788/items/8XFM9WTD"],"uri":["http://zotero.org/grou</w:instrText>
      </w:r>
      <w:r>
        <w:rPr>
          <w:noProof/>
        </w:rPr>
        <w:instrText>ps/583788/items/8XFM9WTD"],"itemData":{"id":333,"type":"paper-conference","title":"What's in a Name?: An Unsupervised Approach to Link Users Across Communities","container-title":"Proceedings of the Sixth ACM International Conference on Web Search and Data</w:instrText>
      </w:r>
      <w:r>
        <w:rPr>
          <w:noProof/>
        </w:rPr>
        <w:instrText xml:space="preserve"> Mining","collection-title":"WSDM '13","publisher":"ACM","publisher-place":"New York, NY, USA","page":"495–504","source":"ACM Digital Library","event-place":"New York, NY, USA","abstract":"In this paper, we consider the problem of linking users across mult</w:instrText>
      </w:r>
      <w:r>
        <w:rPr>
          <w:noProof/>
        </w:rPr>
        <w:instrText xml:space="preserve">iple online communities. Specifically, we focus on the alias-disambiguation step of this user linking task, which is meant to differentiate users with the same usernames. We start quantitatively analyzing the importance of the alias-disambiguation step by </w:instrText>
      </w:r>
      <w:r>
        <w:rPr>
          <w:noProof/>
        </w:rPr>
        <w:instrText>conducting a survey on 153 volunteers and an experimental analysis on a large dataset of About.me (75,472 users). The analysis shows that the alias-disambiguation solution can address a major part of the user linking problem in terms of the coverage of tru</w:instrText>
      </w:r>
      <w:r>
        <w:rPr>
          <w:noProof/>
        </w:rPr>
        <w:instrText>e pairwise decisions (46.8%). To the best of our knowledge, this is the first study on human behaviors with regards to the usages of online usernames. We then cast the alias-disambiguation step as a pairwise classification problem and propose a novel unsup</w:instrText>
      </w:r>
      <w:r>
        <w:rPr>
          <w:noProof/>
        </w:rPr>
        <w:instrText xml:space="preserve">ervised approach. The key idea of our approach is to automatically label training instances based on two observations: (a) rare usernames are likely owned by a single natural person, e.g. pennystar88 as a positive instance; (b) common usernames are likely </w:instrText>
      </w:r>
      <w:r>
        <w:rPr>
          <w:noProof/>
        </w:rPr>
        <w:instrText>owned by different natural persons, e.g. tank as a negative instance. We propose using the n-gram probabilities of usernames to estimate the rareness or commonness of usernames. Moreover, these two observations are verified by using the dataset of Yahoo! A</w:instrText>
      </w:r>
      <w:r>
        <w:rPr>
          <w:noProof/>
        </w:rPr>
        <w:instrText xml:space="preserve">nswers. The empirical evaluations on 53 forums verify: (a) the effectiveness of the classifiers with the automatically generated training data and (b) that the rareness and commonness of usernames can help user linking. We also analyze the cases where the </w:instrText>
      </w:r>
      <w:r>
        <w:rPr>
          <w:noProof/>
        </w:rPr>
        <w:instrText>classifiers fail.","URL":"http://doi.acm.org/10.1145/2433396.2433457","DOI":"10.1145/2433396.2433457","ISBN":"978-1-4503-1869-3","shortTitle":"What's in a Name?","author":[{"family":"Liu","given":"Jing"},{"family":"Zhang","given":"Fan"},{"family":"Song","g</w:instrText>
      </w:r>
      <w:r>
        <w:rPr>
          <w:noProof/>
        </w:rPr>
        <w:instrText>iven":"Xinying"},{"family":"Song","given":"Young-In"},{"family":"Lin","given":"Chin-Yew"},{"family":"Hon","given":"Hsiao-Wuen"}],"issued":{"date-parts":[["2013"]]},"accessed":{"date-parts":[["2016",7,25]]}}}],"schema":"https://github.com/citation-style-lan</w:instrText>
      </w:r>
      <w:r>
        <w:rPr>
          <w:noProof/>
        </w:rPr>
        <w:instrText xml:space="preserve">guage/schema/raw/master/csl-citation.json"} </w:instrText>
      </w:r>
      <w:r>
        <w:rPr>
          <w:noProof/>
        </w:rPr>
        <w:fldChar w:fldCharType="separate"/>
      </w:r>
      <w:r>
        <w:rPr>
          <w:noProof/>
        </w:rPr>
        <w:t>[35]</w:t>
      </w:r>
      <w:r>
        <w:rPr>
          <w:noProof/>
        </w:rPr>
        <w:fldChar w:fldCharType="end"/>
      </w:r>
      <w:r>
        <w:rPr>
          <w:noProof/>
        </w:rPr>
        <w:t xml:space="preserve"> showed that using some data mining techniques it was even possible to differentiate users with the same usernames (alias-disambiguation) across different online platforms in more than 46% of the cases. Th</w:t>
      </w:r>
      <w:r>
        <w:rPr>
          <w:noProof/>
        </w:rPr>
        <w:t>is means that the correlation between user’s data left in various platforms can allow distinguishing different identities even if the same alias was used. Consequently, the use of pseudonyms is not always effective to protect against advanced data mining.</w:t>
      </w:r>
    </w:p>
    <w:p w:rsidR="0077224F" w:rsidRDefault="00D973EE">
      <w:pPr>
        <w:rPr>
          <w:noProof/>
        </w:rPr>
      </w:pPr>
      <w:r>
        <w:rPr>
          <w:noProof/>
        </w:rPr>
        <w:t xml:space="preserve">Correlation and link to real identities becomes easier or automatic when collection of data and tracking are done using a platform in which identities are unequivocally established. For example, Facebook in 2012 bought the data mining company Datalogix </w:t>
      </w:r>
      <w:r>
        <w:rPr>
          <w:noProof/>
        </w:rPr>
        <w:fldChar w:fldCharType="begin"/>
      </w:r>
      <w:r>
        <w:rPr>
          <w:noProof/>
        </w:rPr>
        <w:instrText xml:space="preserve"> AD</w:instrText>
      </w:r>
      <w:r>
        <w:rPr>
          <w:noProof/>
        </w:rPr>
        <w:instrText>DIN ZOTERO_ITEM CSL_CITATION {"citationID":"k2b19cvn5","properties":{"formattedCitation":"[36]","plainCitation":"[36]"},"citationItems":[{"id":334,"uris":["http://zotero.org/groups/583788/items/QKQUDHHW"],"uri":["http://zotero.org/groups/583788/items/QKQUD</w:instrText>
      </w:r>
      <w:r>
        <w:rPr>
          <w:noProof/>
        </w:rPr>
        <w:instrText>HHW"],"itemData":{"id":334,"type":"webpage","title":"Facebook Now Tracks Consumers' Retail Purchases","container-title":"Mashable","abstract":"Facebook is tracking consumers' retail purchases to show advertisers that its ads actually work.","URL":"http://m</w:instrText>
      </w:r>
      <w:r>
        <w:rPr>
          <w:noProof/>
        </w:rPr>
        <w:instrText xml:space="preserve">ashable.com/2012/09/24/facebook-tracking-retail-purchases/","author":[{"family":"Wasserman","given":"Todd"}],"accessed":{"date-parts":[["2016",7,25]]}}}],"schema":"https://github.com/citation-style-language/schema/raw/master/csl-citation.json"} </w:instrText>
      </w:r>
      <w:r>
        <w:rPr>
          <w:noProof/>
        </w:rPr>
        <w:fldChar w:fldCharType="separate"/>
      </w:r>
      <w:r>
        <w:rPr>
          <w:noProof/>
        </w:rPr>
        <w:t>[36]</w:t>
      </w:r>
      <w:r>
        <w:rPr>
          <w:noProof/>
        </w:rPr>
        <w:fldChar w:fldCharType="end"/>
      </w:r>
      <w:r>
        <w:rPr>
          <w:noProof/>
        </w:rPr>
        <w:t>, wh</w:t>
      </w:r>
      <w:r>
        <w:rPr>
          <w:noProof/>
        </w:rPr>
        <w:t>ich tries to associate data coming from shopping loyalty cards to Facebook users in order to establish if a certain product was purchased after it’s advertisement on a Facebook page. The association is made quite easy and almost error free thanks to the de</w:t>
      </w:r>
      <w:r>
        <w:rPr>
          <w:noProof/>
        </w:rPr>
        <w:t xml:space="preserve">cision of Facebook to allow advertisers to match email addresses and phone numbers collected by them with Facebook profile’s data </w:t>
      </w:r>
      <w:r>
        <w:rPr>
          <w:noProof/>
        </w:rPr>
        <w:fldChar w:fldCharType="begin"/>
      </w:r>
      <w:r>
        <w:rPr>
          <w:noProof/>
        </w:rPr>
        <w:instrText xml:space="preserve"> ADDIN ZOTERO_ITEM CSL_CITATION {"citationID":"1kjojmt7jp","properties":{"formattedCitation":"[37]","plainCitation":"[37]"},"c</w:instrText>
      </w:r>
      <w:r>
        <w:rPr>
          <w:noProof/>
        </w:rPr>
        <w:instrText>itationItems":[{"id":335,"uris":["http://zotero.org/groups/583788/items/J78BXDTC"],"uri":["http://zotero.org/groups/583788/items/J78BXDTC"],"itemData":{"id":335,"type":"webpage","title":"In Pursuit of Revenue, Social Networks Ramp Up Ad Targeting","abstrac</w:instrText>
      </w:r>
      <w:r>
        <w:rPr>
          <w:noProof/>
        </w:rPr>
        <w:instrText>t":"While Twitter is playing it safe, Facebook is pushing the envelope with new tools that could bring the web equivalent of junk mail to your Facebook page.","URL":"http://adage.com/article/digital/pursuit-revenue-social-networks-ramp-ad-targeting/237096/</w:instrText>
      </w:r>
      <w:r>
        <w:rPr>
          <w:noProof/>
        </w:rPr>
        <w:instrText xml:space="preserve">","accessed":{"date-parts":[["2016",7,25]]}}}],"schema":"https://github.com/citation-style-language/schema/raw/master/csl-citation.json"} </w:instrText>
      </w:r>
      <w:r>
        <w:rPr>
          <w:noProof/>
        </w:rPr>
        <w:fldChar w:fldCharType="separate"/>
      </w:r>
      <w:r>
        <w:rPr>
          <w:noProof/>
        </w:rPr>
        <w:t>[37]</w:t>
      </w:r>
      <w:r>
        <w:rPr>
          <w:noProof/>
        </w:rPr>
        <w:fldChar w:fldCharType="end"/>
      </w:r>
      <w:r>
        <w:rPr>
          <w:noProof/>
        </w:rPr>
        <w:t>. Similarly, Twitter started a partnership with the WPP company to allow the analysis of Twitter data for bette</w:t>
      </w:r>
      <w:r>
        <w:rPr>
          <w:noProof/>
        </w:rPr>
        <w:t xml:space="preserve">r real time consumers behaviour monitoring </w:t>
      </w:r>
      <w:r>
        <w:rPr>
          <w:noProof/>
        </w:rPr>
        <w:fldChar w:fldCharType="begin"/>
      </w:r>
      <w:r>
        <w:rPr>
          <w:noProof/>
        </w:rPr>
        <w:instrText xml:space="preserve"> ADDIN ZOTERO_ITEM CSL_CITATION {"citationID":"1b6hsqaofc","properties":{"formattedCitation":"[38]","plainCitation":"[38]"},"citationItems":[{"id":336,"uris":["http://zotero.org/groups/583788/items/586AFB27"],"uri</w:instrText>
      </w:r>
      <w:r>
        <w:rPr>
          <w:noProof/>
        </w:rPr>
        <w:instrText>":["http://zotero.org/groups/583788/items/586AFB27"],"itemData":{"id":336,"type":"webpage","title":"Twitter and WPP announce global strategic partnership - WPP","URL":"http://www.wpp.com/wpp/press/2013/jun/06/twitter-and-wpp-announce-global-strategic-partn</w:instrText>
      </w:r>
      <w:r>
        <w:rPr>
          <w:noProof/>
        </w:rPr>
        <w:instrText xml:space="preserve">ership/","accessed":{"date-parts":[["2016",7,25]]}}}],"schema":"https://github.com/citation-style-language/schema/raw/master/csl-citation.json"} </w:instrText>
      </w:r>
      <w:r>
        <w:rPr>
          <w:noProof/>
        </w:rPr>
        <w:fldChar w:fldCharType="separate"/>
      </w:r>
      <w:r>
        <w:rPr>
          <w:noProof/>
        </w:rPr>
        <w:t>[38]</w:t>
      </w:r>
      <w:r>
        <w:rPr>
          <w:noProof/>
        </w:rPr>
        <w:fldChar w:fldCharType="end"/>
      </w:r>
      <w:r>
        <w:rPr>
          <w:noProof/>
        </w:rPr>
        <w:t>.</w:t>
      </w:r>
    </w:p>
    <w:p w:rsidR="0077224F" w:rsidRDefault="00D973EE">
      <w:pPr>
        <w:rPr>
          <w:noProof/>
        </w:rPr>
      </w:pPr>
      <w:r>
        <w:rPr>
          <w:noProof/>
        </w:rPr>
        <w:t>The most dangerous and invasive behaviour related to data mining activities is the link to real identi</w:t>
      </w:r>
      <w:r>
        <w:rPr>
          <w:noProof/>
        </w:rPr>
        <w:t xml:space="preserve">ties, which allows to say exactly what a certain person has done, bought and expressed in a certain period of time. This practice goes behind a simple market analysis, especially if it results in individual dossiers which are themselves put in the market. </w:t>
      </w:r>
      <w:r>
        <w:rPr>
          <w:noProof/>
        </w:rPr>
        <w:t xml:space="preserve">Our </w:t>
      </w:r>
      <w:r>
        <w:rPr>
          <w:b/>
          <w:noProof/>
        </w:rPr>
        <w:t>recommendation</w:t>
      </w:r>
      <w:r>
        <w:rPr>
          <w:noProof/>
        </w:rPr>
        <w:t xml:space="preserve"> in this case is to forbid this kind of link and associations and to only allow analysis of anonymized and obfuscated data.</w:t>
      </w:r>
    </w:p>
    <w:p w:rsidR="0077224F" w:rsidRDefault="00D973EE">
      <w:pPr>
        <w:pStyle w:val="Heading1"/>
        <w:keepLines/>
        <w:pageBreakBefore/>
        <w:spacing w:before="480" w:after="0" w:line="276" w:lineRule="auto"/>
        <w:rPr>
          <w:noProof/>
        </w:rPr>
      </w:pPr>
      <w:bookmarkStart w:id="941" w:name="_Toc465876808"/>
      <w:bookmarkStart w:id="942" w:name="_Toc466024075"/>
      <w:bookmarkStart w:id="943" w:name="_Toc468790083"/>
      <w:bookmarkStart w:id="944" w:name="_Toc468794915"/>
      <w:bookmarkStart w:id="945" w:name="_Toc468795223"/>
      <w:bookmarkEnd w:id="927"/>
      <w:r>
        <w:rPr>
          <w:noProof/>
        </w:rPr>
        <w:t>Conclusion</w:t>
      </w:r>
      <w:bookmarkEnd w:id="941"/>
      <w:bookmarkEnd w:id="942"/>
      <w:bookmarkEnd w:id="943"/>
      <w:bookmarkEnd w:id="944"/>
      <w:bookmarkEnd w:id="945"/>
    </w:p>
    <w:p w:rsidR="0077224F" w:rsidRDefault="00D973EE">
      <w:pPr>
        <w:rPr>
          <w:noProof/>
        </w:rPr>
      </w:pPr>
      <w:r>
        <w:rPr>
          <w:noProof/>
        </w:rPr>
        <w:t xml:space="preserve">All the cases analysed so far show that the major concern when speaking of privacy of </w:t>
      </w:r>
      <w:r>
        <w:rPr>
          <w:noProof/>
        </w:rPr>
        <w:t>telecommunication/online services is related to the lack of free will give to the users with regards to their sensitive information.</w:t>
      </w:r>
    </w:p>
    <w:p w:rsidR="0077224F" w:rsidRDefault="00D973EE">
      <w:pPr>
        <w:rPr>
          <w:noProof/>
        </w:rPr>
      </w:pPr>
      <w:r>
        <w:rPr>
          <w:noProof/>
        </w:rPr>
        <w:t>If we take as an example the cookies, we can undoubtedly claim that the previous implementation of the ePrivacy directive f</w:t>
      </w:r>
      <w:r>
        <w:rPr>
          <w:noProof/>
        </w:rPr>
        <w:t xml:space="preserve">ailed in promoting transparency and privacy awareness in digital services. The disclaimer users have to review and accept every time they visit a web-site or use a web-service, is an uninformative </w:t>
      </w:r>
      <w:r>
        <w:rPr>
          <w:i/>
          <w:noProof/>
        </w:rPr>
        <w:t>take-all or nothing</w:t>
      </w:r>
      <w:r>
        <w:rPr>
          <w:noProof/>
        </w:rPr>
        <w:t xml:space="preserve"> text which (1) doesn’t give any real ch</w:t>
      </w:r>
      <w:r>
        <w:rPr>
          <w:noProof/>
        </w:rPr>
        <w:t>oice to the end-user and (2) doesn’t provide any effective information about the type and the use of information that is gathered. In practical means, a good informative initiative has been transformed into a useless and cumbersome additional clicking step</w:t>
      </w:r>
      <w:r>
        <w:rPr>
          <w:noProof/>
        </w:rPr>
        <w:t xml:space="preserve"> without any real benefit for the end-user.</w:t>
      </w:r>
    </w:p>
    <w:p w:rsidR="0077224F" w:rsidRDefault="00D973EE">
      <w:pPr>
        <w:rPr>
          <w:noProof/>
        </w:rPr>
      </w:pPr>
      <w:r>
        <w:rPr>
          <w:noProof/>
        </w:rPr>
        <w:t>Hence, the identification of a new, efficient, and effective way to give back the control of personal information to the end-user is needed, and the review of the ePrivacy directive is the best occasion to elabor</w:t>
      </w:r>
      <w:r>
        <w:rPr>
          <w:noProof/>
        </w:rPr>
        <w:t>ate on this challenge.</w:t>
      </w:r>
    </w:p>
    <w:p w:rsidR="0077224F" w:rsidRDefault="00D973EE">
      <w:pPr>
        <w:rPr>
          <w:noProof/>
        </w:rPr>
      </w:pPr>
      <w:r>
        <w:rPr>
          <w:noProof/>
        </w:rPr>
        <w:t>The problem is in a way not trivial due to the fact that even if formally the concept of privacy has a clear definition, in practice, it is completely subjective, linked to the cultural background, to the moment in time when we’re ac</w:t>
      </w:r>
      <w:r>
        <w:rPr>
          <w:noProof/>
        </w:rPr>
        <w:t>cessing a service, to the mood, the place and many other variables. For example, is the ID on my phone sensitive information which shouldn’t be disclosed? According to the general definition of privacy and to an opinion of article 29 working party every ID</w:t>
      </w:r>
      <w:r>
        <w:rPr>
          <w:noProof/>
        </w:rPr>
        <w:t xml:space="preserve"> is sensitive information hence falling under privacy regulations. However, it is also true that some services, to be delivered, need this information perhaps as an easy way to identify the device from session to session but it is evident that a privacy fr</w:t>
      </w:r>
      <w:r>
        <w:rPr>
          <w:noProof/>
        </w:rPr>
        <w:t xml:space="preserve">iendlier option with pseudo-ids could be used instead to prevent tracking across different services. Is the position of the mobile phone a sensitive information? Again, the access to the GPS sensor could give to an application the possibility to track the </w:t>
      </w:r>
      <w:r>
        <w:rPr>
          <w:noProof/>
        </w:rPr>
        <w:t>movements of an end-user, infringing its privacy. On the other side, if the application is providing a navigation service, the GPS position becomes essential information needed to allow the delivery of the service that the end-user is expecting. It would b</w:t>
      </w:r>
      <w:r>
        <w:rPr>
          <w:noProof/>
        </w:rPr>
        <w:t>e possible to make thousands of similar illustrative examples, just to demonstrate how the question of what can be shared without consent is indeed very subjective and related to the needs and feelings of the end-user.</w:t>
      </w:r>
    </w:p>
    <w:p w:rsidR="0077224F" w:rsidRDefault="00D973EE">
      <w:pPr>
        <w:rPr>
          <w:noProof/>
        </w:rPr>
      </w:pPr>
      <w:r>
        <w:rPr>
          <w:noProof/>
        </w:rPr>
        <w:t>Moreover, even with the adoption of v</w:t>
      </w:r>
      <w:r>
        <w:rPr>
          <w:noProof/>
        </w:rPr>
        <w:t>ery prescriptive and stringent measures forbidding the access to all possibly sensitive information of an individual, modern datamining and inference techniques can easily be used to infer from explicit, completely depersonalized information, implicit sens</w:t>
      </w:r>
      <w:r>
        <w:rPr>
          <w:noProof/>
        </w:rPr>
        <w:t>itive information, circumventing in this way every type of legislative limitation.</w:t>
      </w:r>
    </w:p>
    <w:p w:rsidR="0077224F" w:rsidRDefault="00D973EE">
      <w:pPr>
        <w:rPr>
          <w:noProof/>
        </w:rPr>
      </w:pPr>
      <w:r>
        <w:rPr>
          <w:noProof/>
        </w:rPr>
        <w:t>If we look to the roadmap of the Digital Single Market, it is evident that the digital privacy will have to coexist with the more and more pressing need of opening up the fr</w:t>
      </w:r>
      <w:r>
        <w:rPr>
          <w:noProof/>
        </w:rPr>
        <w:t>ee flow of data in the DSM, to boost innovation and new economic opportunities.</w:t>
      </w:r>
    </w:p>
    <w:p w:rsidR="0077224F" w:rsidRDefault="00D973EE">
      <w:pPr>
        <w:rPr>
          <w:noProof/>
        </w:rPr>
      </w:pPr>
      <w:r>
        <w:rPr>
          <w:noProof/>
        </w:rPr>
        <w:t>However, the coexistence of these two needs (or principles) is not new as it has been already experienced in several countries where digital and e-government services have been</w:t>
      </w:r>
      <w:r>
        <w:rPr>
          <w:noProof/>
        </w:rPr>
        <w:t xml:space="preserve"> already rolled-out. In these countries in general privacy and data-sharing where made possible thanks to three main pillars: </w:t>
      </w:r>
    </w:p>
    <w:p w:rsidR="0077224F" w:rsidRDefault="00D973EE">
      <w:pPr>
        <w:pStyle w:val="ListParagraph"/>
        <w:numPr>
          <w:ilvl w:val="0"/>
          <w:numId w:val="3"/>
        </w:numPr>
        <w:spacing w:before="0"/>
        <w:rPr>
          <w:rFonts w:ascii="Verdana" w:hAnsi="Verdana"/>
          <w:noProof/>
          <w:sz w:val="20"/>
        </w:rPr>
      </w:pPr>
      <w:r>
        <w:rPr>
          <w:rFonts w:ascii="Verdana" w:hAnsi="Verdana"/>
          <w:noProof/>
          <w:sz w:val="20"/>
        </w:rPr>
        <w:t>Digital identity</w:t>
      </w:r>
    </w:p>
    <w:p w:rsidR="0077224F" w:rsidRDefault="00D973EE">
      <w:pPr>
        <w:pStyle w:val="ListParagraph"/>
        <w:numPr>
          <w:ilvl w:val="0"/>
          <w:numId w:val="3"/>
        </w:numPr>
        <w:spacing w:before="0"/>
        <w:rPr>
          <w:rFonts w:ascii="Verdana" w:hAnsi="Verdana"/>
          <w:noProof/>
          <w:sz w:val="20"/>
        </w:rPr>
      </w:pPr>
      <w:r>
        <w:rPr>
          <w:rFonts w:ascii="Verdana" w:hAnsi="Verdana"/>
          <w:noProof/>
          <w:sz w:val="20"/>
        </w:rPr>
        <w:t>Trust in the services provided</w:t>
      </w:r>
    </w:p>
    <w:p w:rsidR="0077224F" w:rsidRDefault="00D973EE">
      <w:pPr>
        <w:pStyle w:val="ListParagraph"/>
        <w:numPr>
          <w:ilvl w:val="0"/>
          <w:numId w:val="3"/>
        </w:numPr>
        <w:spacing w:before="0"/>
        <w:rPr>
          <w:rFonts w:ascii="Verdana" w:hAnsi="Verdana"/>
          <w:noProof/>
          <w:sz w:val="20"/>
        </w:rPr>
      </w:pPr>
      <w:r>
        <w:rPr>
          <w:rFonts w:ascii="Verdana" w:hAnsi="Verdana"/>
          <w:noProof/>
          <w:sz w:val="20"/>
        </w:rPr>
        <w:t>Full knowledge about who is accessing which personal information for what reason</w:t>
      </w:r>
    </w:p>
    <w:p w:rsidR="0077224F" w:rsidRDefault="00D973EE">
      <w:pPr>
        <w:rPr>
          <w:noProof/>
        </w:rPr>
      </w:pPr>
      <w:r>
        <w:rPr>
          <w:noProof/>
        </w:rPr>
        <w:t xml:space="preserve">While “digital identity” falls out of the domain of the ePrivacy directive, the second and the third points (which are indeed strongly linked) could provide inspiration to identify a viable way to solve the “cookies and information gathering problem”. </w:t>
      </w:r>
    </w:p>
    <w:p w:rsidR="0077224F" w:rsidRDefault="00D973EE">
      <w:pPr>
        <w:rPr>
          <w:noProof/>
        </w:rPr>
      </w:pPr>
      <w:r>
        <w:rPr>
          <w:noProof/>
        </w:rPr>
        <w:t>The</w:t>
      </w:r>
      <w:r>
        <w:rPr>
          <w:noProof/>
        </w:rPr>
        <w:t xml:space="preserve"> embryonic proposal would be that of introducing a legislative measure obliging the providers of online services to put at disposal of digital users of an online platform where it is clearly showed:</w:t>
      </w:r>
    </w:p>
    <w:p w:rsidR="0077224F" w:rsidRDefault="00D973EE">
      <w:pPr>
        <w:pStyle w:val="ListParagraph"/>
        <w:numPr>
          <w:ilvl w:val="0"/>
          <w:numId w:val="24"/>
        </w:numPr>
        <w:spacing w:before="0"/>
        <w:rPr>
          <w:rFonts w:ascii="Verdana" w:hAnsi="Verdana"/>
          <w:noProof/>
          <w:sz w:val="20"/>
          <w:szCs w:val="20"/>
        </w:rPr>
      </w:pPr>
      <w:r>
        <w:rPr>
          <w:rFonts w:ascii="Verdana" w:hAnsi="Verdana"/>
          <w:noProof/>
          <w:sz w:val="20"/>
          <w:szCs w:val="20"/>
        </w:rPr>
        <w:t>The type of information collected</w:t>
      </w:r>
    </w:p>
    <w:p w:rsidR="0077224F" w:rsidRDefault="00D973EE">
      <w:pPr>
        <w:pStyle w:val="ListParagraph"/>
        <w:numPr>
          <w:ilvl w:val="0"/>
          <w:numId w:val="24"/>
        </w:numPr>
        <w:spacing w:before="0"/>
        <w:rPr>
          <w:rFonts w:ascii="Verdana" w:hAnsi="Verdana"/>
          <w:noProof/>
          <w:sz w:val="20"/>
          <w:szCs w:val="20"/>
        </w:rPr>
      </w:pPr>
      <w:r>
        <w:rPr>
          <w:rFonts w:ascii="Verdana" w:hAnsi="Verdana"/>
          <w:noProof/>
          <w:sz w:val="20"/>
          <w:szCs w:val="20"/>
        </w:rPr>
        <w:t xml:space="preserve">The information stored </w:t>
      </w:r>
      <w:r>
        <w:rPr>
          <w:rFonts w:ascii="Verdana" w:hAnsi="Verdana"/>
          <w:noProof/>
          <w:sz w:val="20"/>
          <w:szCs w:val="20"/>
        </w:rPr>
        <w:t>so far</w:t>
      </w:r>
    </w:p>
    <w:p w:rsidR="0077224F" w:rsidRDefault="00D973EE">
      <w:pPr>
        <w:pStyle w:val="ListParagraph"/>
        <w:numPr>
          <w:ilvl w:val="0"/>
          <w:numId w:val="24"/>
        </w:numPr>
        <w:spacing w:before="0"/>
        <w:rPr>
          <w:rFonts w:ascii="Verdana" w:hAnsi="Verdana"/>
          <w:noProof/>
          <w:sz w:val="20"/>
          <w:szCs w:val="20"/>
        </w:rPr>
      </w:pPr>
      <w:r>
        <w:rPr>
          <w:rFonts w:ascii="Verdana" w:hAnsi="Verdana"/>
          <w:noProof/>
          <w:sz w:val="20"/>
          <w:szCs w:val="20"/>
        </w:rPr>
        <w:t>The network of organisations with which this information is shared</w:t>
      </w:r>
    </w:p>
    <w:p w:rsidR="0077224F" w:rsidRDefault="00D973EE">
      <w:pPr>
        <w:pStyle w:val="ListParagraph"/>
        <w:numPr>
          <w:ilvl w:val="0"/>
          <w:numId w:val="24"/>
        </w:numPr>
        <w:spacing w:before="0"/>
        <w:rPr>
          <w:rFonts w:ascii="Verdana" w:hAnsi="Verdana"/>
          <w:noProof/>
          <w:sz w:val="20"/>
          <w:szCs w:val="20"/>
        </w:rPr>
      </w:pPr>
      <w:r>
        <w:rPr>
          <w:rFonts w:ascii="Verdana" w:hAnsi="Verdana"/>
          <w:noProof/>
          <w:sz w:val="20"/>
          <w:szCs w:val="20"/>
        </w:rPr>
        <w:t>The identity of the persons/organisations accessing this information</w:t>
      </w:r>
    </w:p>
    <w:p w:rsidR="0077224F" w:rsidRDefault="00D973EE">
      <w:pPr>
        <w:rPr>
          <w:noProof/>
          <w:szCs w:val="20"/>
        </w:rPr>
      </w:pPr>
      <w:r>
        <w:rPr>
          <w:noProof/>
          <w:szCs w:val="20"/>
        </w:rPr>
        <w:t>The same platform should be able to give to the end-user the possibility to:</w:t>
      </w:r>
    </w:p>
    <w:p w:rsidR="0077224F" w:rsidRDefault="00D973EE">
      <w:pPr>
        <w:pStyle w:val="ListParagraph"/>
        <w:numPr>
          <w:ilvl w:val="0"/>
          <w:numId w:val="25"/>
        </w:numPr>
        <w:spacing w:before="0"/>
        <w:rPr>
          <w:rFonts w:ascii="Verdana" w:hAnsi="Verdana"/>
          <w:noProof/>
          <w:sz w:val="20"/>
          <w:szCs w:val="20"/>
        </w:rPr>
      </w:pPr>
      <w:r>
        <w:rPr>
          <w:rFonts w:ascii="Verdana" w:hAnsi="Verdana"/>
          <w:noProof/>
          <w:sz w:val="20"/>
          <w:szCs w:val="20"/>
        </w:rPr>
        <w:t>Revoke the permission to access to a</w:t>
      </w:r>
      <w:r>
        <w:rPr>
          <w:rFonts w:ascii="Verdana" w:hAnsi="Verdana"/>
          <w:noProof/>
          <w:sz w:val="20"/>
          <w:szCs w:val="20"/>
        </w:rPr>
        <w:t xml:space="preserve"> certain type of data</w:t>
      </w:r>
    </w:p>
    <w:p w:rsidR="0077224F" w:rsidRDefault="00D973EE">
      <w:pPr>
        <w:pStyle w:val="ListParagraph"/>
        <w:numPr>
          <w:ilvl w:val="0"/>
          <w:numId w:val="25"/>
        </w:numPr>
        <w:spacing w:before="0"/>
        <w:rPr>
          <w:rFonts w:ascii="Verdana" w:hAnsi="Verdana"/>
          <w:noProof/>
          <w:sz w:val="20"/>
          <w:szCs w:val="20"/>
        </w:rPr>
      </w:pPr>
      <w:r>
        <w:rPr>
          <w:rFonts w:ascii="Verdana" w:hAnsi="Verdana"/>
          <w:noProof/>
          <w:sz w:val="20"/>
          <w:szCs w:val="20"/>
        </w:rPr>
        <w:t>Erase the information stored so far</w:t>
      </w:r>
    </w:p>
    <w:p w:rsidR="0077224F" w:rsidRDefault="00D973EE">
      <w:pPr>
        <w:pStyle w:val="ListParagraph"/>
        <w:numPr>
          <w:ilvl w:val="0"/>
          <w:numId w:val="25"/>
        </w:numPr>
        <w:spacing w:before="0"/>
        <w:rPr>
          <w:rFonts w:ascii="Verdana" w:hAnsi="Verdana"/>
          <w:noProof/>
          <w:sz w:val="20"/>
          <w:szCs w:val="20"/>
        </w:rPr>
      </w:pPr>
      <w:r>
        <w:rPr>
          <w:rFonts w:ascii="Verdana" w:hAnsi="Verdana"/>
          <w:noProof/>
          <w:sz w:val="20"/>
          <w:szCs w:val="20"/>
        </w:rPr>
        <w:t>Monitor the data flows related to his/her sensitive information between the service provider and other third parties, giving the possibility to revoke, if needed, the access of the information to th</w:t>
      </w:r>
      <w:r>
        <w:rPr>
          <w:rFonts w:ascii="Verdana" w:hAnsi="Verdana"/>
          <w:noProof/>
          <w:sz w:val="20"/>
          <w:szCs w:val="20"/>
        </w:rPr>
        <w:t>ese additional parties</w:t>
      </w:r>
    </w:p>
    <w:p w:rsidR="0077224F" w:rsidRDefault="00D973EE">
      <w:pPr>
        <w:pStyle w:val="ListParagraph"/>
        <w:numPr>
          <w:ilvl w:val="0"/>
          <w:numId w:val="25"/>
        </w:numPr>
        <w:spacing w:before="0"/>
        <w:rPr>
          <w:rFonts w:ascii="Verdana" w:hAnsi="Verdana"/>
          <w:noProof/>
          <w:sz w:val="20"/>
          <w:szCs w:val="20"/>
        </w:rPr>
      </w:pPr>
      <w:r>
        <w:rPr>
          <w:rFonts w:ascii="Verdana" w:hAnsi="Verdana"/>
          <w:noProof/>
          <w:sz w:val="20"/>
          <w:szCs w:val="20"/>
        </w:rPr>
        <w:t>Impose the degree of anonymity which should be applied to the information gathered before being shared with third parties</w:t>
      </w:r>
    </w:p>
    <w:p w:rsidR="0077224F" w:rsidRDefault="00D973EE">
      <w:pPr>
        <w:rPr>
          <w:noProof/>
        </w:rPr>
      </w:pPr>
      <w:r>
        <w:rPr>
          <w:noProof/>
        </w:rPr>
        <w:t>A similar approach, even if ensuring to end user a high control on his/her sensitive data, might not be economi</w:t>
      </w:r>
      <w:r>
        <w:rPr>
          <w:noProof/>
        </w:rPr>
        <w:t xml:space="preserve">cally viable to all the digital companies. </w:t>
      </w:r>
    </w:p>
    <w:p w:rsidR="0077224F" w:rsidRDefault="00D973EE">
      <w:pPr>
        <w:rPr>
          <w:noProof/>
        </w:rPr>
      </w:pPr>
      <w:r>
        <w:rPr>
          <w:noProof/>
        </w:rPr>
        <w:t xml:space="preserve">A complementary, less expensive approach could be the following: </w:t>
      </w:r>
    </w:p>
    <w:p w:rsidR="0077224F" w:rsidRDefault="00D973EE">
      <w:pPr>
        <w:pStyle w:val="ListParagraph"/>
        <w:numPr>
          <w:ilvl w:val="0"/>
          <w:numId w:val="26"/>
        </w:numPr>
        <w:spacing w:before="0"/>
        <w:rPr>
          <w:rFonts w:ascii="Verdana" w:hAnsi="Verdana"/>
          <w:noProof/>
          <w:sz w:val="20"/>
        </w:rPr>
      </w:pPr>
      <w:r>
        <w:rPr>
          <w:rFonts w:ascii="Verdana" w:hAnsi="Verdana"/>
          <w:noProof/>
          <w:sz w:val="20"/>
        </w:rPr>
        <w:t>The end-user is given the possibility to define locally on his/her digital device a set of “privacy profiles” stating which category of data can b</w:t>
      </w:r>
      <w:r>
        <w:rPr>
          <w:rFonts w:ascii="Verdana" w:hAnsi="Verdana"/>
          <w:noProof/>
          <w:sz w:val="20"/>
        </w:rPr>
        <w:t>e shared with which category of digital service</w:t>
      </w:r>
    </w:p>
    <w:p w:rsidR="0077224F" w:rsidRDefault="00D973EE">
      <w:pPr>
        <w:pStyle w:val="ListParagraph"/>
        <w:numPr>
          <w:ilvl w:val="0"/>
          <w:numId w:val="26"/>
        </w:numPr>
        <w:spacing w:before="0"/>
        <w:rPr>
          <w:rFonts w:ascii="Verdana" w:hAnsi="Verdana"/>
          <w:noProof/>
          <w:sz w:val="20"/>
        </w:rPr>
      </w:pPr>
      <w:r>
        <w:rPr>
          <w:rFonts w:ascii="Verdana" w:hAnsi="Verdana"/>
          <w:noProof/>
          <w:sz w:val="20"/>
        </w:rPr>
        <w:t>When the user accesses a web-service, through an automated trust-negotiation, the web-service will obtain by the browser of the end-user a digital token containing the privacy profile settings previously defi</w:t>
      </w:r>
      <w:r>
        <w:rPr>
          <w:rFonts w:ascii="Verdana" w:hAnsi="Verdana"/>
          <w:noProof/>
          <w:sz w:val="20"/>
        </w:rPr>
        <w:t>ned</w:t>
      </w:r>
    </w:p>
    <w:p w:rsidR="0077224F" w:rsidRDefault="00D973EE">
      <w:pPr>
        <w:pStyle w:val="ListParagraph"/>
        <w:numPr>
          <w:ilvl w:val="0"/>
          <w:numId w:val="26"/>
        </w:numPr>
        <w:spacing w:before="0"/>
        <w:rPr>
          <w:rFonts w:ascii="Verdana" w:hAnsi="Verdana"/>
          <w:noProof/>
          <w:sz w:val="20"/>
        </w:rPr>
      </w:pPr>
      <w:r>
        <w:rPr>
          <w:rFonts w:ascii="Verdana" w:hAnsi="Verdana"/>
          <w:noProof/>
          <w:sz w:val="20"/>
        </w:rPr>
        <w:t>The content of this profile will have to be taken as the willing of the end-user and hence respected mandatorily by the web-service</w:t>
      </w:r>
    </w:p>
    <w:p w:rsidR="0077224F" w:rsidRDefault="00D973EE">
      <w:pPr>
        <w:rPr>
          <w:noProof/>
        </w:rPr>
      </w:pPr>
      <w:r>
        <w:rPr>
          <w:noProof/>
        </w:rPr>
        <w:t>This approach would be a huge advance with respect to the actual “cookie consent” mechanism, guaranteeing at the same ti</w:t>
      </w:r>
      <w:r>
        <w:rPr>
          <w:noProof/>
        </w:rPr>
        <w:t xml:space="preserve">me better Internet experience (everything can be automated, hence, no more need for clicks on consent forms), higher granularity and control by the citizen with a limited economic impact. A similar approach already exist in the IoT domain </w:t>
      </w:r>
      <w:r>
        <w:rPr>
          <w:noProof/>
        </w:rPr>
        <w:fldChar w:fldCharType="begin"/>
      </w:r>
      <w:r>
        <w:rPr>
          <w:noProof/>
        </w:rPr>
        <w:instrText xml:space="preserve"> ADDIN ZOTERO_ITE</w:instrText>
      </w:r>
      <w:r>
        <w:rPr>
          <w:noProof/>
        </w:rPr>
        <w:instrText>M CSL_CITATION {"citationID":"2j6jflvqom","properties":{"formattedCitation":"[39]","plainCitation":"[39]"},"citationItems":[{"id":944,"uris":["http://zotero.org/groups/583788/items/DTJS6KXT"],"uri":["http://zotero.org/groups/583788/items/DTJS6KXT"],"itemDa</w:instrText>
      </w:r>
      <w:r>
        <w:rPr>
          <w:noProof/>
        </w:rPr>
        <w:instrText>ta":{"id":944,"type":"webpage","title":"SecKit: A Model-based Security Toolkit for the Internet of Things","URL":"http://www.sciencedirect.com/science/article/pii/S0167404815000887","accessed":{"date-parts":[["2016",8,5]]}}}],"schema":"https://github.com/c</w:instrText>
      </w:r>
      <w:r>
        <w:rPr>
          <w:noProof/>
        </w:rPr>
        <w:instrText xml:space="preserve">itation-style-language/schema/raw/master/csl-citation.json"} </w:instrText>
      </w:r>
      <w:r>
        <w:rPr>
          <w:noProof/>
        </w:rPr>
        <w:fldChar w:fldCharType="separate"/>
      </w:r>
      <w:r>
        <w:rPr>
          <w:noProof/>
        </w:rPr>
        <w:t>[39]</w:t>
      </w:r>
      <w:r>
        <w:rPr>
          <w:noProof/>
        </w:rPr>
        <w:fldChar w:fldCharType="end"/>
      </w:r>
      <w:r>
        <w:rPr>
          <w:noProof/>
        </w:rPr>
        <w:t xml:space="preserve">. </w:t>
      </w:r>
    </w:p>
    <w:p w:rsidR="0077224F" w:rsidRDefault="00D973EE">
      <w:pPr>
        <w:rPr>
          <w:noProof/>
        </w:rPr>
      </w:pPr>
      <w:r>
        <w:rPr>
          <w:noProof/>
        </w:rPr>
        <w:t xml:space="preserve">An additional element to be taken into consideration obviously is the fact that several digital companies have built a business on the access to users’ data. Therefore, a too stringent </w:t>
      </w:r>
      <w:r>
        <w:rPr>
          <w:noProof/>
        </w:rPr>
        <w:t>set of measures could impact on the development of new digital markets and services. For that reason, in the presented approach the concept of “data value” could also be inserted, where an end-user could be encouraged to share a bigger amount of informatio</w:t>
      </w:r>
      <w:r>
        <w:rPr>
          <w:noProof/>
        </w:rPr>
        <w:t>n through a negotiation where, in change he can get some benefit (money, additional services etc.). The net effect of a similar additional initiative would be two-fold: on a side the citizen would increase his/her awareness on the value of his/her personal</w:t>
      </w:r>
      <w:r>
        <w:rPr>
          <w:noProof/>
        </w:rPr>
        <w:t xml:space="preserve"> information, while on the other, it would be possible to finally boost the information market (as foreseen by the DSM), but on the basis of a fair and balanced approach, where each party (business and citizen) has something to offer and something to gain.</w:t>
      </w:r>
    </w:p>
    <w:p w:rsidR="0077224F" w:rsidRDefault="00D973EE">
      <w:pPr>
        <w:rPr>
          <w:noProof/>
        </w:rPr>
      </w:pPr>
      <w:r>
        <w:rPr>
          <w:noProof/>
        </w:rPr>
        <w:t>Technically speaking the scenario is feasible (JRC already developed something similar for what concerns IoT devices), and could be easily extended to web-services, mobile applications etc.</w:t>
      </w:r>
    </w:p>
    <w:p w:rsidR="0077224F" w:rsidRDefault="00D973EE">
      <w:pPr>
        <w:rPr>
          <w:noProof/>
        </w:rPr>
      </w:pPr>
      <w:r>
        <w:rPr>
          <w:noProof/>
        </w:rPr>
        <w:t xml:space="preserve">From a legislative perspective it would be needed to clearly put </w:t>
      </w:r>
      <w:r>
        <w:rPr>
          <w:noProof/>
        </w:rPr>
        <w:t xml:space="preserve">down the definition of the previously mentioned principles (revocation, monitoring, access to data, anonymity etc.), and the definition of the measures which the data controller should adopt to allow the end-user to be informed and evaluate the disclosure </w:t>
      </w:r>
      <w:r>
        <w:rPr>
          <w:noProof/>
        </w:rPr>
        <w:t>options at his disposal.</w:t>
      </w:r>
    </w:p>
    <w:p w:rsidR="0077224F" w:rsidRDefault="00D973EE">
      <w:pPr>
        <w:spacing w:after="160" w:line="259" w:lineRule="auto"/>
        <w:rPr>
          <w:noProof/>
        </w:rPr>
      </w:pPr>
      <w:r>
        <w:rPr>
          <w:noProof/>
        </w:rPr>
        <w:t>Additional inspiration can be taken by the W3C best practices for web application published in 2012</w:t>
      </w:r>
      <w:r>
        <w:rPr>
          <w:noProof/>
        </w:rPr>
        <w:fldChar w:fldCharType="begin"/>
      </w:r>
      <w:r>
        <w:rPr>
          <w:noProof/>
        </w:rPr>
        <w:instrText xml:space="preserve"> ADDIN ZOTERO_ITEM CSL_CITATION {"citationID":"2ickbb95fk","properties":{"formattedCitation":"[40]","plainCitation":"[40]"},"citatio</w:instrText>
      </w:r>
      <w:r>
        <w:rPr>
          <w:noProof/>
        </w:rPr>
        <w:instrText>nItems":[{"id":340,"uris":["http://zotero.org/groups/583788/items/HV5DFH2P"],"uri":["http://zotero.org/groups/583788/items/HV5DFH2P"],"itemData":{"id":340,"type":"webpage","title":"Web Application Privacy Best Practices","URL":"https://www.w3.org/TR/app-pr</w:instrText>
      </w:r>
      <w:r>
        <w:rPr>
          <w:noProof/>
        </w:rPr>
        <w:instrText xml:space="preserve">ivacy-bp/","accessed":{"date-parts":[["2016",7,25]]}}}],"schema":"https://github.com/citation-style-language/schema/raw/master/csl-citation.json"} </w:instrText>
      </w:r>
      <w:r>
        <w:rPr>
          <w:noProof/>
        </w:rPr>
        <w:fldChar w:fldCharType="separate"/>
      </w:r>
      <w:r>
        <w:rPr>
          <w:noProof/>
        </w:rPr>
        <w:t>[40]</w:t>
      </w:r>
      <w:r>
        <w:rPr>
          <w:noProof/>
        </w:rPr>
        <w:fldChar w:fldCharType="end"/>
      </w:r>
      <w:r>
        <w:rPr>
          <w:noProof/>
        </w:rPr>
        <w:t xml:space="preserve">. They are based on 13 principles: </w:t>
      </w:r>
    </w:p>
    <w:p w:rsidR="0077224F" w:rsidRDefault="00D973EE">
      <w:pPr>
        <w:pStyle w:val="ListParagraph"/>
        <w:numPr>
          <w:ilvl w:val="0"/>
          <w:numId w:val="23"/>
        </w:numPr>
        <w:spacing w:before="0" w:after="160"/>
        <w:rPr>
          <w:rFonts w:ascii="Verdana" w:hAnsi="Verdana"/>
          <w:noProof/>
          <w:sz w:val="20"/>
        </w:rPr>
      </w:pPr>
      <w:r>
        <w:rPr>
          <w:rFonts w:ascii="Verdana" w:hAnsi="Verdana"/>
          <w:noProof/>
          <w:sz w:val="20"/>
        </w:rPr>
        <w:t>Follow "Privacy By Design" principles.</w:t>
      </w:r>
    </w:p>
    <w:p w:rsidR="0077224F" w:rsidRDefault="00D973EE">
      <w:pPr>
        <w:pStyle w:val="ListParagraph"/>
        <w:numPr>
          <w:ilvl w:val="0"/>
          <w:numId w:val="23"/>
        </w:numPr>
        <w:spacing w:before="0" w:after="160"/>
        <w:rPr>
          <w:rFonts w:ascii="Verdana" w:hAnsi="Verdana"/>
          <w:noProof/>
          <w:sz w:val="20"/>
        </w:rPr>
      </w:pPr>
      <w:r>
        <w:rPr>
          <w:rFonts w:ascii="Verdana" w:hAnsi="Verdana"/>
          <w:noProof/>
          <w:sz w:val="20"/>
        </w:rPr>
        <w:t xml:space="preserve">Enable the user to make </w:t>
      </w:r>
      <w:r>
        <w:rPr>
          <w:rFonts w:ascii="Verdana" w:hAnsi="Verdana"/>
          <w:noProof/>
          <w:sz w:val="20"/>
        </w:rPr>
        <w:t>informed decisions about sharing their personal information with a service.</w:t>
      </w:r>
    </w:p>
    <w:p w:rsidR="0077224F" w:rsidRDefault="00D973EE">
      <w:pPr>
        <w:pStyle w:val="ListParagraph"/>
        <w:numPr>
          <w:ilvl w:val="0"/>
          <w:numId w:val="23"/>
        </w:numPr>
        <w:spacing w:before="0" w:after="160"/>
        <w:rPr>
          <w:rFonts w:ascii="Verdana" w:hAnsi="Verdana"/>
          <w:noProof/>
          <w:sz w:val="20"/>
        </w:rPr>
      </w:pPr>
      <w:r>
        <w:rPr>
          <w:rFonts w:ascii="Verdana" w:hAnsi="Verdana"/>
          <w:noProof/>
          <w:sz w:val="20"/>
        </w:rPr>
        <w:t>Enable the user to make decisions at the appropriate time with the correct contextual information.</w:t>
      </w:r>
    </w:p>
    <w:p w:rsidR="0077224F" w:rsidRDefault="00D973EE">
      <w:pPr>
        <w:pStyle w:val="ListParagraph"/>
        <w:numPr>
          <w:ilvl w:val="0"/>
          <w:numId w:val="23"/>
        </w:numPr>
        <w:spacing w:before="0" w:after="160"/>
        <w:rPr>
          <w:rFonts w:ascii="Verdana" w:hAnsi="Verdana"/>
          <w:noProof/>
          <w:sz w:val="20"/>
        </w:rPr>
      </w:pPr>
      <w:r>
        <w:rPr>
          <w:rFonts w:ascii="Verdana" w:hAnsi="Verdana"/>
          <w:noProof/>
          <w:sz w:val="20"/>
        </w:rPr>
        <w:t>When learning user privacy decisions and providing defaults, allow the user to ea</w:t>
      </w:r>
      <w:r>
        <w:rPr>
          <w:rFonts w:ascii="Verdana" w:hAnsi="Verdana"/>
          <w:noProof/>
          <w:sz w:val="20"/>
        </w:rPr>
        <w:t>sily view and change their previous decisions.</w:t>
      </w:r>
    </w:p>
    <w:p w:rsidR="0077224F" w:rsidRDefault="00D973EE">
      <w:pPr>
        <w:pStyle w:val="ListParagraph"/>
        <w:numPr>
          <w:ilvl w:val="0"/>
          <w:numId w:val="23"/>
        </w:numPr>
        <w:spacing w:before="0" w:after="160"/>
        <w:rPr>
          <w:rFonts w:ascii="Verdana" w:hAnsi="Verdana"/>
          <w:noProof/>
          <w:sz w:val="20"/>
        </w:rPr>
      </w:pPr>
      <w:r>
        <w:rPr>
          <w:rFonts w:ascii="Verdana" w:hAnsi="Verdana"/>
          <w:noProof/>
          <w:sz w:val="20"/>
        </w:rPr>
        <w:t>Focus on usability and avoid needless prompting.</w:t>
      </w:r>
    </w:p>
    <w:p w:rsidR="0077224F" w:rsidRDefault="00D973EE">
      <w:pPr>
        <w:pStyle w:val="ListParagraph"/>
        <w:numPr>
          <w:ilvl w:val="0"/>
          <w:numId w:val="23"/>
        </w:numPr>
        <w:spacing w:before="0" w:after="160"/>
        <w:rPr>
          <w:rFonts w:ascii="Verdana" w:hAnsi="Verdana"/>
          <w:noProof/>
          <w:sz w:val="20"/>
        </w:rPr>
      </w:pPr>
      <w:r>
        <w:rPr>
          <w:rFonts w:ascii="Verdana" w:hAnsi="Verdana"/>
          <w:noProof/>
          <w:sz w:val="20"/>
        </w:rPr>
        <w:t>Active consent should be freely given, for specific data, and be informed.</w:t>
      </w:r>
    </w:p>
    <w:p w:rsidR="0077224F" w:rsidRDefault="00D973EE">
      <w:pPr>
        <w:pStyle w:val="ListParagraph"/>
        <w:numPr>
          <w:ilvl w:val="0"/>
          <w:numId w:val="23"/>
        </w:numPr>
        <w:spacing w:before="0" w:after="160"/>
        <w:rPr>
          <w:rFonts w:ascii="Verdana" w:hAnsi="Verdana"/>
          <w:noProof/>
          <w:sz w:val="20"/>
        </w:rPr>
      </w:pPr>
      <w:r>
        <w:rPr>
          <w:rFonts w:ascii="Verdana" w:hAnsi="Verdana"/>
          <w:noProof/>
          <w:sz w:val="20"/>
        </w:rPr>
        <w:t>Be clear and transparent to users regarding potential privacy concerns.</w:t>
      </w:r>
    </w:p>
    <w:p w:rsidR="0077224F" w:rsidRDefault="00D973EE">
      <w:pPr>
        <w:pStyle w:val="ListParagraph"/>
        <w:numPr>
          <w:ilvl w:val="0"/>
          <w:numId w:val="23"/>
        </w:numPr>
        <w:spacing w:before="0" w:after="160"/>
        <w:rPr>
          <w:rFonts w:ascii="Verdana" w:hAnsi="Verdana"/>
          <w:noProof/>
          <w:sz w:val="20"/>
        </w:rPr>
      </w:pPr>
      <w:r>
        <w:rPr>
          <w:rFonts w:ascii="Verdana" w:hAnsi="Verdana"/>
          <w:noProof/>
          <w:sz w:val="20"/>
        </w:rPr>
        <w:t>Be clear as t</w:t>
      </w:r>
      <w:r>
        <w:rPr>
          <w:rFonts w:ascii="Verdana" w:hAnsi="Verdana"/>
          <w:noProof/>
          <w:sz w:val="20"/>
        </w:rPr>
        <w:t>o whether information is needed on a one-time basis or if it is necessary for a period of time and for how long.</w:t>
      </w:r>
    </w:p>
    <w:p w:rsidR="0077224F" w:rsidRDefault="00D973EE">
      <w:pPr>
        <w:pStyle w:val="ListParagraph"/>
        <w:numPr>
          <w:ilvl w:val="0"/>
          <w:numId w:val="23"/>
        </w:numPr>
        <w:spacing w:before="0" w:after="160"/>
        <w:rPr>
          <w:rFonts w:ascii="Verdana" w:hAnsi="Verdana"/>
          <w:noProof/>
          <w:sz w:val="20"/>
        </w:rPr>
      </w:pPr>
      <w:r>
        <w:rPr>
          <w:rFonts w:ascii="Verdana" w:hAnsi="Verdana"/>
          <w:noProof/>
          <w:sz w:val="20"/>
        </w:rPr>
        <w:t>Request the minimum number of data items at the minimum level of detail needed to provide a service.</w:t>
      </w:r>
    </w:p>
    <w:p w:rsidR="0077224F" w:rsidRDefault="00D973EE">
      <w:pPr>
        <w:pStyle w:val="ListParagraph"/>
        <w:numPr>
          <w:ilvl w:val="0"/>
          <w:numId w:val="23"/>
        </w:numPr>
        <w:spacing w:before="0" w:after="160"/>
        <w:rPr>
          <w:rFonts w:ascii="Verdana" w:hAnsi="Verdana"/>
          <w:noProof/>
          <w:sz w:val="20"/>
        </w:rPr>
      </w:pPr>
      <w:r>
        <w:rPr>
          <w:rFonts w:ascii="Verdana" w:hAnsi="Verdana"/>
          <w:noProof/>
          <w:sz w:val="20"/>
        </w:rPr>
        <w:t>Retain the minimum amount of data at the m</w:t>
      </w:r>
      <w:r>
        <w:rPr>
          <w:rFonts w:ascii="Verdana" w:hAnsi="Verdana"/>
          <w:noProof/>
          <w:sz w:val="20"/>
        </w:rPr>
        <w:t>inimum level of detail for the minimum amount of time needed. Consider potential misuses of retained data and possible countermeasures.</w:t>
      </w:r>
    </w:p>
    <w:p w:rsidR="0077224F" w:rsidRDefault="00D973EE">
      <w:pPr>
        <w:pStyle w:val="ListParagraph"/>
        <w:numPr>
          <w:ilvl w:val="0"/>
          <w:numId w:val="23"/>
        </w:numPr>
        <w:spacing w:before="0" w:after="160"/>
        <w:rPr>
          <w:rFonts w:ascii="Verdana" w:hAnsi="Verdana"/>
          <w:noProof/>
          <w:sz w:val="20"/>
        </w:rPr>
      </w:pPr>
      <w:r>
        <w:rPr>
          <w:rFonts w:ascii="Verdana" w:hAnsi="Verdana"/>
          <w:noProof/>
          <w:sz w:val="20"/>
        </w:rPr>
        <w:t>Maintain the confidentiality of user data in transmission, for example using HTTPS for transport rather than HTTP.</w:t>
      </w:r>
    </w:p>
    <w:p w:rsidR="0077224F" w:rsidRDefault="00D973EE">
      <w:pPr>
        <w:pStyle w:val="ListParagraph"/>
        <w:numPr>
          <w:ilvl w:val="0"/>
          <w:numId w:val="23"/>
        </w:numPr>
        <w:spacing w:before="0" w:after="160"/>
        <w:rPr>
          <w:rFonts w:ascii="Verdana" w:hAnsi="Verdana"/>
          <w:noProof/>
          <w:sz w:val="20"/>
        </w:rPr>
      </w:pPr>
      <w:r>
        <w:rPr>
          <w:rFonts w:ascii="Verdana" w:hAnsi="Verdana"/>
          <w:noProof/>
          <w:sz w:val="20"/>
        </w:rPr>
        <w:t>Maint</w:t>
      </w:r>
      <w:r>
        <w:rPr>
          <w:rFonts w:ascii="Verdana" w:hAnsi="Verdana"/>
          <w:noProof/>
          <w:sz w:val="20"/>
        </w:rPr>
        <w:t>ain the confidentiality of user data in storage.</w:t>
      </w:r>
    </w:p>
    <w:p w:rsidR="0077224F" w:rsidRDefault="00D973EE">
      <w:pPr>
        <w:pStyle w:val="ListParagraph"/>
        <w:numPr>
          <w:ilvl w:val="0"/>
          <w:numId w:val="23"/>
        </w:numPr>
        <w:spacing w:before="0" w:after="160"/>
        <w:rPr>
          <w:rFonts w:ascii="Verdana" w:hAnsi="Verdana"/>
          <w:noProof/>
          <w:sz w:val="20"/>
        </w:rPr>
      </w:pPr>
      <w:r>
        <w:rPr>
          <w:rFonts w:ascii="Verdana" w:hAnsi="Verdana"/>
          <w:noProof/>
          <w:sz w:val="20"/>
        </w:rPr>
        <w:t>Control and log access to data.</w:t>
      </w:r>
    </w:p>
    <w:p w:rsidR="0077224F" w:rsidRDefault="00D973EE">
      <w:pPr>
        <w:rPr>
          <w:noProof/>
        </w:rPr>
      </w:pPr>
      <w:r>
        <w:rPr>
          <w:noProof/>
        </w:rPr>
        <w:t>Although in some cases these are mainly general recommendations, there are important references to the specificity of the consent (best practice 6) and the minimum set of data</w:t>
      </w:r>
      <w:r>
        <w:rPr>
          <w:noProof/>
        </w:rPr>
        <w:t xml:space="preserve"> to be disclosed (best practices 9 and 10). These best practices are already followed by many of the tools described in this document and are in line with the </w:t>
      </w:r>
      <w:r>
        <w:rPr>
          <w:b/>
          <w:noProof/>
        </w:rPr>
        <w:t>recommendations</w:t>
      </w:r>
      <w:r>
        <w:rPr>
          <w:noProof/>
        </w:rPr>
        <w:t xml:space="preserve"> introduced throughout this document.</w:t>
      </w:r>
    </w:p>
    <w:p w:rsidR="0077224F" w:rsidRDefault="00D973EE">
      <w:pPr>
        <w:spacing w:after="160" w:line="259" w:lineRule="auto"/>
        <w:rPr>
          <w:noProof/>
        </w:rPr>
      </w:pPr>
      <w:r>
        <w:rPr>
          <w:noProof/>
        </w:rPr>
        <w:t xml:space="preserve">Finally, for what concerns mobile platforms </w:t>
      </w:r>
      <w:r>
        <w:rPr>
          <w:noProof/>
        </w:rPr>
        <w:t>and applications, stakeholders can have a key role in “guiding” software and service development towards a privacy-preserving approach. The example is given again by the last version of Android, which significantly improved the permission mechanism. In the</w:t>
      </w:r>
      <w:r>
        <w:rPr>
          <w:noProof/>
        </w:rPr>
        <w:t xml:space="preserve"> same way, the granularity of the permissions can be increased (thus avoiding that unnecessary permissions are granted only because they depend/are linked to others) and the use of sensitive functionalities could be reserved only to certain kind of applica</w:t>
      </w:r>
      <w:r>
        <w:rPr>
          <w:noProof/>
        </w:rPr>
        <w:t>tions or even developers. This would create a sort of categories/levels of application, giving to users a more a clear perception on the potential risks. Moreover, a labelling/certification scheme could help in identifying sources/developers according to t</w:t>
      </w:r>
      <w:r>
        <w:rPr>
          <w:noProof/>
        </w:rPr>
        <w:t>heir privacy friendliness and compliance to privacy principles. The user would be more aware that untrusted or unknown sources could hide more risks. More in general, the role of stakeholders would be fundamental to enforce some privacy rules at the OS and</w:t>
      </w:r>
      <w:r>
        <w:rPr>
          <w:noProof/>
        </w:rPr>
        <w:t xml:space="preserve"> browser level.</w:t>
      </w:r>
    </w:p>
    <w:p w:rsidR="0077224F" w:rsidRDefault="00D973EE">
      <w:pPr>
        <w:spacing w:after="160" w:line="259" w:lineRule="auto"/>
        <w:rPr>
          <w:noProof/>
        </w:rPr>
      </w:pPr>
      <w:r>
        <w:rPr>
          <w:noProof/>
        </w:rPr>
        <w:t>From a legislative point of view, what already proposed in section 4.3 can easily find application in the mobile application domain. However, here, since the ePrivacy directive addresses also the aspects related to the “security of terminal</w:t>
      </w:r>
      <w:r>
        <w:rPr>
          <w:noProof/>
        </w:rPr>
        <w:t xml:space="preserve"> devices”, the prescriptiveness should be broader.</w:t>
      </w:r>
    </w:p>
    <w:p w:rsidR="0077224F" w:rsidRDefault="00D973EE">
      <w:pPr>
        <w:spacing w:after="160" w:line="259" w:lineRule="auto"/>
        <w:rPr>
          <w:noProof/>
        </w:rPr>
      </w:pPr>
      <w:r>
        <w:rPr>
          <w:noProof/>
        </w:rPr>
        <w:t xml:space="preserve">Differently from the old “terminal devices”, smart-phones are in continuous evolution and much more open to external interactions. Newly discovered vulnerabilities might put in serious danger the security </w:t>
      </w:r>
      <w:r>
        <w:rPr>
          <w:noProof/>
        </w:rPr>
        <w:t>of the terminal device. The directive should address this issue, introducing the principle of mandatory and timely application of patches when a cyber-security issue is discovered. Looking at the Android phone market, with the exception of brand flagships,</w:t>
      </w:r>
      <w:r>
        <w:rPr>
          <w:noProof/>
        </w:rPr>
        <w:t xml:space="preserve"> the OS support life of a smart-phone is very limited, in several cases the smart-phones never receive the update to the following release of OS. Especially when a vulnerability involves kernel level or low level library issues, this is an extreme weakness</w:t>
      </w:r>
      <w:r>
        <w:rPr>
          <w:noProof/>
        </w:rPr>
        <w:t xml:space="preserve">, leaving exposed to cyber-attacks millions of devices in the world (as it happened for example last year for the vulnerability discovered in Stagefright, leaving for months over 1 billion of Android devices exposed to cyber-threats) </w:t>
      </w:r>
      <w:r>
        <w:rPr>
          <w:noProof/>
        </w:rPr>
        <w:fldChar w:fldCharType="begin"/>
      </w:r>
      <w:r>
        <w:rPr>
          <w:noProof/>
        </w:rPr>
        <w:instrText xml:space="preserve"> ADDIN ZOTERO_ITEM CSL</w:instrText>
      </w:r>
      <w:r>
        <w:rPr>
          <w:noProof/>
        </w:rPr>
        <w:instrText>_CITATION {"citationID":"dkrfobgiv","properties":{"formattedCitation":"[41]","plainCitation":"[41]"},"citationItems":[{"id":945,"uris":["http://zotero.org/groups/583788/items/SGSADAUX"],"uri":["http://zotero.org/groups/583788/items/SGSADAUX"],"itemData":{"</w:instrText>
      </w:r>
      <w:r>
        <w:rPr>
          <w:noProof/>
        </w:rPr>
        <w:instrText>id":945,"type":"webpage","title":"The 'Stagefright' exploit: What you need to know","container-title":"Android Central","abstract":"This is our continuously updated post on the \"Stagefright\" security vulnerability. In new developments, it's possible that</w:instrText>
      </w:r>
      <w:r>
        <w:rPr>
          <w:noProof/>
        </w:rPr>
        <w:instrText xml:space="preserve"> at least one of the patches for Stagefright (there are several) didn't work, though Google has not publicly commented as of yet.","URL":"http://www.androidcentral.com/stagefright","shortTitle":"The 'Stagefright' exploit","issued":{"date-parts":[["2015",8,</w:instrText>
      </w:r>
      <w:r>
        <w:rPr>
          <w:noProof/>
        </w:rPr>
        <w:instrText xml:space="preserve">17]]},"accessed":{"date-parts":[["2016",8,5]]}}}],"schema":"https://github.com/citation-style-language/schema/raw/master/csl-citation.json"} </w:instrText>
      </w:r>
      <w:r>
        <w:rPr>
          <w:noProof/>
        </w:rPr>
        <w:fldChar w:fldCharType="separate"/>
      </w:r>
      <w:r>
        <w:rPr>
          <w:noProof/>
        </w:rPr>
        <w:t>[41]</w:t>
      </w:r>
      <w:r>
        <w:rPr>
          <w:noProof/>
        </w:rPr>
        <w:fldChar w:fldCharType="end"/>
      </w:r>
      <w:r>
        <w:rPr>
          <w:noProof/>
        </w:rPr>
        <w:t xml:space="preserve">. </w:t>
      </w:r>
    </w:p>
    <w:p w:rsidR="0077224F" w:rsidRDefault="00D973EE">
      <w:pPr>
        <w:spacing w:after="160" w:line="259" w:lineRule="auto"/>
        <w:rPr>
          <w:noProof/>
        </w:rPr>
      </w:pPr>
      <w:r>
        <w:rPr>
          <w:noProof/>
        </w:rPr>
        <w:t>A revision of the ePrivacy directive should take this aspect into consideration, by asking to OS develope</w:t>
      </w:r>
      <w:r>
        <w:rPr>
          <w:noProof/>
        </w:rPr>
        <w:t xml:space="preserve">rs, smart-phone producers and telecom operators, to ensure the availability of cyber-security patches for all the life time of all the released smart-phone. </w:t>
      </w:r>
    </w:p>
    <w:p w:rsidR="0077224F" w:rsidRDefault="00D973EE">
      <w:pPr>
        <w:spacing w:after="160" w:line="259" w:lineRule="auto"/>
        <w:rPr>
          <w:noProof/>
        </w:rPr>
      </w:pPr>
      <w:r>
        <w:rPr>
          <w:noProof/>
        </w:rPr>
        <w:t>The timeliness release of these patches is also a key point that the revision should take into con</w:t>
      </w:r>
      <w:r>
        <w:rPr>
          <w:noProof/>
        </w:rPr>
        <w:t>sideration. In fact in several cases, it happened in the past that some producers released a patch for some low-level models even one year after its discovery, leaving the end-user exposed to privacy leakages and security risks for all that time.</w:t>
      </w:r>
    </w:p>
    <w:p w:rsidR="0077224F" w:rsidRDefault="00D973EE">
      <w:pPr>
        <w:spacing w:after="160" w:line="259" w:lineRule="auto"/>
        <w:rPr>
          <w:noProof/>
        </w:rPr>
      </w:pPr>
      <w:r>
        <w:rPr>
          <w:noProof/>
        </w:rPr>
        <w:t>Here, inc</w:t>
      </w:r>
      <w:r>
        <w:rPr>
          <w:noProof/>
        </w:rPr>
        <w:t>entives to facilitate also proactive vulnerability information sharing and cooperation among the sector operators could be seen as a set of accompanying measures to the ePrivacy directive revision.</w:t>
      </w:r>
    </w:p>
    <w:p w:rsidR="0077224F" w:rsidRDefault="0077224F">
      <w:pPr>
        <w:pStyle w:val="Text"/>
        <w:rPr>
          <w:noProof/>
          <w:lang w:val="en-GB"/>
        </w:rPr>
      </w:pPr>
    </w:p>
    <w:p w:rsidR="0077224F" w:rsidRDefault="0077224F">
      <w:pPr>
        <w:pStyle w:val="Text"/>
        <w:rPr>
          <w:noProof/>
          <w:lang w:val="en-GB"/>
        </w:rPr>
      </w:pPr>
    </w:p>
    <w:p w:rsidR="0077224F" w:rsidRDefault="0077224F">
      <w:pPr>
        <w:pStyle w:val="Text"/>
        <w:rPr>
          <w:noProof/>
          <w:lang w:val="en-GB"/>
        </w:rPr>
      </w:pPr>
    </w:p>
    <w:p w:rsidR="0077224F" w:rsidRDefault="0077224F">
      <w:pPr>
        <w:pStyle w:val="Text"/>
        <w:rPr>
          <w:noProof/>
          <w:lang w:val="en-GB"/>
        </w:rPr>
      </w:pPr>
    </w:p>
    <w:p w:rsidR="0077224F" w:rsidRDefault="0077224F">
      <w:pPr>
        <w:pStyle w:val="Text"/>
        <w:rPr>
          <w:noProof/>
          <w:lang w:val="en-GB"/>
        </w:rPr>
      </w:pPr>
    </w:p>
    <w:p w:rsidR="0077224F" w:rsidRDefault="0077224F">
      <w:pPr>
        <w:pStyle w:val="Text"/>
        <w:rPr>
          <w:noProof/>
          <w:lang w:val="en-GB"/>
        </w:rPr>
      </w:pPr>
    </w:p>
    <w:p w:rsidR="0077224F" w:rsidRDefault="0077224F">
      <w:pPr>
        <w:pStyle w:val="Text"/>
        <w:rPr>
          <w:noProof/>
          <w:lang w:val="en-GB"/>
        </w:rPr>
      </w:pPr>
    </w:p>
    <w:p w:rsidR="0077224F" w:rsidRDefault="0077224F">
      <w:pPr>
        <w:pStyle w:val="Text"/>
        <w:rPr>
          <w:noProof/>
          <w:lang w:val="en-GB"/>
        </w:rPr>
      </w:pPr>
    </w:p>
    <w:p w:rsidR="0077224F" w:rsidRDefault="0077224F">
      <w:pPr>
        <w:pStyle w:val="Text"/>
        <w:rPr>
          <w:noProof/>
          <w:lang w:val="en-GB"/>
        </w:rPr>
      </w:pPr>
    </w:p>
    <w:p w:rsidR="0077224F" w:rsidRDefault="0077224F">
      <w:pPr>
        <w:pStyle w:val="Text"/>
        <w:rPr>
          <w:noProof/>
          <w:lang w:val="en-GB"/>
        </w:rPr>
      </w:pPr>
    </w:p>
    <w:p w:rsidR="0077224F" w:rsidRDefault="0077224F">
      <w:pPr>
        <w:pStyle w:val="Text"/>
        <w:rPr>
          <w:noProof/>
          <w:lang w:val="en-GB"/>
        </w:rPr>
      </w:pPr>
    </w:p>
    <w:p w:rsidR="0077224F" w:rsidRDefault="0077224F">
      <w:pPr>
        <w:pStyle w:val="Text"/>
        <w:rPr>
          <w:noProof/>
          <w:lang w:val="en-GB"/>
        </w:rPr>
      </w:pPr>
    </w:p>
    <w:p w:rsidR="0077224F" w:rsidRDefault="0077224F">
      <w:pPr>
        <w:pStyle w:val="Text"/>
        <w:rPr>
          <w:noProof/>
          <w:lang w:val="en-GB"/>
        </w:rPr>
      </w:pPr>
    </w:p>
    <w:p w:rsidR="0077224F" w:rsidRDefault="0077224F">
      <w:pPr>
        <w:pStyle w:val="Text"/>
        <w:rPr>
          <w:noProof/>
          <w:lang w:val="en-GB"/>
        </w:rPr>
      </w:pPr>
    </w:p>
    <w:p w:rsidR="0077224F" w:rsidRDefault="0077224F">
      <w:pPr>
        <w:pStyle w:val="Text"/>
        <w:rPr>
          <w:noProof/>
          <w:lang w:val="en-GB"/>
        </w:rPr>
      </w:pPr>
    </w:p>
    <w:p w:rsidR="0077224F" w:rsidRDefault="0077224F">
      <w:pPr>
        <w:pStyle w:val="Text"/>
        <w:rPr>
          <w:noProof/>
          <w:lang w:val="en-GB"/>
        </w:rPr>
      </w:pPr>
    </w:p>
    <w:p w:rsidR="0077224F" w:rsidRDefault="0077224F">
      <w:pPr>
        <w:pStyle w:val="Text"/>
        <w:rPr>
          <w:noProof/>
          <w:lang w:val="en-GB"/>
        </w:rPr>
      </w:pPr>
    </w:p>
    <w:p w:rsidR="0077224F" w:rsidRDefault="0077224F">
      <w:pPr>
        <w:pStyle w:val="Text"/>
        <w:rPr>
          <w:noProof/>
          <w:lang w:val="en-GB"/>
        </w:rPr>
      </w:pPr>
    </w:p>
    <w:p w:rsidR="0077224F" w:rsidRDefault="0077224F">
      <w:pPr>
        <w:pStyle w:val="Text"/>
        <w:rPr>
          <w:noProof/>
          <w:lang w:val="en-GB"/>
        </w:rPr>
      </w:pPr>
    </w:p>
    <w:p w:rsidR="0077224F" w:rsidRDefault="0077224F">
      <w:pPr>
        <w:pStyle w:val="Text"/>
        <w:rPr>
          <w:noProof/>
          <w:lang w:val="en-GB"/>
        </w:rPr>
      </w:pPr>
    </w:p>
    <w:p w:rsidR="0077224F" w:rsidRDefault="0077224F">
      <w:pPr>
        <w:pStyle w:val="Text"/>
        <w:rPr>
          <w:noProof/>
          <w:lang w:val="en-GB"/>
        </w:rPr>
      </w:pPr>
    </w:p>
    <w:p w:rsidR="0077224F" w:rsidRDefault="0077224F">
      <w:pPr>
        <w:pStyle w:val="Text"/>
        <w:rPr>
          <w:noProof/>
          <w:lang w:val="en-GB"/>
        </w:rPr>
      </w:pPr>
    </w:p>
    <w:p w:rsidR="0077224F" w:rsidRDefault="0077224F">
      <w:pPr>
        <w:pStyle w:val="Text"/>
        <w:rPr>
          <w:noProof/>
          <w:lang w:val="en-GB"/>
        </w:rPr>
      </w:pPr>
    </w:p>
    <w:p w:rsidR="0077224F" w:rsidRDefault="0077224F">
      <w:pPr>
        <w:pStyle w:val="Text"/>
        <w:rPr>
          <w:noProof/>
          <w:lang w:val="en-GB"/>
        </w:rPr>
      </w:pPr>
    </w:p>
    <w:p w:rsidR="0077224F" w:rsidRDefault="0077224F">
      <w:pPr>
        <w:pStyle w:val="Text"/>
        <w:rPr>
          <w:noProof/>
          <w:lang w:val="en-GB"/>
        </w:rPr>
      </w:pPr>
    </w:p>
    <w:p w:rsidR="0077224F" w:rsidRDefault="00D973EE">
      <w:pPr>
        <w:pStyle w:val="Headingnonumber"/>
        <w:rPr>
          <w:noProof/>
        </w:rPr>
      </w:pPr>
      <w:bookmarkStart w:id="946" w:name="_Toc465876809"/>
      <w:bookmarkStart w:id="947" w:name="_Toc466024076"/>
      <w:bookmarkStart w:id="948" w:name="_Toc468790084"/>
      <w:bookmarkStart w:id="949" w:name="_Toc468794916"/>
      <w:bookmarkStart w:id="950" w:name="_Toc468795224"/>
      <w:r>
        <w:rPr>
          <w:noProof/>
        </w:rPr>
        <w:t>References</w:t>
      </w:r>
      <w:bookmarkEnd w:id="946"/>
      <w:bookmarkEnd w:id="947"/>
      <w:bookmarkEnd w:id="948"/>
      <w:bookmarkEnd w:id="949"/>
      <w:bookmarkEnd w:id="950"/>
    </w:p>
    <w:p w:rsidR="0077224F" w:rsidRDefault="0077224F">
      <w:pPr>
        <w:spacing w:before="0" w:after="0"/>
        <w:rPr>
          <w:i/>
          <w:noProof/>
        </w:rPr>
      </w:pPr>
    </w:p>
    <w:p w:rsidR="0077224F" w:rsidRDefault="00D973EE">
      <w:pPr>
        <w:pStyle w:val="Bibliography"/>
        <w:rPr>
          <w:noProof/>
        </w:rPr>
      </w:pPr>
      <w:r>
        <w:rPr>
          <w:i/>
          <w:noProof/>
        </w:rPr>
        <w:fldChar w:fldCharType="begin"/>
      </w:r>
      <w:r>
        <w:rPr>
          <w:i/>
          <w:noProof/>
        </w:rPr>
        <w:instrText xml:space="preserve"> ADDIN ZOTERO_BIBL {"custom":[]} CSL_BIBLIOGRAPHY </w:instrText>
      </w:r>
      <w:r>
        <w:rPr>
          <w:i/>
          <w:noProof/>
        </w:rPr>
        <w:fldChar w:fldCharType="separate"/>
      </w:r>
      <w:r>
        <w:rPr>
          <w:noProof/>
        </w:rPr>
        <w:t>[1]</w:t>
      </w:r>
      <w:r>
        <w:rPr>
          <w:noProof/>
        </w:rPr>
        <w:tab/>
        <w:t xml:space="preserve">“2015 Mobile Threat Report | Pulse Secure Mobile Threat Center.” </w:t>
      </w:r>
      <w:r>
        <w:rPr>
          <w:noProof/>
          <w:lang w:val="fr-FR"/>
        </w:rPr>
        <w:t xml:space="preserve">[Online]. Available: https://www.pulsesecure.net/lp/mobile-threat-report-2014/. </w:t>
      </w:r>
      <w:r>
        <w:rPr>
          <w:noProof/>
        </w:rPr>
        <w:t>[Accessed: 25-Jul-2016].</w:t>
      </w:r>
    </w:p>
    <w:p w:rsidR="0077224F" w:rsidRDefault="00D973EE">
      <w:pPr>
        <w:pStyle w:val="Bibliography"/>
        <w:rPr>
          <w:noProof/>
        </w:rPr>
      </w:pPr>
      <w:r>
        <w:rPr>
          <w:noProof/>
        </w:rPr>
        <w:t>[2]</w:t>
      </w:r>
      <w:r>
        <w:rPr>
          <w:noProof/>
        </w:rPr>
        <w:tab/>
        <w:t>“IDC: Smartphone OS Market S</w:t>
      </w:r>
      <w:r>
        <w:rPr>
          <w:noProof/>
        </w:rPr>
        <w:t xml:space="preserve">hare,” </w:t>
      </w:r>
      <w:r>
        <w:rPr>
          <w:i/>
          <w:iCs/>
          <w:noProof/>
        </w:rPr>
        <w:t>www.idc.com</w:t>
      </w:r>
      <w:r>
        <w:rPr>
          <w:noProof/>
        </w:rPr>
        <w:t>. [Online]. Available: http://www.idc.com/prodserv/smartphone-os-market-share.jsp. [Accessed: 25-Jul-2016].</w:t>
      </w:r>
    </w:p>
    <w:p w:rsidR="0077224F" w:rsidRDefault="00D973EE">
      <w:pPr>
        <w:pStyle w:val="Bibliography"/>
        <w:rPr>
          <w:noProof/>
        </w:rPr>
      </w:pPr>
      <w:r>
        <w:rPr>
          <w:noProof/>
        </w:rPr>
        <w:t>[3]</w:t>
      </w:r>
      <w:r>
        <w:rPr>
          <w:noProof/>
        </w:rPr>
        <w:tab/>
        <w:t xml:space="preserve">“Mobile malware evolution 2015 - Securelist.” [Online]. </w:t>
      </w:r>
      <w:r>
        <w:rPr>
          <w:noProof/>
          <w:lang w:val="fr-FR"/>
        </w:rPr>
        <w:t xml:space="preserve">Available: https://securelist.com/analysis/kaspersky-security-bulletin/73839/mobile-malware-evolution-2015/. </w:t>
      </w:r>
      <w:r>
        <w:rPr>
          <w:noProof/>
        </w:rPr>
        <w:t>[Accessed: 25-Jul-2016].</w:t>
      </w:r>
    </w:p>
    <w:p w:rsidR="0077224F" w:rsidRDefault="00D973EE">
      <w:pPr>
        <w:pStyle w:val="Bibliography"/>
        <w:rPr>
          <w:noProof/>
        </w:rPr>
      </w:pPr>
      <w:r>
        <w:rPr>
          <w:noProof/>
        </w:rPr>
        <w:t>[4]</w:t>
      </w:r>
      <w:r>
        <w:rPr>
          <w:noProof/>
        </w:rPr>
        <w:tab/>
        <w:t>“OWASP Mobile Security Project - OWASP.” [Online]. Available: https://www.owasp.org/index.php/Mobile#tab=Top_10_Mobile</w:t>
      </w:r>
      <w:r>
        <w:rPr>
          <w:noProof/>
        </w:rPr>
        <w:t>_Risks. [Accessed: 25-Jul-2016].</w:t>
      </w:r>
    </w:p>
    <w:p w:rsidR="0077224F" w:rsidRDefault="00D973EE">
      <w:pPr>
        <w:pStyle w:val="Bibliography"/>
        <w:rPr>
          <w:noProof/>
        </w:rPr>
      </w:pPr>
      <w:r>
        <w:rPr>
          <w:noProof/>
        </w:rPr>
        <w:t>[5]</w:t>
      </w:r>
      <w:r>
        <w:rPr>
          <w:noProof/>
        </w:rPr>
        <w:tab/>
        <w:t xml:space="preserve">G. McGraw, </w:t>
      </w:r>
      <w:r>
        <w:rPr>
          <w:i/>
          <w:iCs/>
          <w:noProof/>
        </w:rPr>
        <w:t>Software security: building security in</w:t>
      </w:r>
      <w:r>
        <w:rPr>
          <w:noProof/>
        </w:rPr>
        <w:t>. Upper Saddle River, NJ: Addison-Wesley, 2006.</w:t>
      </w:r>
    </w:p>
    <w:p w:rsidR="0077224F" w:rsidRDefault="00D973EE">
      <w:pPr>
        <w:pStyle w:val="Bibliography"/>
        <w:rPr>
          <w:noProof/>
        </w:rPr>
      </w:pPr>
      <w:r>
        <w:rPr>
          <w:noProof/>
        </w:rPr>
        <w:t>[6]</w:t>
      </w:r>
      <w:r>
        <w:rPr>
          <w:noProof/>
        </w:rPr>
        <w:tab/>
        <w:t>“Android and Security - Official Google Mobile Blog.” .</w:t>
      </w:r>
    </w:p>
    <w:p w:rsidR="0077224F" w:rsidRDefault="00D973EE">
      <w:pPr>
        <w:pStyle w:val="Bibliography"/>
        <w:rPr>
          <w:noProof/>
        </w:rPr>
      </w:pPr>
      <w:r>
        <w:rPr>
          <w:noProof/>
        </w:rPr>
        <w:t>[7]</w:t>
      </w:r>
      <w:r>
        <w:rPr>
          <w:noProof/>
        </w:rPr>
        <w:tab/>
        <w:t>“Report: Malware-infected Android apps spike in the Googl</w:t>
      </w:r>
      <w:r>
        <w:rPr>
          <w:noProof/>
        </w:rPr>
        <w:t xml:space="preserve">e Play store,” </w:t>
      </w:r>
      <w:r>
        <w:rPr>
          <w:i/>
          <w:iCs/>
          <w:noProof/>
        </w:rPr>
        <w:t>PCWorld</w:t>
      </w:r>
      <w:r>
        <w:rPr>
          <w:noProof/>
        </w:rPr>
        <w:t>, 19-Feb-2014. [Online]. Available: http://www.pcworld.com/article/2099421/report-malwareinfected-android-apps-spike-in-the-google-play-store.html. [Accessed: 22-Jul-2016].</w:t>
      </w:r>
    </w:p>
    <w:p w:rsidR="0077224F" w:rsidRDefault="00D973EE">
      <w:pPr>
        <w:pStyle w:val="Bibliography"/>
        <w:rPr>
          <w:noProof/>
        </w:rPr>
      </w:pPr>
      <w:r>
        <w:rPr>
          <w:noProof/>
        </w:rPr>
        <w:t>[8]</w:t>
      </w:r>
      <w:r>
        <w:rPr>
          <w:noProof/>
        </w:rPr>
        <w:tab/>
        <w:t>“&lt;permission&gt; | Android Developers.” [Online]. Available:</w:t>
      </w:r>
      <w:r>
        <w:rPr>
          <w:noProof/>
        </w:rPr>
        <w:t xml:space="preserve"> https://developer.android.com/guide/topics/manifest/permission-element.html. [Accessed: 22-Jul-2016].</w:t>
      </w:r>
    </w:p>
    <w:p w:rsidR="0077224F" w:rsidRDefault="00D973EE">
      <w:pPr>
        <w:pStyle w:val="Bibliography"/>
        <w:rPr>
          <w:noProof/>
        </w:rPr>
      </w:pPr>
      <w:r>
        <w:rPr>
          <w:noProof/>
        </w:rPr>
        <w:t>[9]</w:t>
      </w:r>
      <w:r>
        <w:rPr>
          <w:noProof/>
        </w:rPr>
        <w:tab/>
        <w:t xml:space="preserve">“Working with System Permissions | Android Developers.” [Online]. Available: https://developer.android.com/training/permissions/index.html. </w:t>
      </w:r>
      <w:r>
        <w:rPr>
          <w:noProof/>
        </w:rPr>
        <w:t>[Accessed: 22-Jul-2016].</w:t>
      </w:r>
    </w:p>
    <w:p w:rsidR="0077224F" w:rsidRDefault="00D973EE">
      <w:pPr>
        <w:pStyle w:val="Bibliography"/>
        <w:rPr>
          <w:noProof/>
          <w:lang w:val="fr-FR"/>
        </w:rPr>
      </w:pPr>
      <w:r>
        <w:rPr>
          <w:noProof/>
        </w:rPr>
        <w:t>[10]</w:t>
      </w:r>
      <w:r>
        <w:rPr>
          <w:noProof/>
        </w:rPr>
        <w:tab/>
        <w:t xml:space="preserve">Apple, “iOS Security (iOS 9.3 or later).” </w:t>
      </w:r>
      <w:r>
        <w:rPr>
          <w:noProof/>
          <w:lang w:val="fr-FR"/>
        </w:rPr>
        <w:t>[Online]. Available: https://www.apple.com/business/docs/iOS_Security_Guide.pdf.</w:t>
      </w:r>
    </w:p>
    <w:p w:rsidR="0077224F" w:rsidRDefault="00D973EE">
      <w:pPr>
        <w:pStyle w:val="Bibliography"/>
        <w:rPr>
          <w:noProof/>
        </w:rPr>
      </w:pPr>
      <w:r>
        <w:rPr>
          <w:noProof/>
        </w:rPr>
        <w:t>[11]</w:t>
      </w:r>
      <w:r>
        <w:rPr>
          <w:noProof/>
        </w:rPr>
        <w:tab/>
        <w:t>I. Nai Fovino, R. Neisse, D. Geneiatakis, and I. Kounelis, “Mobile Applications Privacy, Towards a</w:t>
      </w:r>
      <w:r>
        <w:rPr>
          <w:noProof/>
        </w:rPr>
        <w:t xml:space="preserve"> methodology to identify over-privileged applications,” Publications Office of the European Union, EUR - Scientific and Technical Research Reports, 2014.</w:t>
      </w:r>
    </w:p>
    <w:p w:rsidR="0077224F" w:rsidRDefault="00D973EE">
      <w:pPr>
        <w:pStyle w:val="Bibliography"/>
        <w:rPr>
          <w:noProof/>
        </w:rPr>
      </w:pPr>
      <w:r>
        <w:rPr>
          <w:noProof/>
        </w:rPr>
        <w:t>[12]</w:t>
      </w:r>
      <w:r>
        <w:rPr>
          <w:noProof/>
        </w:rPr>
        <w:tab/>
        <w:t>D. Geneiatakis, R. Satta, I. N. Fovino, and R. Neisse, “On the Efficacy of Static Features to Det</w:t>
      </w:r>
      <w:r>
        <w:rPr>
          <w:noProof/>
        </w:rPr>
        <w:t xml:space="preserve">ect Malicious Applications in Android,” in </w:t>
      </w:r>
      <w:r>
        <w:rPr>
          <w:i/>
          <w:iCs/>
          <w:noProof/>
        </w:rPr>
        <w:t>Trust, Privacy and Security in Digital Business</w:t>
      </w:r>
      <w:r>
        <w:rPr>
          <w:noProof/>
        </w:rPr>
        <w:t>, S. Fischer-Hübner, C. Lambrinoudakis, and J. López, Eds. Springer International Publishing, 2015, pp. 87–98.</w:t>
      </w:r>
    </w:p>
    <w:p w:rsidR="0077224F" w:rsidRDefault="00D973EE">
      <w:pPr>
        <w:pStyle w:val="Bibliography"/>
        <w:rPr>
          <w:noProof/>
        </w:rPr>
      </w:pPr>
      <w:r>
        <w:rPr>
          <w:noProof/>
        </w:rPr>
        <w:t>[13]</w:t>
      </w:r>
      <w:r>
        <w:rPr>
          <w:noProof/>
        </w:rPr>
        <w:tab/>
        <w:t xml:space="preserve">D. Geneiatakis, I. N. Fovino, I. Kounelis, and P. </w:t>
      </w:r>
      <w:r>
        <w:rPr>
          <w:noProof/>
        </w:rPr>
        <w:t xml:space="preserve">Stirparo, “A Permission Verification Approach for Android Mobile Applications,” </w:t>
      </w:r>
      <w:r>
        <w:rPr>
          <w:i/>
          <w:iCs/>
          <w:noProof/>
        </w:rPr>
        <w:t>Comput. Secur.</w:t>
      </w:r>
      <w:r>
        <w:rPr>
          <w:noProof/>
        </w:rPr>
        <w:t>, Nov. 2014.</w:t>
      </w:r>
    </w:p>
    <w:p w:rsidR="0077224F" w:rsidRDefault="00D973EE">
      <w:pPr>
        <w:pStyle w:val="Bibliography"/>
        <w:rPr>
          <w:noProof/>
        </w:rPr>
      </w:pPr>
      <w:r>
        <w:rPr>
          <w:noProof/>
        </w:rPr>
        <w:t>[14]</w:t>
      </w:r>
      <w:r>
        <w:rPr>
          <w:noProof/>
        </w:rPr>
        <w:tab/>
        <w:t xml:space="preserve">“Do Not Track,” </w:t>
      </w:r>
      <w:r>
        <w:rPr>
          <w:i/>
          <w:iCs/>
          <w:noProof/>
        </w:rPr>
        <w:t>Do Not Track</w:t>
      </w:r>
      <w:r>
        <w:rPr>
          <w:noProof/>
        </w:rPr>
        <w:t>. [Online]. Available: https://donottrack-doc.com/en/. [Accessed: 31-Oct-2016].</w:t>
      </w:r>
    </w:p>
    <w:p w:rsidR="0077224F" w:rsidRDefault="00D973EE">
      <w:pPr>
        <w:pStyle w:val="Bibliography"/>
        <w:rPr>
          <w:noProof/>
        </w:rPr>
      </w:pPr>
      <w:r>
        <w:rPr>
          <w:noProof/>
        </w:rPr>
        <w:t>[15]</w:t>
      </w:r>
      <w:r>
        <w:rPr>
          <w:noProof/>
        </w:rPr>
        <w:tab/>
        <w:t>“A privacy-friendly Do Not Trac</w:t>
      </w:r>
      <w:r>
        <w:rPr>
          <w:noProof/>
        </w:rPr>
        <w:t xml:space="preserve">k (DNT) Policy,” </w:t>
      </w:r>
      <w:r>
        <w:rPr>
          <w:i/>
          <w:iCs/>
          <w:noProof/>
        </w:rPr>
        <w:t>Electronic Frontier Foundation</w:t>
      </w:r>
      <w:r>
        <w:rPr>
          <w:noProof/>
        </w:rPr>
        <w:t>, 24-Apr-2014. [Online]. Available: https://www.eff.org/dnt-policy. [Accessed: 25-Jul-2016].</w:t>
      </w:r>
    </w:p>
    <w:p w:rsidR="0077224F" w:rsidRDefault="00D973EE">
      <w:pPr>
        <w:pStyle w:val="Bibliography"/>
        <w:rPr>
          <w:noProof/>
        </w:rPr>
      </w:pPr>
      <w:r>
        <w:rPr>
          <w:noProof/>
        </w:rPr>
        <w:t>[16]</w:t>
      </w:r>
      <w:r>
        <w:rPr>
          <w:noProof/>
        </w:rPr>
        <w:tab/>
        <w:t>“Tracking Preference Expression (DNT).” [Online]. Available: https://www.w3.org/2011/tracking-protection/drafts</w:t>
      </w:r>
      <w:r>
        <w:rPr>
          <w:noProof/>
        </w:rPr>
        <w:t>/tracking-dnt.html. [Accessed: 25-Jul-2016].</w:t>
      </w:r>
    </w:p>
    <w:p w:rsidR="0077224F" w:rsidRDefault="00D973EE">
      <w:pPr>
        <w:pStyle w:val="Bibliography"/>
        <w:rPr>
          <w:noProof/>
        </w:rPr>
      </w:pPr>
      <w:r>
        <w:rPr>
          <w:noProof/>
        </w:rPr>
        <w:t>[17]</w:t>
      </w:r>
      <w:r>
        <w:rPr>
          <w:noProof/>
        </w:rPr>
        <w:tab/>
        <w:t>“Browser Statistics.” [Online]. Available: http://www.w3schools.com/browsers/browsers_stats.asp. [Accessed: 25-Jul-2016].</w:t>
      </w:r>
    </w:p>
    <w:p w:rsidR="0077224F" w:rsidRDefault="00D973EE">
      <w:pPr>
        <w:pStyle w:val="Bibliography"/>
        <w:rPr>
          <w:noProof/>
        </w:rPr>
      </w:pPr>
      <w:r>
        <w:rPr>
          <w:noProof/>
        </w:rPr>
        <w:t>[18]</w:t>
      </w:r>
      <w:r>
        <w:rPr>
          <w:noProof/>
        </w:rPr>
        <w:tab/>
        <w:t>J. Valentino-DeVries, J. Singer-Vine, and A. Soltani, “Websites Vary Prices, De</w:t>
      </w:r>
      <w:r>
        <w:rPr>
          <w:noProof/>
        </w:rPr>
        <w:t xml:space="preserve">als Based on Users’ Information,” </w:t>
      </w:r>
      <w:r>
        <w:rPr>
          <w:i/>
          <w:iCs/>
          <w:noProof/>
        </w:rPr>
        <w:t>Wall Street Journal</w:t>
      </w:r>
      <w:r>
        <w:rPr>
          <w:noProof/>
        </w:rPr>
        <w:t>, 24-Dec-2012.</w:t>
      </w:r>
    </w:p>
    <w:p w:rsidR="0077224F" w:rsidRDefault="00D973EE">
      <w:pPr>
        <w:pStyle w:val="Bibliography"/>
        <w:rPr>
          <w:noProof/>
          <w:lang w:val="fr-FR"/>
        </w:rPr>
      </w:pPr>
      <w:r>
        <w:rPr>
          <w:noProof/>
        </w:rPr>
        <w:t>[19]</w:t>
      </w:r>
      <w:r>
        <w:rPr>
          <w:noProof/>
        </w:rPr>
        <w:tab/>
        <w:t xml:space="preserve">“We know where you live,” </w:t>
      </w:r>
      <w:r>
        <w:rPr>
          <w:i/>
          <w:iCs/>
          <w:noProof/>
        </w:rPr>
        <w:t>MIT News</w:t>
      </w:r>
      <w:r>
        <w:rPr>
          <w:noProof/>
        </w:rPr>
        <w:t xml:space="preserve">. </w:t>
      </w:r>
      <w:r>
        <w:rPr>
          <w:noProof/>
          <w:lang w:val="fr-FR"/>
        </w:rPr>
        <w:t>[Online]. Available: http://news.mit.edu/2016/twitter-location-data-homes-workplaces-0517. [Accessed: 25-Jul-2016].</w:t>
      </w:r>
    </w:p>
    <w:p w:rsidR="0077224F" w:rsidRDefault="00D973EE">
      <w:pPr>
        <w:pStyle w:val="Bibliography"/>
        <w:rPr>
          <w:noProof/>
        </w:rPr>
      </w:pPr>
      <w:r>
        <w:rPr>
          <w:noProof/>
          <w:lang w:val="fr-FR"/>
        </w:rPr>
        <w:t>[20]</w:t>
      </w:r>
      <w:r>
        <w:rPr>
          <w:noProof/>
          <w:lang w:val="fr-FR"/>
        </w:rPr>
        <w:tab/>
        <w:t>K. Kurosawa, K. Kuroki, an</w:t>
      </w:r>
      <w:r>
        <w:rPr>
          <w:noProof/>
          <w:lang w:val="fr-FR"/>
        </w:rPr>
        <w:t xml:space="preserve">d N. Saitoh, “CCD fingerprint method-identification of a video camera from videotaped images,” in </w:t>
      </w:r>
      <w:r>
        <w:rPr>
          <w:i/>
          <w:iCs/>
          <w:noProof/>
          <w:lang w:val="fr-FR"/>
        </w:rPr>
        <w:t xml:space="preserve">1999 International Conference on Image Processing, 1999. </w:t>
      </w:r>
      <w:r>
        <w:rPr>
          <w:i/>
          <w:iCs/>
          <w:noProof/>
        </w:rPr>
        <w:t>ICIP 99. Proceedings</w:t>
      </w:r>
      <w:r>
        <w:rPr>
          <w:noProof/>
        </w:rPr>
        <w:t>, 1999, vol. 3, pp. 537–540 vol.3.</w:t>
      </w:r>
    </w:p>
    <w:p w:rsidR="0077224F" w:rsidRDefault="00D973EE">
      <w:pPr>
        <w:pStyle w:val="Bibliography"/>
        <w:rPr>
          <w:noProof/>
        </w:rPr>
      </w:pPr>
      <w:r>
        <w:rPr>
          <w:noProof/>
        </w:rPr>
        <w:t>[21]</w:t>
      </w:r>
      <w:r>
        <w:rPr>
          <w:noProof/>
        </w:rPr>
        <w:tab/>
        <w:t xml:space="preserve">Q. Liu </w:t>
      </w:r>
      <w:r>
        <w:rPr>
          <w:i/>
          <w:iCs/>
          <w:noProof/>
        </w:rPr>
        <w:t>et al.</w:t>
      </w:r>
      <w:r>
        <w:rPr>
          <w:noProof/>
        </w:rPr>
        <w:t>, “Identification of Smartph</w:t>
      </w:r>
      <w:r>
        <w:rPr>
          <w:noProof/>
        </w:rPr>
        <w:t xml:space="preserve">one-Image Source and Manipulation,” in </w:t>
      </w:r>
      <w:r>
        <w:rPr>
          <w:i/>
          <w:iCs/>
          <w:noProof/>
        </w:rPr>
        <w:t>Advanced Research in Applied Artificial Intelligence</w:t>
      </w:r>
      <w:r>
        <w:rPr>
          <w:noProof/>
        </w:rPr>
        <w:t>, H. Jiang, W. Ding, M. Ali, and X. Wu, Eds. Springer Berlin Heidelberg, 2012, pp. 262–271.</w:t>
      </w:r>
    </w:p>
    <w:p w:rsidR="0077224F" w:rsidRDefault="00D973EE">
      <w:pPr>
        <w:pStyle w:val="Bibliography"/>
        <w:rPr>
          <w:noProof/>
        </w:rPr>
      </w:pPr>
      <w:r>
        <w:rPr>
          <w:noProof/>
        </w:rPr>
        <w:t>[22]</w:t>
      </w:r>
      <w:r>
        <w:rPr>
          <w:noProof/>
        </w:rPr>
        <w:tab/>
        <w:t>R. Satta and P. Stirparo, “Picture-to-Identity linking of social net</w:t>
      </w:r>
      <w:r>
        <w:rPr>
          <w:noProof/>
        </w:rPr>
        <w:t>work accounts based on Sensor Pattern Noise,” presented at the 5th International Conference on Imaging for Crime Detection and Prevention (ICDP 2013), London, UK, 2013.</w:t>
      </w:r>
    </w:p>
    <w:p w:rsidR="0077224F" w:rsidRDefault="00D973EE">
      <w:pPr>
        <w:pStyle w:val="Bibliography"/>
        <w:rPr>
          <w:noProof/>
        </w:rPr>
      </w:pPr>
      <w:r>
        <w:rPr>
          <w:noProof/>
        </w:rPr>
        <w:t>[23]</w:t>
      </w:r>
      <w:r>
        <w:rPr>
          <w:noProof/>
        </w:rPr>
        <w:tab/>
        <w:t>H. Bojinov, D. Boneh, Y. Michalevsky, and G. Nakibly, “Mobile Device Identificatio</w:t>
      </w:r>
      <w:r>
        <w:rPr>
          <w:noProof/>
        </w:rPr>
        <w:t>n via Sensor Fingerprinting,” 2014.</w:t>
      </w:r>
    </w:p>
    <w:p w:rsidR="0077224F" w:rsidRDefault="00D973EE">
      <w:pPr>
        <w:pStyle w:val="Bibliography"/>
        <w:rPr>
          <w:noProof/>
        </w:rPr>
      </w:pPr>
      <w:r>
        <w:rPr>
          <w:noProof/>
        </w:rPr>
        <w:t>[24]</w:t>
      </w:r>
      <w:r>
        <w:rPr>
          <w:noProof/>
        </w:rPr>
        <w:tab/>
        <w:t>S. Dey, N. Roy, W. Xu, R. R. Choudhury, and S. Nelakuditi, “AccelPrint: Imperfections of Accelerometers Make Smartphones Trackable,” 2014.</w:t>
      </w:r>
    </w:p>
    <w:p w:rsidR="0077224F" w:rsidRDefault="00D973EE">
      <w:pPr>
        <w:pStyle w:val="Bibliography"/>
        <w:rPr>
          <w:noProof/>
        </w:rPr>
      </w:pPr>
      <w:r>
        <w:rPr>
          <w:noProof/>
        </w:rPr>
        <w:t>[25]</w:t>
      </w:r>
      <w:r>
        <w:rPr>
          <w:noProof/>
        </w:rPr>
        <w:tab/>
        <w:t>G. Baldini, G. Steri, F. Dimc, R. Giuliani, and R. Kamnik, “Experimenta</w:t>
      </w:r>
      <w:r>
        <w:rPr>
          <w:noProof/>
        </w:rPr>
        <w:t xml:space="preserve">l Identification of Smartphones Using Fingerprints of Built-In Micro-Electro Mechanical Systems (MEMS),” </w:t>
      </w:r>
      <w:r>
        <w:rPr>
          <w:i/>
          <w:iCs/>
          <w:noProof/>
        </w:rPr>
        <w:t>Sensors</w:t>
      </w:r>
      <w:r>
        <w:rPr>
          <w:noProof/>
        </w:rPr>
        <w:t>, vol. 16, no. 6, p. 818, Jun. 2016.</w:t>
      </w:r>
    </w:p>
    <w:p w:rsidR="0077224F" w:rsidRDefault="00D973EE">
      <w:pPr>
        <w:pStyle w:val="Bibliography"/>
        <w:rPr>
          <w:noProof/>
        </w:rPr>
      </w:pPr>
      <w:r>
        <w:rPr>
          <w:noProof/>
        </w:rPr>
        <w:t>[26]</w:t>
      </w:r>
      <w:r>
        <w:rPr>
          <w:noProof/>
        </w:rPr>
        <w:tab/>
        <w:t xml:space="preserve">G. A. Fowler, “When the Most Personal Secrets Get Outed on Facebook,” </w:t>
      </w:r>
      <w:r>
        <w:rPr>
          <w:i/>
          <w:iCs/>
          <w:noProof/>
        </w:rPr>
        <w:t>Wall Street Journal</w:t>
      </w:r>
      <w:r>
        <w:rPr>
          <w:noProof/>
        </w:rPr>
        <w:t>, 13-Oct-2012</w:t>
      </w:r>
      <w:r>
        <w:rPr>
          <w:noProof/>
        </w:rPr>
        <w:t>.</w:t>
      </w:r>
    </w:p>
    <w:p w:rsidR="0077224F" w:rsidRDefault="00D973EE">
      <w:pPr>
        <w:pStyle w:val="Bibliography"/>
        <w:rPr>
          <w:noProof/>
        </w:rPr>
      </w:pPr>
      <w:r>
        <w:rPr>
          <w:noProof/>
        </w:rPr>
        <w:t>[27]</w:t>
      </w:r>
      <w:r>
        <w:rPr>
          <w:noProof/>
        </w:rPr>
        <w:tab/>
        <w:t>“Gartner Says 75 Percent of Mobile Security Breaches Will Be the Result of Mobile Application Misconfiguration.” [Online]. Available: http://www.gartner.com/newsroom/id/2753017. [Accessed: 25-Jul-2016].</w:t>
      </w:r>
    </w:p>
    <w:p w:rsidR="0077224F" w:rsidRDefault="00D973EE">
      <w:pPr>
        <w:pStyle w:val="Bibliography"/>
        <w:rPr>
          <w:noProof/>
        </w:rPr>
      </w:pPr>
      <w:r>
        <w:rPr>
          <w:noProof/>
        </w:rPr>
        <w:t>[28]</w:t>
      </w:r>
      <w:r>
        <w:rPr>
          <w:noProof/>
        </w:rPr>
        <w:tab/>
        <w:t>“OWASP Product Requirement Recommendation</w:t>
      </w:r>
      <w:r>
        <w:rPr>
          <w:noProof/>
        </w:rPr>
        <w:t xml:space="preserve">s Library - OWASP.” </w:t>
      </w:r>
      <w:r>
        <w:rPr>
          <w:noProof/>
          <w:lang w:val="fr-FR"/>
        </w:rPr>
        <w:t xml:space="preserve">[Online]. Available: https://www.owasp.org/index.php/OWASP_Product_Requirement_Recommendations_Library. </w:t>
      </w:r>
      <w:r>
        <w:rPr>
          <w:noProof/>
        </w:rPr>
        <w:t>[Accessed: 25-Jul-2016].</w:t>
      </w:r>
    </w:p>
    <w:p w:rsidR="0077224F" w:rsidRDefault="00D973EE">
      <w:pPr>
        <w:pStyle w:val="Bibliography"/>
        <w:rPr>
          <w:noProof/>
        </w:rPr>
      </w:pPr>
      <w:r>
        <w:rPr>
          <w:noProof/>
        </w:rPr>
        <w:t>[29]</w:t>
      </w:r>
      <w:r>
        <w:rPr>
          <w:noProof/>
        </w:rPr>
        <w:tab/>
        <w:t>W. H. Stufflebeam, A. I. Antón, Q. He, and N. Jain, “Specifying Privacy Policies with P3P and EPAL: Le</w:t>
      </w:r>
      <w:r>
        <w:rPr>
          <w:noProof/>
        </w:rPr>
        <w:t xml:space="preserve">ssons Learned,” in </w:t>
      </w:r>
      <w:r>
        <w:rPr>
          <w:i/>
          <w:iCs/>
          <w:noProof/>
        </w:rPr>
        <w:t>Proceedings of the 2004 ACM Workshop on Privacy in the Electronic Society</w:t>
      </w:r>
      <w:r>
        <w:rPr>
          <w:noProof/>
        </w:rPr>
        <w:t>, New York, NY, USA, 2004, pp. 35–35.</w:t>
      </w:r>
    </w:p>
    <w:p w:rsidR="0077224F" w:rsidRDefault="00D973EE">
      <w:pPr>
        <w:pStyle w:val="Bibliography"/>
        <w:rPr>
          <w:noProof/>
        </w:rPr>
      </w:pPr>
      <w:r>
        <w:rPr>
          <w:noProof/>
        </w:rPr>
        <w:t>[30]</w:t>
      </w:r>
      <w:r>
        <w:rPr>
          <w:noProof/>
        </w:rPr>
        <w:tab/>
        <w:t xml:space="preserve">E. S. A. G. A. Fowler, “Facebook in Privacy Breach,” </w:t>
      </w:r>
      <w:r>
        <w:rPr>
          <w:i/>
          <w:iCs/>
          <w:noProof/>
        </w:rPr>
        <w:t>Wall Street Journal</w:t>
      </w:r>
      <w:r>
        <w:rPr>
          <w:noProof/>
        </w:rPr>
        <w:t>, 18-Oct-2010.</w:t>
      </w:r>
    </w:p>
    <w:p w:rsidR="0077224F" w:rsidRDefault="00D973EE">
      <w:pPr>
        <w:pStyle w:val="Bibliography"/>
        <w:rPr>
          <w:noProof/>
        </w:rPr>
      </w:pPr>
      <w:r>
        <w:rPr>
          <w:noProof/>
        </w:rPr>
        <w:t>[31]</w:t>
      </w:r>
      <w:r>
        <w:rPr>
          <w:noProof/>
        </w:rPr>
        <w:tab/>
        <w:t xml:space="preserve">E. G. Sirer </w:t>
      </w:r>
      <w:r>
        <w:rPr>
          <w:i/>
          <w:iCs/>
          <w:noProof/>
        </w:rPr>
        <w:t>et al.</w:t>
      </w:r>
      <w:r>
        <w:rPr>
          <w:noProof/>
        </w:rPr>
        <w:t xml:space="preserve">, “Logical Attestation: An Authorization Architecture for Trustworthy Computing,” in </w:t>
      </w:r>
      <w:r>
        <w:rPr>
          <w:i/>
          <w:iCs/>
          <w:noProof/>
        </w:rPr>
        <w:t>Proceedings of the Twenty-Third ACM Symposium on Operating Systems Principles</w:t>
      </w:r>
      <w:r>
        <w:rPr>
          <w:noProof/>
        </w:rPr>
        <w:t>, New York, NY, USA, 2011, pp. 249–264.</w:t>
      </w:r>
    </w:p>
    <w:p w:rsidR="0077224F" w:rsidRDefault="00D973EE">
      <w:pPr>
        <w:pStyle w:val="Bibliography"/>
        <w:rPr>
          <w:noProof/>
        </w:rPr>
      </w:pPr>
      <w:r>
        <w:rPr>
          <w:noProof/>
        </w:rPr>
        <w:t>[32]</w:t>
      </w:r>
      <w:r>
        <w:rPr>
          <w:noProof/>
        </w:rPr>
        <w:tab/>
        <w:t xml:space="preserve">D. B. Giffin </w:t>
      </w:r>
      <w:r>
        <w:rPr>
          <w:i/>
          <w:iCs/>
          <w:noProof/>
        </w:rPr>
        <w:t>et al.</w:t>
      </w:r>
      <w:r>
        <w:rPr>
          <w:noProof/>
        </w:rPr>
        <w:t>, “Hails: Protecting Data Priv</w:t>
      </w:r>
      <w:r>
        <w:rPr>
          <w:noProof/>
        </w:rPr>
        <w:t xml:space="preserve">acy in Untrusted Web Applications,” in </w:t>
      </w:r>
      <w:r>
        <w:rPr>
          <w:i/>
          <w:iCs/>
          <w:noProof/>
        </w:rPr>
        <w:t>Proceedings of the 10th USENIX Conference on Operating Systems Design and Implementation</w:t>
      </w:r>
      <w:r>
        <w:rPr>
          <w:noProof/>
        </w:rPr>
        <w:t>, Berkeley, CA, USA, 2012, pp. 47–60.</w:t>
      </w:r>
    </w:p>
    <w:p w:rsidR="0077224F" w:rsidRDefault="00D973EE">
      <w:pPr>
        <w:pStyle w:val="Bibliography"/>
        <w:rPr>
          <w:noProof/>
        </w:rPr>
      </w:pPr>
      <w:r>
        <w:rPr>
          <w:noProof/>
        </w:rPr>
        <w:t>[33]</w:t>
      </w:r>
      <w:r>
        <w:rPr>
          <w:noProof/>
        </w:rPr>
        <w:tab/>
        <w:t xml:space="preserve">J. Stein, “Data Mining: How Companies Now Know Everything About You,” </w:t>
      </w:r>
      <w:r>
        <w:rPr>
          <w:i/>
          <w:iCs/>
          <w:noProof/>
        </w:rPr>
        <w:t>Time</w:t>
      </w:r>
      <w:r>
        <w:rPr>
          <w:noProof/>
        </w:rPr>
        <w:t>, 10-Mar-201</w:t>
      </w:r>
      <w:r>
        <w:rPr>
          <w:noProof/>
        </w:rPr>
        <w:t>1.</w:t>
      </w:r>
    </w:p>
    <w:p w:rsidR="0077224F" w:rsidRDefault="00D973EE">
      <w:pPr>
        <w:pStyle w:val="Bibliography"/>
        <w:rPr>
          <w:noProof/>
        </w:rPr>
      </w:pPr>
      <w:r>
        <w:rPr>
          <w:noProof/>
        </w:rPr>
        <w:t>[34]</w:t>
      </w:r>
      <w:r>
        <w:rPr>
          <w:noProof/>
        </w:rPr>
        <w:tab/>
        <w:t xml:space="preserve">“The Data Brokers: Selling your personal information.” </w:t>
      </w:r>
      <w:r>
        <w:rPr>
          <w:noProof/>
          <w:lang w:val="fr-FR"/>
        </w:rPr>
        <w:t xml:space="preserve">[Online]. Available: http://www.cbsnews.com/news/the-data-brokers-selling-your-personal-information/. </w:t>
      </w:r>
      <w:r>
        <w:rPr>
          <w:noProof/>
        </w:rPr>
        <w:t>[Accessed: 25-Jul-2016].</w:t>
      </w:r>
    </w:p>
    <w:p w:rsidR="0077224F" w:rsidRDefault="00D973EE">
      <w:pPr>
        <w:pStyle w:val="Bibliography"/>
        <w:rPr>
          <w:noProof/>
        </w:rPr>
      </w:pPr>
      <w:r>
        <w:rPr>
          <w:noProof/>
        </w:rPr>
        <w:t>[35]</w:t>
      </w:r>
      <w:r>
        <w:rPr>
          <w:noProof/>
        </w:rPr>
        <w:tab/>
        <w:t>J. Liu, F. Zhang, X. Song, Y.-I. Song, C.-Y. Lin, and H.-W. H</w:t>
      </w:r>
      <w:r>
        <w:rPr>
          <w:noProof/>
        </w:rPr>
        <w:t xml:space="preserve">on, “What’s in a Name?: An Unsupervised Approach to Link Users Across Communities,” in </w:t>
      </w:r>
      <w:r>
        <w:rPr>
          <w:i/>
          <w:iCs/>
          <w:noProof/>
        </w:rPr>
        <w:t>Proceedings of the Sixth ACM International Conference on Web Search and Data Mining</w:t>
      </w:r>
      <w:r>
        <w:rPr>
          <w:noProof/>
        </w:rPr>
        <w:t>, New York, NY, USA, 2013, pp. 495–504.</w:t>
      </w:r>
    </w:p>
    <w:p w:rsidR="0077224F" w:rsidRDefault="00D973EE">
      <w:pPr>
        <w:pStyle w:val="Bibliography"/>
        <w:rPr>
          <w:noProof/>
        </w:rPr>
      </w:pPr>
      <w:r>
        <w:rPr>
          <w:noProof/>
        </w:rPr>
        <w:t>[36]</w:t>
      </w:r>
      <w:r>
        <w:rPr>
          <w:noProof/>
        </w:rPr>
        <w:tab/>
        <w:t>T. Wasserman, “Facebook Now Tracks Consum</w:t>
      </w:r>
      <w:r>
        <w:rPr>
          <w:noProof/>
        </w:rPr>
        <w:t xml:space="preserve">ers’ Retail Purchases,” </w:t>
      </w:r>
      <w:r>
        <w:rPr>
          <w:i/>
          <w:iCs/>
          <w:noProof/>
        </w:rPr>
        <w:t>Mashable</w:t>
      </w:r>
      <w:r>
        <w:rPr>
          <w:noProof/>
        </w:rPr>
        <w:t>. [Online]. Available: http://mashable.com/2012/09/24/facebook-tracking-retail-purchases/. [Accessed: 25-Jul-2016].</w:t>
      </w:r>
    </w:p>
    <w:p w:rsidR="0077224F" w:rsidRDefault="00D973EE">
      <w:pPr>
        <w:pStyle w:val="Bibliography"/>
        <w:rPr>
          <w:noProof/>
        </w:rPr>
      </w:pPr>
      <w:r>
        <w:rPr>
          <w:noProof/>
        </w:rPr>
        <w:t>[37]</w:t>
      </w:r>
      <w:r>
        <w:rPr>
          <w:noProof/>
        </w:rPr>
        <w:tab/>
        <w:t xml:space="preserve">“In Pursuit of Revenue, Social Networks Ramp Up Ad Targeting.” </w:t>
      </w:r>
      <w:r>
        <w:rPr>
          <w:noProof/>
          <w:lang w:val="fr-FR"/>
        </w:rPr>
        <w:t>[Online]. Available: http://adage.com/ar</w:t>
      </w:r>
      <w:r>
        <w:rPr>
          <w:noProof/>
          <w:lang w:val="fr-FR"/>
        </w:rPr>
        <w:t xml:space="preserve">ticle/digital/pursuit-revenue-social-networks-ramp-ad-targeting/237096/. </w:t>
      </w:r>
      <w:r>
        <w:rPr>
          <w:noProof/>
        </w:rPr>
        <w:t>[Accessed: 25-Jul-2016].</w:t>
      </w:r>
    </w:p>
    <w:p w:rsidR="0077224F" w:rsidRDefault="00D973EE">
      <w:pPr>
        <w:pStyle w:val="Bibliography"/>
        <w:rPr>
          <w:noProof/>
        </w:rPr>
      </w:pPr>
      <w:r>
        <w:rPr>
          <w:noProof/>
        </w:rPr>
        <w:t>[38]</w:t>
      </w:r>
      <w:r>
        <w:rPr>
          <w:noProof/>
        </w:rPr>
        <w:tab/>
        <w:t xml:space="preserve">“Twitter and WPP announce global strategic partnership - WPP.” </w:t>
      </w:r>
      <w:r>
        <w:rPr>
          <w:noProof/>
          <w:lang w:val="fr-FR"/>
        </w:rPr>
        <w:t xml:space="preserve">[Online]. Available: http://www.wpp.com/wpp/press/2013/jun/06/twitter-and-wpp-announce-global-strategic-partnership/. </w:t>
      </w:r>
      <w:r>
        <w:rPr>
          <w:noProof/>
        </w:rPr>
        <w:t>[Accessed: 25-Jul-2016].</w:t>
      </w:r>
    </w:p>
    <w:p w:rsidR="0077224F" w:rsidRDefault="00D973EE">
      <w:pPr>
        <w:pStyle w:val="Bibliography"/>
        <w:rPr>
          <w:noProof/>
        </w:rPr>
      </w:pPr>
      <w:r>
        <w:rPr>
          <w:noProof/>
        </w:rPr>
        <w:t>[39]</w:t>
      </w:r>
      <w:r>
        <w:rPr>
          <w:noProof/>
        </w:rPr>
        <w:tab/>
        <w:t xml:space="preserve">“SecKit: A Model-based Security Toolkit for the Internet of Things.” </w:t>
      </w:r>
      <w:r>
        <w:rPr>
          <w:noProof/>
          <w:lang w:val="fr-FR"/>
        </w:rPr>
        <w:t>[Online]. Available: http://www.science</w:t>
      </w:r>
      <w:r>
        <w:rPr>
          <w:noProof/>
          <w:lang w:val="fr-FR"/>
        </w:rPr>
        <w:t xml:space="preserve">direct.com/science/article/pii/S0167404815000887. </w:t>
      </w:r>
      <w:r>
        <w:rPr>
          <w:noProof/>
        </w:rPr>
        <w:t>[Accessed: 05-Aug-2016].</w:t>
      </w:r>
    </w:p>
    <w:p w:rsidR="0077224F" w:rsidRDefault="00D973EE">
      <w:pPr>
        <w:pStyle w:val="Bibliography"/>
        <w:rPr>
          <w:noProof/>
        </w:rPr>
      </w:pPr>
      <w:r>
        <w:rPr>
          <w:noProof/>
        </w:rPr>
        <w:t>[40]</w:t>
      </w:r>
      <w:r>
        <w:rPr>
          <w:noProof/>
        </w:rPr>
        <w:tab/>
        <w:t>“Web Application Privacy Best Practices.” [Online]. Available: https://www.w3.org/TR/app-privacy-bp/. [Accessed: 25-Jul-2016].</w:t>
      </w:r>
    </w:p>
    <w:p w:rsidR="0077224F" w:rsidRDefault="00D973EE">
      <w:pPr>
        <w:pStyle w:val="Bibliography"/>
        <w:rPr>
          <w:noProof/>
        </w:rPr>
      </w:pPr>
      <w:r>
        <w:rPr>
          <w:noProof/>
        </w:rPr>
        <w:t>[41]</w:t>
      </w:r>
      <w:r>
        <w:rPr>
          <w:noProof/>
        </w:rPr>
        <w:tab/>
        <w:t>“The ‘Stagefright’ exploit: What you need to</w:t>
      </w:r>
      <w:r>
        <w:rPr>
          <w:noProof/>
        </w:rPr>
        <w:t xml:space="preserve"> know,” </w:t>
      </w:r>
      <w:r>
        <w:rPr>
          <w:i/>
          <w:iCs/>
          <w:noProof/>
        </w:rPr>
        <w:t>Android Central</w:t>
      </w:r>
      <w:r>
        <w:rPr>
          <w:noProof/>
        </w:rPr>
        <w:t>, 17-Aug-2015. [Online]. Available: http://www.androidcentral.com/stagefright. [Accessed: 05-Aug-2016].</w:t>
      </w:r>
    </w:p>
    <w:p w:rsidR="0077224F" w:rsidRDefault="00D973EE">
      <w:pPr>
        <w:pStyle w:val="Bibliography"/>
        <w:rPr>
          <w:noProof/>
        </w:rPr>
      </w:pPr>
      <w:r>
        <w:rPr>
          <w:noProof/>
        </w:rPr>
        <w:t>[42]</w:t>
      </w:r>
      <w:r>
        <w:rPr>
          <w:noProof/>
        </w:rPr>
        <w:tab/>
        <w:t xml:space="preserve">“What is a Mashup? - Definition from Techopedia,” </w:t>
      </w:r>
      <w:r>
        <w:rPr>
          <w:i/>
          <w:iCs/>
          <w:noProof/>
        </w:rPr>
        <w:t>Techopedia.com</w:t>
      </w:r>
      <w:r>
        <w:rPr>
          <w:noProof/>
        </w:rPr>
        <w:t>. [Online]. Available: https://www.techopedia.com/definition</w:t>
      </w:r>
      <w:r>
        <w:rPr>
          <w:noProof/>
        </w:rPr>
        <w:t>/5373/mashup. [Accessed: 07-Jul-2016].</w:t>
      </w:r>
    </w:p>
    <w:p w:rsidR="0077224F" w:rsidRDefault="00D973EE">
      <w:pPr>
        <w:pStyle w:val="Bibliography"/>
        <w:rPr>
          <w:noProof/>
        </w:rPr>
      </w:pPr>
      <w:r>
        <w:rPr>
          <w:noProof/>
        </w:rPr>
        <w:t>[43]</w:t>
      </w:r>
      <w:r>
        <w:rPr>
          <w:noProof/>
        </w:rPr>
        <w:tab/>
        <w:t xml:space="preserve">“Virtual machine,” </w:t>
      </w:r>
      <w:r>
        <w:rPr>
          <w:i/>
          <w:iCs/>
          <w:noProof/>
        </w:rPr>
        <w:t>Wikipedia, the free encyclopedia</w:t>
      </w:r>
      <w:r>
        <w:rPr>
          <w:noProof/>
        </w:rPr>
        <w:t>. 21-Jul-2016.</w:t>
      </w:r>
    </w:p>
    <w:p w:rsidR="0077224F" w:rsidRDefault="00D973EE">
      <w:pPr>
        <w:pStyle w:val="Bibliography"/>
        <w:rPr>
          <w:noProof/>
        </w:rPr>
      </w:pPr>
      <w:r>
        <w:rPr>
          <w:noProof/>
        </w:rPr>
        <w:t>[44]</w:t>
      </w:r>
      <w:r>
        <w:rPr>
          <w:noProof/>
        </w:rPr>
        <w:tab/>
        <w:t xml:space="preserve">“Web application,” </w:t>
      </w:r>
      <w:r>
        <w:rPr>
          <w:i/>
          <w:iCs/>
          <w:noProof/>
        </w:rPr>
        <w:t>Wikipedia</w:t>
      </w:r>
      <w:r>
        <w:rPr>
          <w:noProof/>
        </w:rPr>
        <w:t>. 17-Oct-2016.</w:t>
      </w:r>
    </w:p>
    <w:p w:rsidR="0077224F" w:rsidRDefault="00D973EE">
      <w:pPr>
        <w:spacing w:before="0" w:after="0"/>
        <w:rPr>
          <w:i/>
          <w:noProof/>
        </w:rPr>
      </w:pPr>
      <w:r>
        <w:rPr>
          <w:i/>
          <w:noProof/>
        </w:rPr>
        <w:fldChar w:fldCharType="end"/>
      </w:r>
    </w:p>
    <w:p w:rsidR="0077224F" w:rsidRDefault="0077224F">
      <w:pPr>
        <w:spacing w:before="0" w:after="0"/>
        <w:rPr>
          <w:i/>
          <w:noProof/>
        </w:rPr>
      </w:pPr>
    </w:p>
    <w:p w:rsidR="0077224F" w:rsidRDefault="00D973EE">
      <w:pPr>
        <w:spacing w:before="0" w:after="0"/>
        <w:rPr>
          <w:noProof/>
        </w:rPr>
      </w:pPr>
      <w:r>
        <w:rPr>
          <w:i/>
          <w:noProof/>
        </w:rPr>
        <w:br w:type="page"/>
      </w:r>
    </w:p>
    <w:p w:rsidR="0077224F" w:rsidRDefault="00D973EE">
      <w:pPr>
        <w:pStyle w:val="Headingnonumber"/>
        <w:rPr>
          <w:noProof/>
        </w:rPr>
      </w:pPr>
      <w:bookmarkStart w:id="951" w:name="_Toc465876810"/>
      <w:bookmarkStart w:id="952" w:name="_Toc466024077"/>
      <w:bookmarkStart w:id="953" w:name="_Toc468790085"/>
      <w:bookmarkStart w:id="954" w:name="_Toc468794917"/>
      <w:bookmarkStart w:id="955" w:name="_Toc468795225"/>
      <w:r>
        <w:rPr>
          <w:noProof/>
        </w:rPr>
        <w:t>Appendix A. List of definitions</w:t>
      </w:r>
      <w:bookmarkEnd w:id="951"/>
      <w:bookmarkEnd w:id="952"/>
      <w:bookmarkEnd w:id="953"/>
      <w:bookmarkEnd w:id="954"/>
      <w:bookmarkEnd w:id="955"/>
    </w:p>
    <w:p w:rsidR="0077224F" w:rsidRDefault="00D973EE">
      <w:pPr>
        <w:rPr>
          <w:noProof/>
        </w:rPr>
      </w:pPr>
      <w:r>
        <w:rPr>
          <w:b/>
          <w:noProof/>
        </w:rPr>
        <w:t>Invisible Internet Project (I2P).</w:t>
      </w:r>
      <w:r>
        <w:rPr>
          <w:noProof/>
        </w:rPr>
        <w:t xml:space="preserve"> An overlay network that a</w:t>
      </w:r>
      <w:r>
        <w:rPr>
          <w:noProof/>
        </w:rPr>
        <w:t>llows applications to send messages to each other pseudonymously and securely.</w:t>
      </w:r>
    </w:p>
    <w:p w:rsidR="0077224F" w:rsidRDefault="00D973EE">
      <w:pPr>
        <w:rPr>
          <w:noProof/>
        </w:rPr>
      </w:pPr>
      <w:r>
        <w:rPr>
          <w:b/>
          <w:noProof/>
        </w:rPr>
        <w:t>IoT Hub</w:t>
      </w:r>
      <w:r>
        <w:rPr>
          <w:noProof/>
        </w:rPr>
        <w:t>. A hub where IoT devices connect and through which they exchange information and/or connect to the Internet.</w:t>
      </w:r>
    </w:p>
    <w:p w:rsidR="0077224F" w:rsidRDefault="00D973EE">
      <w:pPr>
        <w:rPr>
          <w:noProof/>
        </w:rPr>
      </w:pPr>
      <w:r>
        <w:rPr>
          <w:b/>
          <w:noProof/>
        </w:rPr>
        <w:t>Mashups of Web Apps</w:t>
      </w:r>
      <w:r>
        <w:rPr>
          <w:noProof/>
        </w:rPr>
        <w:t>. A mashup is a technique by which a webs</w:t>
      </w:r>
      <w:r>
        <w:rPr>
          <w:noProof/>
        </w:rPr>
        <w:t xml:space="preserve">ite or Web application uses data, presentation or functionality from two or more sources to create a new service. </w:t>
      </w:r>
      <w:r>
        <w:rPr>
          <w:noProof/>
        </w:rPr>
        <w:fldChar w:fldCharType="begin"/>
      </w:r>
      <w:r>
        <w:rPr>
          <w:noProof/>
        </w:rPr>
        <w:instrText xml:space="preserve"> ADDIN ZOTERO_ITEM CSL_CITATION {"citationID":"qrn5tlt7p","properties":{"formattedCitation":"[42]","plainCitation":"[42]"},"citationItems":[{"</w:instrText>
      </w:r>
      <w:r>
        <w:rPr>
          <w:noProof/>
        </w:rPr>
        <w:instrText>id":258,"uris":["http://zotero.org/groups/583788/items/VIURWWFW"],"uri":["http://zotero.org/groups/583788/items/VIURWWFW"],"itemData":{"id":258,"type":"webpage","title":"What is a Mashup? - Definition from Techopedia","container-title":"Techopedia.com","ab</w:instrText>
      </w:r>
      <w:r>
        <w:rPr>
          <w:noProof/>
        </w:rPr>
        <w:instrText>stract":"Mashup Definition - A mashup is a technique by which a website or Web application uses data, presentation or functionality from two or more sources to...","URL":"https://www.techopedia.com/definition/5373/mashup","shortTitle":"What is a Mashup?","</w:instrText>
      </w:r>
      <w:r>
        <w:rPr>
          <w:noProof/>
        </w:rPr>
        <w:instrText xml:space="preserve">accessed":{"date-parts":[["2016",7,7]]}}}],"schema":"https://github.com/citation-style-language/schema/raw/master/csl-citation.json"} </w:instrText>
      </w:r>
      <w:r>
        <w:rPr>
          <w:noProof/>
        </w:rPr>
        <w:fldChar w:fldCharType="separate"/>
      </w:r>
      <w:r>
        <w:rPr>
          <w:noProof/>
        </w:rPr>
        <w:t>[42]</w:t>
      </w:r>
      <w:r>
        <w:rPr>
          <w:noProof/>
        </w:rPr>
        <w:fldChar w:fldCharType="end"/>
      </w:r>
    </w:p>
    <w:p w:rsidR="0077224F" w:rsidRDefault="00D973EE">
      <w:pPr>
        <w:rPr>
          <w:noProof/>
        </w:rPr>
      </w:pPr>
      <w:r>
        <w:rPr>
          <w:b/>
          <w:noProof/>
        </w:rPr>
        <w:t>Mobile Applications</w:t>
      </w:r>
      <w:r>
        <w:rPr>
          <w:noProof/>
        </w:rPr>
        <w:t>. Application running on a mobile device, such as a smart phone or a tablet.</w:t>
      </w:r>
    </w:p>
    <w:p w:rsidR="0077224F" w:rsidRDefault="00D973EE">
      <w:pPr>
        <w:rPr>
          <w:noProof/>
        </w:rPr>
      </w:pPr>
      <w:r>
        <w:rPr>
          <w:b/>
          <w:noProof/>
        </w:rPr>
        <w:t xml:space="preserve">Pre-installed </w:t>
      </w:r>
      <w:r>
        <w:rPr>
          <w:b/>
          <w:noProof/>
        </w:rPr>
        <w:t>applications</w:t>
      </w:r>
      <w:r>
        <w:rPr>
          <w:noProof/>
        </w:rPr>
        <w:t xml:space="preserve">. Applications that are already installed on the device when the user operates it for the first time. </w:t>
      </w:r>
    </w:p>
    <w:p w:rsidR="0077224F" w:rsidRDefault="00D973EE">
      <w:pPr>
        <w:rPr>
          <w:noProof/>
        </w:rPr>
      </w:pPr>
      <w:r>
        <w:rPr>
          <w:b/>
          <w:noProof/>
        </w:rPr>
        <w:t>Terminal device</w:t>
      </w:r>
      <w:r>
        <w:rPr>
          <w:noProof/>
        </w:rPr>
        <w:t>. Any computer device of the end user including mobile phones, laptop, and desktop computers used to access websites or servic</w:t>
      </w:r>
      <w:r>
        <w:rPr>
          <w:noProof/>
        </w:rPr>
        <w:t>es.</w:t>
      </w:r>
    </w:p>
    <w:p w:rsidR="0077224F" w:rsidRDefault="00D973EE">
      <w:pPr>
        <w:rPr>
          <w:noProof/>
        </w:rPr>
      </w:pPr>
      <w:r>
        <w:rPr>
          <w:b/>
          <w:noProof/>
        </w:rPr>
        <w:t>User Applications</w:t>
      </w:r>
      <w:r>
        <w:rPr>
          <w:noProof/>
        </w:rPr>
        <w:t xml:space="preserve">. User applications refer to applications that are installed on the users’ device either mobile or desktop computer. </w:t>
      </w:r>
    </w:p>
    <w:p w:rsidR="0077224F" w:rsidRDefault="00D973EE">
      <w:pPr>
        <w:rPr>
          <w:noProof/>
        </w:rPr>
      </w:pPr>
      <w:r>
        <w:rPr>
          <w:b/>
          <w:noProof/>
        </w:rPr>
        <w:t>Virtualization Infrastructure</w:t>
      </w:r>
      <w:r>
        <w:rPr>
          <w:noProof/>
        </w:rPr>
        <w:t xml:space="preserve">. Emulation of a given computer system based on the computer architecture and functions </w:t>
      </w:r>
      <w:r>
        <w:rPr>
          <w:noProof/>
        </w:rPr>
        <w:t xml:space="preserve">of a real or hypothetical computer, and their implementation may involve specialized hardware, software, or a combination of both. </w:t>
      </w:r>
      <w:r>
        <w:rPr>
          <w:noProof/>
        </w:rPr>
        <w:fldChar w:fldCharType="begin"/>
      </w:r>
      <w:r>
        <w:rPr>
          <w:noProof/>
        </w:rPr>
        <w:instrText xml:space="preserve"> ADDIN ZOTERO_ITEM CSL_CITATION {"citationID":"15hahrrmk6","properties":{"formattedCitation":"[43]","plainCitation":"[43]"},"</w:instrText>
      </w:r>
      <w:r>
        <w:rPr>
          <w:noProof/>
        </w:rPr>
        <w:instrText>citationItems":[{"id":296,"uris":["http://zotero.org/groups/583788/items/QMQ8R4SG"],"uri":["http://zotero.org/groups/583788/items/QMQ8R4SG"],"itemData":{"id":296,"type":"entry-encyclopedia","title":"Virtual machine","container-title":"Wikipedia, the free e</w:instrText>
      </w:r>
      <w:r>
        <w:rPr>
          <w:noProof/>
        </w:rPr>
        <w:instrText>ncyclopedia","source":"Wikipedia","abstract":"In computing, a virtual machine (VM) is an emulation of a given computer system. Virtual machines operate based on the computer architecture and functions of a real or hypothetical computer, and their implement</w:instrText>
      </w:r>
      <w:r>
        <w:rPr>
          <w:noProof/>
        </w:rPr>
        <w:instrText>ations may involve specialized hardware, software, or a combination.\nThere are different kinds of virtual machines, each with different functions. System virtual machines (also termed full virtualization VMs) provide a complete substitute for the targeted</w:instrText>
      </w:r>
      <w:r>
        <w:rPr>
          <w:noProof/>
        </w:rPr>
        <w:instrText xml:space="preserve"> real machine and a level of function needed to execute a full operating system. A hypervisor uses native execution to share and manage hardware, allowing multiple different environments, isolated from each other, to be executed on the same physical machin</w:instrText>
      </w:r>
      <w:r>
        <w:rPr>
          <w:noProof/>
        </w:rPr>
        <w:instrText>e. Modern hypervisors use hardware-assisted virtualization, which provides efficient and full virtualization by using virtualization-specific hardware capabilities, primarily from the host CPUs. Process virtual machines are designed to execute one computer</w:instrText>
      </w:r>
      <w:r>
        <w:rPr>
          <w:noProof/>
        </w:rPr>
        <w:instrText xml:space="preserve"> program by providing an abstracted and platform-independent program execution environment.\nSome virtual machines, such as QEMU, are designed to also emulate different architectures and allow execution of software applications and operating systems writte</w:instrText>
      </w:r>
      <w:r>
        <w:rPr>
          <w:noProof/>
        </w:rPr>
        <w:instrText>n for another CPU or architecture. Operating-system-level virtualization allows the resources of a computer to be partitioned via the kernel's support for multiple isolated user space instances, which are usually called containers and may look and feel lik</w:instrText>
      </w:r>
      <w:r>
        <w:rPr>
          <w:noProof/>
        </w:rPr>
        <w:instrText>e real machines to the end users.","URL":"https://en.wikipedia.org/w/index.php?title=Virtual_machine&amp;oldid=730790890","note":"Page Version ID: 730790890","language":"en","issued":{"date-parts":[["2016",7,21]]},"accessed":{"date-parts":[["2016",7,25]]}}}],"</w:instrText>
      </w:r>
      <w:r>
        <w:rPr>
          <w:noProof/>
        </w:rPr>
        <w:instrText xml:space="preserve">schema":"https://github.com/citation-style-language/schema/raw/master/csl-citation.json"} </w:instrText>
      </w:r>
      <w:r>
        <w:rPr>
          <w:noProof/>
        </w:rPr>
        <w:fldChar w:fldCharType="separate"/>
      </w:r>
      <w:r>
        <w:rPr>
          <w:noProof/>
        </w:rPr>
        <w:t>[43]</w:t>
      </w:r>
      <w:r>
        <w:rPr>
          <w:noProof/>
        </w:rPr>
        <w:fldChar w:fldCharType="end"/>
      </w:r>
    </w:p>
    <w:p w:rsidR="0077224F" w:rsidRDefault="00D973EE">
      <w:pPr>
        <w:rPr>
          <w:noProof/>
        </w:rPr>
      </w:pPr>
      <w:r>
        <w:rPr>
          <w:b/>
          <w:noProof/>
        </w:rPr>
        <w:t xml:space="preserve">Webpage. </w:t>
      </w:r>
      <w:r>
        <w:rPr>
          <w:noProof/>
        </w:rPr>
        <w:t>A HTML interface displayed in the client web browsers that may include links or embed web applications. A webpage may also display content using othe</w:t>
      </w:r>
      <w:r>
        <w:rPr>
          <w:noProof/>
        </w:rPr>
        <w:t>r technologies such as Javascript, Scable Vector Grap</w:t>
      </w:r>
      <w:r>
        <w:rPr>
          <w:i/>
          <w:noProof/>
        </w:rPr>
        <w:t>hic</w:t>
      </w:r>
      <w:r>
        <w:rPr>
          <w:noProof/>
        </w:rPr>
        <w:t>s (SVG), PHP, etc.</w:t>
      </w:r>
    </w:p>
    <w:p w:rsidR="0077224F" w:rsidRDefault="00D973EE">
      <w:pPr>
        <w:rPr>
          <w:noProof/>
        </w:rPr>
      </w:pPr>
      <w:r>
        <w:rPr>
          <w:b/>
          <w:noProof/>
        </w:rPr>
        <w:t>Web Application</w:t>
      </w:r>
      <w:r>
        <w:rPr>
          <w:noProof/>
        </w:rPr>
        <w:t xml:space="preserve">. A client-server application where the client runs in a web browser </w:t>
      </w:r>
      <w:r>
        <w:rPr>
          <w:noProof/>
        </w:rPr>
        <w:fldChar w:fldCharType="begin"/>
      </w:r>
      <w:r>
        <w:rPr>
          <w:noProof/>
        </w:rPr>
        <w:instrText xml:space="preserve"> ADDIN ZOTERO_ITEM CSL_CITATION {"citationID":"s8umd7o8g","properties":{"formattedCitation":"[44]</w:instrText>
      </w:r>
      <w:r>
        <w:rPr>
          <w:noProof/>
        </w:rPr>
        <w:instrText>","plainCitation":"[44]"},"citationItems":[{"id":1007,"uris":["http://zotero.org/groups/583788/items/44R24UCF"],"uri":["http://zotero.org/groups/583788/items/44R24UCF"],"itemData":{"id":1007,"type":"entry-encyclopedia","title":"Web application","container-</w:instrText>
      </w:r>
      <w:r>
        <w:rPr>
          <w:noProof/>
        </w:rPr>
        <w:instrText>title":"Wikipedia","source":"Wikipedia","abstract":"In computing, a web application or web app is a client–server software application in which the client (or user interface) runs in a web browser. Common web applications include webmail, online retail sal</w:instrText>
      </w:r>
      <w:r>
        <w:rPr>
          <w:noProof/>
        </w:rPr>
        <w:instrText>es, online auctions, wikis, instant messaging services and many other functions.","URL":"https://en.wikipedia.org/w/index.php?title=Web_application&amp;oldid=744727324","note":"Page Version ID: 744727324","language":"en","issued":{"date-parts":[["2016",10,17]]</w:instrText>
      </w:r>
      <w:r>
        <w:rPr>
          <w:noProof/>
        </w:rPr>
        <w:instrText xml:space="preserve">},"accessed":{"date-parts":[["2016",11,2]]}}}],"schema":"https://github.com/citation-style-language/schema/raw/master/csl-citation.json"} </w:instrText>
      </w:r>
      <w:r>
        <w:rPr>
          <w:noProof/>
        </w:rPr>
        <w:fldChar w:fldCharType="separate"/>
      </w:r>
      <w:r>
        <w:rPr>
          <w:noProof/>
        </w:rPr>
        <w:t>[44]</w:t>
      </w:r>
      <w:r>
        <w:rPr>
          <w:noProof/>
        </w:rPr>
        <w:fldChar w:fldCharType="end"/>
      </w:r>
      <w:r>
        <w:rPr>
          <w:noProof/>
        </w:rPr>
        <w:t>.</w:t>
      </w:r>
    </w:p>
    <w:p w:rsidR="0077224F" w:rsidRDefault="00D973EE">
      <w:pPr>
        <w:rPr>
          <w:noProof/>
        </w:rPr>
      </w:pPr>
      <w:r>
        <w:rPr>
          <w:b/>
          <w:noProof/>
        </w:rPr>
        <w:t xml:space="preserve">Website. </w:t>
      </w:r>
      <w:r>
        <w:rPr>
          <w:noProof/>
        </w:rPr>
        <w:t xml:space="preserve">A domain accessible through a HTTP protocol (e.g., www.google.com) that hosts a set of webpages and </w:t>
      </w:r>
      <w:r>
        <w:rPr>
          <w:noProof/>
        </w:rPr>
        <w:t>web applications.</w:t>
      </w:r>
    </w:p>
    <w:p w:rsidR="0077224F" w:rsidRDefault="00D973EE">
      <w:pPr>
        <w:rPr>
          <w:noProof/>
        </w:rPr>
      </w:pPr>
      <w:r>
        <w:rPr>
          <w:b/>
          <w:noProof/>
        </w:rPr>
        <w:t xml:space="preserve">Web browser add-ons. </w:t>
      </w:r>
      <w:r>
        <w:rPr>
          <w:noProof/>
        </w:rPr>
        <w:t>Program utilities that extend the capabilities of a browser.</w:t>
      </w:r>
    </w:p>
    <w:p w:rsidR="0077224F" w:rsidRDefault="00D973EE">
      <w:pPr>
        <w:rPr>
          <w:noProof/>
        </w:rPr>
      </w:pPr>
      <w:r>
        <w:rPr>
          <w:b/>
          <w:noProof/>
        </w:rPr>
        <w:t>Web browser plugins</w:t>
      </w:r>
      <w:r>
        <w:rPr>
          <w:noProof/>
        </w:rPr>
        <w:t>. See Web browser add-ons.</w:t>
      </w:r>
    </w:p>
    <w:p w:rsidR="0077224F" w:rsidRDefault="00D973EE">
      <w:pPr>
        <w:rPr>
          <w:noProof/>
        </w:rPr>
      </w:pPr>
      <w:r>
        <w:rPr>
          <w:b/>
          <w:noProof/>
        </w:rPr>
        <w:t>Web trackers.</w:t>
      </w:r>
      <w:r>
        <w:rPr>
          <w:noProof/>
        </w:rPr>
        <w:t xml:space="preserve"> Online platforms dedicated to collect user browsing information for advertisement purposes inclu</w:t>
      </w:r>
      <w:r>
        <w:rPr>
          <w:noProof/>
        </w:rPr>
        <w:t>ding all the visited websites, duration of the visit, outgoing visited links, and origin/source of link.</w:t>
      </w:r>
    </w:p>
    <w:p w:rsidR="0077224F" w:rsidRDefault="00D973EE">
      <w:pPr>
        <w:spacing w:before="0" w:after="0"/>
        <w:rPr>
          <w:noProof/>
        </w:rPr>
      </w:pPr>
      <w:r>
        <w:rPr>
          <w:noProof/>
        </w:rPr>
        <w:br w:type="page"/>
      </w:r>
    </w:p>
    <w:p w:rsidR="0077224F" w:rsidRDefault="00D973EE">
      <w:pPr>
        <w:pStyle w:val="Headingnonumber"/>
        <w:rPr>
          <w:noProof/>
        </w:rPr>
      </w:pPr>
      <w:bookmarkStart w:id="956" w:name="_Toc465876811"/>
      <w:bookmarkStart w:id="957" w:name="_Toc466024078"/>
      <w:bookmarkStart w:id="958" w:name="_Toc468790086"/>
      <w:bookmarkStart w:id="959" w:name="_Toc468794918"/>
      <w:bookmarkStart w:id="960" w:name="_Toc468795226"/>
      <w:r>
        <w:rPr>
          <w:noProof/>
        </w:rPr>
        <w:t>Appendix B. List of abbreviations</w:t>
      </w:r>
      <w:bookmarkEnd w:id="956"/>
      <w:bookmarkEnd w:id="957"/>
      <w:bookmarkEnd w:id="958"/>
      <w:bookmarkEnd w:id="959"/>
      <w:bookmarkEnd w:id="960"/>
    </w:p>
    <w:p w:rsidR="0077224F" w:rsidRDefault="00D973EE">
      <w:pPr>
        <w:spacing w:after="0"/>
        <w:contextualSpacing/>
        <w:rPr>
          <w:noProof/>
        </w:rPr>
      </w:pPr>
      <w:r>
        <w:rPr>
          <w:noProof/>
        </w:rPr>
        <w:t>AFP – Adobe Flash Player</w:t>
      </w:r>
    </w:p>
    <w:p w:rsidR="0077224F" w:rsidRDefault="00D973EE">
      <w:pPr>
        <w:spacing w:after="0"/>
        <w:contextualSpacing/>
        <w:rPr>
          <w:noProof/>
        </w:rPr>
      </w:pPr>
      <w:r>
        <w:rPr>
          <w:noProof/>
        </w:rPr>
        <w:t>API – Application Programming Interfaces</w:t>
      </w:r>
    </w:p>
    <w:p w:rsidR="0077224F" w:rsidRDefault="00D973EE">
      <w:pPr>
        <w:spacing w:after="0"/>
        <w:contextualSpacing/>
        <w:rPr>
          <w:noProof/>
        </w:rPr>
      </w:pPr>
      <w:r>
        <w:rPr>
          <w:noProof/>
        </w:rPr>
        <w:t>ART – Android Runtime</w:t>
      </w:r>
    </w:p>
    <w:p w:rsidR="0077224F" w:rsidRDefault="00D973EE">
      <w:pPr>
        <w:spacing w:after="0"/>
        <w:contextualSpacing/>
        <w:rPr>
          <w:noProof/>
        </w:rPr>
      </w:pPr>
      <w:r>
        <w:rPr>
          <w:noProof/>
        </w:rPr>
        <w:t>ASLR – Address Space Layout</w:t>
      </w:r>
      <w:r>
        <w:rPr>
          <w:noProof/>
        </w:rPr>
        <w:t xml:space="preserve"> Randomization</w:t>
      </w:r>
    </w:p>
    <w:p w:rsidR="0077224F" w:rsidRDefault="00D973EE">
      <w:pPr>
        <w:spacing w:after="0"/>
        <w:contextualSpacing/>
        <w:rPr>
          <w:noProof/>
        </w:rPr>
      </w:pPr>
      <w:r>
        <w:rPr>
          <w:noProof/>
        </w:rPr>
        <w:t>CA – Certificate Authority</w:t>
      </w:r>
    </w:p>
    <w:p w:rsidR="0077224F" w:rsidRDefault="00D973EE">
      <w:pPr>
        <w:spacing w:after="0"/>
        <w:contextualSpacing/>
        <w:rPr>
          <w:noProof/>
        </w:rPr>
      </w:pPr>
      <w:r>
        <w:rPr>
          <w:noProof/>
        </w:rPr>
        <w:t>DMA – Direct Memory Access</w:t>
      </w:r>
    </w:p>
    <w:p w:rsidR="0077224F" w:rsidRDefault="00D973EE">
      <w:pPr>
        <w:spacing w:after="0"/>
        <w:contextualSpacing/>
        <w:rPr>
          <w:noProof/>
        </w:rPr>
      </w:pPr>
      <w:r>
        <w:rPr>
          <w:noProof/>
        </w:rPr>
        <w:t>DNT – Do Not Track</w:t>
      </w:r>
    </w:p>
    <w:p w:rsidR="0077224F" w:rsidRDefault="00D973EE">
      <w:pPr>
        <w:spacing w:after="0"/>
        <w:contextualSpacing/>
        <w:rPr>
          <w:noProof/>
        </w:rPr>
      </w:pPr>
      <w:r>
        <w:rPr>
          <w:noProof/>
        </w:rPr>
        <w:t>DSM – Digital Single Market</w:t>
      </w:r>
    </w:p>
    <w:p w:rsidR="0077224F" w:rsidRDefault="00D973EE">
      <w:pPr>
        <w:spacing w:after="0"/>
        <w:contextualSpacing/>
        <w:rPr>
          <w:noProof/>
        </w:rPr>
      </w:pPr>
      <w:r>
        <w:rPr>
          <w:noProof/>
        </w:rPr>
        <w:t>DVM – Dalvik Virtual Machine</w:t>
      </w:r>
    </w:p>
    <w:p w:rsidR="0077224F" w:rsidRDefault="00D973EE">
      <w:pPr>
        <w:spacing w:after="0"/>
        <w:contextualSpacing/>
        <w:rPr>
          <w:noProof/>
        </w:rPr>
      </w:pPr>
      <w:r>
        <w:rPr>
          <w:noProof/>
        </w:rPr>
        <w:t>EPAL – Enterprise Privacy Authorization Language</w:t>
      </w:r>
    </w:p>
    <w:p w:rsidR="0077224F" w:rsidRDefault="00D973EE">
      <w:pPr>
        <w:spacing w:after="0"/>
        <w:contextualSpacing/>
        <w:rPr>
          <w:noProof/>
        </w:rPr>
      </w:pPr>
      <w:r>
        <w:rPr>
          <w:noProof/>
        </w:rPr>
        <w:t>GPS – Global Positioning System</w:t>
      </w:r>
    </w:p>
    <w:p w:rsidR="0077224F" w:rsidRDefault="00D973EE">
      <w:pPr>
        <w:spacing w:after="0"/>
        <w:contextualSpacing/>
        <w:rPr>
          <w:noProof/>
        </w:rPr>
      </w:pPr>
      <w:r>
        <w:rPr>
          <w:noProof/>
        </w:rPr>
        <w:t>HTTP – Hypertext Transfer Prot</w:t>
      </w:r>
      <w:r>
        <w:rPr>
          <w:noProof/>
        </w:rPr>
        <w:t>ocol</w:t>
      </w:r>
    </w:p>
    <w:p w:rsidR="0077224F" w:rsidRDefault="00D973EE">
      <w:pPr>
        <w:spacing w:after="0"/>
        <w:contextualSpacing/>
        <w:rPr>
          <w:noProof/>
        </w:rPr>
      </w:pPr>
      <w:r>
        <w:rPr>
          <w:noProof/>
        </w:rPr>
        <w:t>I2P – Invisible Internet Project</w:t>
      </w:r>
    </w:p>
    <w:p w:rsidR="0077224F" w:rsidRDefault="00D973EE">
      <w:pPr>
        <w:spacing w:after="0"/>
        <w:contextualSpacing/>
        <w:rPr>
          <w:noProof/>
        </w:rPr>
      </w:pPr>
      <w:r>
        <w:rPr>
          <w:noProof/>
        </w:rPr>
        <w:t>ID – Identity Document</w:t>
      </w:r>
    </w:p>
    <w:p w:rsidR="0077224F" w:rsidRDefault="00D973EE">
      <w:pPr>
        <w:spacing w:after="0"/>
        <w:contextualSpacing/>
        <w:rPr>
          <w:noProof/>
        </w:rPr>
      </w:pPr>
      <w:r>
        <w:rPr>
          <w:noProof/>
        </w:rPr>
        <w:t>IMEI – International Mobile Station Equipment Identity</w:t>
      </w:r>
    </w:p>
    <w:p w:rsidR="0077224F" w:rsidRDefault="00D973EE">
      <w:pPr>
        <w:spacing w:after="0"/>
        <w:contextualSpacing/>
        <w:rPr>
          <w:noProof/>
        </w:rPr>
      </w:pPr>
      <w:r>
        <w:rPr>
          <w:noProof/>
        </w:rPr>
        <w:t>IoT – Internet of Things</w:t>
      </w:r>
    </w:p>
    <w:p w:rsidR="0077224F" w:rsidRDefault="00D973EE">
      <w:pPr>
        <w:spacing w:after="0"/>
        <w:contextualSpacing/>
        <w:rPr>
          <w:noProof/>
        </w:rPr>
      </w:pPr>
      <w:r>
        <w:rPr>
          <w:noProof/>
        </w:rPr>
        <w:t>IP – Internet Protocol</w:t>
      </w:r>
    </w:p>
    <w:p w:rsidR="0077224F" w:rsidRDefault="00D973EE">
      <w:pPr>
        <w:spacing w:after="0"/>
        <w:contextualSpacing/>
        <w:rPr>
          <w:noProof/>
        </w:rPr>
      </w:pPr>
      <w:r>
        <w:rPr>
          <w:noProof/>
        </w:rPr>
        <w:t>IPC – Inter Process Communication</w:t>
      </w:r>
    </w:p>
    <w:p w:rsidR="0077224F" w:rsidRDefault="00D973EE">
      <w:pPr>
        <w:spacing w:after="0"/>
        <w:contextualSpacing/>
        <w:rPr>
          <w:noProof/>
        </w:rPr>
      </w:pPr>
      <w:r>
        <w:rPr>
          <w:noProof/>
        </w:rPr>
        <w:t>ISP – Internet Service Provider</w:t>
      </w:r>
    </w:p>
    <w:p w:rsidR="0077224F" w:rsidRDefault="00D973EE">
      <w:pPr>
        <w:spacing w:after="0"/>
        <w:contextualSpacing/>
        <w:rPr>
          <w:noProof/>
        </w:rPr>
      </w:pPr>
      <w:r>
        <w:rPr>
          <w:noProof/>
        </w:rPr>
        <w:t>LLB – Low-level Bootloader</w:t>
      </w:r>
    </w:p>
    <w:p w:rsidR="0077224F" w:rsidRDefault="00D973EE">
      <w:pPr>
        <w:spacing w:after="0"/>
        <w:contextualSpacing/>
        <w:rPr>
          <w:noProof/>
        </w:rPr>
      </w:pPr>
      <w:r>
        <w:rPr>
          <w:noProof/>
        </w:rPr>
        <w:t>MEMS – MicroelEctroMechanical Sensors</w:t>
      </w:r>
    </w:p>
    <w:p w:rsidR="0077224F" w:rsidRDefault="00D973EE">
      <w:pPr>
        <w:spacing w:after="0"/>
        <w:contextualSpacing/>
        <w:rPr>
          <w:noProof/>
        </w:rPr>
      </w:pPr>
      <w:r>
        <w:rPr>
          <w:noProof/>
        </w:rPr>
        <w:t>MMS – Multimedia Messaging Service</w:t>
      </w:r>
    </w:p>
    <w:p w:rsidR="0077224F" w:rsidRDefault="00D973EE">
      <w:pPr>
        <w:spacing w:after="0"/>
        <w:contextualSpacing/>
        <w:rPr>
          <w:noProof/>
        </w:rPr>
      </w:pPr>
      <w:r>
        <w:rPr>
          <w:noProof/>
        </w:rPr>
        <w:t>MS – Microsoft</w:t>
      </w:r>
    </w:p>
    <w:p w:rsidR="0077224F" w:rsidRDefault="00D973EE">
      <w:pPr>
        <w:spacing w:after="0"/>
        <w:contextualSpacing/>
        <w:rPr>
          <w:noProof/>
        </w:rPr>
      </w:pPr>
      <w:r>
        <w:rPr>
          <w:noProof/>
        </w:rPr>
        <w:t>OEM – Original Equipment Manufacturers</w:t>
      </w:r>
    </w:p>
    <w:p w:rsidR="0077224F" w:rsidRDefault="00D973EE">
      <w:pPr>
        <w:spacing w:after="0"/>
        <w:contextualSpacing/>
        <w:rPr>
          <w:noProof/>
        </w:rPr>
      </w:pPr>
      <w:r>
        <w:rPr>
          <w:noProof/>
        </w:rPr>
        <w:t>OS – Operating System</w:t>
      </w:r>
    </w:p>
    <w:p w:rsidR="0077224F" w:rsidRDefault="00D973EE">
      <w:pPr>
        <w:spacing w:after="0"/>
        <w:contextualSpacing/>
        <w:rPr>
          <w:noProof/>
        </w:rPr>
      </w:pPr>
      <w:r>
        <w:rPr>
          <w:noProof/>
        </w:rPr>
        <w:t xml:space="preserve">OWASP – Open Web Application Security Project </w:t>
      </w:r>
    </w:p>
    <w:p w:rsidR="0077224F" w:rsidRDefault="00D973EE">
      <w:pPr>
        <w:spacing w:after="0"/>
        <w:contextualSpacing/>
        <w:rPr>
          <w:noProof/>
        </w:rPr>
      </w:pPr>
      <w:r>
        <w:rPr>
          <w:noProof/>
        </w:rPr>
        <w:t>P3P – Privacy Preferences Project</w:t>
      </w:r>
    </w:p>
    <w:p w:rsidR="0077224F" w:rsidRDefault="00D973EE">
      <w:pPr>
        <w:spacing w:after="0"/>
        <w:contextualSpacing/>
        <w:rPr>
          <w:noProof/>
        </w:rPr>
      </w:pPr>
      <w:r>
        <w:rPr>
          <w:noProof/>
        </w:rPr>
        <w:t xml:space="preserve">PDF – Portable Document </w:t>
      </w:r>
      <w:r>
        <w:rPr>
          <w:noProof/>
        </w:rPr>
        <w:t>Format</w:t>
      </w:r>
    </w:p>
    <w:p w:rsidR="0077224F" w:rsidRDefault="00D973EE">
      <w:pPr>
        <w:spacing w:after="0"/>
        <w:contextualSpacing/>
        <w:rPr>
          <w:noProof/>
        </w:rPr>
      </w:pPr>
      <w:r>
        <w:rPr>
          <w:noProof/>
        </w:rPr>
        <w:t>PHP – PHP: Hypertext Preprocessor</w:t>
      </w:r>
    </w:p>
    <w:p w:rsidR="0077224F" w:rsidRDefault="00D973EE">
      <w:pPr>
        <w:spacing w:after="0"/>
        <w:contextualSpacing/>
        <w:rPr>
          <w:noProof/>
        </w:rPr>
      </w:pPr>
      <w:r>
        <w:rPr>
          <w:noProof/>
        </w:rPr>
        <w:t>PIE – Position Independent Executable</w:t>
      </w:r>
    </w:p>
    <w:p w:rsidR="0077224F" w:rsidRDefault="00D973EE">
      <w:pPr>
        <w:spacing w:after="0"/>
        <w:contextualSpacing/>
        <w:rPr>
          <w:noProof/>
        </w:rPr>
      </w:pPr>
      <w:r>
        <w:rPr>
          <w:noProof/>
        </w:rPr>
        <w:t>PUA – Potentially Unwanted Applications</w:t>
      </w:r>
    </w:p>
    <w:p w:rsidR="0077224F" w:rsidRDefault="00D973EE">
      <w:pPr>
        <w:spacing w:after="0"/>
        <w:contextualSpacing/>
        <w:rPr>
          <w:noProof/>
        </w:rPr>
      </w:pPr>
      <w:r>
        <w:rPr>
          <w:noProof/>
        </w:rPr>
        <w:t>ROM – Read Only Memory</w:t>
      </w:r>
    </w:p>
    <w:p w:rsidR="0077224F" w:rsidRDefault="00D973EE">
      <w:pPr>
        <w:spacing w:after="0"/>
        <w:contextualSpacing/>
        <w:rPr>
          <w:noProof/>
        </w:rPr>
      </w:pPr>
      <w:r>
        <w:rPr>
          <w:noProof/>
        </w:rPr>
        <w:t>SD – Secure Digital</w:t>
      </w:r>
    </w:p>
    <w:p w:rsidR="0077224F" w:rsidRDefault="00D973EE">
      <w:pPr>
        <w:spacing w:after="0"/>
        <w:contextualSpacing/>
        <w:rPr>
          <w:noProof/>
        </w:rPr>
      </w:pPr>
      <w:r>
        <w:rPr>
          <w:noProof/>
        </w:rPr>
        <w:t>SDK – Software Development Kit</w:t>
      </w:r>
    </w:p>
    <w:p w:rsidR="0077224F" w:rsidRDefault="00D973EE">
      <w:pPr>
        <w:spacing w:after="0"/>
        <w:contextualSpacing/>
        <w:rPr>
          <w:noProof/>
        </w:rPr>
      </w:pPr>
      <w:r>
        <w:rPr>
          <w:noProof/>
        </w:rPr>
        <w:t>SIM – Subscriber Identity Module</w:t>
      </w:r>
    </w:p>
    <w:p w:rsidR="0077224F" w:rsidRDefault="00D973EE">
      <w:pPr>
        <w:spacing w:after="0"/>
        <w:contextualSpacing/>
        <w:rPr>
          <w:noProof/>
        </w:rPr>
      </w:pPr>
      <w:r>
        <w:rPr>
          <w:noProof/>
        </w:rPr>
        <w:t>SMS – Short Message Service</w:t>
      </w:r>
    </w:p>
    <w:p w:rsidR="0077224F" w:rsidRDefault="00D973EE">
      <w:pPr>
        <w:spacing w:after="0"/>
        <w:contextualSpacing/>
        <w:rPr>
          <w:noProof/>
        </w:rPr>
      </w:pPr>
      <w:r>
        <w:rPr>
          <w:noProof/>
        </w:rPr>
        <w:t>SVG – Scalable Vector Graphics</w:t>
      </w:r>
    </w:p>
    <w:p w:rsidR="0077224F" w:rsidRDefault="00D973EE">
      <w:pPr>
        <w:spacing w:after="0"/>
        <w:contextualSpacing/>
        <w:rPr>
          <w:noProof/>
        </w:rPr>
      </w:pPr>
      <w:r>
        <w:rPr>
          <w:noProof/>
        </w:rPr>
        <w:t>TEE – Trusted Execution Environment</w:t>
      </w:r>
    </w:p>
    <w:p w:rsidR="0077224F" w:rsidRDefault="00D973EE">
      <w:pPr>
        <w:spacing w:after="0"/>
        <w:contextualSpacing/>
        <w:rPr>
          <w:noProof/>
          <w:lang w:val="fr-BE"/>
        </w:rPr>
      </w:pPr>
      <w:r>
        <w:rPr>
          <w:noProof/>
          <w:lang w:val="fr-BE"/>
        </w:rPr>
        <w:t>UAC – User Account Control</w:t>
      </w:r>
    </w:p>
    <w:p w:rsidR="0077224F" w:rsidRDefault="00D973EE">
      <w:pPr>
        <w:spacing w:after="0"/>
        <w:contextualSpacing/>
        <w:rPr>
          <w:noProof/>
          <w:lang w:val="fr-BE"/>
        </w:rPr>
      </w:pPr>
      <w:r>
        <w:rPr>
          <w:noProof/>
          <w:lang w:val="fr-BE"/>
        </w:rPr>
        <w:t>UID – Unique Identifier</w:t>
      </w:r>
    </w:p>
    <w:p w:rsidR="0077224F" w:rsidRDefault="00D973EE">
      <w:pPr>
        <w:spacing w:after="0"/>
        <w:contextualSpacing/>
        <w:rPr>
          <w:noProof/>
        </w:rPr>
      </w:pPr>
      <w:r>
        <w:rPr>
          <w:noProof/>
        </w:rPr>
        <w:t>VOIP – Voice Over IP</w:t>
      </w:r>
    </w:p>
    <w:p w:rsidR="0077224F" w:rsidRDefault="00D973EE">
      <w:pPr>
        <w:spacing w:after="0"/>
        <w:contextualSpacing/>
        <w:rPr>
          <w:noProof/>
        </w:rPr>
      </w:pPr>
      <w:r>
        <w:rPr>
          <w:noProof/>
        </w:rPr>
        <w:t>WAP – Web Application Provider</w:t>
      </w:r>
    </w:p>
    <w:p w:rsidR="0077224F" w:rsidRDefault="00D973EE">
      <w:pPr>
        <w:spacing w:after="0"/>
        <w:contextualSpacing/>
        <w:rPr>
          <w:noProof/>
        </w:rPr>
      </w:pPr>
      <w:r>
        <w:rPr>
          <w:noProof/>
        </w:rPr>
        <w:t>WOT – Web Of Trust</w:t>
      </w:r>
      <w:r>
        <w:rPr>
          <w:noProof/>
        </w:rPr>
        <w:br w:type="page"/>
      </w:r>
    </w:p>
    <w:p w:rsidR="0077224F" w:rsidRDefault="00D973EE">
      <w:pPr>
        <w:pStyle w:val="Headingnonumber"/>
        <w:rPr>
          <w:noProof/>
        </w:rPr>
      </w:pPr>
      <w:bookmarkStart w:id="961" w:name="_Toc465876812"/>
      <w:bookmarkStart w:id="962" w:name="_Toc466024079"/>
      <w:bookmarkStart w:id="963" w:name="_Toc468790087"/>
      <w:bookmarkStart w:id="964" w:name="_Toc468794919"/>
      <w:bookmarkStart w:id="965" w:name="_Toc468795227"/>
      <w:r>
        <w:rPr>
          <w:noProof/>
        </w:rPr>
        <w:t>List of figures</w:t>
      </w:r>
      <w:bookmarkEnd w:id="961"/>
      <w:bookmarkEnd w:id="962"/>
      <w:bookmarkEnd w:id="963"/>
      <w:bookmarkEnd w:id="964"/>
      <w:bookmarkEnd w:id="965"/>
    </w:p>
    <w:p w:rsidR="0077224F" w:rsidRDefault="00D973EE">
      <w:pPr>
        <w:pStyle w:val="TableofFigures"/>
        <w:tabs>
          <w:tab w:val="right" w:leader="dot" w:pos="9010"/>
        </w:tabs>
        <w:rPr>
          <w:rFonts w:asciiTheme="minorHAnsi" w:eastAsiaTheme="minorEastAsia" w:hAnsiTheme="minorHAnsi" w:cstheme="minorBidi"/>
          <w:noProof/>
          <w:sz w:val="22"/>
          <w:szCs w:val="22"/>
          <w:lang w:eastAsia="en-GB"/>
        </w:rPr>
      </w:pPr>
      <w:r>
        <w:rPr>
          <w:noProof/>
        </w:rPr>
        <w:fldChar w:fldCharType="begin"/>
      </w:r>
      <w:r>
        <w:rPr>
          <w:noProof/>
        </w:rPr>
        <w:instrText xml:space="preserve"> TOC \h \z \c "Figure" </w:instrText>
      </w:r>
      <w:r>
        <w:rPr>
          <w:noProof/>
        </w:rPr>
        <w:fldChar w:fldCharType="separate"/>
      </w:r>
      <w:hyperlink w:anchor="_Toc466024081" w:history="1">
        <w:r>
          <w:rPr>
            <w:rStyle w:val="Hyperlink"/>
            <w:noProof/>
          </w:rPr>
          <w:t>Figure 1 – Abstract architecture diagram</w:t>
        </w:r>
        <w:r>
          <w:rPr>
            <w:noProof/>
            <w:webHidden/>
          </w:rPr>
          <w:tab/>
        </w:r>
        <w:r>
          <w:rPr>
            <w:noProof/>
            <w:webHidden/>
          </w:rPr>
          <w:fldChar w:fldCharType="begin"/>
        </w:r>
        <w:r>
          <w:rPr>
            <w:noProof/>
            <w:webHidden/>
          </w:rPr>
          <w:instrText xml:space="preserve"> PAGEREF _Toc466024081 \h </w:instrText>
        </w:r>
        <w:r>
          <w:rPr>
            <w:noProof/>
            <w:webHidden/>
          </w:rPr>
        </w:r>
        <w:r>
          <w:rPr>
            <w:noProof/>
            <w:webHidden/>
          </w:rPr>
          <w:fldChar w:fldCharType="separate"/>
        </w:r>
        <w:r>
          <w:rPr>
            <w:noProof/>
            <w:webHidden/>
          </w:rPr>
          <w:t>5</w:t>
        </w:r>
        <w:r>
          <w:rPr>
            <w:noProof/>
            <w:webHidden/>
          </w:rPr>
          <w:fldChar w:fldCharType="end"/>
        </w:r>
      </w:hyperlink>
    </w:p>
    <w:p w:rsidR="0077224F" w:rsidRDefault="00D973EE">
      <w:pPr>
        <w:pStyle w:val="TableofFigures"/>
        <w:tabs>
          <w:tab w:val="right" w:leader="dot" w:pos="9010"/>
        </w:tabs>
        <w:rPr>
          <w:rFonts w:asciiTheme="minorHAnsi" w:eastAsiaTheme="minorEastAsia" w:hAnsiTheme="minorHAnsi" w:cstheme="minorBidi"/>
          <w:noProof/>
          <w:sz w:val="22"/>
          <w:szCs w:val="22"/>
          <w:lang w:eastAsia="en-GB"/>
        </w:rPr>
      </w:pPr>
      <w:hyperlink w:anchor="_Toc466024082" w:history="1">
        <w:r>
          <w:rPr>
            <w:rStyle w:val="Hyperlink"/>
            <w:noProof/>
          </w:rPr>
          <w:t>Figure 2 – User Applications and Server Services</w:t>
        </w:r>
        <w:r>
          <w:rPr>
            <w:noProof/>
            <w:webHidden/>
          </w:rPr>
          <w:tab/>
        </w:r>
        <w:r>
          <w:rPr>
            <w:noProof/>
            <w:webHidden/>
          </w:rPr>
          <w:fldChar w:fldCharType="begin"/>
        </w:r>
        <w:r>
          <w:rPr>
            <w:noProof/>
            <w:webHidden/>
          </w:rPr>
          <w:instrText xml:space="preserve"> PAGEREF _Toc466024082 \h </w:instrText>
        </w:r>
        <w:r>
          <w:rPr>
            <w:noProof/>
            <w:webHidden/>
          </w:rPr>
        </w:r>
        <w:r>
          <w:rPr>
            <w:noProof/>
            <w:webHidden/>
          </w:rPr>
          <w:fldChar w:fldCharType="separate"/>
        </w:r>
        <w:r>
          <w:rPr>
            <w:noProof/>
            <w:webHidden/>
          </w:rPr>
          <w:t>6</w:t>
        </w:r>
        <w:r>
          <w:rPr>
            <w:noProof/>
            <w:webHidden/>
          </w:rPr>
          <w:fldChar w:fldCharType="end"/>
        </w:r>
      </w:hyperlink>
    </w:p>
    <w:p w:rsidR="0077224F" w:rsidRDefault="00D973EE">
      <w:pPr>
        <w:pStyle w:val="TableofFigures"/>
        <w:tabs>
          <w:tab w:val="right" w:leader="dot" w:pos="9010"/>
        </w:tabs>
        <w:rPr>
          <w:rFonts w:asciiTheme="minorHAnsi" w:eastAsiaTheme="minorEastAsia" w:hAnsiTheme="minorHAnsi" w:cstheme="minorBidi"/>
          <w:noProof/>
          <w:sz w:val="22"/>
          <w:szCs w:val="22"/>
          <w:lang w:eastAsia="en-GB"/>
        </w:rPr>
      </w:pPr>
      <w:hyperlink w:anchor="_Toc466024083" w:history="1">
        <w:r>
          <w:rPr>
            <w:rStyle w:val="Hyperlink"/>
            <w:noProof/>
          </w:rPr>
          <w:t>Figure 3 – Android software stack</w:t>
        </w:r>
        <w:r>
          <w:rPr>
            <w:noProof/>
            <w:webHidden/>
          </w:rPr>
          <w:tab/>
        </w:r>
        <w:r>
          <w:rPr>
            <w:noProof/>
            <w:webHidden/>
          </w:rPr>
          <w:fldChar w:fldCharType="begin"/>
        </w:r>
        <w:r>
          <w:rPr>
            <w:noProof/>
            <w:webHidden/>
          </w:rPr>
          <w:instrText xml:space="preserve"> PAGEREF _Toc466024083 \h </w:instrText>
        </w:r>
        <w:r>
          <w:rPr>
            <w:noProof/>
            <w:webHidden/>
          </w:rPr>
        </w:r>
        <w:r>
          <w:rPr>
            <w:noProof/>
            <w:webHidden/>
          </w:rPr>
          <w:fldChar w:fldCharType="separate"/>
        </w:r>
        <w:r>
          <w:rPr>
            <w:noProof/>
            <w:webHidden/>
          </w:rPr>
          <w:t>14</w:t>
        </w:r>
        <w:r>
          <w:rPr>
            <w:noProof/>
            <w:webHidden/>
          </w:rPr>
          <w:fldChar w:fldCharType="end"/>
        </w:r>
      </w:hyperlink>
    </w:p>
    <w:p w:rsidR="0077224F" w:rsidRDefault="00D973EE">
      <w:pPr>
        <w:pStyle w:val="TableofFigures"/>
        <w:tabs>
          <w:tab w:val="right" w:leader="dot" w:pos="9010"/>
        </w:tabs>
        <w:rPr>
          <w:rFonts w:asciiTheme="minorHAnsi" w:eastAsiaTheme="minorEastAsia" w:hAnsiTheme="minorHAnsi" w:cstheme="minorBidi"/>
          <w:noProof/>
          <w:sz w:val="22"/>
          <w:szCs w:val="22"/>
          <w:lang w:eastAsia="en-GB"/>
        </w:rPr>
      </w:pPr>
      <w:r>
        <w:rPr>
          <w:noProof/>
        </w:rPr>
        <w:t>Figure 4 – Permissions on Android prior to version 6.0.</w:t>
      </w:r>
      <w:r>
        <w:rPr>
          <w:noProof/>
          <w:webHidden/>
        </w:rPr>
        <w:tab/>
      </w:r>
    </w:p>
    <w:p w:rsidR="0077224F" w:rsidRDefault="00D973EE">
      <w:pPr>
        <w:pStyle w:val="TableofFigures"/>
        <w:tabs>
          <w:tab w:val="right" w:leader="dot" w:pos="9010"/>
        </w:tabs>
        <w:rPr>
          <w:rFonts w:asciiTheme="minorHAnsi" w:eastAsiaTheme="minorEastAsia" w:hAnsiTheme="minorHAnsi" w:cstheme="minorBidi"/>
          <w:noProof/>
          <w:sz w:val="22"/>
          <w:szCs w:val="22"/>
          <w:lang w:eastAsia="en-GB"/>
        </w:rPr>
      </w:pPr>
      <w:hyperlink w:anchor="_Toc466024085" w:history="1">
        <w:r>
          <w:rPr>
            <w:rStyle w:val="Hyperlink"/>
            <w:noProof/>
          </w:rPr>
          <w:t>Figure 5 – An app is asking for a permission to use the device’s location (Android 6.0)</w:t>
        </w:r>
        <w:r>
          <w:rPr>
            <w:noProof/>
            <w:webHidden/>
          </w:rPr>
          <w:tab/>
        </w:r>
        <w:r>
          <w:rPr>
            <w:noProof/>
            <w:webHidden/>
          </w:rPr>
          <w:fldChar w:fldCharType="begin"/>
        </w:r>
        <w:r>
          <w:rPr>
            <w:noProof/>
            <w:webHidden/>
          </w:rPr>
          <w:instrText xml:space="preserve"> PAGEREF _Toc</w:instrText>
        </w:r>
        <w:r>
          <w:rPr>
            <w:noProof/>
            <w:webHidden/>
          </w:rPr>
          <w:instrText xml:space="preserve">466024085 \h </w:instrText>
        </w:r>
        <w:r>
          <w:rPr>
            <w:noProof/>
            <w:webHidden/>
          </w:rPr>
        </w:r>
        <w:r>
          <w:rPr>
            <w:noProof/>
            <w:webHidden/>
          </w:rPr>
          <w:fldChar w:fldCharType="separate"/>
        </w:r>
        <w:r>
          <w:rPr>
            <w:noProof/>
            <w:webHidden/>
          </w:rPr>
          <w:t>16</w:t>
        </w:r>
        <w:r>
          <w:rPr>
            <w:noProof/>
            <w:webHidden/>
          </w:rPr>
          <w:fldChar w:fldCharType="end"/>
        </w:r>
      </w:hyperlink>
    </w:p>
    <w:p w:rsidR="0077224F" w:rsidRDefault="00D973EE">
      <w:pPr>
        <w:pStyle w:val="TableofFigures"/>
        <w:tabs>
          <w:tab w:val="right" w:leader="dot" w:pos="9010"/>
        </w:tabs>
        <w:rPr>
          <w:rFonts w:asciiTheme="minorHAnsi" w:eastAsiaTheme="minorEastAsia" w:hAnsiTheme="minorHAnsi" w:cstheme="minorBidi"/>
          <w:noProof/>
          <w:sz w:val="22"/>
          <w:szCs w:val="22"/>
          <w:lang w:eastAsia="en-GB"/>
        </w:rPr>
      </w:pPr>
      <w:hyperlink w:anchor="_Toc466024086" w:history="1">
        <w:r>
          <w:rPr>
            <w:rStyle w:val="Hyperlink"/>
            <w:noProof/>
          </w:rPr>
          <w:t>Figure 6 – The user can manually change the permissions of all apps (Android 6.0)</w:t>
        </w:r>
        <w:r>
          <w:rPr>
            <w:noProof/>
            <w:webHidden/>
          </w:rPr>
          <w:tab/>
        </w:r>
        <w:r>
          <w:rPr>
            <w:noProof/>
            <w:webHidden/>
          </w:rPr>
          <w:fldChar w:fldCharType="begin"/>
        </w:r>
        <w:r>
          <w:rPr>
            <w:noProof/>
            <w:webHidden/>
          </w:rPr>
          <w:instrText xml:space="preserve"> PAGEREF _Toc466024086 \h </w:instrText>
        </w:r>
        <w:r>
          <w:rPr>
            <w:noProof/>
            <w:webHidden/>
          </w:rPr>
        </w:r>
        <w:r>
          <w:rPr>
            <w:noProof/>
            <w:webHidden/>
          </w:rPr>
          <w:fldChar w:fldCharType="separate"/>
        </w:r>
        <w:r>
          <w:rPr>
            <w:noProof/>
            <w:webHidden/>
          </w:rPr>
          <w:t>17</w:t>
        </w:r>
        <w:r>
          <w:rPr>
            <w:noProof/>
            <w:webHidden/>
          </w:rPr>
          <w:fldChar w:fldCharType="end"/>
        </w:r>
      </w:hyperlink>
    </w:p>
    <w:p w:rsidR="0077224F" w:rsidRDefault="00D973EE">
      <w:pPr>
        <w:pStyle w:val="TableofFigures"/>
        <w:tabs>
          <w:tab w:val="right" w:leader="dot" w:pos="9010"/>
        </w:tabs>
        <w:rPr>
          <w:rFonts w:asciiTheme="minorHAnsi" w:eastAsiaTheme="minorEastAsia" w:hAnsiTheme="minorHAnsi" w:cstheme="minorBidi"/>
          <w:noProof/>
          <w:sz w:val="22"/>
          <w:szCs w:val="22"/>
          <w:lang w:eastAsia="en-GB"/>
        </w:rPr>
      </w:pPr>
      <w:hyperlink w:anchor="_Toc466024087" w:history="1">
        <w:r>
          <w:rPr>
            <w:rStyle w:val="Hyperlink"/>
            <w:noProof/>
          </w:rPr>
          <w:t>Figure 7 – iOS Security Architecture</w:t>
        </w:r>
        <w:r>
          <w:rPr>
            <w:noProof/>
            <w:webHidden/>
          </w:rPr>
          <w:tab/>
        </w:r>
        <w:r>
          <w:rPr>
            <w:noProof/>
            <w:webHidden/>
          </w:rPr>
          <w:fldChar w:fldCharType="begin"/>
        </w:r>
        <w:r>
          <w:rPr>
            <w:noProof/>
            <w:webHidden/>
          </w:rPr>
          <w:instrText xml:space="preserve"> PAGEREF _Toc466024087 \h </w:instrText>
        </w:r>
        <w:r>
          <w:rPr>
            <w:noProof/>
            <w:webHidden/>
          </w:rPr>
        </w:r>
        <w:r>
          <w:rPr>
            <w:noProof/>
            <w:webHidden/>
          </w:rPr>
          <w:fldChar w:fldCharType="separate"/>
        </w:r>
        <w:r>
          <w:rPr>
            <w:noProof/>
            <w:webHidden/>
          </w:rPr>
          <w:t>18</w:t>
        </w:r>
        <w:r>
          <w:rPr>
            <w:noProof/>
            <w:webHidden/>
          </w:rPr>
          <w:fldChar w:fldCharType="end"/>
        </w:r>
      </w:hyperlink>
    </w:p>
    <w:p w:rsidR="0077224F" w:rsidRDefault="00D973EE">
      <w:pPr>
        <w:pStyle w:val="TableofFigures"/>
        <w:tabs>
          <w:tab w:val="right" w:leader="dot" w:pos="9010"/>
        </w:tabs>
        <w:rPr>
          <w:rFonts w:asciiTheme="minorHAnsi" w:eastAsiaTheme="minorEastAsia" w:hAnsiTheme="minorHAnsi" w:cstheme="minorBidi"/>
          <w:noProof/>
          <w:sz w:val="22"/>
          <w:szCs w:val="22"/>
          <w:lang w:eastAsia="en-GB"/>
        </w:rPr>
      </w:pPr>
      <w:r>
        <w:rPr>
          <w:noProof/>
        </w:rPr>
        <w:t xml:space="preserve">Figure 8 – An app is asking to access the location </w:t>
      </w:r>
      <w:r>
        <w:rPr>
          <w:noProof/>
        </w:rPr>
        <w:t>data in iOS</w:t>
      </w:r>
      <w:r>
        <w:rPr>
          <w:noProof/>
          <w:webHidden/>
        </w:rPr>
        <w:tab/>
      </w:r>
    </w:p>
    <w:p w:rsidR="0077224F" w:rsidRDefault="00D973EE">
      <w:pPr>
        <w:pStyle w:val="TableofFigures"/>
        <w:tabs>
          <w:tab w:val="right" w:leader="dot" w:pos="9010"/>
        </w:tabs>
        <w:rPr>
          <w:rFonts w:asciiTheme="minorHAnsi" w:eastAsiaTheme="minorEastAsia" w:hAnsiTheme="minorHAnsi" w:cstheme="minorBidi"/>
          <w:noProof/>
          <w:sz w:val="22"/>
          <w:szCs w:val="22"/>
          <w:lang w:eastAsia="en-GB"/>
        </w:rPr>
      </w:pPr>
      <w:hyperlink w:anchor="_Toc466024089" w:history="1">
        <w:r>
          <w:rPr>
            <w:rStyle w:val="Hyperlink"/>
            <w:noProof/>
          </w:rPr>
          <w:t>Figure 9 – Just as on Android 6.0, the user can manually change all permissions in iOS</w:t>
        </w:r>
        <w:r>
          <w:rPr>
            <w:noProof/>
            <w:webHidden/>
          </w:rPr>
          <w:tab/>
        </w:r>
        <w:r>
          <w:rPr>
            <w:noProof/>
            <w:webHidden/>
          </w:rPr>
          <w:fldChar w:fldCharType="begin"/>
        </w:r>
        <w:r>
          <w:rPr>
            <w:noProof/>
            <w:webHidden/>
          </w:rPr>
          <w:instrText xml:space="preserve"> PAGEREF _Toc466024089 \h </w:instrText>
        </w:r>
        <w:r>
          <w:rPr>
            <w:noProof/>
            <w:webHidden/>
          </w:rPr>
        </w:r>
        <w:r>
          <w:rPr>
            <w:noProof/>
            <w:webHidden/>
          </w:rPr>
          <w:fldChar w:fldCharType="separate"/>
        </w:r>
        <w:r>
          <w:rPr>
            <w:noProof/>
            <w:webHidden/>
          </w:rPr>
          <w:t>20</w:t>
        </w:r>
        <w:r>
          <w:rPr>
            <w:noProof/>
            <w:webHidden/>
          </w:rPr>
          <w:fldChar w:fldCharType="end"/>
        </w:r>
      </w:hyperlink>
    </w:p>
    <w:p w:rsidR="0077224F" w:rsidRDefault="00D973EE">
      <w:pPr>
        <w:pStyle w:val="TableofFigures"/>
        <w:tabs>
          <w:tab w:val="right" w:leader="dot" w:pos="9010"/>
        </w:tabs>
        <w:rPr>
          <w:rFonts w:asciiTheme="minorHAnsi" w:eastAsiaTheme="minorEastAsia" w:hAnsiTheme="minorHAnsi" w:cstheme="minorBidi"/>
          <w:noProof/>
          <w:sz w:val="22"/>
          <w:szCs w:val="22"/>
          <w:lang w:eastAsia="en-GB"/>
        </w:rPr>
      </w:pPr>
      <w:hyperlink w:anchor="_Toc466024090" w:history="1">
        <w:r>
          <w:rPr>
            <w:rStyle w:val="Hyperlink"/>
            <w:noProof/>
          </w:rPr>
          <w:t>Figure 10 – Access to page in server website.com</w:t>
        </w:r>
        <w:r>
          <w:rPr>
            <w:noProof/>
            <w:webHidden/>
          </w:rPr>
          <w:tab/>
        </w:r>
        <w:r>
          <w:rPr>
            <w:noProof/>
            <w:webHidden/>
          </w:rPr>
          <w:fldChar w:fldCharType="begin"/>
        </w:r>
        <w:r>
          <w:rPr>
            <w:noProof/>
            <w:webHidden/>
          </w:rPr>
          <w:instrText xml:space="preserve"> PAGEREF _Toc466024090 \h </w:instrText>
        </w:r>
        <w:r>
          <w:rPr>
            <w:noProof/>
            <w:webHidden/>
          </w:rPr>
        </w:r>
        <w:r>
          <w:rPr>
            <w:noProof/>
            <w:webHidden/>
          </w:rPr>
          <w:fldChar w:fldCharType="separate"/>
        </w:r>
        <w:r>
          <w:rPr>
            <w:noProof/>
            <w:webHidden/>
          </w:rPr>
          <w:t>30</w:t>
        </w:r>
        <w:r>
          <w:rPr>
            <w:noProof/>
            <w:webHidden/>
          </w:rPr>
          <w:fldChar w:fldCharType="end"/>
        </w:r>
      </w:hyperlink>
    </w:p>
    <w:p w:rsidR="0077224F" w:rsidRDefault="00D973EE">
      <w:pPr>
        <w:pStyle w:val="TableofFigures"/>
        <w:tabs>
          <w:tab w:val="right" w:leader="dot" w:pos="9010"/>
        </w:tabs>
        <w:rPr>
          <w:rFonts w:asciiTheme="minorHAnsi" w:eastAsiaTheme="minorEastAsia" w:hAnsiTheme="minorHAnsi" w:cstheme="minorBidi"/>
          <w:noProof/>
          <w:sz w:val="22"/>
          <w:szCs w:val="22"/>
          <w:lang w:eastAsia="en-GB"/>
        </w:rPr>
      </w:pPr>
      <w:hyperlink w:anchor="_Toc466024091" w:history="1">
        <w:r>
          <w:rPr>
            <w:rStyle w:val="Hyperlink"/>
            <w:noProof/>
          </w:rPr>
          <w:t>Figure 11 – Example of cookie and data flow in websites with embedded content</w:t>
        </w:r>
        <w:r>
          <w:rPr>
            <w:noProof/>
            <w:webHidden/>
          </w:rPr>
          <w:tab/>
        </w:r>
        <w:r>
          <w:rPr>
            <w:noProof/>
            <w:webHidden/>
          </w:rPr>
          <w:fldChar w:fldCharType="begin"/>
        </w:r>
        <w:r>
          <w:rPr>
            <w:noProof/>
            <w:webHidden/>
          </w:rPr>
          <w:instrText xml:space="preserve"> PAGEREF _Toc466024091 \h </w:instrText>
        </w:r>
        <w:r>
          <w:rPr>
            <w:noProof/>
            <w:webHidden/>
          </w:rPr>
        </w:r>
        <w:r>
          <w:rPr>
            <w:noProof/>
            <w:webHidden/>
          </w:rPr>
          <w:fldChar w:fldCharType="separate"/>
        </w:r>
        <w:r>
          <w:rPr>
            <w:noProof/>
            <w:webHidden/>
          </w:rPr>
          <w:t>30</w:t>
        </w:r>
        <w:r>
          <w:rPr>
            <w:noProof/>
            <w:webHidden/>
          </w:rPr>
          <w:fldChar w:fldCharType="end"/>
        </w:r>
      </w:hyperlink>
    </w:p>
    <w:p w:rsidR="0077224F" w:rsidRDefault="00D973EE">
      <w:pPr>
        <w:pStyle w:val="TableofFigures"/>
        <w:tabs>
          <w:tab w:val="right" w:leader="dot" w:pos="9010"/>
        </w:tabs>
        <w:rPr>
          <w:rFonts w:asciiTheme="minorHAnsi" w:eastAsiaTheme="minorEastAsia" w:hAnsiTheme="minorHAnsi" w:cstheme="minorBidi"/>
          <w:noProof/>
          <w:sz w:val="22"/>
          <w:szCs w:val="22"/>
          <w:lang w:eastAsia="en-GB"/>
        </w:rPr>
      </w:pPr>
      <w:hyperlink w:anchor="_Toc466024092" w:history="1">
        <w:r>
          <w:rPr>
            <w:rStyle w:val="Hyperlink"/>
            <w:noProof/>
          </w:rPr>
          <w:t>Figure 12 – Typical cookie format stored for news and e-commerce websites</w:t>
        </w:r>
        <w:r>
          <w:rPr>
            <w:noProof/>
            <w:webHidden/>
          </w:rPr>
          <w:tab/>
        </w:r>
        <w:r>
          <w:rPr>
            <w:noProof/>
            <w:webHidden/>
          </w:rPr>
          <w:fldChar w:fldCharType="begin"/>
        </w:r>
        <w:r>
          <w:rPr>
            <w:noProof/>
            <w:webHidden/>
          </w:rPr>
          <w:instrText xml:space="preserve"> PAGEREF _Toc466024092 \h </w:instrText>
        </w:r>
        <w:r>
          <w:rPr>
            <w:noProof/>
            <w:webHidden/>
          </w:rPr>
        </w:r>
        <w:r>
          <w:rPr>
            <w:noProof/>
            <w:webHidden/>
          </w:rPr>
          <w:fldChar w:fldCharType="separate"/>
        </w:r>
        <w:r>
          <w:rPr>
            <w:noProof/>
            <w:webHidden/>
          </w:rPr>
          <w:t>31</w:t>
        </w:r>
        <w:r>
          <w:rPr>
            <w:noProof/>
            <w:webHidden/>
          </w:rPr>
          <w:fldChar w:fldCharType="end"/>
        </w:r>
      </w:hyperlink>
    </w:p>
    <w:p w:rsidR="0077224F" w:rsidRDefault="00D973EE">
      <w:pPr>
        <w:pStyle w:val="TableofFigures"/>
        <w:tabs>
          <w:tab w:val="right" w:leader="dot" w:pos="9010"/>
        </w:tabs>
        <w:rPr>
          <w:rFonts w:asciiTheme="minorHAnsi" w:eastAsiaTheme="minorEastAsia" w:hAnsiTheme="minorHAnsi" w:cstheme="minorBidi"/>
          <w:noProof/>
          <w:sz w:val="22"/>
          <w:szCs w:val="22"/>
          <w:lang w:eastAsia="en-GB"/>
        </w:rPr>
      </w:pPr>
      <w:hyperlink w:anchor="_Toc466024093" w:history="1">
        <w:r>
          <w:rPr>
            <w:rStyle w:val="Hyperlink"/>
            <w:noProof/>
          </w:rPr>
          <w:t>Fi</w:t>
        </w:r>
        <w:r>
          <w:rPr>
            <w:rStyle w:val="Hyperlink"/>
            <w:noProof/>
          </w:rPr>
          <w:t>gure 13 – Vanilla Cookie Manager options</w:t>
        </w:r>
        <w:r>
          <w:rPr>
            <w:noProof/>
            <w:webHidden/>
          </w:rPr>
          <w:tab/>
        </w:r>
        <w:r>
          <w:rPr>
            <w:noProof/>
            <w:webHidden/>
          </w:rPr>
          <w:fldChar w:fldCharType="begin"/>
        </w:r>
        <w:r>
          <w:rPr>
            <w:noProof/>
            <w:webHidden/>
          </w:rPr>
          <w:instrText xml:space="preserve"> PAGEREF _Toc466024093 \h </w:instrText>
        </w:r>
        <w:r>
          <w:rPr>
            <w:noProof/>
            <w:webHidden/>
          </w:rPr>
        </w:r>
        <w:r>
          <w:rPr>
            <w:noProof/>
            <w:webHidden/>
          </w:rPr>
          <w:fldChar w:fldCharType="separate"/>
        </w:r>
        <w:r>
          <w:rPr>
            <w:noProof/>
            <w:webHidden/>
          </w:rPr>
          <w:t>32</w:t>
        </w:r>
        <w:r>
          <w:rPr>
            <w:noProof/>
            <w:webHidden/>
          </w:rPr>
          <w:fldChar w:fldCharType="end"/>
        </w:r>
      </w:hyperlink>
    </w:p>
    <w:p w:rsidR="0077224F" w:rsidRDefault="00D973EE">
      <w:pPr>
        <w:pStyle w:val="TableofFigures"/>
        <w:tabs>
          <w:tab w:val="right" w:leader="dot" w:pos="9010"/>
        </w:tabs>
        <w:rPr>
          <w:rFonts w:asciiTheme="minorHAnsi" w:eastAsiaTheme="minorEastAsia" w:hAnsiTheme="minorHAnsi" w:cstheme="minorBidi"/>
          <w:noProof/>
          <w:sz w:val="22"/>
          <w:szCs w:val="22"/>
          <w:lang w:eastAsia="en-GB"/>
        </w:rPr>
      </w:pPr>
      <w:hyperlink w:anchor="_Toc466024094" w:history="1">
        <w:r>
          <w:rPr>
            <w:rStyle w:val="Hyperlink"/>
            <w:noProof/>
          </w:rPr>
          <w:t>Figure 14 – Lightbeam add-on showing the tracker connection between two news websites</w:t>
        </w:r>
        <w:r>
          <w:rPr>
            <w:noProof/>
            <w:webHidden/>
          </w:rPr>
          <w:tab/>
        </w:r>
        <w:r>
          <w:rPr>
            <w:noProof/>
            <w:webHidden/>
          </w:rPr>
          <w:fldChar w:fldCharType="begin"/>
        </w:r>
        <w:r>
          <w:rPr>
            <w:noProof/>
            <w:webHidden/>
          </w:rPr>
          <w:instrText xml:space="preserve"> PAGEREF _Toc466024094 \h </w:instrText>
        </w:r>
        <w:r>
          <w:rPr>
            <w:noProof/>
            <w:webHidden/>
          </w:rPr>
        </w:r>
        <w:r>
          <w:rPr>
            <w:noProof/>
            <w:webHidden/>
          </w:rPr>
          <w:fldChar w:fldCharType="separate"/>
        </w:r>
        <w:r>
          <w:rPr>
            <w:noProof/>
            <w:webHidden/>
          </w:rPr>
          <w:t>33</w:t>
        </w:r>
        <w:r>
          <w:rPr>
            <w:noProof/>
            <w:webHidden/>
          </w:rPr>
          <w:fldChar w:fldCharType="end"/>
        </w:r>
      </w:hyperlink>
    </w:p>
    <w:p w:rsidR="0077224F" w:rsidRDefault="00D973EE">
      <w:pPr>
        <w:pStyle w:val="TableofFigures"/>
        <w:tabs>
          <w:tab w:val="right" w:leader="dot" w:pos="9010"/>
        </w:tabs>
        <w:rPr>
          <w:rFonts w:asciiTheme="minorHAnsi" w:eastAsiaTheme="minorEastAsia" w:hAnsiTheme="minorHAnsi" w:cstheme="minorBidi"/>
          <w:noProof/>
          <w:sz w:val="22"/>
          <w:szCs w:val="22"/>
          <w:lang w:eastAsia="en-GB"/>
        </w:rPr>
      </w:pPr>
      <w:hyperlink w:anchor="_Toc466024095" w:history="1">
        <w:r>
          <w:rPr>
            <w:rStyle w:val="Hyperlink"/>
            <w:noProof/>
          </w:rPr>
          <w:t>Figure 15 – Disconnect.me plugin showing advertising trackers</w:t>
        </w:r>
        <w:r>
          <w:rPr>
            <w:noProof/>
            <w:webHidden/>
          </w:rPr>
          <w:tab/>
        </w:r>
        <w:r>
          <w:rPr>
            <w:noProof/>
            <w:webHidden/>
          </w:rPr>
          <w:fldChar w:fldCharType="begin"/>
        </w:r>
        <w:r>
          <w:rPr>
            <w:noProof/>
            <w:webHidden/>
          </w:rPr>
          <w:instrText xml:space="preserve"> PAGEREF _Toc466024095 \h </w:instrText>
        </w:r>
        <w:r>
          <w:rPr>
            <w:noProof/>
            <w:webHidden/>
          </w:rPr>
        </w:r>
        <w:r>
          <w:rPr>
            <w:noProof/>
            <w:webHidden/>
          </w:rPr>
          <w:fldChar w:fldCharType="separate"/>
        </w:r>
        <w:r>
          <w:rPr>
            <w:noProof/>
            <w:webHidden/>
          </w:rPr>
          <w:t>34</w:t>
        </w:r>
        <w:r>
          <w:rPr>
            <w:noProof/>
            <w:webHidden/>
          </w:rPr>
          <w:fldChar w:fldCharType="end"/>
        </w:r>
      </w:hyperlink>
    </w:p>
    <w:p w:rsidR="0077224F" w:rsidRDefault="00D973EE">
      <w:pPr>
        <w:pStyle w:val="TableofFigures"/>
        <w:tabs>
          <w:tab w:val="right" w:leader="dot" w:pos="9010"/>
        </w:tabs>
        <w:rPr>
          <w:rFonts w:asciiTheme="minorHAnsi" w:eastAsiaTheme="minorEastAsia" w:hAnsiTheme="minorHAnsi" w:cstheme="minorBidi"/>
          <w:noProof/>
          <w:sz w:val="22"/>
          <w:szCs w:val="22"/>
          <w:lang w:eastAsia="en-GB"/>
        </w:rPr>
      </w:pPr>
      <w:hyperlink w:anchor="_Toc466024096" w:history="1">
        <w:r>
          <w:rPr>
            <w:rStyle w:val="Hyperlink"/>
            <w:noProof/>
          </w:rPr>
          <w:t>Figure 16 – WOT plugin results for the a news website</w:t>
        </w:r>
        <w:r>
          <w:rPr>
            <w:noProof/>
            <w:webHidden/>
          </w:rPr>
          <w:tab/>
        </w:r>
        <w:r>
          <w:rPr>
            <w:noProof/>
            <w:webHidden/>
          </w:rPr>
          <w:fldChar w:fldCharType="begin"/>
        </w:r>
        <w:r>
          <w:rPr>
            <w:noProof/>
            <w:webHidden/>
          </w:rPr>
          <w:instrText xml:space="preserve"> PAGEREF _Toc466024096 \h </w:instrText>
        </w:r>
        <w:r>
          <w:rPr>
            <w:noProof/>
            <w:webHidden/>
          </w:rPr>
        </w:r>
        <w:r>
          <w:rPr>
            <w:noProof/>
            <w:webHidden/>
          </w:rPr>
          <w:fldChar w:fldCharType="separate"/>
        </w:r>
        <w:r>
          <w:rPr>
            <w:noProof/>
            <w:webHidden/>
          </w:rPr>
          <w:t>37</w:t>
        </w:r>
        <w:r>
          <w:rPr>
            <w:noProof/>
            <w:webHidden/>
          </w:rPr>
          <w:fldChar w:fldCharType="end"/>
        </w:r>
      </w:hyperlink>
    </w:p>
    <w:p w:rsidR="0077224F" w:rsidRDefault="00D973EE">
      <w:pPr>
        <w:pStyle w:val="TableofFigures"/>
        <w:tabs>
          <w:tab w:val="right" w:leader="dot" w:pos="9010"/>
        </w:tabs>
        <w:rPr>
          <w:rFonts w:asciiTheme="minorHAnsi" w:eastAsiaTheme="minorEastAsia" w:hAnsiTheme="minorHAnsi" w:cstheme="minorBidi"/>
          <w:noProof/>
          <w:sz w:val="22"/>
          <w:szCs w:val="22"/>
          <w:lang w:eastAsia="en-GB"/>
        </w:rPr>
      </w:pPr>
      <w:hyperlink w:anchor="_Toc466024097" w:history="1">
        <w:r>
          <w:rPr>
            <w:rStyle w:val="Hyperlink"/>
            <w:noProof/>
          </w:rPr>
          <w:t>Figure 17 – Web-browser tracking and metadata analysis</w:t>
        </w:r>
        <w:r>
          <w:rPr>
            <w:noProof/>
            <w:webHidden/>
          </w:rPr>
          <w:tab/>
        </w:r>
        <w:r>
          <w:rPr>
            <w:noProof/>
            <w:webHidden/>
          </w:rPr>
          <w:fldChar w:fldCharType="begin"/>
        </w:r>
        <w:r>
          <w:rPr>
            <w:noProof/>
            <w:webHidden/>
          </w:rPr>
          <w:instrText xml:space="preserve"> PAGEREF _Toc466024097 \h </w:instrText>
        </w:r>
        <w:r>
          <w:rPr>
            <w:noProof/>
            <w:webHidden/>
          </w:rPr>
        </w:r>
        <w:r>
          <w:rPr>
            <w:noProof/>
            <w:webHidden/>
          </w:rPr>
          <w:fldChar w:fldCharType="separate"/>
        </w:r>
        <w:r>
          <w:rPr>
            <w:noProof/>
            <w:webHidden/>
          </w:rPr>
          <w:t>39</w:t>
        </w:r>
        <w:r>
          <w:rPr>
            <w:noProof/>
            <w:webHidden/>
          </w:rPr>
          <w:fldChar w:fldCharType="end"/>
        </w:r>
      </w:hyperlink>
    </w:p>
    <w:p w:rsidR="0077224F" w:rsidRDefault="00D973EE">
      <w:pPr>
        <w:spacing w:before="0" w:after="0"/>
        <w:rPr>
          <w:noProof/>
        </w:rPr>
      </w:pPr>
      <w:r>
        <w:rPr>
          <w:noProof/>
        </w:rPr>
        <w:fldChar w:fldCharType="end"/>
      </w:r>
    </w:p>
    <w:p w:rsidR="0077224F" w:rsidRDefault="00D973EE">
      <w:pPr>
        <w:spacing w:before="0" w:after="0"/>
        <w:rPr>
          <w:noProof/>
        </w:rPr>
      </w:pPr>
      <w:r>
        <w:rPr>
          <w:noProof/>
        </w:rPr>
        <w:br w:type="page"/>
      </w:r>
    </w:p>
    <w:p w:rsidR="0077224F" w:rsidRDefault="00D973EE">
      <w:pPr>
        <w:pStyle w:val="Headingnonumber"/>
        <w:rPr>
          <w:noProof/>
        </w:rPr>
      </w:pPr>
      <w:bookmarkStart w:id="966" w:name="_Toc465876813"/>
      <w:bookmarkStart w:id="967" w:name="_Toc466024080"/>
      <w:bookmarkStart w:id="968" w:name="_Toc468790088"/>
      <w:bookmarkStart w:id="969" w:name="_Toc468794920"/>
      <w:bookmarkStart w:id="970" w:name="_Toc468795228"/>
      <w:r>
        <w:rPr>
          <w:noProof/>
        </w:rPr>
        <w:t>L</w:t>
      </w:r>
      <w:r>
        <w:rPr>
          <w:noProof/>
        </w:rPr>
        <w:t>ist of tables</w:t>
      </w:r>
      <w:bookmarkEnd w:id="966"/>
      <w:bookmarkEnd w:id="967"/>
      <w:bookmarkEnd w:id="968"/>
      <w:bookmarkEnd w:id="969"/>
      <w:bookmarkEnd w:id="970"/>
    </w:p>
    <w:p w:rsidR="0077224F" w:rsidRDefault="00D973EE">
      <w:pPr>
        <w:pStyle w:val="TableofFigures"/>
        <w:tabs>
          <w:tab w:val="right" w:leader="dot" w:pos="9010"/>
        </w:tabs>
        <w:rPr>
          <w:rFonts w:asciiTheme="minorHAnsi" w:eastAsiaTheme="minorEastAsia" w:hAnsiTheme="minorHAnsi" w:cstheme="minorBidi"/>
          <w:noProof/>
          <w:sz w:val="22"/>
          <w:szCs w:val="22"/>
          <w:lang w:eastAsia="en-GB"/>
        </w:rPr>
      </w:pPr>
      <w:r>
        <w:rPr>
          <w:noProof/>
          <w:sz w:val="16"/>
          <w:szCs w:val="16"/>
        </w:rPr>
        <w:fldChar w:fldCharType="begin"/>
      </w:r>
      <w:r>
        <w:rPr>
          <w:noProof/>
          <w:sz w:val="16"/>
          <w:szCs w:val="16"/>
        </w:rPr>
        <w:instrText xml:space="preserve"> TOC \h \z \c "Table" </w:instrText>
      </w:r>
      <w:r>
        <w:rPr>
          <w:noProof/>
          <w:sz w:val="16"/>
          <w:szCs w:val="16"/>
        </w:rPr>
        <w:fldChar w:fldCharType="separate"/>
      </w:r>
      <w:hyperlink w:anchor="_Toc466024098" w:history="1">
        <w:r>
          <w:rPr>
            <w:rStyle w:val="Hyperlink"/>
            <w:noProof/>
          </w:rPr>
          <w:t>Table 1 – Differences between iOS and Android</w:t>
        </w:r>
        <w:r>
          <w:rPr>
            <w:noProof/>
            <w:webHidden/>
          </w:rPr>
          <w:tab/>
        </w:r>
        <w:r>
          <w:rPr>
            <w:noProof/>
            <w:webHidden/>
          </w:rPr>
          <w:fldChar w:fldCharType="begin"/>
        </w:r>
        <w:r>
          <w:rPr>
            <w:noProof/>
            <w:webHidden/>
          </w:rPr>
          <w:instrText xml:space="preserve"> PAGEREF _Toc466024098 \h </w:instrText>
        </w:r>
        <w:r>
          <w:rPr>
            <w:noProof/>
            <w:webHidden/>
          </w:rPr>
        </w:r>
        <w:r>
          <w:rPr>
            <w:noProof/>
            <w:webHidden/>
          </w:rPr>
          <w:fldChar w:fldCharType="separate"/>
        </w:r>
        <w:r>
          <w:rPr>
            <w:noProof/>
            <w:webHidden/>
          </w:rPr>
          <w:t>23</w:t>
        </w:r>
        <w:r>
          <w:rPr>
            <w:noProof/>
            <w:webHidden/>
          </w:rPr>
          <w:fldChar w:fldCharType="end"/>
        </w:r>
      </w:hyperlink>
    </w:p>
    <w:p w:rsidR="0077224F" w:rsidRDefault="00D973EE">
      <w:pPr>
        <w:rPr>
          <w:noProof/>
          <w:sz w:val="16"/>
          <w:szCs w:val="16"/>
        </w:rPr>
      </w:pPr>
      <w:r>
        <w:rPr>
          <w:noProof/>
          <w:sz w:val="16"/>
          <w:szCs w:val="16"/>
        </w:rPr>
        <w:fldChar w:fldCharType="end"/>
      </w:r>
    </w:p>
    <w:p w:rsidR="0077224F" w:rsidRDefault="0077224F">
      <w:pPr>
        <w:rPr>
          <w:noProof/>
        </w:rPr>
      </w:pPr>
    </w:p>
    <w:p w:rsidR="0077224F" w:rsidRDefault="0077224F">
      <w:pPr>
        <w:rPr>
          <w:rFonts w:ascii="PFSquareSansPro-Regular" w:hAnsi="PFSquareSansPro-Regular"/>
          <w:noProof/>
          <w:sz w:val="16"/>
          <w:szCs w:val="16"/>
        </w:rPr>
        <w:sectPr w:rsidR="0077224F">
          <w:headerReference w:type="even" r:id="rId69"/>
          <w:headerReference w:type="default" r:id="rId70"/>
          <w:footerReference w:type="even" r:id="rId71"/>
          <w:footerReference w:type="default" r:id="rId72"/>
          <w:headerReference w:type="first" r:id="rId73"/>
          <w:footerReference w:type="first" r:id="rId74"/>
          <w:pgSz w:w="11900" w:h="16840"/>
          <w:pgMar w:top="1440" w:right="1440" w:bottom="1440" w:left="1440" w:header="0" w:footer="0" w:gutter="0"/>
          <w:pgNumType w:start="1"/>
          <w:cols w:space="708"/>
          <w:docGrid w:linePitch="360"/>
        </w:sectPr>
      </w:pPr>
    </w:p>
    <w:p w:rsidR="0077224F" w:rsidRDefault="0077224F">
      <w:pPr>
        <w:rPr>
          <w:rFonts w:ascii="PFSquareSansPro-Regular" w:hAnsi="PFSquareSansPro-Regular"/>
          <w:noProof/>
          <w:sz w:val="16"/>
          <w:szCs w:val="16"/>
        </w:rPr>
      </w:pPr>
    </w:p>
    <w:p w:rsidR="0077224F" w:rsidRDefault="0077224F">
      <w:pPr>
        <w:rPr>
          <w:rFonts w:ascii="PFSquareSansPro-Regular" w:hAnsi="PFSquareSansPro-Regular"/>
          <w:noProof/>
          <w:sz w:val="16"/>
          <w:szCs w:val="16"/>
        </w:rPr>
      </w:pPr>
    </w:p>
    <w:p w:rsidR="0077224F" w:rsidRDefault="0077224F">
      <w:pPr>
        <w:rPr>
          <w:rFonts w:ascii="PFSquareSansPro-Regular" w:hAnsi="PFSquareSansPro-Regular"/>
          <w:noProof/>
          <w:sz w:val="16"/>
          <w:szCs w:val="16"/>
        </w:rPr>
      </w:pPr>
    </w:p>
    <w:p w:rsidR="0077224F" w:rsidRDefault="0077224F">
      <w:pPr>
        <w:rPr>
          <w:rFonts w:ascii="PFSquareSansPro-Regular" w:hAnsi="PFSquareSansPro-Regular"/>
          <w:noProof/>
          <w:sz w:val="16"/>
          <w:szCs w:val="16"/>
        </w:rPr>
      </w:pPr>
    </w:p>
    <w:p w:rsidR="0077224F" w:rsidRDefault="0077224F">
      <w:pPr>
        <w:rPr>
          <w:rFonts w:ascii="PFSquareSansPro-Regular" w:hAnsi="PFSquareSansPro-Regular"/>
          <w:noProof/>
          <w:sz w:val="16"/>
          <w:szCs w:val="16"/>
        </w:rPr>
      </w:pPr>
    </w:p>
    <w:p w:rsidR="0077224F" w:rsidRDefault="0077224F">
      <w:pPr>
        <w:rPr>
          <w:rFonts w:ascii="PFSquareSansPro-Regular" w:hAnsi="PFSquareSansPro-Regular"/>
          <w:noProof/>
          <w:sz w:val="16"/>
          <w:szCs w:val="16"/>
        </w:rPr>
      </w:pPr>
    </w:p>
    <w:p w:rsidR="0077224F" w:rsidRDefault="0077224F">
      <w:pPr>
        <w:rPr>
          <w:rFonts w:ascii="PFSquareSansPro-Regular" w:hAnsi="PFSquareSansPro-Regular"/>
          <w:noProof/>
          <w:sz w:val="16"/>
          <w:szCs w:val="16"/>
        </w:rPr>
      </w:pPr>
    </w:p>
    <w:p w:rsidR="0077224F" w:rsidRDefault="0077224F">
      <w:pPr>
        <w:rPr>
          <w:rFonts w:ascii="PFSquareSansPro-Regular" w:hAnsi="PFSquareSansPro-Regular"/>
          <w:noProof/>
          <w:sz w:val="16"/>
          <w:szCs w:val="16"/>
        </w:rPr>
      </w:pPr>
    </w:p>
    <w:p w:rsidR="0077224F" w:rsidRDefault="0077224F">
      <w:pPr>
        <w:rPr>
          <w:rFonts w:ascii="PFSquareSansPro-Regular" w:hAnsi="PFSquareSansPro-Regular"/>
          <w:noProof/>
          <w:sz w:val="16"/>
          <w:szCs w:val="16"/>
        </w:rPr>
      </w:pPr>
    </w:p>
    <w:p w:rsidR="0077224F" w:rsidRDefault="0077224F">
      <w:pPr>
        <w:rPr>
          <w:rFonts w:ascii="PFSquareSansPro-Regular" w:hAnsi="PFSquareSansPro-Regular"/>
          <w:noProof/>
          <w:sz w:val="16"/>
          <w:szCs w:val="16"/>
        </w:rPr>
      </w:pPr>
    </w:p>
    <w:p w:rsidR="0077224F" w:rsidRDefault="0077224F">
      <w:pPr>
        <w:rPr>
          <w:rFonts w:ascii="PFSquareSansPro-Regular" w:hAnsi="PFSquareSansPro-Regular"/>
          <w:noProof/>
          <w:sz w:val="16"/>
          <w:szCs w:val="16"/>
        </w:rPr>
      </w:pPr>
    </w:p>
    <w:p w:rsidR="0077224F" w:rsidRDefault="0077224F">
      <w:pPr>
        <w:rPr>
          <w:rFonts w:ascii="PFSquareSansPro-Regular" w:hAnsi="PFSquareSansPro-Regular"/>
          <w:noProof/>
          <w:sz w:val="16"/>
          <w:szCs w:val="16"/>
        </w:rPr>
      </w:pPr>
    </w:p>
    <w:p w:rsidR="0077224F" w:rsidRDefault="0077224F">
      <w:pPr>
        <w:rPr>
          <w:rFonts w:ascii="PFSquareSansPro-Regular" w:hAnsi="PFSquareSansPro-Regular"/>
          <w:noProof/>
          <w:sz w:val="16"/>
          <w:szCs w:val="16"/>
        </w:rPr>
      </w:pPr>
    </w:p>
    <w:p w:rsidR="0077224F" w:rsidRDefault="0077224F">
      <w:pPr>
        <w:rPr>
          <w:rFonts w:ascii="PFSquareSansPro-Regular" w:hAnsi="PFSquareSansPro-Regular"/>
          <w:noProof/>
          <w:sz w:val="16"/>
          <w:szCs w:val="16"/>
        </w:rPr>
      </w:pPr>
    </w:p>
    <w:p w:rsidR="0077224F" w:rsidRDefault="0077224F">
      <w:pPr>
        <w:rPr>
          <w:rFonts w:ascii="PFSquareSansPro-Regular" w:hAnsi="PFSquareSansPro-Regular"/>
          <w:noProof/>
          <w:sz w:val="16"/>
          <w:szCs w:val="16"/>
        </w:rPr>
      </w:pPr>
    </w:p>
    <w:p w:rsidR="0077224F" w:rsidRDefault="00D973EE">
      <w:pPr>
        <w:rPr>
          <w:rFonts w:ascii="PFSquareSansPro-Regular" w:hAnsi="PFSquareSansPro-Regular"/>
          <w:noProof/>
          <w:sz w:val="16"/>
          <w:szCs w:val="16"/>
        </w:rPr>
      </w:pPr>
      <w:r>
        <w:rPr>
          <w:rFonts w:ascii="PFSquareSansPro-Regular" w:hAnsi="PFSquareSansPro-Regular"/>
          <w:noProof/>
          <w:sz w:val="16"/>
          <w:szCs w:val="16"/>
          <w:lang w:eastAsia="zh-CN"/>
        </w:rPr>
        <mc:AlternateContent>
          <mc:Choice Requires="wps">
            <w:drawing>
              <wp:anchor distT="0" distB="0" distL="114300" distR="114300" simplePos="0" relativeHeight="251736576" behindDoc="0" locked="1" layoutInCell="1" allowOverlap="1" wp14:anchorId="3FE87725" wp14:editId="542F9FD4">
                <wp:simplePos x="0" y="0"/>
                <wp:positionH relativeFrom="page">
                  <wp:posOffset>809625</wp:posOffset>
                </wp:positionH>
                <wp:positionV relativeFrom="page">
                  <wp:posOffset>8629650</wp:posOffset>
                </wp:positionV>
                <wp:extent cx="5124450" cy="1000125"/>
                <wp:effectExtent l="0" t="0" r="0" b="9525"/>
                <wp:wrapThrough wrapText="bothSides">
                  <wp:wrapPolygon edited="0">
                    <wp:start x="0" y="0"/>
                    <wp:lineTo x="0" y="21394"/>
                    <wp:lineTo x="21520" y="21394"/>
                    <wp:lineTo x="21520" y="0"/>
                    <wp:lineTo x="0" y="0"/>
                  </wp:wrapPolygon>
                </wp:wrapThrough>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4450" cy="1000125"/>
                        </a:xfrm>
                        <a:prstGeom prst="rect">
                          <a:avLst/>
                        </a:prstGeom>
                        <a:noFill/>
                        <a:ln>
                          <a:noFill/>
                        </a:ln>
                        <a:effectLst/>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7224F" w:rsidRDefault="00D973EE">
                            <w:pPr>
                              <w:widowControl w:val="0"/>
                              <w:spacing w:before="0" w:after="0" w:line="200" w:lineRule="exact"/>
                              <w:rPr>
                                <w:b/>
                                <w:sz w:val="14"/>
                                <w:szCs w:val="14"/>
                              </w:rPr>
                            </w:pPr>
                            <w:r>
                              <w:rPr>
                                <w:b/>
                                <w:sz w:val="14"/>
                                <w:szCs w:val="14"/>
                              </w:rPr>
                              <w:t>How to obtain EU publications</w:t>
                            </w:r>
                          </w:p>
                          <w:p w:rsidR="0077224F" w:rsidRDefault="0077224F">
                            <w:pPr>
                              <w:widowControl w:val="0"/>
                              <w:spacing w:before="0" w:after="0" w:line="200" w:lineRule="exact"/>
                              <w:rPr>
                                <w:sz w:val="14"/>
                                <w:szCs w:val="14"/>
                              </w:rPr>
                            </w:pPr>
                          </w:p>
                          <w:p w:rsidR="0077224F" w:rsidRDefault="00D973EE">
                            <w:pPr>
                              <w:widowControl w:val="0"/>
                              <w:spacing w:before="0" w:after="0" w:line="200" w:lineRule="exact"/>
                              <w:rPr>
                                <w:sz w:val="14"/>
                                <w:szCs w:val="14"/>
                              </w:rPr>
                            </w:pPr>
                            <w:r>
                              <w:rPr>
                                <w:sz w:val="14"/>
                                <w:szCs w:val="14"/>
                              </w:rPr>
                              <w:t>Our publications are available from EU Bookshop (</w:t>
                            </w:r>
                            <w:hyperlink r:id="rId75" w:history="1">
                              <w:r>
                                <w:rPr>
                                  <w:rStyle w:val="Hyperlink"/>
                                  <w:sz w:val="14"/>
                                  <w:szCs w:val="14"/>
                                </w:rPr>
                                <w:t>http://bookshop.europa.eu</w:t>
                              </w:r>
                            </w:hyperlink>
                            <w:r>
                              <w:rPr>
                                <w:sz w:val="14"/>
                                <w:szCs w:val="14"/>
                              </w:rPr>
                              <w:t>),</w:t>
                            </w:r>
                          </w:p>
                          <w:p w:rsidR="0077224F" w:rsidRDefault="00D973EE">
                            <w:pPr>
                              <w:widowControl w:val="0"/>
                              <w:spacing w:before="0" w:after="0" w:line="200" w:lineRule="exact"/>
                              <w:rPr>
                                <w:sz w:val="14"/>
                                <w:szCs w:val="14"/>
                              </w:rPr>
                            </w:pPr>
                            <w:r>
                              <w:rPr>
                                <w:sz w:val="14"/>
                                <w:szCs w:val="14"/>
                              </w:rPr>
                              <w:t xml:space="preserve">where you can place an order with the sales agent of your </w:t>
                            </w:r>
                            <w:r>
                              <w:rPr>
                                <w:sz w:val="14"/>
                                <w:szCs w:val="14"/>
                              </w:rPr>
                              <w:t>choice.</w:t>
                            </w:r>
                          </w:p>
                          <w:p w:rsidR="0077224F" w:rsidRDefault="0077224F">
                            <w:pPr>
                              <w:widowControl w:val="0"/>
                              <w:spacing w:before="0" w:after="0" w:line="200" w:lineRule="exact"/>
                              <w:rPr>
                                <w:sz w:val="14"/>
                                <w:szCs w:val="14"/>
                              </w:rPr>
                            </w:pPr>
                          </w:p>
                          <w:p w:rsidR="0077224F" w:rsidRDefault="00D973EE">
                            <w:pPr>
                              <w:widowControl w:val="0"/>
                              <w:spacing w:before="0" w:after="0" w:line="200" w:lineRule="exact"/>
                              <w:rPr>
                                <w:sz w:val="14"/>
                                <w:szCs w:val="14"/>
                              </w:rPr>
                            </w:pPr>
                            <w:r>
                              <w:rPr>
                                <w:sz w:val="14"/>
                                <w:szCs w:val="14"/>
                              </w:rPr>
                              <w:t>The Publications Office has a worldwide network of sales agents.</w:t>
                            </w:r>
                          </w:p>
                          <w:p w:rsidR="0077224F" w:rsidRDefault="00D973EE">
                            <w:pPr>
                              <w:widowControl w:val="0"/>
                              <w:spacing w:before="0" w:after="0" w:line="200" w:lineRule="exact"/>
                              <w:rPr>
                                <w:sz w:val="14"/>
                                <w:szCs w:val="14"/>
                              </w:rPr>
                            </w:pPr>
                            <w:r>
                              <w:rPr>
                                <w:sz w:val="14"/>
                                <w:szCs w:val="14"/>
                              </w:rPr>
                              <w:t>You can obtain their contact details by sending a fax to (352) 29 29-42758.</w:t>
                            </w:r>
                          </w:p>
                          <w:p w:rsidR="0077224F" w:rsidRDefault="0077224F">
                            <w:pPr>
                              <w:widowControl w:val="0"/>
                              <w:spacing w:line="240" w:lineRule="exact"/>
                              <w:rPr>
                                <w:szCs w:val="20"/>
                              </w:rPr>
                            </w:pPr>
                          </w:p>
                          <w:p w:rsidR="0077224F" w:rsidRDefault="0077224F">
                            <w:pPr>
                              <w:widowControl w:val="0"/>
                              <w:spacing w:line="240" w:lineRule="exact"/>
                              <w:rPr>
                                <w:szCs w:val="20"/>
                              </w:rPr>
                            </w:pPr>
                          </w:p>
                          <w:p w:rsidR="0077224F" w:rsidRDefault="0077224F">
                            <w:pPr>
                              <w:widowControl w:val="0"/>
                              <w:spacing w:line="240" w:lineRule="exact"/>
                              <w:rPr>
                                <w:szCs w:val="20"/>
                              </w:rPr>
                            </w:pPr>
                          </w:p>
                          <w:p w:rsidR="0077224F" w:rsidRDefault="0077224F">
                            <w:pPr>
                              <w:widowControl w:val="0"/>
                              <w:spacing w:line="240" w:lineRule="exact"/>
                              <w:rPr>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left:0;text-align:left;margin-left:63.75pt;margin-top:679.5pt;width:403.5pt;height:78.75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" filled="f" stroked="f">
                <v:path arrowok="t"/>
                <v:textbox inset="0,0,0,0">
                  <w:txbxContent>
                    <w:p w:rsidR="0077224F" w:rsidRDefault="00D973EE">
                      <w:pPr>
                        <w:widowControl w:val="0"/>
                        <w:spacing w:before="0" w:after="0" w:line="200" w:lineRule="exact"/>
                        <w:rPr>
                          <w:b/>
                          <w:sz w:val="14"/>
                          <w:szCs w:val="14"/>
                        </w:rPr>
                      </w:pPr>
                      <w:r>
                        <w:rPr>
                          <w:b/>
                          <w:sz w:val="14"/>
                          <w:szCs w:val="14"/>
                        </w:rPr>
                        <w:t>How to obtain EU publications</w:t>
                      </w:r>
                    </w:p>
                    <w:p w:rsidR="0077224F" w:rsidRDefault="0077224F">
                      <w:pPr>
                        <w:widowControl w:val="0"/>
                        <w:spacing w:before="0" w:after="0" w:line="200" w:lineRule="exact"/>
                        <w:rPr>
                          <w:sz w:val="14"/>
                          <w:szCs w:val="14"/>
                        </w:rPr>
                      </w:pPr>
                    </w:p>
                    <w:p w:rsidR="0077224F" w:rsidRDefault="00D973EE">
                      <w:pPr>
                        <w:widowControl w:val="0"/>
                        <w:spacing w:before="0" w:after="0" w:line="200" w:lineRule="exact"/>
                        <w:rPr>
                          <w:sz w:val="14"/>
                          <w:szCs w:val="14"/>
                        </w:rPr>
                      </w:pPr>
                      <w:r>
                        <w:rPr>
                          <w:sz w:val="14"/>
                          <w:szCs w:val="14"/>
                        </w:rPr>
                        <w:t>Our publications are available from EU Bookshop (</w:t>
                      </w:r>
                      <w:hyperlink r:id="rId76" w:history="1">
                        <w:r>
                          <w:rPr>
                            <w:rStyle w:val="Hyperlink"/>
                            <w:sz w:val="14"/>
                            <w:szCs w:val="14"/>
                          </w:rPr>
                          <w:t>http://bookshop.europa.eu</w:t>
                        </w:r>
                      </w:hyperlink>
                      <w:r>
                        <w:rPr>
                          <w:sz w:val="14"/>
                          <w:szCs w:val="14"/>
                        </w:rPr>
                        <w:t>),</w:t>
                      </w:r>
                    </w:p>
                    <w:p w:rsidR="0077224F" w:rsidRDefault="00D973EE">
                      <w:pPr>
                        <w:widowControl w:val="0"/>
                        <w:spacing w:before="0" w:after="0" w:line="200" w:lineRule="exact"/>
                        <w:rPr>
                          <w:sz w:val="14"/>
                          <w:szCs w:val="14"/>
                        </w:rPr>
                      </w:pPr>
                      <w:r>
                        <w:rPr>
                          <w:sz w:val="14"/>
                          <w:szCs w:val="14"/>
                        </w:rPr>
                        <w:t xml:space="preserve">where you can place an order with the sales agent of your </w:t>
                      </w:r>
                      <w:r>
                        <w:rPr>
                          <w:sz w:val="14"/>
                          <w:szCs w:val="14"/>
                        </w:rPr>
                        <w:t>choice.</w:t>
                      </w:r>
                    </w:p>
                    <w:p w:rsidR="0077224F" w:rsidRDefault="0077224F">
                      <w:pPr>
                        <w:widowControl w:val="0"/>
                        <w:spacing w:before="0" w:after="0" w:line="200" w:lineRule="exact"/>
                        <w:rPr>
                          <w:sz w:val="14"/>
                          <w:szCs w:val="14"/>
                        </w:rPr>
                      </w:pPr>
                    </w:p>
                    <w:p w:rsidR="0077224F" w:rsidRDefault="00D973EE">
                      <w:pPr>
                        <w:widowControl w:val="0"/>
                        <w:spacing w:before="0" w:after="0" w:line="200" w:lineRule="exact"/>
                        <w:rPr>
                          <w:sz w:val="14"/>
                          <w:szCs w:val="14"/>
                        </w:rPr>
                      </w:pPr>
                      <w:r>
                        <w:rPr>
                          <w:sz w:val="14"/>
                          <w:szCs w:val="14"/>
                        </w:rPr>
                        <w:t>The Publications Office has a worldwide network of sales agents.</w:t>
                      </w:r>
                    </w:p>
                    <w:p w:rsidR="0077224F" w:rsidRDefault="00D973EE">
                      <w:pPr>
                        <w:widowControl w:val="0"/>
                        <w:spacing w:before="0" w:after="0" w:line="200" w:lineRule="exact"/>
                        <w:rPr>
                          <w:sz w:val="14"/>
                          <w:szCs w:val="14"/>
                        </w:rPr>
                      </w:pPr>
                      <w:r>
                        <w:rPr>
                          <w:sz w:val="14"/>
                          <w:szCs w:val="14"/>
                        </w:rPr>
                        <w:t>You can obtain their contact details by sending a fax to (352) 29 29-42758.</w:t>
                      </w:r>
                    </w:p>
                    <w:p w:rsidR="0077224F" w:rsidRDefault="0077224F">
                      <w:pPr>
                        <w:widowControl w:val="0"/>
                        <w:spacing w:line="240" w:lineRule="exact"/>
                        <w:rPr>
                          <w:szCs w:val="20"/>
                        </w:rPr>
                      </w:pPr>
                    </w:p>
                    <w:p w:rsidR="0077224F" w:rsidRDefault="0077224F">
                      <w:pPr>
                        <w:widowControl w:val="0"/>
                        <w:spacing w:line="240" w:lineRule="exact"/>
                        <w:rPr>
                          <w:szCs w:val="20"/>
                        </w:rPr>
                      </w:pPr>
                    </w:p>
                    <w:p w:rsidR="0077224F" w:rsidRDefault="0077224F">
                      <w:pPr>
                        <w:widowControl w:val="0"/>
                        <w:spacing w:line="240" w:lineRule="exact"/>
                        <w:rPr>
                          <w:szCs w:val="20"/>
                        </w:rPr>
                      </w:pPr>
                    </w:p>
                    <w:p w:rsidR="0077224F" w:rsidRDefault="0077224F">
                      <w:pPr>
                        <w:widowControl w:val="0"/>
                        <w:spacing w:line="240" w:lineRule="exact"/>
                        <w:rPr>
                          <w:szCs w:val="20"/>
                        </w:rPr>
                      </w:pPr>
                    </w:p>
                  </w:txbxContent>
                </v:textbox>
                <w10:wrap type="through" anchorx="page" anchory="page"/>
                <w10:anchorlock/>
              </v:shape>
            </w:pict>
          </mc:Fallback>
        </mc:AlternateContent>
      </w:r>
      <w:r>
        <w:rPr>
          <w:noProof/>
          <w:lang w:eastAsia="zh-CN"/>
        </w:rPr>
        <mc:AlternateContent>
          <mc:Choice Requires="wps">
            <w:drawing>
              <wp:anchor distT="0" distB="0" distL="114300" distR="114300" simplePos="0" relativeHeight="251734528" behindDoc="0" locked="1" layoutInCell="1" allowOverlap="1" wp14:anchorId="42137C9B" wp14:editId="00A01211">
                <wp:simplePos x="0" y="0"/>
                <wp:positionH relativeFrom="column">
                  <wp:posOffset>423545</wp:posOffset>
                </wp:positionH>
                <wp:positionV relativeFrom="paragraph">
                  <wp:posOffset>4306570</wp:posOffset>
                </wp:positionV>
                <wp:extent cx="5120005" cy="1028700"/>
                <wp:effectExtent l="0" t="0" r="4445" b="0"/>
                <wp:wrapSquare wrapText="bothSides"/>
                <wp:docPr id="17" name="Text Box 17"/>
                <wp:cNvGraphicFramePr/>
                <a:graphic xmlns:a="http://schemas.openxmlformats.org/drawingml/2006/main">
                  <a:graphicData uri="http://schemas.microsoft.com/office/word/2010/wordprocessingShape">
                    <wps:wsp>
                      <wps:cNvSpPr txBox="1"/>
                      <wps:spPr>
                        <a:xfrm>
                          <a:off x="0" y="0"/>
                          <a:ext cx="5120005" cy="1028700"/>
                        </a:xfrm>
                        <a:prstGeom prst="rect">
                          <a:avLst/>
                        </a:prstGeom>
                        <a:solidFill>
                          <a:schemeClr val="accent5">
                            <a:lumMod val="20000"/>
                            <a:lumOff val="80000"/>
                          </a:schemeClr>
                        </a:solidFill>
                        <a:ln w="6350">
                          <a:noFill/>
                        </a:ln>
                        <a:effectLst/>
                      </wps:spPr>
                      <wps:txbx>
                        <w:txbxContent>
                          <w:p w:rsidR="0077224F" w:rsidRDefault="00D973EE">
                            <w:pPr>
                              <w:widowControl w:val="0"/>
                              <w:spacing w:before="0" w:after="0" w:line="200" w:lineRule="exact"/>
                              <w:rPr>
                                <w:sz w:val="14"/>
                                <w:szCs w:val="14"/>
                              </w:rPr>
                            </w:pPr>
                            <w:r>
                              <w:rPr>
                                <w:sz w:val="14"/>
                                <w:szCs w:val="14"/>
                              </w:rPr>
                              <w:t>Europe Direct is a service to help you find answers to your questions about the European Union</w:t>
                            </w:r>
                          </w:p>
                          <w:p w:rsidR="0077224F" w:rsidRDefault="00D973EE">
                            <w:pPr>
                              <w:widowControl w:val="0"/>
                              <w:spacing w:before="0" w:after="0" w:line="200" w:lineRule="exact"/>
                              <w:rPr>
                                <w:sz w:val="14"/>
                                <w:szCs w:val="14"/>
                              </w:rPr>
                            </w:pPr>
                            <w:r>
                              <w:rPr>
                                <w:sz w:val="14"/>
                                <w:szCs w:val="14"/>
                              </w:rPr>
                              <w:t>Free</w:t>
                            </w:r>
                            <w:r>
                              <w:rPr>
                                <w:sz w:val="14"/>
                                <w:szCs w:val="14"/>
                              </w:rPr>
                              <w:t xml:space="preserve"> phone number (*): 00 800 6 7 8 9 10 11</w:t>
                            </w:r>
                          </w:p>
                          <w:p w:rsidR="0077224F" w:rsidRDefault="00D973EE">
                            <w:pPr>
                              <w:widowControl w:val="0"/>
                              <w:spacing w:before="0" w:after="0" w:line="200" w:lineRule="exact"/>
                              <w:rPr>
                                <w:sz w:val="14"/>
                                <w:szCs w:val="14"/>
                              </w:rPr>
                            </w:pPr>
                            <w:r>
                              <w:rPr>
                                <w:sz w:val="14"/>
                                <w:szCs w:val="14"/>
                              </w:rPr>
                              <w:t>(*) Certain mobile telephone operators do not allow access to 00 800 numbers or these calls may be billed.</w:t>
                            </w:r>
                          </w:p>
                          <w:p w:rsidR="0077224F" w:rsidRDefault="0077224F">
                            <w:pPr>
                              <w:widowControl w:val="0"/>
                              <w:spacing w:before="0" w:after="0" w:line="200" w:lineRule="exact"/>
                              <w:rPr>
                                <w:sz w:val="14"/>
                                <w:szCs w:val="14"/>
                              </w:rPr>
                            </w:pPr>
                          </w:p>
                          <w:p w:rsidR="0077224F" w:rsidRDefault="00D973EE">
                            <w:pPr>
                              <w:widowControl w:val="0"/>
                              <w:spacing w:before="0" w:after="0" w:line="200" w:lineRule="exact"/>
                              <w:rPr>
                                <w:sz w:val="14"/>
                                <w:szCs w:val="14"/>
                              </w:rPr>
                            </w:pPr>
                            <w:r>
                              <w:rPr>
                                <w:sz w:val="14"/>
                                <w:szCs w:val="14"/>
                              </w:rPr>
                              <w:t>A great deal of additional information on the European Union is available on the Internet.</w:t>
                            </w:r>
                          </w:p>
                          <w:p w:rsidR="0077224F" w:rsidRDefault="00D973EE">
                            <w:pPr>
                              <w:widowControl w:val="0"/>
                              <w:spacing w:before="0" w:after="0" w:line="200" w:lineRule="exact"/>
                              <w:rPr>
                                <w:sz w:val="14"/>
                                <w:szCs w:val="14"/>
                              </w:rPr>
                            </w:pPr>
                            <w:r>
                              <w:rPr>
                                <w:sz w:val="14"/>
                                <w:szCs w:val="14"/>
                              </w:rPr>
                              <w:t>It can be accesse</w:t>
                            </w:r>
                            <w:r>
                              <w:rPr>
                                <w:sz w:val="14"/>
                                <w:szCs w:val="14"/>
                              </w:rPr>
                              <w:t>d through the Europa server http://europa.eu</w:t>
                            </w:r>
                          </w:p>
                        </w:txbxContent>
                      </wps:txbx>
                      <wps:bodyPr rot="0" spcFirstLastPara="0" vertOverflow="overflow" horzOverflow="overflow" vert="horz" wrap="none" lIns="144000" tIns="108000" rIns="144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6" type="#_x0000_t202" style="position:absolute;left:0;text-align:left;margin-left:33.35pt;margin-top:339.1pt;width:403.15pt;height:81pt;z-index:25173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" fillcolor="#daeef3 [664]" stroked="f" strokeweight=".5pt">
                <v:textbox inset="4mm,3mm,4mm,3mm">
                  <w:txbxContent>
                    <w:p w:rsidR="0077224F" w:rsidRDefault="00D973EE">
                      <w:pPr>
                        <w:widowControl w:val="0"/>
                        <w:spacing w:before="0" w:after="0" w:line="200" w:lineRule="exact"/>
                        <w:rPr>
                          <w:sz w:val="14"/>
                          <w:szCs w:val="14"/>
                        </w:rPr>
                      </w:pPr>
                      <w:r>
                        <w:rPr>
                          <w:sz w:val="14"/>
                          <w:szCs w:val="14"/>
                        </w:rPr>
                        <w:t>Europe Direct is a service to help you find answers to your questions about the European Union</w:t>
                      </w:r>
                    </w:p>
                    <w:p w:rsidR="0077224F" w:rsidRDefault="00D973EE">
                      <w:pPr>
                        <w:widowControl w:val="0"/>
                        <w:spacing w:before="0" w:after="0" w:line="200" w:lineRule="exact"/>
                        <w:rPr>
                          <w:sz w:val="14"/>
                          <w:szCs w:val="14"/>
                        </w:rPr>
                      </w:pPr>
                      <w:r>
                        <w:rPr>
                          <w:sz w:val="14"/>
                          <w:szCs w:val="14"/>
                        </w:rPr>
                        <w:t>Free</w:t>
                      </w:r>
                      <w:r>
                        <w:rPr>
                          <w:sz w:val="14"/>
                          <w:szCs w:val="14"/>
                        </w:rPr>
                        <w:t xml:space="preserve"> phone number (*): 00 800 6 7 8 9 10 11</w:t>
                      </w:r>
                    </w:p>
                    <w:p w:rsidR="0077224F" w:rsidRDefault="00D973EE">
                      <w:pPr>
                        <w:widowControl w:val="0"/>
                        <w:spacing w:before="0" w:after="0" w:line="200" w:lineRule="exact"/>
                        <w:rPr>
                          <w:sz w:val="14"/>
                          <w:szCs w:val="14"/>
                        </w:rPr>
                      </w:pPr>
                      <w:r>
                        <w:rPr>
                          <w:sz w:val="14"/>
                          <w:szCs w:val="14"/>
                        </w:rPr>
                        <w:t>(*) Certain mobile telephone operators do not allow access to 00 800 numbers or these calls may be billed.</w:t>
                      </w:r>
                    </w:p>
                    <w:p w:rsidR="0077224F" w:rsidRDefault="0077224F">
                      <w:pPr>
                        <w:widowControl w:val="0"/>
                        <w:spacing w:before="0" w:after="0" w:line="200" w:lineRule="exact"/>
                        <w:rPr>
                          <w:sz w:val="14"/>
                          <w:szCs w:val="14"/>
                        </w:rPr>
                      </w:pPr>
                    </w:p>
                    <w:p w:rsidR="0077224F" w:rsidRDefault="00D973EE">
                      <w:pPr>
                        <w:widowControl w:val="0"/>
                        <w:spacing w:before="0" w:after="0" w:line="200" w:lineRule="exact"/>
                        <w:rPr>
                          <w:sz w:val="14"/>
                          <w:szCs w:val="14"/>
                        </w:rPr>
                      </w:pPr>
                      <w:r>
                        <w:rPr>
                          <w:sz w:val="14"/>
                          <w:szCs w:val="14"/>
                        </w:rPr>
                        <w:t>A great deal of additional information on the European Union is available on the Internet.</w:t>
                      </w:r>
                    </w:p>
                    <w:p w:rsidR="0077224F" w:rsidRDefault="00D973EE">
                      <w:pPr>
                        <w:widowControl w:val="0"/>
                        <w:spacing w:before="0" w:after="0" w:line="200" w:lineRule="exact"/>
                        <w:rPr>
                          <w:sz w:val="14"/>
                          <w:szCs w:val="14"/>
                        </w:rPr>
                      </w:pPr>
                      <w:r>
                        <w:rPr>
                          <w:sz w:val="14"/>
                          <w:szCs w:val="14"/>
                        </w:rPr>
                        <w:t>It can be accesse</w:t>
                      </w:r>
                      <w:r>
                        <w:rPr>
                          <w:sz w:val="14"/>
                          <w:szCs w:val="14"/>
                        </w:rPr>
                        <w:t>d through the Europa server http://europa.eu</w:t>
                      </w:r>
                    </w:p>
                  </w:txbxContent>
                </v:textbox>
                <w10:wrap type="square"/>
                <w10:anchorlock/>
              </v:shape>
            </w:pict>
          </mc:Fallback>
        </mc:AlternateContent>
      </w:r>
    </w:p>
    <w:p w:rsidR="0077224F" w:rsidRDefault="0077224F">
      <w:pPr>
        <w:rPr>
          <w:rFonts w:ascii="PFSquareSansPro-Regular" w:hAnsi="PFSquareSansPro-Regular"/>
          <w:noProof/>
          <w:sz w:val="16"/>
          <w:szCs w:val="16"/>
        </w:rPr>
      </w:pPr>
    </w:p>
    <w:p w:rsidR="0077224F" w:rsidRDefault="0077224F">
      <w:pPr>
        <w:rPr>
          <w:rFonts w:ascii="PFSquareSansPro-Regular" w:hAnsi="PFSquareSansPro-Regular"/>
          <w:noProof/>
          <w:sz w:val="16"/>
          <w:szCs w:val="16"/>
        </w:rPr>
      </w:pPr>
    </w:p>
    <w:p w:rsidR="0077224F" w:rsidRDefault="0077224F">
      <w:pPr>
        <w:rPr>
          <w:rFonts w:ascii="PFSquareSansPro-Regular" w:hAnsi="PFSquareSansPro-Regular"/>
          <w:noProof/>
          <w:sz w:val="16"/>
          <w:szCs w:val="16"/>
        </w:rPr>
      </w:pPr>
    </w:p>
    <w:p w:rsidR="0077224F" w:rsidRDefault="0077224F">
      <w:pPr>
        <w:rPr>
          <w:rFonts w:ascii="PFSquareSansPro-Regular" w:hAnsi="PFSquareSansPro-Regular"/>
          <w:noProof/>
          <w:sz w:val="16"/>
          <w:szCs w:val="16"/>
        </w:rPr>
      </w:pPr>
    </w:p>
    <w:p w:rsidR="0077224F" w:rsidRDefault="0077224F">
      <w:pPr>
        <w:rPr>
          <w:rFonts w:ascii="PFSquareSansPro-Regular" w:hAnsi="PFSquareSansPro-Regular"/>
          <w:noProof/>
          <w:sz w:val="16"/>
          <w:szCs w:val="16"/>
        </w:rPr>
      </w:pPr>
    </w:p>
    <w:p w:rsidR="0077224F" w:rsidRDefault="0077224F">
      <w:pPr>
        <w:rPr>
          <w:rFonts w:ascii="PFSquareSansPro-Regular" w:hAnsi="PFSquareSansPro-Regular"/>
          <w:noProof/>
          <w:sz w:val="16"/>
          <w:szCs w:val="16"/>
        </w:rPr>
      </w:pPr>
    </w:p>
    <w:p w:rsidR="0077224F" w:rsidRDefault="0077224F">
      <w:pPr>
        <w:rPr>
          <w:rFonts w:ascii="PFSquareSansPro-Regular" w:hAnsi="PFSquareSansPro-Regular"/>
          <w:noProof/>
          <w:sz w:val="16"/>
          <w:szCs w:val="16"/>
        </w:rPr>
      </w:pPr>
    </w:p>
    <w:p w:rsidR="0077224F" w:rsidRDefault="0077224F">
      <w:pPr>
        <w:rPr>
          <w:rFonts w:ascii="PFSquareSansPro-Regular" w:hAnsi="PFSquareSansPro-Regular"/>
          <w:noProof/>
          <w:sz w:val="16"/>
          <w:szCs w:val="16"/>
        </w:rPr>
      </w:pPr>
    </w:p>
    <w:p w:rsidR="0077224F" w:rsidRDefault="0077224F">
      <w:pPr>
        <w:rPr>
          <w:rFonts w:ascii="PFSquareSansPro-Regular" w:hAnsi="PFSquareSansPro-Regular"/>
          <w:noProof/>
          <w:sz w:val="16"/>
          <w:szCs w:val="16"/>
        </w:rPr>
      </w:pPr>
    </w:p>
    <w:p w:rsidR="0077224F" w:rsidRDefault="00D973EE">
      <w:pPr>
        <w:spacing w:before="0" w:after="0"/>
        <w:jc w:val="left"/>
        <w:rPr>
          <w:rFonts w:ascii="PFSquareSansPro-Regular" w:hAnsi="PFSquareSansPro-Regular"/>
          <w:noProof/>
          <w:sz w:val="16"/>
          <w:szCs w:val="16"/>
        </w:rPr>
      </w:pPr>
      <w:r>
        <w:rPr>
          <w:rFonts w:ascii="PFSquareSansPro-Regular" w:hAnsi="PFSquareSansPro-Regular"/>
          <w:noProof/>
          <w:sz w:val="16"/>
          <w:szCs w:val="16"/>
        </w:rPr>
        <w:br w:type="page"/>
      </w:r>
    </w:p>
    <w:p w:rsidR="0077224F" w:rsidRDefault="00D973EE">
      <w:pPr>
        <w:rPr>
          <w:rFonts w:ascii="PFSquareSansPro-Regular" w:hAnsi="PFSquareSansPro-Regular"/>
          <w:noProof/>
          <w:sz w:val="16"/>
          <w:szCs w:val="16"/>
        </w:rPr>
      </w:pPr>
      <w:r>
        <w:rPr>
          <w:rFonts w:ascii="PFSquareSansPro-Regular" w:hAnsi="PFSquareSansPro-Regular"/>
          <w:noProof/>
          <w:sz w:val="16"/>
          <w:szCs w:val="16"/>
          <w:lang w:eastAsia="zh-CN"/>
        </w:rPr>
        <w:drawing>
          <wp:anchor distT="0" distB="0" distL="114300" distR="114300" simplePos="0" relativeHeight="251755008" behindDoc="0" locked="0" layoutInCell="1" allowOverlap="1" wp14:anchorId="17E1BBCB" wp14:editId="49EE1544">
            <wp:simplePos x="0" y="0"/>
            <wp:positionH relativeFrom="column">
              <wp:posOffset>-225425</wp:posOffset>
            </wp:positionH>
            <wp:positionV relativeFrom="paragraph">
              <wp:posOffset>-405130</wp:posOffset>
            </wp:positionV>
            <wp:extent cx="7559675" cy="10684510"/>
            <wp:effectExtent l="0" t="0" r="3175" b="2540"/>
            <wp:wrapSquare wrapText="bothSides"/>
            <wp:docPr id="11" name="Picture 11" descr="Laura:Users:laura:Documents:JRC-templates_Rep:Materials-for-templates:JRC Back Cover A4 VER_Verdana-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ura:Users:laura:Documents:JRC-templates_Rep:Materials-for-templates:JRC Back Cover A4 VER_Verdana-font.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559675" cy="10684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eastAsia="zh-CN"/>
        </w:rPr>
        <w:drawing>
          <wp:anchor distT="0" distB="0" distL="114300" distR="114300" simplePos="0" relativeHeight="251757056" behindDoc="0" locked="1" layoutInCell="1" allowOverlap="1" wp14:anchorId="4DB2B1B9" wp14:editId="5B58EA89">
            <wp:simplePos x="0" y="0"/>
            <wp:positionH relativeFrom="page">
              <wp:posOffset>358775</wp:posOffset>
            </wp:positionH>
            <wp:positionV relativeFrom="page">
              <wp:posOffset>9902190</wp:posOffset>
            </wp:positionV>
            <wp:extent cx="1304290" cy="616585"/>
            <wp:effectExtent l="0" t="0" r="0" b="0"/>
            <wp:wrapThrough wrapText="bothSides">
              <wp:wrapPolygon edited="0">
                <wp:start x="0" y="0"/>
                <wp:lineTo x="0" y="20688"/>
                <wp:lineTo x="21137" y="20688"/>
                <wp:lineTo x="21137" y="0"/>
                <wp:lineTo x="0" y="0"/>
              </wp:wrapPolygon>
            </wp:wrapThrough>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04290" cy="616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24F" w:rsidRDefault="0077224F">
      <w:pPr>
        <w:pStyle w:val="NormalWeb"/>
        <w:rPr>
          <w:noProof/>
        </w:rPr>
        <w:sectPr w:rsidR="0077224F">
          <w:headerReference w:type="even" r:id="rId79"/>
          <w:headerReference w:type="default" r:id="rId80"/>
          <w:footerReference w:type="even" r:id="rId81"/>
          <w:footerReference w:type="default" r:id="rId82"/>
          <w:headerReference w:type="first" r:id="rId83"/>
          <w:footerReference w:type="first" r:id="rId84"/>
          <w:pgSz w:w="11900" w:h="16840"/>
          <w:pgMar w:top="357" w:right="357" w:bottom="816" w:left="357" w:header="0" w:footer="0" w:gutter="0"/>
          <w:cols w:space="708"/>
          <w:docGrid w:linePitch="360"/>
        </w:sectPr>
      </w:pPr>
    </w:p>
    <w:p w:rsidR="0077224F" w:rsidRDefault="00D973EE">
      <w:pPr>
        <w:pStyle w:val="ManualHeading1"/>
        <w:pBdr>
          <w:top w:val="single" w:sz="4" w:space="0" w:color="auto"/>
        </w:pBdr>
      </w:pPr>
      <w:bookmarkStart w:id="971" w:name="_Toc430097552"/>
      <w:bookmarkStart w:id="972" w:name="_Toc450056787"/>
      <w:bookmarkStart w:id="973" w:name="_Toc468455372"/>
      <w:bookmarkStart w:id="974" w:name="_Toc468795229"/>
      <w:bookmarkStart w:id="975" w:name="_Toc430097549"/>
      <w:r>
        <w:t>Annex 7: Who is affected by the initiative</w:t>
      </w:r>
      <w:bookmarkEnd w:id="971"/>
      <w:r>
        <w:t xml:space="preserve"> and how</w:t>
      </w:r>
      <w:bookmarkEnd w:id="972"/>
      <w:bookmarkEnd w:id="973"/>
      <w:bookmarkEnd w:id="974"/>
    </w:p>
    <w:p w:rsidR="0077224F" w:rsidRDefault="00D973EE">
      <w:pPr>
        <w:spacing w:before="0"/>
        <w:rPr>
          <w:rFonts w:ascii="Times New Roman" w:eastAsia="Times New Roman" w:hAnsi="Times New Roman"/>
          <w:noProof/>
          <w:sz w:val="24"/>
          <w:shd w:val="clear" w:color="auto" w:fill="FFFFFF"/>
        </w:rPr>
      </w:pPr>
      <w:r>
        <w:rPr>
          <w:rFonts w:ascii="Times New Roman" w:eastAsia="Times New Roman" w:hAnsi="Times New Roman"/>
          <w:noProof/>
          <w:sz w:val="24"/>
          <w:shd w:val="clear" w:color="auto" w:fill="FFFFFF"/>
        </w:rPr>
        <w:t xml:space="preserve">This annex describes the practical implications of the preferred option </w:t>
      </w:r>
      <w:r>
        <w:rPr>
          <w:rFonts w:ascii="Times New Roman" w:eastAsia="Times New Roman" w:hAnsi="Times New Roman"/>
          <w:noProof/>
          <w:sz w:val="24"/>
          <w:shd w:val="clear" w:color="auto" w:fill="FFFFFF"/>
        </w:rPr>
        <w:t>identified in the Impact Assessment for the Review of the ePrivacy Directive (ePD) for representative groups likely to be directly or indirectly affected by the legislation including electronic communication service providers, Over-the-Top players, SMEs, n</w:t>
      </w:r>
      <w:r>
        <w:rPr>
          <w:rFonts w:ascii="Times New Roman" w:eastAsia="Times New Roman" w:hAnsi="Times New Roman"/>
          <w:noProof/>
          <w:sz w:val="24"/>
          <w:shd w:val="clear" w:color="auto" w:fill="FFFFFF"/>
        </w:rPr>
        <w:t>ational authorities and consumers. Moreover, it includes a specific section on SMEs ("SMEs Test") and a section on impact on international trade.</w:t>
      </w:r>
    </w:p>
    <w:p w:rsidR="0077224F" w:rsidRDefault="00D973EE">
      <w:pPr>
        <w:spacing w:before="0"/>
        <w:rPr>
          <w:rFonts w:ascii="Times New Roman" w:eastAsia="Times New Roman" w:hAnsi="Times New Roman"/>
          <w:noProof/>
          <w:sz w:val="24"/>
          <w:shd w:val="clear" w:color="auto" w:fill="FFFFFF"/>
        </w:rPr>
      </w:pPr>
      <w:r>
        <w:rPr>
          <w:rFonts w:ascii="Times New Roman" w:eastAsia="Times New Roman" w:hAnsi="Times New Roman"/>
          <w:noProof/>
          <w:sz w:val="24"/>
          <w:shd w:val="clear" w:color="auto" w:fill="FFFFFF"/>
        </w:rPr>
        <w:t>For each stakeholder group, the relevant impacts of the preferred option, the key obligations that will need t</w:t>
      </w:r>
      <w:r>
        <w:rPr>
          <w:rFonts w:ascii="Times New Roman" w:eastAsia="Times New Roman" w:hAnsi="Times New Roman"/>
          <w:noProof/>
          <w:sz w:val="24"/>
          <w:shd w:val="clear" w:color="auto" w:fill="FFFFFF"/>
        </w:rPr>
        <w:t>o be fulfilled and when these might need to be fulfilled in order to comply with obligations under the revised ePrivacy rules will be discussed. Wherever possible, potential costs that may be incurred in meeting those obligations will be indicated.</w:t>
      </w:r>
    </w:p>
    <w:p w:rsidR="0077224F" w:rsidRDefault="00D973EE">
      <w:pPr>
        <w:spacing w:before="0"/>
        <w:rPr>
          <w:rFonts w:ascii="Times New Roman" w:eastAsia="Times New Roman" w:hAnsi="Times New Roman"/>
          <w:b/>
          <w:noProof/>
          <w:sz w:val="24"/>
          <w:shd w:val="clear" w:color="auto" w:fill="FFFFFF"/>
        </w:rPr>
      </w:pPr>
      <w:r>
        <w:rPr>
          <w:rFonts w:ascii="Times New Roman" w:eastAsia="Times New Roman" w:hAnsi="Times New Roman"/>
          <w:b/>
          <w:noProof/>
          <w:sz w:val="24"/>
          <w:shd w:val="clear" w:color="auto" w:fill="FFFFFF"/>
        </w:rPr>
        <w:t>1. Impa</w:t>
      </w:r>
      <w:r>
        <w:rPr>
          <w:rFonts w:ascii="Times New Roman" w:eastAsia="Times New Roman" w:hAnsi="Times New Roman"/>
          <w:b/>
          <w:noProof/>
          <w:sz w:val="24"/>
          <w:shd w:val="clear" w:color="auto" w:fill="FFFFFF"/>
        </w:rPr>
        <w:t>ct on categories of stakeholders</w:t>
      </w:r>
    </w:p>
    <w:p w:rsidR="0077224F" w:rsidRDefault="00D973EE">
      <w:pPr>
        <w:numPr>
          <w:ilvl w:val="0"/>
          <w:numId w:val="89"/>
        </w:numPr>
        <w:spacing w:before="0" w:after="240"/>
        <w:rPr>
          <w:rFonts w:ascii="Times New Roman" w:eastAsia="Times New Roman" w:hAnsi="Times New Roman"/>
          <w:noProof/>
          <w:sz w:val="24"/>
        </w:rPr>
      </w:pPr>
      <w:bookmarkStart w:id="976" w:name="_Toc452719239"/>
      <w:bookmarkStart w:id="977" w:name="_Toc452719919"/>
      <w:bookmarkStart w:id="978" w:name="_Toc452720452"/>
      <w:bookmarkStart w:id="979" w:name="_Toc452720888"/>
      <w:bookmarkStart w:id="980" w:name="_Toc452721132"/>
      <w:bookmarkStart w:id="981" w:name="_Toc452721862"/>
      <w:bookmarkStart w:id="982" w:name="_Toc452722471"/>
      <w:bookmarkStart w:id="983" w:name="_Toc452724905"/>
      <w:bookmarkStart w:id="984" w:name="_Toc452725127"/>
      <w:bookmarkStart w:id="985" w:name="_Toc452725371"/>
      <w:bookmarkStart w:id="986" w:name="_Toc452728786"/>
      <w:bookmarkStart w:id="987" w:name="_Toc452729468"/>
      <w:bookmarkStart w:id="988" w:name="_Toc452729699"/>
      <w:bookmarkStart w:id="989" w:name="_Toc452729967"/>
      <w:bookmarkStart w:id="990" w:name="_Toc452730147"/>
      <w:bookmarkStart w:id="991" w:name="_Toc452730634"/>
      <w:bookmarkStart w:id="992" w:name="_Toc452731499"/>
      <w:bookmarkStart w:id="993" w:name="_Toc452731680"/>
      <w:bookmarkStart w:id="994" w:name="_Toc452731861"/>
      <w:bookmarkStart w:id="995" w:name="_Toc452732042"/>
      <w:bookmarkStart w:id="996" w:name="_Toc452732223"/>
      <w:bookmarkStart w:id="997" w:name="_Toc452732051"/>
      <w:bookmarkStart w:id="998" w:name="_Toc452732413"/>
      <w:bookmarkStart w:id="999" w:name="_Toc452732826"/>
      <w:bookmarkStart w:id="1000" w:name="_Toc452733006"/>
      <w:bookmarkStart w:id="1001" w:name="_Toc452732652"/>
      <w:bookmarkStart w:id="1002" w:name="_Toc452733219"/>
      <w:bookmarkStart w:id="1003" w:name="_Toc452733426"/>
      <w:bookmarkStart w:id="1004" w:name="_Toc452733586"/>
      <w:bookmarkStart w:id="1005" w:name="_Toc452733995"/>
      <w:bookmarkStart w:id="1006" w:name="_Toc452735330"/>
      <w:bookmarkStart w:id="1007" w:name="_Toc452735547"/>
      <w:bookmarkStart w:id="1008" w:name="_Toc452712129"/>
      <w:bookmarkStart w:id="1009" w:name="_Toc452712447"/>
      <w:bookmarkStart w:id="1010" w:name="_Toc452713583"/>
      <w:bookmarkStart w:id="1011" w:name="_Toc452714157"/>
      <w:bookmarkStart w:id="1012" w:name="_Toc452719240"/>
      <w:bookmarkStart w:id="1013" w:name="_Toc452719920"/>
      <w:bookmarkStart w:id="1014" w:name="_Toc452720453"/>
      <w:bookmarkStart w:id="1015" w:name="_Toc452720889"/>
      <w:bookmarkStart w:id="1016" w:name="_Toc452721133"/>
      <w:bookmarkStart w:id="1017" w:name="_Toc452721863"/>
      <w:bookmarkStart w:id="1018" w:name="_Toc452722472"/>
      <w:bookmarkStart w:id="1019" w:name="_Toc452724906"/>
      <w:bookmarkStart w:id="1020" w:name="_Toc452725128"/>
      <w:bookmarkStart w:id="1021" w:name="_Toc452725372"/>
      <w:bookmarkStart w:id="1022" w:name="_Toc452728787"/>
      <w:bookmarkStart w:id="1023" w:name="_Toc452729469"/>
      <w:bookmarkStart w:id="1024" w:name="_Toc452729700"/>
      <w:bookmarkStart w:id="1025" w:name="_Toc452729968"/>
      <w:bookmarkStart w:id="1026" w:name="_Toc452730148"/>
      <w:bookmarkStart w:id="1027" w:name="_Toc452730635"/>
      <w:bookmarkStart w:id="1028" w:name="_Toc452731500"/>
      <w:bookmarkStart w:id="1029" w:name="_Toc452731681"/>
      <w:bookmarkStart w:id="1030" w:name="_Toc452731862"/>
      <w:bookmarkStart w:id="1031" w:name="_Toc452732043"/>
      <w:bookmarkStart w:id="1032" w:name="_Toc452732224"/>
      <w:bookmarkStart w:id="1033" w:name="_Toc452732052"/>
      <w:bookmarkStart w:id="1034" w:name="_Toc452732414"/>
      <w:bookmarkStart w:id="1035" w:name="_Toc452732827"/>
      <w:bookmarkStart w:id="1036" w:name="_Toc452733007"/>
      <w:bookmarkStart w:id="1037" w:name="_Toc452732653"/>
      <w:bookmarkStart w:id="1038" w:name="_Toc452733220"/>
      <w:bookmarkStart w:id="1039" w:name="_Toc452733427"/>
      <w:bookmarkStart w:id="1040" w:name="_Toc452733587"/>
      <w:bookmarkStart w:id="1041" w:name="_Toc452733996"/>
      <w:bookmarkStart w:id="1042" w:name="_Toc452735331"/>
      <w:bookmarkStart w:id="1043" w:name="_Toc452735548"/>
      <w:bookmarkStart w:id="1044" w:name="_Toc452719241"/>
      <w:bookmarkStart w:id="1045" w:name="_Toc452719921"/>
      <w:bookmarkStart w:id="1046" w:name="_Toc452720454"/>
      <w:bookmarkStart w:id="1047" w:name="_Toc452720890"/>
      <w:bookmarkStart w:id="1048" w:name="_Toc452721134"/>
      <w:bookmarkStart w:id="1049" w:name="_Toc452721864"/>
      <w:bookmarkStart w:id="1050" w:name="_Toc452722473"/>
      <w:bookmarkStart w:id="1051" w:name="_Toc452724907"/>
      <w:bookmarkStart w:id="1052" w:name="_Toc452725129"/>
      <w:bookmarkStart w:id="1053" w:name="_Toc452725373"/>
      <w:bookmarkStart w:id="1054" w:name="_Toc452728788"/>
      <w:bookmarkStart w:id="1055" w:name="_Toc452729470"/>
      <w:bookmarkStart w:id="1056" w:name="_Toc452729701"/>
      <w:bookmarkStart w:id="1057" w:name="_Toc452729969"/>
      <w:bookmarkStart w:id="1058" w:name="_Toc452730149"/>
      <w:bookmarkStart w:id="1059" w:name="_Toc452730636"/>
      <w:bookmarkStart w:id="1060" w:name="_Toc452731501"/>
      <w:bookmarkStart w:id="1061" w:name="_Toc452731682"/>
      <w:bookmarkStart w:id="1062" w:name="_Toc452731863"/>
      <w:bookmarkStart w:id="1063" w:name="_Toc452732044"/>
      <w:bookmarkStart w:id="1064" w:name="_Toc452732225"/>
      <w:bookmarkStart w:id="1065" w:name="_Toc452732053"/>
      <w:bookmarkStart w:id="1066" w:name="_Toc452732415"/>
      <w:bookmarkStart w:id="1067" w:name="_Toc452732828"/>
      <w:bookmarkStart w:id="1068" w:name="_Toc452733008"/>
      <w:bookmarkStart w:id="1069" w:name="_Toc452732654"/>
      <w:bookmarkStart w:id="1070" w:name="_Toc452733221"/>
      <w:bookmarkStart w:id="1071" w:name="_Toc452733428"/>
      <w:bookmarkStart w:id="1072" w:name="_Toc452733588"/>
      <w:bookmarkStart w:id="1073" w:name="_Toc452733997"/>
      <w:bookmarkStart w:id="1074" w:name="_Toc452735332"/>
      <w:bookmarkStart w:id="1075" w:name="_Toc452735549"/>
      <w:bookmarkStart w:id="1076" w:name="_Toc452719242"/>
      <w:bookmarkStart w:id="1077" w:name="_Toc452719646"/>
      <w:bookmarkStart w:id="1078" w:name="_Toc452719922"/>
      <w:bookmarkStart w:id="1079" w:name="_Toc452720276"/>
      <w:bookmarkStart w:id="1080" w:name="_Toc452720455"/>
      <w:bookmarkStart w:id="1081" w:name="_Toc452720629"/>
      <w:bookmarkStart w:id="1082" w:name="_Toc452720891"/>
      <w:bookmarkStart w:id="1083" w:name="_Toc452721135"/>
      <w:bookmarkStart w:id="1084" w:name="_Toc452721865"/>
      <w:bookmarkStart w:id="1085" w:name="_Toc452722039"/>
      <w:bookmarkStart w:id="1086" w:name="_Toc452722474"/>
      <w:bookmarkStart w:id="1087" w:name="_Toc452723168"/>
      <w:bookmarkStart w:id="1088" w:name="_Toc452723341"/>
      <w:bookmarkStart w:id="1089" w:name="_Toc452724908"/>
      <w:bookmarkStart w:id="1090" w:name="_Toc452725130"/>
      <w:bookmarkStart w:id="1091" w:name="_Toc452725374"/>
      <w:bookmarkStart w:id="1092" w:name="_Toc452727029"/>
      <w:bookmarkStart w:id="1093" w:name="_Toc452727202"/>
      <w:bookmarkStart w:id="1094" w:name="_Toc452728789"/>
      <w:bookmarkStart w:id="1095" w:name="_Toc452729271"/>
      <w:bookmarkStart w:id="1096" w:name="_Toc452729471"/>
      <w:bookmarkStart w:id="1097" w:name="_Toc452728963"/>
      <w:bookmarkStart w:id="1098" w:name="_Toc452729702"/>
      <w:bookmarkStart w:id="1099" w:name="_Toc452729970"/>
      <w:bookmarkStart w:id="1100" w:name="_Toc452730150"/>
      <w:bookmarkStart w:id="1101" w:name="_Toc452730637"/>
      <w:bookmarkStart w:id="1102" w:name="_Toc452730811"/>
      <w:bookmarkStart w:id="1103" w:name="_Toc452731502"/>
      <w:bookmarkStart w:id="1104" w:name="_Toc452731683"/>
      <w:bookmarkStart w:id="1105" w:name="_Toc452731864"/>
      <w:bookmarkStart w:id="1106" w:name="_Toc452732045"/>
      <w:bookmarkStart w:id="1107" w:name="_Toc452732226"/>
      <w:bookmarkStart w:id="1108" w:name="_Toc452732054"/>
      <w:bookmarkStart w:id="1109" w:name="_Toc452732416"/>
      <w:bookmarkStart w:id="1110" w:name="_Toc452732107"/>
      <w:bookmarkStart w:id="1111" w:name="_Toc452732829"/>
      <w:bookmarkStart w:id="1112" w:name="_Toc452733009"/>
      <w:bookmarkStart w:id="1113" w:name="_Toc452732655"/>
      <w:bookmarkStart w:id="1114" w:name="_Toc452733222"/>
      <w:bookmarkStart w:id="1115" w:name="_Toc452733429"/>
      <w:bookmarkStart w:id="1116" w:name="_Toc452733589"/>
      <w:bookmarkStart w:id="1117" w:name="_Toc452733998"/>
      <w:bookmarkStart w:id="1118" w:name="_Toc452734412"/>
      <w:bookmarkStart w:id="1119" w:name="_Toc452735333"/>
      <w:bookmarkStart w:id="1120" w:name="_Toc452735550"/>
      <w:bookmarkStart w:id="1121" w:name="_Toc452736100"/>
      <w:bookmarkStart w:id="1122" w:name="_Toc452736605"/>
      <w:bookmarkStart w:id="1123" w:name="_Toc452736932"/>
      <w:bookmarkStart w:id="1124" w:name="_Toc452739096"/>
      <w:bookmarkStart w:id="1125" w:name="_Toc452740579"/>
      <w:bookmarkStart w:id="1126" w:name="_Toc452740958"/>
      <w:bookmarkStart w:id="1127" w:name="_Toc452741147"/>
      <w:bookmarkStart w:id="1128" w:name="_Toc452972298"/>
      <w:bookmarkStart w:id="1129" w:name="_Toc452976700"/>
      <w:bookmarkStart w:id="1130" w:name="_Toc452980588"/>
      <w:bookmarkStart w:id="1131" w:name="_Toc452981371"/>
      <w:bookmarkStart w:id="1132" w:name="_Toc452995500"/>
      <w:bookmarkStart w:id="1133" w:name="_Toc452995823"/>
      <w:bookmarkStart w:id="1134" w:name="_Toc452996559"/>
      <w:bookmarkStart w:id="1135" w:name="_Toc452998061"/>
      <w:bookmarkStart w:id="1136" w:name="_Toc453002751"/>
      <w:bookmarkStart w:id="1137" w:name="_Toc453003021"/>
      <w:bookmarkStart w:id="1138" w:name="_Toc453003174"/>
      <w:bookmarkStart w:id="1139" w:name="_Toc453083167"/>
      <w:bookmarkStart w:id="1140" w:name="_Toc45308703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r>
        <w:rPr>
          <w:rFonts w:ascii="Times New Roman" w:eastAsia="Times New Roman" w:hAnsi="Times New Roman"/>
          <w:b/>
          <w:noProof/>
          <w:sz w:val="24"/>
        </w:rPr>
        <w:t>Citizens</w:t>
      </w:r>
      <w:r>
        <w:rPr>
          <w:rFonts w:ascii="Times New Roman" w:eastAsia="Times New Roman" w:hAnsi="Times New Roman"/>
          <w:noProof/>
          <w:sz w:val="24"/>
        </w:rPr>
        <w:t xml:space="preserve"> (both individuals and legal persons) will benefit from this option in terms of more effective, consistent and efficient privacy protection. The extension of the scope by legislative change to OTT entities providing</w:t>
      </w:r>
      <w:r>
        <w:rPr>
          <w:rFonts w:ascii="Times New Roman" w:eastAsia="Times New Roman" w:hAnsi="Times New Roman"/>
          <w:noProof/>
          <w:sz w:val="24"/>
        </w:rPr>
        <w:t xml:space="preserve"> communications, to publicly available private networks (WiFi) and to IoT devices would fill considerable gaps or uncertainty related to the scope of the current ePD. Citizens will hold equivalent rights for equivalent services, which is not the case today</w:t>
      </w:r>
      <w:r>
        <w:rPr>
          <w:rFonts w:ascii="Times New Roman" w:eastAsia="Times New Roman" w:hAnsi="Times New Roman"/>
          <w:noProof/>
          <w:sz w:val="24"/>
        </w:rPr>
        <w:t xml:space="preserve">. </w:t>
      </w:r>
    </w:p>
    <w:p w:rsidR="0077224F" w:rsidRDefault="00D973EE">
      <w:pPr>
        <w:ind w:left="360"/>
        <w:rPr>
          <w:rFonts w:ascii="Times New Roman" w:eastAsia="Times New Roman" w:hAnsi="Times New Roman"/>
          <w:noProof/>
          <w:sz w:val="24"/>
        </w:rPr>
      </w:pPr>
      <w:r>
        <w:rPr>
          <w:rFonts w:ascii="Times New Roman" w:eastAsia="Times New Roman" w:hAnsi="Times New Roman"/>
          <w:noProof/>
          <w:sz w:val="24"/>
        </w:rPr>
        <w:t xml:space="preserve">Since the new provisions will be value-based, rather than tehcnology-based, the citizens' protection would be less likely to become unfit for purpose in light of future technological developments. </w:t>
      </w:r>
    </w:p>
    <w:p w:rsidR="0077224F" w:rsidRDefault="00D973EE">
      <w:pPr>
        <w:ind w:left="360"/>
        <w:rPr>
          <w:rFonts w:ascii="Times New Roman" w:eastAsia="Times New Roman" w:hAnsi="Times New Roman"/>
          <w:noProof/>
          <w:sz w:val="24"/>
        </w:rPr>
      </w:pPr>
      <w:r>
        <w:rPr>
          <w:rFonts w:ascii="Times New Roman" w:eastAsia="Times New Roman" w:hAnsi="Times New Roman"/>
          <w:noProof/>
          <w:sz w:val="24"/>
        </w:rPr>
        <w:t>By mandating specific software providers to set-up priv</w:t>
      </w:r>
      <w:r>
        <w:rPr>
          <w:rFonts w:ascii="Times New Roman" w:eastAsia="Times New Roman" w:hAnsi="Times New Roman"/>
          <w:noProof/>
          <w:sz w:val="24"/>
        </w:rPr>
        <w:t>acy friendly settings to reinforce user's control, this option would greatly simplify the management of their privacy preferences and allow citizens to set their preferences in a centralised way. This is expected to reduce the problems caused by cookie ban</w:t>
      </w:r>
      <w:r>
        <w:rPr>
          <w:rFonts w:ascii="Times New Roman" w:eastAsia="Times New Roman" w:hAnsi="Times New Roman"/>
          <w:noProof/>
          <w:sz w:val="24"/>
        </w:rPr>
        <w:t xml:space="preserve">ners and the related cookie-consent fatigue. </w:t>
      </w:r>
    </w:p>
    <w:p w:rsidR="0077224F" w:rsidRDefault="00D973EE">
      <w:pPr>
        <w:ind w:left="360"/>
        <w:rPr>
          <w:rFonts w:ascii="Times New Roman" w:eastAsia="Times New Roman" w:hAnsi="Times New Roman"/>
          <w:noProof/>
          <w:sz w:val="24"/>
        </w:rPr>
      </w:pPr>
      <w:r>
        <w:rPr>
          <w:rFonts w:ascii="Times New Roman" w:eastAsia="Times New Roman" w:hAnsi="Times New Roman"/>
          <w:noProof/>
          <w:sz w:val="24"/>
        </w:rPr>
        <w:t xml:space="preserve">The introduction of a special prefix and the consequent banning of unsolicited calls by anonymous numbers, together with the extention of the rigths to block calls, are expected to increase transparency and effective enforcement. </w:t>
      </w:r>
    </w:p>
    <w:p w:rsidR="0077224F" w:rsidRDefault="00D973EE">
      <w:pPr>
        <w:ind w:left="360"/>
        <w:rPr>
          <w:rFonts w:ascii="Times New Roman" w:eastAsia="Times New Roman" w:hAnsi="Times New Roman"/>
          <w:noProof/>
          <w:sz w:val="24"/>
        </w:rPr>
      </w:pPr>
      <w:r>
        <w:rPr>
          <w:rFonts w:ascii="Times New Roman" w:eastAsia="Times New Roman" w:hAnsi="Times New Roman"/>
          <w:noProof/>
          <w:sz w:val="24"/>
        </w:rPr>
        <w:t>Finally, by reinforcing a</w:t>
      </w:r>
      <w:r>
        <w:rPr>
          <w:rFonts w:ascii="Times New Roman" w:eastAsia="Times New Roman" w:hAnsi="Times New Roman"/>
          <w:noProof/>
          <w:sz w:val="24"/>
        </w:rPr>
        <w:t>nd streamlining enforcement, including by providing for deterrent penalties, this option would ensure independence and significantly reinforce the powers of the national authorities, thus creating the conditions for a more effective and consistent enforcem</w:t>
      </w:r>
      <w:r>
        <w:rPr>
          <w:rFonts w:ascii="Times New Roman" w:eastAsia="Times New Roman" w:hAnsi="Times New Roman"/>
          <w:noProof/>
          <w:sz w:val="24"/>
        </w:rPr>
        <w:t xml:space="preserve">ent. </w:t>
      </w:r>
    </w:p>
    <w:p w:rsidR="0077224F" w:rsidRDefault="00D973EE">
      <w:pPr>
        <w:numPr>
          <w:ilvl w:val="0"/>
          <w:numId w:val="89"/>
        </w:numPr>
        <w:spacing w:before="0" w:after="240"/>
        <w:rPr>
          <w:rFonts w:ascii="Times New Roman" w:eastAsia="Times New Roman" w:hAnsi="Times New Roman"/>
          <w:noProof/>
          <w:sz w:val="24"/>
        </w:rPr>
      </w:pPr>
      <w:r>
        <w:rPr>
          <w:rFonts w:ascii="Times New Roman" w:eastAsia="Times New Roman" w:hAnsi="Times New Roman"/>
          <w:b/>
          <w:noProof/>
          <w:sz w:val="24"/>
        </w:rPr>
        <w:t xml:space="preserve">Businesses: </w:t>
      </w:r>
      <w:r>
        <w:rPr>
          <w:rFonts w:ascii="Times New Roman" w:eastAsia="Times New Roman" w:hAnsi="Times New Roman"/>
          <w:noProof/>
          <w:sz w:val="24"/>
        </w:rPr>
        <w:t>the following</w:t>
      </w:r>
      <w:r>
        <w:rPr>
          <w:rFonts w:ascii="Times New Roman" w:eastAsia="Times New Roman" w:hAnsi="Times New Roman"/>
          <w:b/>
          <w:noProof/>
          <w:sz w:val="24"/>
        </w:rPr>
        <w:t xml:space="preserve"> </w:t>
      </w:r>
      <w:r>
        <w:rPr>
          <w:rFonts w:ascii="Times New Roman" w:eastAsia="Times New Roman" w:hAnsi="Times New Roman"/>
          <w:noProof/>
          <w:sz w:val="24"/>
        </w:rPr>
        <w:t>main cateogories of undertakings would be affected by the new rules in the following way:</w:t>
      </w:r>
    </w:p>
    <w:p w:rsidR="0077224F" w:rsidRDefault="00D973EE">
      <w:pPr>
        <w:numPr>
          <w:ilvl w:val="0"/>
          <w:numId w:val="61"/>
        </w:numPr>
        <w:spacing w:before="0" w:after="240"/>
        <w:rPr>
          <w:rFonts w:ascii="Times New Roman" w:eastAsia="Times New Roman" w:hAnsi="Times New Roman"/>
          <w:noProof/>
          <w:sz w:val="24"/>
        </w:rPr>
      </w:pPr>
      <w:r>
        <w:rPr>
          <w:rFonts w:ascii="Times New Roman" w:eastAsia="Times New Roman" w:hAnsi="Times New Roman"/>
          <w:b/>
          <w:noProof/>
          <w:sz w:val="24"/>
        </w:rPr>
        <w:t>ECS</w:t>
      </w:r>
      <w:r>
        <w:rPr>
          <w:rFonts w:ascii="Times New Roman" w:eastAsia="Times New Roman" w:hAnsi="Times New Roman"/>
          <w:noProof/>
          <w:sz w:val="24"/>
        </w:rPr>
        <w:t xml:space="preserve">: would benefit from the increased harmonisation and legal certainty stemming from the clarification of the scope and content of a </w:t>
      </w:r>
      <w:r>
        <w:rPr>
          <w:rFonts w:ascii="Times New Roman" w:eastAsia="Times New Roman" w:hAnsi="Times New Roman"/>
          <w:noProof/>
          <w:sz w:val="24"/>
        </w:rPr>
        <w:t>number of provisions. Greater harmonisation and clarity would reduce their costs, especially when they operate in several Member States. ECS would benefit considerably from the level playing field. Competing services will be subject to the same rules, thus</w:t>
      </w:r>
      <w:r>
        <w:rPr>
          <w:rFonts w:ascii="Times New Roman" w:eastAsia="Times New Roman" w:hAnsi="Times New Roman"/>
          <w:noProof/>
          <w:sz w:val="24"/>
        </w:rPr>
        <w:t xml:space="preserve"> putting an end to the asymmetric regulation. Moreover, these entities will be able to use the additional flexibility introduced under this option and have the opportunity to engage in the data economy. The repeal of outdated or unnecessary provisions will</w:t>
      </w:r>
      <w:r>
        <w:rPr>
          <w:rFonts w:ascii="Times New Roman" w:eastAsia="Times New Roman" w:hAnsi="Times New Roman"/>
          <w:noProof/>
          <w:sz w:val="24"/>
        </w:rPr>
        <w:t xml:space="preserve"> simplify the regulatory framework and ensure consistency with other pieces of legislation, such as the GDPR.</w:t>
      </w:r>
    </w:p>
    <w:p w:rsidR="0077224F" w:rsidRDefault="00D973EE">
      <w:pPr>
        <w:numPr>
          <w:ilvl w:val="0"/>
          <w:numId w:val="61"/>
        </w:numPr>
        <w:spacing w:before="0" w:after="240"/>
        <w:rPr>
          <w:rFonts w:ascii="Times New Roman" w:eastAsia="Times New Roman" w:hAnsi="Times New Roman"/>
          <w:noProof/>
          <w:sz w:val="24"/>
        </w:rPr>
      </w:pPr>
      <w:r>
        <w:rPr>
          <w:rFonts w:ascii="Times New Roman" w:eastAsia="Times New Roman" w:hAnsi="Times New Roman"/>
          <w:b/>
          <w:noProof/>
          <w:sz w:val="24"/>
        </w:rPr>
        <w:t>OTTs</w:t>
      </w:r>
      <w:r>
        <w:rPr>
          <w:rFonts w:ascii="Times New Roman" w:eastAsia="Times New Roman" w:hAnsi="Times New Roman"/>
          <w:noProof/>
          <w:sz w:val="24"/>
        </w:rPr>
        <w:t xml:space="preserve"> will have to comply with the ePrivacy rules. They will face some additional compliance costs</w:t>
      </w:r>
      <w:r>
        <w:rPr>
          <w:rFonts w:ascii="Times New Roman" w:eastAsia="Times New Roman" w:hAnsi="Times New Roman"/>
          <w:noProof/>
          <w:sz w:val="22"/>
          <w:szCs w:val="22"/>
        </w:rPr>
        <w:t xml:space="preserve"> </w:t>
      </w:r>
      <w:r>
        <w:rPr>
          <w:rFonts w:ascii="Times New Roman" w:eastAsia="Times New Roman" w:hAnsi="Times New Roman"/>
          <w:noProof/>
          <w:sz w:val="24"/>
        </w:rPr>
        <w:t>based on the introduction of additional requirem</w:t>
      </w:r>
      <w:r>
        <w:rPr>
          <w:rFonts w:ascii="Times New Roman" w:eastAsia="Times New Roman" w:hAnsi="Times New Roman"/>
          <w:noProof/>
          <w:sz w:val="24"/>
        </w:rPr>
        <w:t>ents for some operators previously not covered by the framework. As a consequence of the extension of the scope, OTT providers will no longer be able to rely on all legal grounds for processing personal data under the GDPR and could process communication d</w:t>
      </w:r>
      <w:r>
        <w:rPr>
          <w:rFonts w:ascii="Times New Roman" w:eastAsia="Times New Roman" w:hAnsi="Times New Roman"/>
          <w:noProof/>
          <w:sz w:val="24"/>
        </w:rPr>
        <w:t>ata only with the consent of the users. The same would apply to publicly available private Wi-Fi operators and IoT players engaging in forms of tracking previously not covered by the rules. OTTs practices in MS will have to be revised in order to ensure co</w:t>
      </w:r>
      <w:r>
        <w:rPr>
          <w:rFonts w:ascii="Times New Roman" w:eastAsia="Times New Roman" w:hAnsi="Times New Roman"/>
          <w:noProof/>
          <w:sz w:val="24"/>
        </w:rPr>
        <w:t>mpliance with the ePrivacy rules on confidentiality (large one-off cost to adapt their data processing activities to the new rules and progressively smaller operational costs for updates and maintenance of processing systems) and other ePD rules on calling</w:t>
      </w:r>
      <w:r>
        <w:rPr>
          <w:rFonts w:ascii="Times New Roman" w:eastAsia="Times New Roman" w:hAnsi="Times New Roman"/>
          <w:noProof/>
          <w:sz w:val="24"/>
        </w:rPr>
        <w:t xml:space="preserve"> line identification and automatic call forwarding (for OTT using numbers) and directories of subscribers (all OTTs) (as above large one-off cost and smaller operational costs). This would entail a careful review and adaptation of the current data processi</w:t>
      </w:r>
      <w:r>
        <w:rPr>
          <w:rFonts w:ascii="Times New Roman" w:eastAsia="Times New Roman" w:hAnsi="Times New Roman"/>
          <w:noProof/>
          <w:sz w:val="24"/>
        </w:rPr>
        <w:t>ng practices, based on a thorough legal analysis likely requiring external professional advice.</w:t>
      </w:r>
    </w:p>
    <w:p w:rsidR="0077224F" w:rsidRDefault="00D973EE">
      <w:pPr>
        <w:spacing w:before="0"/>
        <w:ind w:left="720"/>
        <w:rPr>
          <w:rFonts w:ascii="Times New Roman" w:eastAsia="Times New Roman" w:hAnsi="Times New Roman"/>
          <w:noProof/>
          <w:sz w:val="24"/>
        </w:rPr>
      </w:pPr>
      <w:r>
        <w:rPr>
          <w:rFonts w:ascii="Times New Roman" w:eastAsia="Times New Roman" w:hAnsi="Times New Roman"/>
          <w:noProof/>
          <w:sz w:val="24"/>
        </w:rPr>
        <w:t>However, the extent to which costs would change would depend on the sector concerned and specific circumstances. These costs, in particular, are not expected to</w:t>
      </w:r>
      <w:r>
        <w:rPr>
          <w:rFonts w:ascii="Times New Roman" w:eastAsia="Times New Roman" w:hAnsi="Times New Roman"/>
          <w:noProof/>
          <w:sz w:val="24"/>
        </w:rPr>
        <w:t xml:space="preserve"> be, in proportion, particularly high for big/medium enterprises, which have consolidated experience in the application of privacy rules. Moreover, these changes would not substantially affect those OTTs that already operate on the basis of consent. Finall</w:t>
      </w:r>
      <w:r>
        <w:rPr>
          <w:rFonts w:ascii="Times New Roman" w:eastAsia="Times New Roman" w:hAnsi="Times New Roman"/>
          <w:noProof/>
          <w:sz w:val="24"/>
        </w:rPr>
        <w:t>y, the impact of the option would not be felt in those MS that have extended already the scope of the rules to OTTs. In these cases, the overall added burden (in terms of compliance and cost stemming from administrative burden) is expected to be fairly con</w:t>
      </w:r>
      <w:r>
        <w:rPr>
          <w:rFonts w:ascii="Times New Roman" w:eastAsia="Times New Roman" w:hAnsi="Times New Roman"/>
          <w:noProof/>
          <w:sz w:val="24"/>
        </w:rPr>
        <w:t xml:space="preserve">tained at least in relative terms. </w:t>
      </w:r>
    </w:p>
    <w:p w:rsidR="0077224F" w:rsidRDefault="00D973EE">
      <w:pPr>
        <w:spacing w:before="0"/>
        <w:ind w:left="720"/>
        <w:rPr>
          <w:rFonts w:ascii="Times New Roman" w:eastAsia="Times New Roman" w:hAnsi="Times New Roman"/>
          <w:noProof/>
          <w:sz w:val="24"/>
        </w:rPr>
      </w:pPr>
      <w:r>
        <w:rPr>
          <w:rFonts w:ascii="Times New Roman" w:eastAsia="Times New Roman" w:hAnsi="Times New Roman"/>
          <w:noProof/>
          <w:sz w:val="24"/>
        </w:rPr>
        <w:t xml:space="preserve">While the impact on compliance costs is not expected to be significant, this option would certainly have an impact on </w:t>
      </w:r>
      <w:r>
        <w:rPr>
          <w:rFonts w:ascii="Times New Roman" w:eastAsia="Times New Roman" w:hAnsi="Times New Roman"/>
          <w:b/>
          <w:noProof/>
          <w:sz w:val="24"/>
        </w:rPr>
        <w:t>opportunity costs</w:t>
      </w:r>
      <w:r>
        <w:rPr>
          <w:rFonts w:ascii="Times New Roman" w:eastAsia="Times New Roman" w:hAnsi="Times New Roman"/>
          <w:noProof/>
          <w:sz w:val="24"/>
        </w:rPr>
        <w:t xml:space="preserve"> for OTT providers. </w:t>
      </w:r>
      <w:r>
        <w:rPr>
          <w:rFonts w:ascii="Times New Roman" w:eastAsia="Times New Roman" w:hAnsi="Times New Roman"/>
          <w:b/>
          <w:noProof/>
          <w:sz w:val="24"/>
        </w:rPr>
        <w:t>OTTs would face stricter standards compared to the current situat</w:t>
      </w:r>
      <w:r>
        <w:rPr>
          <w:rFonts w:ascii="Times New Roman" w:eastAsia="Times New Roman" w:hAnsi="Times New Roman"/>
          <w:b/>
          <w:noProof/>
          <w:sz w:val="24"/>
        </w:rPr>
        <w:t>ion</w:t>
      </w:r>
      <w:r>
        <w:rPr>
          <w:rFonts w:ascii="Times New Roman" w:eastAsia="Times New Roman" w:hAnsi="Times New Roman"/>
          <w:noProof/>
          <w:sz w:val="24"/>
        </w:rPr>
        <w:t>, namely with regard to</w:t>
      </w:r>
      <w:r>
        <w:rPr>
          <w:rFonts w:ascii="Times New Roman" w:eastAsia="Times New Roman" w:hAnsi="Times New Roman"/>
          <w:b/>
          <w:noProof/>
          <w:sz w:val="24"/>
        </w:rPr>
        <w:t xml:space="preserve"> </w:t>
      </w:r>
      <w:r>
        <w:rPr>
          <w:rFonts w:ascii="Times New Roman" w:eastAsia="Times New Roman" w:hAnsi="Times New Roman"/>
          <w:noProof/>
          <w:sz w:val="24"/>
        </w:rPr>
        <w:t>the obligation to process communications data only with users' consent. To assess the magnitude of these costs, it is important to consider that several popular OTT communication providers operate today on the basis of consent an</w:t>
      </w:r>
      <w:r>
        <w:rPr>
          <w:rFonts w:ascii="Times New Roman" w:eastAsia="Times New Roman" w:hAnsi="Times New Roman"/>
          <w:noProof/>
          <w:sz w:val="24"/>
        </w:rPr>
        <w:t xml:space="preserve">d have put in place significant measures aimed at improving the transparency and security of their data processing activities (e.g., end-to-end encryption). However, even though consent is given by users in these cases, it will have to be verified whether </w:t>
      </w:r>
      <w:r>
        <w:rPr>
          <w:rFonts w:ascii="Times New Roman" w:eastAsia="Times New Roman" w:hAnsi="Times New Roman"/>
          <w:noProof/>
          <w:sz w:val="24"/>
        </w:rPr>
        <w:t>the format of and the extent to which such consent can be considered in line with the notion of consent pursuant to the GDPR. The existing consent used would thus need to be reviewed and aligned with the GDPR concept in case the ePrivacy rules would also a</w:t>
      </w:r>
      <w:r>
        <w:rPr>
          <w:rFonts w:ascii="Times New Roman" w:eastAsia="Times New Roman" w:hAnsi="Times New Roman"/>
          <w:noProof/>
          <w:sz w:val="24"/>
        </w:rPr>
        <w:t xml:space="preserve">pply to these players, leading to compliance costs and potentially also to opportunity costs in cases where OTT players would be obliged to revert to less effective </w:t>
      </w:r>
      <w:r>
        <w:rPr>
          <w:rFonts w:ascii="Times New Roman" w:eastAsia="Times New Roman" w:hAnsi="Times New Roman"/>
          <w:i/>
          <w:noProof/>
          <w:sz w:val="24"/>
        </w:rPr>
        <w:t>moda operandi</w:t>
      </w:r>
      <w:r>
        <w:rPr>
          <w:rFonts w:ascii="Times New Roman" w:eastAsia="Times New Roman" w:hAnsi="Times New Roman"/>
          <w:noProof/>
          <w:sz w:val="24"/>
        </w:rPr>
        <w:t xml:space="preserve"> or business models. Under this perspective, opportunity cost may be significa</w:t>
      </w:r>
      <w:r>
        <w:rPr>
          <w:rFonts w:ascii="Times New Roman" w:eastAsia="Times New Roman" w:hAnsi="Times New Roman"/>
          <w:noProof/>
          <w:sz w:val="24"/>
        </w:rPr>
        <w:t xml:space="preserve">nt for providers which do not operate already in line with the GDPR consent notion. </w:t>
      </w:r>
    </w:p>
    <w:p w:rsidR="0077224F" w:rsidRDefault="00D973EE">
      <w:pPr>
        <w:spacing w:before="0"/>
        <w:ind w:left="720"/>
        <w:rPr>
          <w:rFonts w:ascii="Times New Roman" w:eastAsia="Times New Roman" w:hAnsi="Times New Roman"/>
          <w:noProof/>
          <w:sz w:val="24"/>
        </w:rPr>
      </w:pPr>
      <w:r>
        <w:rPr>
          <w:rFonts w:ascii="Times New Roman" w:eastAsia="Times New Roman" w:hAnsi="Times New Roman"/>
          <w:noProof/>
          <w:sz w:val="24"/>
        </w:rPr>
        <w:t>Eventually, the negative effects on opportunity are likely to be mitigated by two concomitant factors: 1) the fact that a significant number of users may be willing to sha</w:t>
      </w:r>
      <w:r>
        <w:rPr>
          <w:rFonts w:ascii="Times New Roman" w:eastAsia="Times New Roman" w:hAnsi="Times New Roman"/>
          <w:noProof/>
          <w:sz w:val="24"/>
        </w:rPr>
        <w:t>re their data in order to benefit from personalised services</w:t>
      </w:r>
      <w:r>
        <w:rPr>
          <w:rFonts w:ascii="Times New Roman" w:eastAsia="Times New Roman" w:hAnsi="Times New Roman"/>
          <w:noProof/>
          <w:sz w:val="24"/>
          <w:vertAlign w:val="superscript"/>
        </w:rPr>
        <w:footnoteReference w:id="103"/>
      </w:r>
      <w:r>
        <w:rPr>
          <w:rFonts w:ascii="Times New Roman" w:eastAsia="Times New Roman" w:hAnsi="Times New Roman"/>
          <w:noProof/>
          <w:sz w:val="24"/>
        </w:rPr>
        <w:t xml:space="preserve">; 2) the ability of providers to adapt and innovate their </w:t>
      </w:r>
      <w:r>
        <w:rPr>
          <w:rFonts w:ascii="Times New Roman" w:eastAsia="Times New Roman" w:hAnsi="Times New Roman"/>
          <w:i/>
          <w:noProof/>
          <w:sz w:val="24"/>
        </w:rPr>
        <w:t>modus operandi</w:t>
      </w:r>
      <w:r>
        <w:rPr>
          <w:rFonts w:ascii="Times New Roman" w:eastAsia="Times New Roman" w:hAnsi="Times New Roman"/>
          <w:noProof/>
          <w:sz w:val="24"/>
        </w:rPr>
        <w:t xml:space="preserve"> by offering more privacy friendly alternatives, thus spurring competition and innovation on privacy features of their serv</w:t>
      </w:r>
      <w:r>
        <w:rPr>
          <w:rFonts w:ascii="Times New Roman" w:eastAsia="Times New Roman" w:hAnsi="Times New Roman"/>
          <w:noProof/>
          <w:sz w:val="24"/>
        </w:rPr>
        <w:t>ices. Overall, it is considered that the extension of the scope would raise opportunity costs for OTTs, but that this impact may be, at least in part, mitigated by the above factors.</w:t>
      </w:r>
    </w:p>
    <w:p w:rsidR="0077224F" w:rsidRDefault="00D973EE">
      <w:pPr>
        <w:numPr>
          <w:ilvl w:val="0"/>
          <w:numId w:val="61"/>
        </w:numPr>
        <w:spacing w:before="0" w:after="240"/>
        <w:rPr>
          <w:rFonts w:ascii="Times New Roman" w:eastAsia="Times New Roman" w:hAnsi="Times New Roman"/>
          <w:noProof/>
          <w:sz w:val="24"/>
        </w:rPr>
      </w:pPr>
      <w:r>
        <w:rPr>
          <w:rFonts w:ascii="Times New Roman" w:eastAsia="Times New Roman" w:hAnsi="Times New Roman"/>
          <w:noProof/>
          <w:sz w:val="24"/>
          <w:szCs w:val="20"/>
        </w:rPr>
        <w:t xml:space="preserve">As concerns the new rules relating to tracking, all </w:t>
      </w:r>
      <w:r>
        <w:rPr>
          <w:rFonts w:ascii="Times New Roman" w:eastAsia="Times New Roman" w:hAnsi="Times New Roman"/>
          <w:b/>
          <w:noProof/>
          <w:sz w:val="24"/>
          <w:szCs w:val="20"/>
        </w:rPr>
        <w:t xml:space="preserve">website operators </w:t>
      </w:r>
      <w:r>
        <w:rPr>
          <w:rFonts w:ascii="Times New Roman" w:eastAsia="Times New Roman" w:hAnsi="Times New Roman"/>
          <w:noProof/>
          <w:sz w:val="24"/>
          <w:szCs w:val="20"/>
        </w:rPr>
        <w:t>and</w:t>
      </w:r>
      <w:r>
        <w:rPr>
          <w:rFonts w:ascii="Times New Roman" w:eastAsia="Times New Roman" w:hAnsi="Times New Roman"/>
          <w:b/>
          <w:noProof/>
          <w:sz w:val="24"/>
          <w:szCs w:val="20"/>
        </w:rPr>
        <w:t xml:space="preserve"> online adverti</w:t>
      </w:r>
      <w:r>
        <w:rPr>
          <w:rFonts w:ascii="Times New Roman" w:eastAsia="Times New Roman" w:hAnsi="Times New Roman"/>
          <w:b/>
          <w:noProof/>
          <w:sz w:val="24"/>
        </w:rPr>
        <w:t>sers</w:t>
      </w:r>
      <w:r>
        <w:rPr>
          <w:rFonts w:ascii="Times New Roman" w:eastAsia="Times New Roman" w:hAnsi="Times New Roman"/>
          <w:noProof/>
          <w:sz w:val="24"/>
        </w:rPr>
        <w:t xml:space="preserve"> would face some additional costs stemming from the new obligations/restrictions. In particular, as concerns the new rules relating to tracking, information society services engaging in online tracking such as </w:t>
      </w:r>
      <w:r>
        <w:rPr>
          <w:rFonts w:ascii="Times New Roman" w:eastAsia="Times New Roman" w:hAnsi="Times New Roman"/>
          <w:b/>
          <w:noProof/>
          <w:sz w:val="24"/>
        </w:rPr>
        <w:t xml:space="preserve">website operators </w:t>
      </w:r>
      <w:r>
        <w:rPr>
          <w:rFonts w:ascii="Times New Roman" w:eastAsia="Times New Roman" w:hAnsi="Times New Roman"/>
          <w:noProof/>
          <w:sz w:val="24"/>
        </w:rPr>
        <w:t>would</w:t>
      </w:r>
      <w:r>
        <w:rPr>
          <w:rFonts w:ascii="Times New Roman" w:eastAsia="Times New Roman" w:hAnsi="Times New Roman"/>
          <w:b/>
          <w:noProof/>
          <w:sz w:val="24"/>
        </w:rPr>
        <w:t xml:space="preserve"> </w:t>
      </w:r>
      <w:r>
        <w:rPr>
          <w:rFonts w:ascii="Times New Roman" w:eastAsia="Times New Roman" w:hAnsi="Times New Roman"/>
          <w:noProof/>
          <w:sz w:val="24"/>
        </w:rPr>
        <w:t>str</w:t>
      </w:r>
      <w:r>
        <w:rPr>
          <w:rFonts w:ascii="Times New Roman" w:eastAsia="Times New Roman" w:hAnsi="Times New Roman"/>
          <w:noProof/>
          <w:sz w:val="24"/>
        </w:rPr>
        <w:t>ongly benefit from the simplifications introduced in this area. First of all, the present option would introduce additional exceptions for first party cookies presenting no or non-significant privacy implications, such as statistical cookies. This would ex</w:t>
      </w:r>
      <w:r>
        <w:rPr>
          <w:rFonts w:ascii="Times New Roman" w:eastAsia="Times New Roman" w:hAnsi="Times New Roman"/>
          <w:noProof/>
          <w:sz w:val="24"/>
        </w:rPr>
        <w:t xml:space="preserve">onerate a significant number of websites from the obligation to request consent, with connected significant savings. Additional savings are expected in relation to the introduction of the centralised setting of the privacy preferences. The new rules would </w:t>
      </w:r>
      <w:r>
        <w:rPr>
          <w:rFonts w:ascii="Times New Roman" w:eastAsia="Times New Roman" w:hAnsi="Times New Roman"/>
          <w:noProof/>
          <w:sz w:val="24"/>
        </w:rPr>
        <w:t xml:space="preserve">indeed clarify that consent to ‘third party cookies’/tracking could be given by means of the appropriate setting of an application such as Internet browsers. Furthermore, it would require these operators to put in place privacy settings in a way that they </w:t>
      </w:r>
      <w:r>
        <w:rPr>
          <w:rFonts w:ascii="Times New Roman" w:eastAsia="Times New Roman" w:hAnsi="Times New Roman"/>
          <w:noProof/>
          <w:sz w:val="24"/>
        </w:rPr>
        <w:t>can indeed be used to signify consent. Users would be prompted at the first utilisation of the equipment to choose their privacy settings on the basis of clear pre-set alternatives. Users would be able to control and modify their privacy options easily and</w:t>
      </w:r>
      <w:r>
        <w:rPr>
          <w:rFonts w:ascii="Times New Roman" w:eastAsia="Times New Roman" w:hAnsi="Times New Roman"/>
          <w:noProof/>
          <w:sz w:val="24"/>
        </w:rPr>
        <w:t xml:space="preserve"> at any point in time. As a consequence, website operators will not be in principle obliged to display cumbersome cookie messages. This would greatly simplify website administration with connected significant savings.</w:t>
      </w:r>
    </w:p>
    <w:p w:rsidR="0077224F" w:rsidRDefault="00D973EE">
      <w:pPr>
        <w:spacing w:before="0"/>
        <w:ind w:left="720"/>
        <w:rPr>
          <w:rFonts w:ascii="Times New Roman" w:eastAsia="Times New Roman" w:hAnsi="Times New Roman"/>
          <w:noProof/>
          <w:sz w:val="24"/>
        </w:rPr>
      </w:pPr>
      <w:r>
        <w:rPr>
          <w:rFonts w:ascii="Times New Roman" w:eastAsia="Times New Roman" w:hAnsi="Times New Roman"/>
          <w:noProof/>
          <w:sz w:val="24"/>
        </w:rPr>
        <w:t>Basic compliance costs relating to the</w:t>
      </w:r>
      <w:r>
        <w:rPr>
          <w:rFonts w:ascii="Times New Roman" w:eastAsia="Times New Roman" w:hAnsi="Times New Roman"/>
          <w:noProof/>
          <w:sz w:val="24"/>
        </w:rPr>
        <w:t xml:space="preserve"> cookie consent rule have been estimated around EUR 900 per website (one-off)</w:t>
      </w:r>
      <w:r>
        <w:rPr>
          <w:rFonts w:ascii="Times New Roman" w:eastAsia="Times New Roman" w:hAnsi="Times New Roman"/>
          <w:noProof/>
          <w:sz w:val="24"/>
          <w:vertAlign w:val="superscript"/>
        </w:rPr>
        <w:footnoteReference w:id="104"/>
      </w:r>
      <w:r>
        <w:rPr>
          <w:rFonts w:ascii="Times New Roman" w:eastAsia="Times New Roman" w:hAnsi="Times New Roman"/>
          <w:noProof/>
          <w:sz w:val="24"/>
        </w:rPr>
        <w:t>, with more than 3.4 million websites potentially affected in 2030</w:t>
      </w:r>
      <w:r>
        <w:rPr>
          <w:rFonts w:ascii="Times New Roman" w:eastAsia="Times New Roman" w:hAnsi="Times New Roman"/>
          <w:noProof/>
          <w:sz w:val="24"/>
          <w:vertAlign w:val="superscript"/>
        </w:rPr>
        <w:footnoteReference w:id="105"/>
      </w:r>
      <w:r>
        <w:rPr>
          <w:rFonts w:ascii="Times New Roman" w:eastAsia="Times New Roman" w:hAnsi="Times New Roman"/>
          <w:noProof/>
          <w:sz w:val="24"/>
        </w:rPr>
        <w:t xml:space="preserve">. The Commission external study supporting this impact assessment, however, reported that this figure could be </w:t>
      </w:r>
      <w:r>
        <w:rPr>
          <w:rFonts w:ascii="Times New Roman" w:eastAsia="Times New Roman" w:hAnsi="Times New Roman"/>
          <w:noProof/>
          <w:sz w:val="24"/>
        </w:rPr>
        <w:t>much higher and even reach the levels hundred thousand euro for larger websites engaging in more complex processing operations</w:t>
      </w:r>
      <w:r>
        <w:rPr>
          <w:rFonts w:ascii="Times New Roman" w:eastAsia="Times New Roman" w:hAnsi="Times New Roman"/>
          <w:noProof/>
          <w:sz w:val="24"/>
          <w:vertAlign w:val="superscript"/>
        </w:rPr>
        <w:footnoteReference w:id="106"/>
      </w:r>
      <w:r>
        <w:rPr>
          <w:rFonts w:ascii="Times New Roman" w:eastAsia="Times New Roman" w:hAnsi="Times New Roman"/>
          <w:noProof/>
          <w:sz w:val="24"/>
        </w:rPr>
        <w:t>. Given the wide formulation of the cookie-consent provision, and the limited scope of the related exceptions, this cost has curr</w:t>
      </w:r>
      <w:r>
        <w:rPr>
          <w:rFonts w:ascii="Times New Roman" w:eastAsia="Times New Roman" w:hAnsi="Times New Roman"/>
          <w:noProof/>
          <w:sz w:val="24"/>
        </w:rPr>
        <w:t>ently to be borne not only by those websites engaging in web-tracking by means of third-party cookies, but essentially by all websites using cookies, even if only technical first party cookies that present little privacy invasiveness are used (except if su</w:t>
      </w:r>
      <w:r>
        <w:rPr>
          <w:rFonts w:ascii="Times New Roman" w:eastAsia="Times New Roman" w:hAnsi="Times New Roman"/>
          <w:noProof/>
          <w:sz w:val="24"/>
        </w:rPr>
        <w:t>ch cookies can be considered covered by one of the strictly interpreted exceptions</w:t>
      </w:r>
      <w:r>
        <w:rPr>
          <w:rFonts w:ascii="Times New Roman" w:eastAsia="Times New Roman" w:hAnsi="Times New Roman"/>
          <w:noProof/>
          <w:sz w:val="24"/>
          <w:vertAlign w:val="superscript"/>
        </w:rPr>
        <w:footnoteReference w:id="107"/>
      </w:r>
      <w:r>
        <w:rPr>
          <w:rFonts w:ascii="Times New Roman" w:eastAsia="Times New Roman" w:hAnsi="Times New Roman"/>
          <w:noProof/>
          <w:sz w:val="24"/>
        </w:rPr>
        <w:t>). The magnitude of the total savings potentially stemming from exemption from consent is therefore significant.</w:t>
      </w:r>
    </w:p>
    <w:p w:rsidR="0077224F" w:rsidRDefault="00D973EE">
      <w:pPr>
        <w:spacing w:before="0"/>
        <w:ind w:left="720"/>
        <w:rPr>
          <w:rFonts w:ascii="Times New Roman" w:eastAsia="Times New Roman" w:hAnsi="Times New Roman"/>
          <w:noProof/>
          <w:sz w:val="24"/>
        </w:rPr>
      </w:pPr>
      <w:r>
        <w:rPr>
          <w:rFonts w:ascii="Times New Roman" w:eastAsia="Times New Roman" w:hAnsi="Times New Roman"/>
          <w:noProof/>
          <w:sz w:val="24"/>
        </w:rPr>
        <w:t>While the impact on compliance costs is expected to be signi</w:t>
      </w:r>
      <w:r>
        <w:rPr>
          <w:rFonts w:ascii="Times New Roman" w:eastAsia="Times New Roman" w:hAnsi="Times New Roman"/>
          <w:noProof/>
          <w:sz w:val="24"/>
        </w:rPr>
        <w:t>ficantly positive, a large number of businesses would potentially incur opportunity costs to the extent that OBA tracking would become more difficult. From a rather extreme perspective, the “reject third party cookies”/do-not-track by default solution coul</w:t>
      </w:r>
      <w:r>
        <w:rPr>
          <w:rFonts w:ascii="Times New Roman" w:eastAsia="Times New Roman" w:hAnsi="Times New Roman"/>
          <w:noProof/>
          <w:sz w:val="24"/>
        </w:rPr>
        <w:t>d undermine the availability of an essential input for OBA profiling. The reason for this is that consumers may be inclined to set their preferences on “reject third party cookies”/"do-not-track" by default. However, in a moderate and more plausible scenar</w:t>
      </w:r>
      <w:r>
        <w:rPr>
          <w:rFonts w:ascii="Times New Roman" w:eastAsia="Times New Roman" w:hAnsi="Times New Roman"/>
          <w:noProof/>
          <w:sz w:val="24"/>
        </w:rPr>
        <w:t xml:space="preserve">io, a breakdown of the OBA / ad-network market might turn out to be less likely considering that: </w:t>
      </w:r>
    </w:p>
    <w:p w:rsidR="0077224F" w:rsidRDefault="00D973EE">
      <w:pPr>
        <w:spacing w:before="0"/>
        <w:ind w:left="720"/>
        <w:rPr>
          <w:rFonts w:ascii="Times New Roman" w:eastAsia="Times New Roman" w:hAnsi="Times New Roman"/>
          <w:noProof/>
          <w:sz w:val="24"/>
        </w:rPr>
      </w:pPr>
      <w:r>
        <w:rPr>
          <w:rFonts w:ascii="Times New Roman" w:eastAsia="Times New Roman" w:hAnsi="Times New Roman"/>
          <w:i/>
          <w:noProof/>
          <w:sz w:val="24"/>
        </w:rPr>
        <w:t>First</w:t>
      </w:r>
      <w:r>
        <w:rPr>
          <w:rFonts w:ascii="Times New Roman" w:eastAsia="Times New Roman" w:hAnsi="Times New Roman"/>
          <w:noProof/>
          <w:sz w:val="24"/>
        </w:rPr>
        <w:t xml:space="preserve">, OBA tracking solutions not relying on storing information on the users’ devices are already existent and used; they are part of the toolboxes related </w:t>
      </w:r>
      <w:r>
        <w:rPr>
          <w:rFonts w:ascii="Times New Roman" w:eastAsia="Times New Roman" w:hAnsi="Times New Roman"/>
          <w:noProof/>
          <w:sz w:val="24"/>
        </w:rPr>
        <w:t>to tracking and thereby to some extent available to customers using these toolbox solutions.</w:t>
      </w:r>
    </w:p>
    <w:p w:rsidR="0077224F" w:rsidRDefault="00D973EE">
      <w:pPr>
        <w:spacing w:before="0"/>
        <w:ind w:left="720"/>
        <w:rPr>
          <w:rFonts w:ascii="Times New Roman" w:eastAsia="Times New Roman" w:hAnsi="Times New Roman"/>
          <w:noProof/>
          <w:sz w:val="24"/>
        </w:rPr>
      </w:pPr>
      <w:r>
        <w:rPr>
          <w:rFonts w:ascii="Times New Roman" w:eastAsia="Times New Roman" w:hAnsi="Times New Roman"/>
          <w:i/>
          <w:noProof/>
          <w:sz w:val="24"/>
        </w:rPr>
        <w:t>Second</w:t>
      </w:r>
      <w:r>
        <w:rPr>
          <w:rFonts w:ascii="Times New Roman" w:eastAsia="Times New Roman" w:hAnsi="Times New Roman"/>
          <w:noProof/>
          <w:sz w:val="24"/>
        </w:rPr>
        <w:t>, under the present option, users with “reject third party cookies”/"do-not-track" settings activated would be informed when visiting websites requiring trac</w:t>
      </w:r>
      <w:r>
        <w:rPr>
          <w:rFonts w:ascii="Times New Roman" w:eastAsia="Times New Roman" w:hAnsi="Times New Roman"/>
          <w:noProof/>
          <w:sz w:val="24"/>
        </w:rPr>
        <w:t>king that visiting that website requires authorising tracking. In cases end-users choose the setting "never accept cookies" or "reject third party cookies", websites may still convey requests or place banners in their web sites requesting the user to chang</w:t>
      </w:r>
      <w:r>
        <w:rPr>
          <w:rFonts w:ascii="Times New Roman" w:eastAsia="Times New Roman" w:hAnsi="Times New Roman"/>
          <w:noProof/>
          <w:sz w:val="24"/>
        </w:rPr>
        <w:t>e his/her view and accept cookies for the particular website. End-users shall be able to make informed decisions on a case-by case basis. It would then be for users to decide whether to continue to browse or to revert to alternative websites/services</w:t>
      </w:r>
      <w:r>
        <w:rPr>
          <w:rFonts w:ascii="Times New Roman" w:eastAsia="Times New Roman" w:hAnsi="Times New Roman"/>
          <w:noProof/>
          <w:sz w:val="24"/>
          <w:vertAlign w:val="superscript"/>
        </w:rPr>
        <w:footnoteReference w:id="108"/>
      </w:r>
      <w:r>
        <w:rPr>
          <w:rFonts w:ascii="Times New Roman" w:eastAsia="Times New Roman" w:hAnsi="Times New Roman"/>
          <w:noProof/>
          <w:sz w:val="24"/>
        </w:rPr>
        <w:t>.</w:t>
      </w:r>
    </w:p>
    <w:p w:rsidR="0077224F" w:rsidRDefault="00D973EE">
      <w:pPr>
        <w:numPr>
          <w:ilvl w:val="0"/>
          <w:numId w:val="61"/>
        </w:numPr>
        <w:spacing w:before="0" w:after="240"/>
        <w:rPr>
          <w:rFonts w:ascii="Times New Roman" w:eastAsia="Times New Roman" w:hAnsi="Times New Roman" w:cs="Arial"/>
          <w:noProof/>
          <w:sz w:val="24"/>
        </w:rPr>
      </w:pPr>
      <w:r>
        <w:rPr>
          <w:rFonts w:ascii="Times New Roman" w:eastAsia="Times New Roman" w:hAnsi="Times New Roman"/>
          <w:noProof/>
          <w:sz w:val="24"/>
        </w:rPr>
        <w:t>Add</w:t>
      </w:r>
      <w:r>
        <w:rPr>
          <w:rFonts w:ascii="Times New Roman" w:eastAsia="Times New Roman" w:hAnsi="Times New Roman"/>
          <w:noProof/>
          <w:sz w:val="24"/>
        </w:rPr>
        <w:t xml:space="preserve">itional costs would ensue for the limited number of </w:t>
      </w:r>
      <w:r>
        <w:rPr>
          <w:rFonts w:ascii="Times New Roman" w:eastAsia="Times New Roman" w:hAnsi="Times New Roman"/>
          <w:b/>
          <w:noProof/>
          <w:sz w:val="24"/>
        </w:rPr>
        <w:t>providers of browsers</w:t>
      </w:r>
      <w:r>
        <w:rPr>
          <w:rFonts w:ascii="Times New Roman" w:eastAsia="Times New Roman" w:hAnsi="Times New Roman"/>
          <w:noProof/>
          <w:sz w:val="24"/>
        </w:rPr>
        <w:t xml:space="preserve"> as these would need to ensure privacy-friendly settings (one-off costs to revise their settings and running costs to ensure technical updates/services). These costs would essentially</w:t>
      </w:r>
      <w:r>
        <w:rPr>
          <w:rFonts w:ascii="Times New Roman" w:eastAsia="Times New Roman" w:hAnsi="Times New Roman"/>
          <w:noProof/>
          <w:sz w:val="24"/>
        </w:rPr>
        <w:t xml:space="preserve"> relate to the revision of existing offers and IT costs for implementing new solutions. In this context it has to be noted that some of these parties may already comply with such standards. The magnitude of direct compliance costs for providers of browsers</w:t>
      </w:r>
      <w:r>
        <w:rPr>
          <w:rFonts w:ascii="Times New Roman" w:eastAsia="Times New Roman" w:hAnsi="Times New Roman"/>
          <w:noProof/>
          <w:sz w:val="24"/>
        </w:rPr>
        <w:t xml:space="preserve">, operating systems and app stores cannot be estimated in quantitative terms but it is, for the above reasons, not expected to be very high. </w:t>
      </w:r>
      <w:r>
        <w:rPr>
          <w:rFonts w:ascii="Times New Roman" w:eastAsia="Times New Roman" w:hAnsi="Times New Roman" w:cs="Arial"/>
          <w:noProof/>
          <w:sz w:val="24"/>
        </w:rPr>
        <w:t>In general, this element only concerns a small fraction of all businesses applying the ePD. The browser market itse</w:t>
      </w:r>
      <w:r>
        <w:rPr>
          <w:rFonts w:ascii="Times New Roman" w:eastAsia="Times New Roman" w:hAnsi="Times New Roman" w:cs="Arial"/>
          <w:noProof/>
          <w:sz w:val="24"/>
        </w:rPr>
        <w:t xml:space="preserve">lf is highly concentrated in Europe: Users of </w:t>
      </w:r>
      <w:r>
        <w:rPr>
          <w:rFonts w:ascii="Times New Roman" w:eastAsia="Times New Roman" w:hAnsi="Times New Roman" w:cs="Arial"/>
          <w:i/>
          <w:noProof/>
          <w:sz w:val="24"/>
        </w:rPr>
        <w:t>Google</w:t>
      </w:r>
      <w:r>
        <w:rPr>
          <w:rFonts w:ascii="Times New Roman" w:eastAsia="Times New Roman" w:hAnsi="Times New Roman" w:cs="Arial"/>
          <w:noProof/>
          <w:sz w:val="24"/>
        </w:rPr>
        <w:t xml:space="preserve">’s </w:t>
      </w:r>
      <w:r>
        <w:rPr>
          <w:rFonts w:ascii="Times New Roman" w:eastAsia="Times New Roman" w:hAnsi="Times New Roman" w:cs="Arial"/>
          <w:i/>
          <w:noProof/>
          <w:sz w:val="24"/>
        </w:rPr>
        <w:t>Chrome</w:t>
      </w:r>
      <w:r>
        <w:rPr>
          <w:rFonts w:ascii="Times New Roman" w:eastAsia="Times New Roman" w:hAnsi="Times New Roman" w:cs="Arial"/>
          <w:noProof/>
          <w:sz w:val="24"/>
        </w:rPr>
        <w:t xml:space="preserve"> browser account for a half of all website visitors, while close to a third of all users relies on Safari and Firefox. Four major companies dominate the market of browsers used by consumers: 94% </w:t>
      </w:r>
      <w:r>
        <w:rPr>
          <w:rFonts w:ascii="Times New Roman" w:eastAsia="Times New Roman" w:hAnsi="Times New Roman" w:cs="Arial"/>
          <w:noProof/>
          <w:sz w:val="24"/>
        </w:rPr>
        <w:t xml:space="preserve">of all website visitors in Europe rely on software from </w:t>
      </w:r>
      <w:r>
        <w:rPr>
          <w:rFonts w:ascii="Times New Roman" w:eastAsia="Times New Roman" w:hAnsi="Times New Roman" w:cs="Arial"/>
          <w:i/>
          <w:noProof/>
          <w:sz w:val="24"/>
        </w:rPr>
        <w:t>four companies</w:t>
      </w:r>
      <w:r>
        <w:rPr>
          <w:rFonts w:ascii="Times New Roman" w:eastAsia="Times New Roman" w:hAnsi="Times New Roman" w:cs="Arial"/>
          <w:noProof/>
          <w:sz w:val="24"/>
        </w:rPr>
        <w:t>. In addition, there are some additional browser operators with smaller market shares</w:t>
      </w:r>
      <w:r>
        <w:rPr>
          <w:rFonts w:ascii="Times New Roman" w:eastAsia="Times New Roman" w:hAnsi="Times New Roman" w:cs="Arial"/>
          <w:noProof/>
          <w:sz w:val="24"/>
          <w:vertAlign w:val="superscript"/>
        </w:rPr>
        <w:footnoteReference w:id="109"/>
      </w:r>
      <w:r>
        <w:rPr>
          <w:rFonts w:ascii="Times New Roman" w:eastAsia="Times New Roman" w:hAnsi="Times New Roman" w:cs="Arial"/>
          <w:i/>
          <w:noProof/>
          <w:sz w:val="24"/>
        </w:rPr>
        <w:t>.</w:t>
      </w:r>
      <w:r>
        <w:rPr>
          <w:rFonts w:ascii="Times New Roman" w:eastAsia="Times New Roman" w:hAnsi="Times New Roman" w:cs="Arial"/>
          <w:noProof/>
          <w:sz w:val="24"/>
        </w:rPr>
        <w:t xml:space="preserve"> On this basis, an overall moderate increase for browsers may be expected for all three solutions.</w:t>
      </w:r>
      <w:r>
        <w:rPr>
          <w:rFonts w:ascii="Times New Roman" w:eastAsia="Times New Roman" w:hAnsi="Times New Roman"/>
          <w:noProof/>
          <w:sz w:val="24"/>
        </w:rPr>
        <w:t xml:space="preserve"> </w:t>
      </w:r>
    </w:p>
    <w:p w:rsidR="0077224F" w:rsidRDefault="00D973EE">
      <w:pPr>
        <w:numPr>
          <w:ilvl w:val="0"/>
          <w:numId w:val="61"/>
        </w:numPr>
        <w:spacing w:before="0" w:after="240"/>
        <w:rPr>
          <w:rFonts w:ascii="Times New Roman" w:eastAsia="Times New Roman" w:hAnsi="Times New Roman"/>
          <w:noProof/>
          <w:sz w:val="24"/>
        </w:rPr>
      </w:pPr>
      <w:r>
        <w:rPr>
          <w:rFonts w:ascii="Times New Roman" w:eastAsia="Times New Roman" w:hAnsi="Times New Roman"/>
          <w:b/>
          <w:noProof/>
          <w:sz w:val="24"/>
        </w:rPr>
        <w:t>Direct marketers (for voice-to-voice telephony)</w:t>
      </w:r>
      <w:r>
        <w:rPr>
          <w:rFonts w:ascii="Times New Roman" w:eastAsia="Times New Roman" w:hAnsi="Times New Roman"/>
          <w:noProof/>
          <w:sz w:val="24"/>
        </w:rPr>
        <w:t xml:space="preserve"> will have to review their business models and comply with the new rules on mandatory identification, e.g. via a prefix. This is expected to raise the costs of a marketing campaign (annual running cost for su</w:t>
      </w:r>
      <w:r>
        <w:rPr>
          <w:rFonts w:ascii="Times New Roman" w:eastAsia="Times New Roman" w:hAnsi="Times New Roman"/>
          <w:noProof/>
          <w:sz w:val="24"/>
        </w:rPr>
        <w:t>bscribing to the prefix service). It can be assumed that this would amount to a small one-off cost for the introduction of this prefix. According to the external study supporting the impact assessment, the cost for the introduction of the prefix would be o</w:t>
      </w:r>
      <w:r>
        <w:rPr>
          <w:rFonts w:ascii="Times New Roman" w:eastAsia="Times New Roman" w:hAnsi="Times New Roman"/>
          <w:noProof/>
          <w:sz w:val="24"/>
        </w:rPr>
        <w:t>f around EUR 500 yearly per company.</w:t>
      </w:r>
      <w:r>
        <w:rPr>
          <w:rFonts w:ascii="Times New Roman" w:eastAsia="Times New Roman" w:hAnsi="Times New Roman"/>
          <w:noProof/>
          <w:sz w:val="22"/>
          <w:szCs w:val="22"/>
          <w:vertAlign w:val="superscript"/>
        </w:rPr>
        <w:footnoteReference w:id="110"/>
      </w:r>
    </w:p>
    <w:p w:rsidR="0077224F" w:rsidRDefault="00D973EE">
      <w:pPr>
        <w:ind w:left="720"/>
        <w:rPr>
          <w:rFonts w:ascii="Times New Roman" w:eastAsia="Times New Roman" w:hAnsi="Times New Roman"/>
          <w:noProof/>
          <w:sz w:val="24"/>
        </w:rPr>
      </w:pPr>
      <w:r>
        <w:rPr>
          <w:rFonts w:ascii="Times New Roman" w:eastAsia="Times New Roman" w:hAnsi="Times New Roman"/>
          <w:noProof/>
          <w:sz w:val="24"/>
        </w:rPr>
        <w:t xml:space="preserve">The impact on </w:t>
      </w:r>
      <w:r>
        <w:rPr>
          <w:rFonts w:ascii="Times New Roman" w:eastAsia="Times New Roman" w:hAnsi="Times New Roman"/>
          <w:b/>
          <w:noProof/>
          <w:sz w:val="24"/>
        </w:rPr>
        <w:t>SMEs</w:t>
      </w:r>
      <w:r>
        <w:rPr>
          <w:rFonts w:ascii="Times New Roman" w:eastAsia="Times New Roman" w:hAnsi="Times New Roman"/>
          <w:noProof/>
          <w:sz w:val="24"/>
        </w:rPr>
        <w:t xml:space="preserve"> of this option is on balance expected to be positive. SMEs would benefit from increased harmonisation and legal certainty which would reduce their costs, in particular costs for seeking legal advice when operating in several Member States. More concretely</w:t>
      </w:r>
      <w:r>
        <w:rPr>
          <w:rFonts w:ascii="Times New Roman" w:eastAsia="Times New Roman" w:hAnsi="Times New Roman"/>
          <w:noProof/>
          <w:sz w:val="24"/>
        </w:rPr>
        <w:t xml:space="preserve">, SMEs would benefit from clearer rules, more streamlined and harmonised enforcement mechanisms across the Member States. Some of the SMEs that responded to the public consultation emphasized the positive impact of the harmonisation role. </w:t>
      </w:r>
    </w:p>
    <w:p w:rsidR="0077224F" w:rsidRDefault="00D973EE">
      <w:pPr>
        <w:ind w:left="720"/>
        <w:rPr>
          <w:rFonts w:ascii="Times New Roman" w:eastAsia="Times New Roman" w:hAnsi="Times New Roman"/>
          <w:noProof/>
          <w:sz w:val="24"/>
        </w:rPr>
      </w:pPr>
      <w:r>
        <w:rPr>
          <w:rFonts w:ascii="Times New Roman" w:eastAsia="Times New Roman" w:hAnsi="Times New Roman"/>
          <w:noProof/>
          <w:sz w:val="24"/>
        </w:rPr>
        <w:t>Furthermore, the</w:t>
      </w:r>
      <w:r>
        <w:rPr>
          <w:rFonts w:ascii="Times New Roman" w:eastAsia="Times New Roman" w:hAnsi="Times New Roman"/>
          <w:noProof/>
          <w:sz w:val="24"/>
        </w:rPr>
        <w:t xml:space="preserve"> changes in browser settings and limited need for cookie banners would lead to reduction of the compliance costs with regard to the cookie consent requirement. Moreover, the broadening of the exceptions to the current consent rule would allow SMEs which ar</w:t>
      </w:r>
      <w:r>
        <w:rPr>
          <w:rFonts w:ascii="Times New Roman" w:eastAsia="Times New Roman" w:hAnsi="Times New Roman"/>
          <w:noProof/>
          <w:sz w:val="24"/>
        </w:rPr>
        <w:t xml:space="preserve">e operating in the advertising business to benefit from these exceptions. SMEs in the ECS business will also benefit, as bigger companies, of exceptions to process communications data. </w:t>
      </w:r>
    </w:p>
    <w:p w:rsidR="0077224F" w:rsidRDefault="00D973EE">
      <w:pPr>
        <w:ind w:left="720"/>
        <w:rPr>
          <w:rFonts w:ascii="Times New Roman" w:eastAsia="Times New Roman" w:hAnsi="Times New Roman"/>
          <w:noProof/>
          <w:sz w:val="24"/>
        </w:rPr>
      </w:pPr>
      <w:r>
        <w:rPr>
          <w:rFonts w:ascii="Times New Roman" w:eastAsia="Times New Roman" w:hAnsi="Times New Roman"/>
          <w:noProof/>
          <w:sz w:val="24"/>
        </w:rPr>
        <w:t>SMEs which are OTTs would be faced with new obligations due to the bro</w:t>
      </w:r>
      <w:r>
        <w:rPr>
          <w:rFonts w:ascii="Times New Roman" w:eastAsia="Times New Roman" w:hAnsi="Times New Roman"/>
          <w:noProof/>
          <w:sz w:val="24"/>
        </w:rPr>
        <w:t>adened scope of the ePrivacy rules and could thus face additional compliance costs, in particular in so far as they currently process communications data on legal bases other than consent. While these costs may impact competitiveness of smaller OTT players</w:t>
      </w:r>
      <w:r>
        <w:rPr>
          <w:rFonts w:ascii="Times New Roman" w:eastAsia="Times New Roman" w:hAnsi="Times New Roman"/>
          <w:noProof/>
          <w:sz w:val="24"/>
        </w:rPr>
        <w:t xml:space="preserve"> as well as newcomers, more generally, these costs may be offset by the benefits associated to simplification and clarifications, including with respect to website management, the increase of consumer trust in the digital economy, and from the greater harm</w:t>
      </w:r>
      <w:r>
        <w:rPr>
          <w:rFonts w:ascii="Times New Roman" w:eastAsia="Times New Roman" w:hAnsi="Times New Roman"/>
          <w:noProof/>
          <w:sz w:val="24"/>
        </w:rPr>
        <w:t xml:space="preserve">onising effects of more consistent enforcement. </w:t>
      </w:r>
    </w:p>
    <w:p w:rsidR="0077224F" w:rsidRDefault="00D973EE">
      <w:pPr>
        <w:ind w:left="720"/>
        <w:rPr>
          <w:rFonts w:ascii="Times New Roman" w:eastAsia="Times New Roman" w:hAnsi="Times New Roman"/>
          <w:noProof/>
          <w:sz w:val="24"/>
        </w:rPr>
      </w:pPr>
      <w:r>
        <w:rPr>
          <w:rFonts w:ascii="Times New Roman" w:eastAsia="Times New Roman" w:hAnsi="Times New Roman"/>
          <w:noProof/>
          <w:sz w:val="24"/>
        </w:rPr>
        <w:t>Microenterprises are normally excluded from EU regulations. However, the ePD does not allow a total exclusion of these enterprises in that it is meant to protect a fundamental right recognised under the Euro</w:t>
      </w:r>
      <w:r>
        <w:rPr>
          <w:rFonts w:ascii="Times New Roman" w:eastAsia="Times New Roman" w:hAnsi="Times New Roman"/>
          <w:noProof/>
          <w:sz w:val="24"/>
        </w:rPr>
        <w:t>pean Charter. Compliance with fundamental rights cannot be made dependent on the size of the businesses concerned. A breach of confidentiality of communications perpetrated by a microenterprise could potentially cause the same harm as one caused by a large</w:t>
      </w:r>
      <w:r>
        <w:rPr>
          <w:rFonts w:ascii="Times New Roman" w:eastAsia="Times New Roman" w:hAnsi="Times New Roman"/>
          <w:noProof/>
          <w:sz w:val="24"/>
        </w:rPr>
        <w:t xml:space="preserve">r player. Fundamental rights, therefore, shall be respected by every operators and no fully-fledged derogation is therefore possible for micro-enterprises. However, see below for other measures envisaged in the SMEs test section. </w:t>
      </w:r>
    </w:p>
    <w:p w:rsidR="0077224F" w:rsidRDefault="00D973EE">
      <w:pPr>
        <w:numPr>
          <w:ilvl w:val="0"/>
          <w:numId w:val="90"/>
        </w:numPr>
        <w:spacing w:before="0" w:after="240"/>
        <w:ind w:left="284"/>
        <w:rPr>
          <w:rFonts w:ascii="Times New Roman" w:eastAsia="Times New Roman" w:hAnsi="Times New Roman"/>
          <w:noProof/>
          <w:sz w:val="24"/>
        </w:rPr>
      </w:pPr>
      <w:r>
        <w:rPr>
          <w:rFonts w:ascii="Times New Roman" w:eastAsia="Times New Roman" w:hAnsi="Times New Roman"/>
          <w:noProof/>
          <w:sz w:val="24"/>
        </w:rPr>
        <w:t xml:space="preserve">The costs for the </w:t>
      </w:r>
      <w:r>
        <w:rPr>
          <w:rFonts w:ascii="Times New Roman" w:eastAsia="Times New Roman" w:hAnsi="Times New Roman"/>
          <w:b/>
          <w:noProof/>
          <w:sz w:val="24"/>
        </w:rPr>
        <w:t>Commiss</w:t>
      </w:r>
      <w:r>
        <w:rPr>
          <w:rFonts w:ascii="Times New Roman" w:eastAsia="Times New Roman" w:hAnsi="Times New Roman"/>
          <w:b/>
          <w:noProof/>
          <w:sz w:val="24"/>
        </w:rPr>
        <w:t>ion</w:t>
      </w:r>
      <w:r>
        <w:rPr>
          <w:rFonts w:ascii="Times New Roman" w:eastAsia="Times New Roman" w:hAnsi="Times New Roman"/>
          <w:noProof/>
          <w:sz w:val="24"/>
        </w:rPr>
        <w:t xml:space="preserve"> are low and essentially coinciding with the conduct of the legislative process. However, the Commission will not have to finance the WP29 body for the ePD rules. Costs for the Commission to oversee the functioning of the new instrument would not change</w:t>
      </w:r>
      <w:r>
        <w:rPr>
          <w:rFonts w:ascii="Times New Roman" w:eastAsia="Times New Roman" w:hAnsi="Times New Roman"/>
          <w:noProof/>
          <w:sz w:val="24"/>
        </w:rPr>
        <w:t xml:space="preserve"> significantly compared to the current situation.</w:t>
      </w:r>
    </w:p>
    <w:p w:rsidR="0077224F" w:rsidRDefault="00D973EE">
      <w:pPr>
        <w:numPr>
          <w:ilvl w:val="0"/>
          <w:numId w:val="90"/>
        </w:numPr>
        <w:spacing w:before="0" w:after="240"/>
        <w:ind w:left="284"/>
        <w:rPr>
          <w:rFonts w:ascii="Times New Roman" w:eastAsia="Times New Roman" w:hAnsi="Times New Roman"/>
          <w:noProof/>
          <w:sz w:val="24"/>
        </w:rPr>
      </w:pPr>
      <w:r>
        <w:rPr>
          <w:rFonts w:ascii="Times New Roman" w:eastAsia="Times New Roman" w:hAnsi="Times New Roman"/>
          <w:noProof/>
          <w:sz w:val="24"/>
        </w:rPr>
        <w:t>MS would have to bear the costs relating to the transposition of the legal instrument, if the new instrument is a directive. Should the new instrument be a regulation, implementation costs would be more lim</w:t>
      </w:r>
      <w:r>
        <w:rPr>
          <w:rFonts w:ascii="Times New Roman" w:eastAsia="Times New Roman" w:hAnsi="Times New Roman"/>
          <w:noProof/>
          <w:sz w:val="24"/>
        </w:rPr>
        <w:t xml:space="preserve">ited. The </w:t>
      </w:r>
      <w:r>
        <w:rPr>
          <w:rFonts w:ascii="Times New Roman" w:eastAsia="Times New Roman" w:hAnsi="Times New Roman" w:cs="Arial"/>
          <w:noProof/>
          <w:sz w:val="24"/>
          <w:lang w:eastAsia="de-DE"/>
        </w:rPr>
        <w:t xml:space="preserve">consistency mechanism would entail additional costs for </w:t>
      </w:r>
      <w:r>
        <w:rPr>
          <w:rFonts w:ascii="Times New Roman" w:eastAsia="Times New Roman" w:hAnsi="Times New Roman" w:cs="Arial"/>
          <w:b/>
          <w:noProof/>
          <w:sz w:val="24"/>
          <w:lang w:eastAsia="de-DE"/>
        </w:rPr>
        <w:t>MS</w:t>
      </w:r>
      <w:r>
        <w:rPr>
          <w:rFonts w:ascii="Times New Roman" w:eastAsia="Times New Roman" w:hAnsi="Times New Roman" w:cs="Arial"/>
          <w:noProof/>
          <w:sz w:val="24"/>
          <w:lang w:eastAsia="de-DE"/>
        </w:rPr>
        <w:t xml:space="preserve"> authorities. In particular, they would need to spend additional time and resources, including for cooperating and exchanging information among competent authorities (running cost). The main costs for competent authorities would relate to the </w:t>
      </w:r>
      <w:r>
        <w:rPr>
          <w:rFonts w:ascii="Times New Roman" w:eastAsia="Times New Roman" w:hAnsi="Times New Roman" w:cs="Arial"/>
          <w:noProof/>
          <w:sz w:val="24"/>
        </w:rPr>
        <w:t>changes neede</w:t>
      </w:r>
      <w:r>
        <w:rPr>
          <w:rFonts w:ascii="Times New Roman" w:eastAsia="Times New Roman" w:hAnsi="Times New Roman" w:cs="Arial"/>
          <w:noProof/>
          <w:sz w:val="24"/>
        </w:rPr>
        <w:t>d to allocate competence of all the provisions of the proposed Regulation to DPAs (one-off cost) and the extension of the consistency mechanism to aspec</w:t>
      </w:r>
      <w:r>
        <w:rPr>
          <w:rFonts w:ascii="Times New Roman" w:eastAsia="Times New Roman" w:hAnsi="Times New Roman" w:cs="Arial"/>
          <w:noProof/>
          <w:sz w:val="24"/>
          <w:lang w:eastAsia="de-DE"/>
        </w:rPr>
        <w:t xml:space="preserve">ts relating to the ePD (running cost). In this respect, </w:t>
      </w:r>
      <w:r>
        <w:rPr>
          <w:rFonts w:ascii="Times New Roman" w:eastAsia="Times New Roman" w:hAnsi="Times New Roman" w:cs="Arial"/>
          <w:noProof/>
          <w:sz w:val="24"/>
        </w:rPr>
        <w:t>Member States have followed very different appro</w:t>
      </w:r>
      <w:r>
        <w:rPr>
          <w:rFonts w:ascii="Times New Roman" w:eastAsia="Times New Roman" w:hAnsi="Times New Roman" w:cs="Arial"/>
          <w:noProof/>
          <w:sz w:val="24"/>
        </w:rPr>
        <w:t>aches as regards the allocation of competence of the various provisions of the ePD. Some Member States have designated DPAs (e.g. Bulgaria, Estonia, France), others the telecom national regulatory authority (NRAs) (e.g. Belgium, Finland, Denmark) and still</w:t>
      </w:r>
      <w:r>
        <w:rPr>
          <w:rFonts w:ascii="Times New Roman" w:eastAsia="Times New Roman" w:hAnsi="Times New Roman" w:cs="Arial"/>
          <w:noProof/>
          <w:sz w:val="24"/>
        </w:rPr>
        <w:t xml:space="preserve"> others appointed both DPAs and NRAs (e.g. Austria, Germany, Greece) for the ePD enforcement. In some Member States, competence concerning the ePD is even shared between three or four different authorities</w:t>
      </w:r>
      <w:r>
        <w:rPr>
          <w:rFonts w:ascii="Times New Roman" w:eastAsia="Times New Roman" w:hAnsi="Times New Roman" w:cs="Arial"/>
          <w:noProof/>
          <w:sz w:val="24"/>
          <w:vertAlign w:val="superscript"/>
        </w:rPr>
        <w:footnoteReference w:id="111"/>
      </w:r>
      <w:r>
        <w:rPr>
          <w:rFonts w:ascii="Times New Roman" w:eastAsia="Times New Roman" w:hAnsi="Times New Roman" w:cs="Arial"/>
          <w:noProof/>
          <w:sz w:val="24"/>
        </w:rPr>
        <w:t>, including in addition to DPAs and NRAs e.g. cons</w:t>
      </w:r>
      <w:r>
        <w:rPr>
          <w:rFonts w:ascii="Times New Roman" w:eastAsia="Times New Roman" w:hAnsi="Times New Roman" w:cs="Arial"/>
          <w:noProof/>
          <w:sz w:val="24"/>
        </w:rPr>
        <w:t xml:space="preserve">umer protection authorities. Therefore, the entailing costs will vary according to the extent to which these provisions are already under the responsibility of the DPA. The table included in </w:t>
      </w:r>
      <w:r>
        <w:rPr>
          <w:rFonts w:ascii="Times New Roman" w:eastAsia="Times New Roman" w:hAnsi="Times New Roman" w:cs="Arial"/>
          <w:b/>
          <w:noProof/>
          <w:sz w:val="24"/>
        </w:rPr>
        <w:t>Annex 11</w:t>
      </w:r>
      <w:r>
        <w:rPr>
          <w:rFonts w:ascii="Times New Roman" w:eastAsia="Times New Roman" w:hAnsi="Times New Roman" w:cs="Arial"/>
          <w:noProof/>
          <w:sz w:val="24"/>
        </w:rPr>
        <w:t xml:space="preserve"> presents an overview of the situation in each Member Sta</w:t>
      </w:r>
      <w:r>
        <w:rPr>
          <w:rFonts w:ascii="Times New Roman" w:eastAsia="Times New Roman" w:hAnsi="Times New Roman" w:cs="Arial"/>
          <w:noProof/>
          <w:sz w:val="24"/>
        </w:rPr>
        <w:t>te</w:t>
      </w:r>
      <w:r>
        <w:rPr>
          <w:rFonts w:ascii="Times New Roman" w:eastAsia="Times New Roman" w:hAnsi="Times New Roman" w:cs="Arial"/>
          <w:noProof/>
          <w:sz w:val="24"/>
          <w:vertAlign w:val="superscript"/>
        </w:rPr>
        <w:footnoteReference w:id="112"/>
      </w:r>
      <w:r>
        <w:rPr>
          <w:rFonts w:ascii="Times New Roman" w:eastAsia="Times New Roman" w:hAnsi="Times New Roman" w:cs="Arial"/>
          <w:noProof/>
          <w:sz w:val="24"/>
        </w:rPr>
        <w:t>.</w:t>
      </w:r>
    </w:p>
    <w:p w:rsidR="0077224F" w:rsidRDefault="00D973EE">
      <w:pPr>
        <w:spacing w:before="0"/>
        <w:ind w:left="284"/>
        <w:rPr>
          <w:rFonts w:ascii="Times New Roman" w:eastAsia="Times New Roman" w:hAnsi="Times New Roman"/>
          <w:noProof/>
          <w:sz w:val="24"/>
        </w:rPr>
      </w:pPr>
      <w:r>
        <w:rPr>
          <w:rFonts w:ascii="Times New Roman" w:eastAsia="Times New Roman" w:hAnsi="Times New Roman"/>
          <w:noProof/>
          <w:sz w:val="24"/>
        </w:rPr>
        <w:t>For MS not having entrusted the ePrivacy enforcement to DPAs, the following types of costs are expected to arise: one-off costs relating to the shifting of enforcement powers from other authorities to DPAs (including e.g. organisation costs, costs for</w:t>
      </w:r>
      <w:r>
        <w:rPr>
          <w:rFonts w:ascii="Times New Roman" w:eastAsia="Times New Roman" w:hAnsi="Times New Roman"/>
          <w:noProof/>
          <w:sz w:val="24"/>
        </w:rPr>
        <w:t xml:space="preserve"> setting up new IT systems, costs for training staff), as well as on-going costs for carrying out the tasks related to the ePrivacy rules. </w:t>
      </w:r>
    </w:p>
    <w:p w:rsidR="0077224F" w:rsidRDefault="00D973EE">
      <w:pPr>
        <w:spacing w:before="0"/>
        <w:ind w:left="284"/>
        <w:rPr>
          <w:rFonts w:ascii="Times New Roman" w:eastAsia="Times New Roman" w:hAnsi="Times New Roman"/>
          <w:noProof/>
          <w:sz w:val="24"/>
        </w:rPr>
      </w:pPr>
      <w:r>
        <w:rPr>
          <w:rFonts w:ascii="Times New Roman" w:eastAsia="Times New Roman" w:hAnsi="Times New Roman"/>
          <w:noProof/>
          <w:sz w:val="24"/>
        </w:rPr>
        <w:t>As concerns the one-off costs, it is important to note that the greater majority of DPAs appears to already have som</w:t>
      </w:r>
      <w:r>
        <w:rPr>
          <w:rFonts w:ascii="Times New Roman" w:eastAsia="Times New Roman" w:hAnsi="Times New Roman"/>
          <w:noProof/>
          <w:sz w:val="24"/>
        </w:rPr>
        <w:t>e or all the competences to apply the ePD (for example 22 MS have data protection authorities competent for at least some confidentiality rules). For these authorities, the cost would be rather contained, as it can e.g. be expected that the number of addit</w:t>
      </w:r>
      <w:r>
        <w:rPr>
          <w:rFonts w:ascii="Times New Roman" w:eastAsia="Times New Roman" w:hAnsi="Times New Roman"/>
          <w:noProof/>
          <w:sz w:val="24"/>
        </w:rPr>
        <w:t>ional staff that needs to be trained is low and the relevant IT systems already exist. As concerns the on-going tasks, it can be expected that most of the costs could be compensated by means of redistribution or refocusing of existing staff. Moreover, addi</w:t>
      </w:r>
      <w:r>
        <w:rPr>
          <w:rFonts w:ascii="Times New Roman" w:eastAsia="Times New Roman" w:hAnsi="Times New Roman"/>
          <w:noProof/>
          <w:sz w:val="24"/>
        </w:rPr>
        <w:t>tional resources could derive from the increase of the powers to impose sanctions for breaches of ePrivacy rules.</w:t>
      </w:r>
    </w:p>
    <w:p w:rsidR="0077224F" w:rsidRDefault="00D973EE">
      <w:pPr>
        <w:spacing w:before="0"/>
        <w:ind w:left="284"/>
        <w:rPr>
          <w:rFonts w:ascii="Times New Roman" w:eastAsia="Times New Roman" w:hAnsi="Times New Roman"/>
          <w:noProof/>
          <w:sz w:val="24"/>
          <w:szCs w:val="20"/>
        </w:rPr>
      </w:pPr>
      <w:r>
        <w:rPr>
          <w:rFonts w:ascii="Times New Roman" w:eastAsia="Times New Roman" w:hAnsi="Times New Roman" w:cs="Arial"/>
          <w:noProof/>
          <w:sz w:val="24"/>
          <w:lang w:eastAsia="de-DE"/>
        </w:rPr>
        <w:t>Having regard to the extension of the consistency mechanism it was estimated in the related impact assessment that authorities would need at l</w:t>
      </w:r>
      <w:r>
        <w:rPr>
          <w:rFonts w:ascii="Times New Roman" w:eastAsia="Times New Roman" w:hAnsi="Times New Roman" w:cs="Arial"/>
          <w:noProof/>
          <w:sz w:val="24"/>
          <w:lang w:eastAsia="de-DE"/>
        </w:rPr>
        <w:t>east 2 or 3 persons working on matters in relation to the consistency mechanism (running cost)</w:t>
      </w:r>
      <w:r>
        <w:rPr>
          <w:rFonts w:ascii="Times New Roman" w:eastAsia="Times New Roman" w:hAnsi="Times New Roman" w:cs="Arial"/>
          <w:noProof/>
          <w:sz w:val="24"/>
          <w:vertAlign w:val="superscript"/>
          <w:lang w:eastAsia="de-DE"/>
        </w:rPr>
        <w:footnoteReference w:id="113"/>
      </w:r>
      <w:r>
        <w:rPr>
          <w:rFonts w:ascii="Times New Roman" w:eastAsia="Times New Roman" w:hAnsi="Times New Roman" w:cs="Arial"/>
          <w:noProof/>
          <w:sz w:val="24"/>
          <w:lang w:eastAsia="de-DE"/>
        </w:rPr>
        <w:t xml:space="preserve">. </w:t>
      </w:r>
      <w:bookmarkStart w:id="1141" w:name="_Toc456628382"/>
      <w:bookmarkStart w:id="1142" w:name="_Toc456633337"/>
      <w:bookmarkStart w:id="1143" w:name="_Toc456261639"/>
      <w:bookmarkStart w:id="1144" w:name="_Toc456262576"/>
      <w:bookmarkStart w:id="1145" w:name="_Toc456262920"/>
    </w:p>
    <w:p w:rsidR="0077224F" w:rsidRDefault="00D973EE">
      <w:pPr>
        <w:keepNext/>
        <w:spacing w:before="0" w:after="240"/>
        <w:outlineLvl w:val="2"/>
        <w:rPr>
          <w:rFonts w:ascii="Times New Roman" w:eastAsia="Times New Roman" w:hAnsi="Times New Roman"/>
          <w:b/>
          <w:noProof/>
          <w:sz w:val="24"/>
          <w:szCs w:val="20"/>
        </w:rPr>
      </w:pPr>
      <w:bookmarkStart w:id="1146" w:name="_Toc468794922"/>
      <w:bookmarkStart w:id="1147" w:name="_Toc468795230"/>
      <w:bookmarkStart w:id="1148" w:name="_Toc468455373"/>
      <w:r>
        <w:rPr>
          <w:rFonts w:ascii="Times New Roman" w:eastAsia="Times New Roman" w:hAnsi="Times New Roman"/>
          <w:b/>
          <w:noProof/>
          <w:sz w:val="24"/>
          <w:szCs w:val="20"/>
        </w:rPr>
        <w:t>2. SME test</w:t>
      </w:r>
      <w:bookmarkEnd w:id="1146"/>
      <w:bookmarkEnd w:id="1147"/>
      <w:r>
        <w:rPr>
          <w:rFonts w:ascii="Times New Roman" w:eastAsia="Times New Roman" w:hAnsi="Times New Roman"/>
          <w:b/>
          <w:noProof/>
          <w:sz w:val="24"/>
          <w:szCs w:val="20"/>
        </w:rPr>
        <w:t xml:space="preserve"> </w:t>
      </w:r>
      <w:bookmarkEnd w:id="1148"/>
    </w:p>
    <w:p w:rsidR="0077224F" w:rsidRDefault="00D973EE">
      <w:pPr>
        <w:tabs>
          <w:tab w:val="left" w:pos="2302"/>
        </w:tabs>
        <w:spacing w:before="0"/>
        <w:rPr>
          <w:rFonts w:ascii="Times New Roman" w:eastAsia="Times New Roman" w:hAnsi="Times New Roman"/>
          <w:noProof/>
          <w:sz w:val="24"/>
          <w:szCs w:val="20"/>
        </w:rPr>
      </w:pPr>
      <w:r>
        <w:rPr>
          <w:rFonts w:ascii="Times New Roman" w:eastAsia="Times New Roman" w:hAnsi="Times New Roman"/>
          <w:b/>
          <w:noProof/>
          <w:sz w:val="24"/>
          <w:szCs w:val="20"/>
        </w:rPr>
        <w:t>Consultation of SME stakeholders</w:t>
      </w:r>
      <w:r>
        <w:rPr>
          <w:rFonts w:ascii="Times New Roman" w:eastAsia="Times New Roman" w:hAnsi="Times New Roman"/>
          <w:noProof/>
          <w:sz w:val="24"/>
          <w:szCs w:val="20"/>
        </w:rPr>
        <w:t>: A number of SMEs have responded to the public consultation. In total, 18 respondents to the public consultation</w:t>
      </w:r>
      <w:r>
        <w:rPr>
          <w:rFonts w:ascii="Times New Roman" w:eastAsia="Times New Roman" w:hAnsi="Times New Roman"/>
          <w:noProof/>
          <w:sz w:val="24"/>
          <w:szCs w:val="20"/>
        </w:rPr>
        <w:t xml:space="preserve"> qualified themselves as SMEs. These companies are active in various economic sectors, such as software, marketing and subscriber directory companies. As such they have normally put forward their views as stakeholders active in a particular area rather tha</w:t>
      </w:r>
      <w:r>
        <w:rPr>
          <w:rFonts w:ascii="Times New Roman" w:eastAsia="Times New Roman" w:hAnsi="Times New Roman"/>
          <w:noProof/>
          <w:sz w:val="24"/>
          <w:szCs w:val="20"/>
        </w:rPr>
        <w:t>n as companies of a particular size. The main views gathered are summarised below:</w:t>
      </w:r>
    </w:p>
    <w:p w:rsidR="0077224F" w:rsidRDefault="00D973EE">
      <w:pPr>
        <w:numPr>
          <w:ilvl w:val="0"/>
          <w:numId w:val="98"/>
        </w:numPr>
        <w:tabs>
          <w:tab w:val="left" w:pos="2302"/>
        </w:tabs>
        <w:spacing w:before="0" w:after="240"/>
        <w:rPr>
          <w:rFonts w:ascii="Times New Roman" w:eastAsia="Times New Roman" w:hAnsi="Times New Roman"/>
          <w:noProof/>
          <w:sz w:val="24"/>
          <w:szCs w:val="20"/>
        </w:rPr>
      </w:pPr>
      <w:r>
        <w:rPr>
          <w:rFonts w:ascii="Times New Roman" w:eastAsia="Times New Roman" w:hAnsi="Times New Roman"/>
          <w:noProof/>
          <w:sz w:val="24"/>
          <w:szCs w:val="20"/>
        </w:rPr>
        <w:t>Some</w:t>
      </w:r>
      <w:r>
        <w:rPr>
          <w:rFonts w:ascii="Times New Roman" w:eastAsia="Times New Roman" w:hAnsi="Times New Roman"/>
          <w:b/>
          <w:noProof/>
          <w:sz w:val="24"/>
          <w:szCs w:val="20"/>
        </w:rPr>
        <w:t xml:space="preserve"> </w:t>
      </w:r>
      <w:r>
        <w:rPr>
          <w:rFonts w:ascii="Times New Roman" w:eastAsia="Times New Roman" w:hAnsi="Times New Roman"/>
          <w:noProof/>
          <w:sz w:val="24"/>
          <w:szCs w:val="20"/>
        </w:rPr>
        <w:t>SMEs stressed that the GDPR is a better framework than the ePD and that at the moment, the level of protection depends on MS’ implementation;</w:t>
      </w:r>
    </w:p>
    <w:p w:rsidR="0077224F" w:rsidRDefault="00D973EE">
      <w:pPr>
        <w:numPr>
          <w:ilvl w:val="0"/>
          <w:numId w:val="98"/>
        </w:numPr>
        <w:tabs>
          <w:tab w:val="left" w:pos="2302"/>
        </w:tabs>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Some SMEs report </w:t>
      </w:r>
      <w:r>
        <w:rPr>
          <w:rFonts w:ascii="Times New Roman" w:eastAsia="Times New Roman" w:hAnsi="Times New Roman"/>
          <w:noProof/>
          <w:sz w:val="24"/>
          <w:szCs w:val="20"/>
        </w:rPr>
        <w:t>difficulties in relation to compliance with the rules on cookies, which are covered by different rules at national level, making it difficult to operate websites in different countries.</w:t>
      </w:r>
    </w:p>
    <w:p w:rsidR="0077224F" w:rsidRDefault="00D973EE">
      <w:pPr>
        <w:numPr>
          <w:ilvl w:val="0"/>
          <w:numId w:val="98"/>
        </w:numPr>
        <w:tabs>
          <w:tab w:val="left" w:pos="2302"/>
        </w:tabs>
        <w:spacing w:before="0" w:after="240"/>
        <w:rPr>
          <w:rFonts w:ascii="Times New Roman" w:eastAsia="Times New Roman" w:hAnsi="Times New Roman"/>
          <w:noProof/>
          <w:sz w:val="24"/>
          <w:szCs w:val="20"/>
        </w:rPr>
      </w:pPr>
      <w:r>
        <w:rPr>
          <w:rFonts w:ascii="Times New Roman" w:eastAsia="Times New Roman" w:hAnsi="Times New Roman"/>
          <w:noProof/>
          <w:sz w:val="24"/>
          <w:szCs w:val="20"/>
        </w:rPr>
        <w:t>SMEs also identify differences in national interpretation and enforcem</w:t>
      </w:r>
      <w:r>
        <w:rPr>
          <w:rFonts w:ascii="Times New Roman" w:eastAsia="Times New Roman" w:hAnsi="Times New Roman"/>
          <w:noProof/>
          <w:sz w:val="24"/>
          <w:szCs w:val="20"/>
        </w:rPr>
        <w:t>ent as a special problem.</w:t>
      </w:r>
    </w:p>
    <w:p w:rsidR="0077224F" w:rsidRDefault="00D973EE">
      <w:pPr>
        <w:numPr>
          <w:ilvl w:val="0"/>
          <w:numId w:val="98"/>
        </w:numPr>
        <w:tabs>
          <w:tab w:val="left" w:pos="2302"/>
        </w:tabs>
        <w:spacing w:before="0" w:after="240"/>
        <w:rPr>
          <w:rFonts w:ascii="Times New Roman" w:eastAsia="Times New Roman" w:hAnsi="Times New Roman"/>
          <w:noProof/>
          <w:sz w:val="24"/>
          <w:szCs w:val="20"/>
        </w:rPr>
      </w:pPr>
      <w:r>
        <w:rPr>
          <w:rFonts w:ascii="Times New Roman" w:eastAsia="Times New Roman" w:hAnsi="Times New Roman"/>
          <w:noProof/>
          <w:sz w:val="24"/>
          <w:szCs w:val="20"/>
        </w:rPr>
        <w:t>The costs for complying are considered by some as disproportionate, especially in light of the fragmented national landscape. The costs to check Robinson lists are reported as significant costs, together with technical and legal a</w:t>
      </w:r>
      <w:r>
        <w:rPr>
          <w:rFonts w:ascii="Times New Roman" w:eastAsia="Times New Roman" w:hAnsi="Times New Roman"/>
          <w:noProof/>
          <w:sz w:val="24"/>
          <w:szCs w:val="20"/>
        </w:rPr>
        <w:t>dvice costs, lengthy and disproportionate litigation procedures for cookies and marketing rules. In relation to the cookie consent provision, some respondents reported quite significant costs (over EUR 200,000), while other considerably lower (EUR 1,000).</w:t>
      </w:r>
    </w:p>
    <w:p w:rsidR="0077224F" w:rsidRDefault="00D973EE">
      <w:pPr>
        <w:numPr>
          <w:ilvl w:val="0"/>
          <w:numId w:val="98"/>
        </w:numPr>
        <w:tabs>
          <w:tab w:val="left" w:pos="2302"/>
        </w:tabs>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Some respondents have expressed concerns regarding the excessive costs of compliance for SMEs and start-ups. They argue that large “fixed cost” of compliance should not become a barrier for new businesses. </w:t>
      </w:r>
    </w:p>
    <w:p w:rsidR="0077224F" w:rsidRDefault="00D973EE">
      <w:pPr>
        <w:numPr>
          <w:ilvl w:val="0"/>
          <w:numId w:val="98"/>
        </w:numPr>
        <w:tabs>
          <w:tab w:val="left" w:pos="2302"/>
        </w:tabs>
        <w:spacing w:before="0" w:after="240"/>
        <w:rPr>
          <w:rFonts w:ascii="Times New Roman" w:eastAsia="Times New Roman" w:hAnsi="Times New Roman"/>
          <w:noProof/>
          <w:sz w:val="24"/>
          <w:szCs w:val="20"/>
        </w:rPr>
      </w:pPr>
      <w:r>
        <w:rPr>
          <w:rFonts w:ascii="Times New Roman" w:eastAsia="Times New Roman" w:hAnsi="Times New Roman"/>
          <w:noProof/>
          <w:sz w:val="24"/>
          <w:szCs w:val="20"/>
        </w:rPr>
        <w:t xml:space="preserve">One SME points out that many SMEs are leading on </w:t>
      </w:r>
      <w:r>
        <w:rPr>
          <w:rFonts w:ascii="Times New Roman" w:eastAsia="Times New Roman" w:hAnsi="Times New Roman"/>
          <w:noProof/>
          <w:sz w:val="24"/>
          <w:szCs w:val="20"/>
        </w:rPr>
        <w:t>privacy by design and are using this as a unique selling point.</w:t>
      </w:r>
    </w:p>
    <w:p w:rsidR="0077224F" w:rsidRDefault="00D973EE">
      <w:pPr>
        <w:tabs>
          <w:tab w:val="left" w:pos="2302"/>
        </w:tabs>
        <w:spacing w:before="0"/>
        <w:rPr>
          <w:rFonts w:ascii="Times New Roman" w:eastAsia="Times New Roman" w:hAnsi="Times New Roman" w:cs="Arial"/>
          <w:noProof/>
          <w:sz w:val="24"/>
          <w:szCs w:val="18"/>
        </w:rPr>
      </w:pPr>
      <w:r>
        <w:rPr>
          <w:rFonts w:ascii="Times New Roman" w:eastAsia="Times New Roman" w:hAnsi="Times New Roman"/>
          <w:b/>
          <w:noProof/>
          <w:sz w:val="24"/>
          <w:szCs w:val="20"/>
        </w:rPr>
        <w:t>Identification of affected businesses</w:t>
      </w:r>
      <w:r>
        <w:rPr>
          <w:rFonts w:ascii="Times New Roman" w:eastAsia="Times New Roman" w:hAnsi="Times New Roman"/>
          <w:noProof/>
          <w:sz w:val="24"/>
          <w:szCs w:val="20"/>
        </w:rPr>
        <w:t xml:space="preserve">: As the ePD provisions have a different scope, it is possible to identify at least three categories of affected SMEs. </w:t>
      </w:r>
      <w:r>
        <w:rPr>
          <w:rFonts w:ascii="Times New Roman" w:eastAsia="Times New Roman" w:hAnsi="Times New Roman"/>
          <w:b/>
          <w:i/>
          <w:noProof/>
          <w:sz w:val="24"/>
          <w:szCs w:val="20"/>
        </w:rPr>
        <w:t>First</w:t>
      </w:r>
      <w:r>
        <w:rPr>
          <w:rFonts w:ascii="Times New Roman" w:eastAsia="Times New Roman" w:hAnsi="Times New Roman"/>
          <w:noProof/>
          <w:sz w:val="24"/>
          <w:szCs w:val="20"/>
        </w:rPr>
        <w:t>, SMEs that are ECS providers a</w:t>
      </w:r>
      <w:r>
        <w:rPr>
          <w:rFonts w:ascii="Times New Roman" w:eastAsia="Times New Roman" w:hAnsi="Times New Roman"/>
          <w:noProof/>
          <w:sz w:val="24"/>
          <w:szCs w:val="20"/>
        </w:rPr>
        <w:t xml:space="preserve">re affected by all provisions concerning confidentiality of communications and related traffic data as well as the rules on calling line identification, automated call forwarding and directories of subscribers. </w:t>
      </w:r>
      <w:r>
        <w:rPr>
          <w:rFonts w:ascii="Times New Roman" w:eastAsia="Times New Roman" w:hAnsi="Times New Roman" w:cs="Arial"/>
          <w:noProof/>
          <w:sz w:val="24"/>
          <w:szCs w:val="18"/>
        </w:rPr>
        <w:t>According to Eurostat, around 44.7 thousand e</w:t>
      </w:r>
      <w:r>
        <w:rPr>
          <w:rFonts w:ascii="Times New Roman" w:eastAsia="Times New Roman" w:hAnsi="Times New Roman" w:cs="Arial"/>
          <w:noProof/>
          <w:sz w:val="24"/>
          <w:szCs w:val="18"/>
        </w:rPr>
        <w:t>nterprises are active in this market, accounting for a share of 0.2% of all businesses active in the EU. Around 90% of these enterprises are micro-enterprises, 99% are SMEs. Overall, approx. one million citizens are employed in the telecommunications secto</w:t>
      </w:r>
      <w:r>
        <w:rPr>
          <w:rFonts w:ascii="Times New Roman" w:eastAsia="Times New Roman" w:hAnsi="Times New Roman" w:cs="Arial"/>
          <w:noProof/>
          <w:sz w:val="24"/>
          <w:szCs w:val="18"/>
        </w:rPr>
        <w:t>r of which roughly 20% are active in SMEs.</w:t>
      </w:r>
      <w:r>
        <w:rPr>
          <w:rFonts w:ascii="Times New Roman" w:eastAsia="Times New Roman" w:hAnsi="Times New Roman"/>
          <w:noProof/>
          <w:sz w:val="24"/>
          <w:szCs w:val="20"/>
          <w:vertAlign w:val="superscript"/>
        </w:rPr>
        <w:footnoteReference w:id="114"/>
      </w:r>
      <w:r>
        <w:rPr>
          <w:rFonts w:ascii="Times New Roman" w:eastAsia="Times New Roman" w:hAnsi="Times New Roman" w:cs="Arial"/>
          <w:noProof/>
          <w:sz w:val="24"/>
          <w:szCs w:val="18"/>
        </w:rPr>
        <w:t xml:space="preserve"> </w:t>
      </w:r>
    </w:p>
    <w:p w:rsidR="0077224F" w:rsidRDefault="00D973EE">
      <w:pPr>
        <w:tabs>
          <w:tab w:val="left" w:pos="2302"/>
        </w:tabs>
        <w:spacing w:before="0"/>
        <w:rPr>
          <w:rFonts w:ascii="Times New Roman" w:eastAsia="Times New Roman" w:hAnsi="Times New Roman" w:cs="Arial"/>
          <w:noProof/>
          <w:sz w:val="24"/>
          <w:szCs w:val="18"/>
        </w:rPr>
      </w:pPr>
      <w:r>
        <w:rPr>
          <w:rFonts w:ascii="Times New Roman" w:eastAsia="Times New Roman" w:hAnsi="Times New Roman"/>
          <w:b/>
          <w:i/>
          <w:noProof/>
          <w:sz w:val="24"/>
          <w:szCs w:val="20"/>
        </w:rPr>
        <w:t>Second</w:t>
      </w:r>
      <w:r>
        <w:rPr>
          <w:rFonts w:ascii="Times New Roman" w:eastAsia="Times New Roman" w:hAnsi="Times New Roman"/>
          <w:noProof/>
          <w:sz w:val="24"/>
          <w:szCs w:val="20"/>
        </w:rPr>
        <w:t>,</w:t>
      </w:r>
      <w:r>
        <w:rPr>
          <w:rFonts w:ascii="Times New Roman" w:eastAsia="Times New Roman" w:hAnsi="Times New Roman"/>
          <w:i/>
          <w:noProof/>
          <w:sz w:val="24"/>
          <w:szCs w:val="20"/>
        </w:rPr>
        <w:t xml:space="preserve"> </w:t>
      </w:r>
      <w:r>
        <w:rPr>
          <w:rFonts w:ascii="Times New Roman" w:eastAsia="Times New Roman" w:hAnsi="Times New Roman"/>
          <w:noProof/>
          <w:sz w:val="24"/>
          <w:szCs w:val="20"/>
        </w:rPr>
        <w:t>all SMEs that use cookies or similar techniques are affected by the provisions concerning confidentiality of terminal equipment. These will be primarily all SMEs that have a website using cookies. The st</w:t>
      </w:r>
      <w:r>
        <w:rPr>
          <w:rFonts w:ascii="Times New Roman" w:eastAsia="Times New Roman" w:hAnsi="Times New Roman"/>
          <w:noProof/>
          <w:sz w:val="24"/>
          <w:szCs w:val="20"/>
        </w:rPr>
        <w:t>udy supporting the impact assessment estimated that that – per year between 2016 and 2030 – around 3.7 million businesses will be affected by the ePD rules in the EU. The majority of these businesses will be micro-enterprises with less than 10 employees (3</w:t>
      </w:r>
      <w:r>
        <w:rPr>
          <w:rFonts w:ascii="Times New Roman" w:eastAsia="Times New Roman" w:hAnsi="Times New Roman"/>
          <w:noProof/>
          <w:sz w:val="24"/>
          <w:szCs w:val="20"/>
        </w:rPr>
        <w:t>.3 million). Around 260,000 SMEs that have between 10 and 250 employees are estimated to be affected per year until 2030 while the number of large enterprises is negligible with around 10,000 per year.</w:t>
      </w:r>
      <w:r>
        <w:rPr>
          <w:rFonts w:ascii="Times New Roman" w:eastAsia="Calibri" w:hAnsi="Times New Roman"/>
          <w:noProof/>
          <w:sz w:val="24"/>
          <w:lang w:eastAsia="en-GB"/>
        </w:rPr>
        <w:t xml:space="preserve"> </w:t>
      </w:r>
      <w:r>
        <w:rPr>
          <w:rFonts w:ascii="Times New Roman" w:eastAsia="Times New Roman" w:hAnsi="Times New Roman"/>
          <w:noProof/>
          <w:sz w:val="24"/>
          <w:szCs w:val="20"/>
        </w:rPr>
        <w:t>Also, SMEs that have developed mobile apps interfering</w:t>
      </w:r>
      <w:r>
        <w:rPr>
          <w:rFonts w:ascii="Times New Roman" w:eastAsia="Times New Roman" w:hAnsi="Times New Roman"/>
          <w:noProof/>
          <w:sz w:val="24"/>
          <w:szCs w:val="20"/>
        </w:rPr>
        <w:t xml:space="preserve"> with the confidentiality of terminal equipment are also affected by these rules. It can be presumed that a very high proportion of these businesses are SMEs and mostly microenterprises.</w:t>
      </w:r>
    </w:p>
    <w:p w:rsidR="0077224F" w:rsidRDefault="00D973EE">
      <w:pPr>
        <w:tabs>
          <w:tab w:val="left" w:pos="2302"/>
        </w:tabs>
        <w:spacing w:before="0"/>
        <w:rPr>
          <w:rFonts w:ascii="Times New Roman" w:eastAsia="Times New Roman" w:hAnsi="Times New Roman"/>
          <w:noProof/>
          <w:sz w:val="24"/>
          <w:szCs w:val="20"/>
        </w:rPr>
      </w:pPr>
      <w:r>
        <w:rPr>
          <w:rFonts w:ascii="Times New Roman" w:eastAsia="Times New Roman" w:hAnsi="Times New Roman"/>
          <w:b/>
          <w:i/>
          <w:noProof/>
          <w:sz w:val="24"/>
          <w:szCs w:val="20"/>
        </w:rPr>
        <w:t>Third</w:t>
      </w:r>
      <w:r>
        <w:rPr>
          <w:rFonts w:ascii="Times New Roman" w:eastAsia="Times New Roman" w:hAnsi="Times New Roman"/>
          <w:noProof/>
          <w:sz w:val="24"/>
          <w:szCs w:val="20"/>
        </w:rPr>
        <w:t>, SMEs who engage in marketing campaigns are affected by the rul</w:t>
      </w:r>
      <w:r>
        <w:rPr>
          <w:rFonts w:ascii="Times New Roman" w:eastAsia="Times New Roman" w:hAnsi="Times New Roman"/>
          <w:noProof/>
          <w:sz w:val="24"/>
          <w:szCs w:val="20"/>
        </w:rPr>
        <w:t>es on unsolicited communications. Although only very limited quantitative information is available in relation to costs associated with the provisions on unsolicited communications, the external study supporting this impact assessment provided quantitative</w:t>
      </w:r>
      <w:r>
        <w:rPr>
          <w:rFonts w:ascii="Times New Roman" w:eastAsia="Times New Roman" w:hAnsi="Times New Roman"/>
          <w:noProof/>
          <w:sz w:val="24"/>
          <w:szCs w:val="20"/>
        </w:rPr>
        <w:t xml:space="preserve"> estimates – mostly based on a set of assumptions and expert judgment. In general, the study assumed that compliance costs are incurred not by all businesses that provide for unsolicited communication but only by those that also have a website and use cook</w:t>
      </w:r>
      <w:r>
        <w:rPr>
          <w:rFonts w:ascii="Times New Roman" w:eastAsia="Times New Roman" w:hAnsi="Times New Roman"/>
          <w:noProof/>
          <w:sz w:val="24"/>
          <w:szCs w:val="20"/>
        </w:rPr>
        <w:t>ies because collecting the consent of users over the counter does not produce costs.</w:t>
      </w:r>
      <w:r>
        <w:rPr>
          <w:rFonts w:ascii="Times New Roman" w:eastAsia="Times New Roman" w:hAnsi="Times New Roman"/>
          <w:noProof/>
          <w:sz w:val="24"/>
          <w:szCs w:val="20"/>
          <w:vertAlign w:val="superscript"/>
        </w:rPr>
        <w:footnoteReference w:id="115"/>
      </w:r>
      <w:r>
        <w:rPr>
          <w:rFonts w:ascii="Times New Roman" w:eastAsia="Times New Roman" w:hAnsi="Times New Roman"/>
          <w:noProof/>
          <w:sz w:val="24"/>
          <w:szCs w:val="20"/>
        </w:rPr>
        <w:t xml:space="preserve"> Therefore, the compliance costs associated with Art. 13 are only incurred by businesses that also incur costs in relation to Art. 5(3).</w:t>
      </w:r>
    </w:p>
    <w:p w:rsidR="0077224F" w:rsidRDefault="00D973EE">
      <w:pPr>
        <w:tabs>
          <w:tab w:val="left" w:pos="2302"/>
        </w:tabs>
        <w:spacing w:before="0"/>
        <w:rPr>
          <w:rFonts w:ascii="Times New Roman" w:eastAsia="Calibri" w:hAnsi="Times New Roman"/>
          <w:noProof/>
          <w:sz w:val="24"/>
          <w:lang w:eastAsia="en-GB"/>
        </w:rPr>
      </w:pPr>
      <w:r>
        <w:rPr>
          <w:rFonts w:ascii="Times New Roman" w:eastAsia="Times New Roman" w:hAnsi="Times New Roman"/>
          <w:noProof/>
          <w:sz w:val="24"/>
          <w:szCs w:val="20"/>
        </w:rPr>
        <w:t>The preferred option will increase</w:t>
      </w:r>
      <w:r>
        <w:rPr>
          <w:rFonts w:ascii="Times New Roman" w:eastAsia="Times New Roman" w:hAnsi="Times New Roman"/>
          <w:noProof/>
          <w:sz w:val="24"/>
          <w:szCs w:val="20"/>
        </w:rPr>
        <w:t xml:space="preserve"> the number of businesses subject to the ePD provisions, as the scope of these provisions will be extended to OTTs. While no precise data are available, a more or less significant fraction of these businesses are indeed SMEs. With regard to the provisions </w:t>
      </w:r>
      <w:r>
        <w:rPr>
          <w:rFonts w:ascii="Times New Roman" w:eastAsia="Times New Roman" w:hAnsi="Times New Roman"/>
          <w:noProof/>
          <w:sz w:val="24"/>
          <w:szCs w:val="20"/>
        </w:rPr>
        <w:t>on unsolicited communications, the preferred option would extend the applicability of the rules to marketing campaigns over OTT platforms. As regards businesses subject to the rules on confidentiality of terminal equipment, Option 3 has the potential of re</w:t>
      </w:r>
      <w:r>
        <w:rPr>
          <w:rFonts w:ascii="Times New Roman" w:eastAsia="Times New Roman" w:hAnsi="Times New Roman"/>
          <w:noProof/>
          <w:sz w:val="24"/>
          <w:szCs w:val="20"/>
        </w:rPr>
        <w:t>ducing the number of affected SMEs thanks to the introduction of centrally managed privacy settings. The study supporting the impact assessment estimated that under policy option 3 in the "browser solution" implementation scenario, per year, between 2016 a</w:t>
      </w:r>
      <w:r>
        <w:rPr>
          <w:rFonts w:ascii="Times New Roman" w:eastAsia="Times New Roman" w:hAnsi="Times New Roman"/>
          <w:noProof/>
          <w:sz w:val="24"/>
          <w:szCs w:val="20"/>
        </w:rPr>
        <w:t>nd 2030, around 190,000 businesses will be affected by the ePD in the EU. The majority of these businesses will be micro-enterprises with less than 10 employees (170,000). In the "tracking company" and "publisher implementation" scenarios, figures would be</w:t>
      </w:r>
      <w:r>
        <w:rPr>
          <w:rFonts w:ascii="Times New Roman" w:eastAsia="Times New Roman" w:hAnsi="Times New Roman"/>
          <w:noProof/>
          <w:sz w:val="24"/>
          <w:szCs w:val="20"/>
        </w:rPr>
        <w:t xml:space="preserve"> respectively 740,000 (660,000 microenterprises) and 2.22 million (1.99 million microenterprises).</w:t>
      </w:r>
    </w:p>
    <w:p w:rsidR="0077224F" w:rsidRDefault="00D973EE">
      <w:pPr>
        <w:tabs>
          <w:tab w:val="left" w:pos="2302"/>
        </w:tabs>
        <w:spacing w:before="0"/>
        <w:rPr>
          <w:rFonts w:ascii="Times New Roman" w:eastAsia="Times New Roman" w:hAnsi="Times New Roman"/>
          <w:noProof/>
          <w:sz w:val="24"/>
          <w:szCs w:val="20"/>
        </w:rPr>
      </w:pPr>
      <w:r>
        <w:rPr>
          <w:rFonts w:ascii="Times New Roman" w:eastAsia="Calibri" w:hAnsi="Times New Roman"/>
          <w:b/>
          <w:noProof/>
          <w:sz w:val="24"/>
          <w:szCs w:val="20"/>
          <w:lang w:eastAsia="en-GB"/>
        </w:rPr>
        <w:t>Measurement of the impact on SMEs</w:t>
      </w:r>
      <w:r>
        <w:rPr>
          <w:rFonts w:ascii="Times New Roman" w:eastAsia="Calibri" w:hAnsi="Times New Roman"/>
          <w:noProof/>
          <w:sz w:val="24"/>
          <w:szCs w:val="20"/>
          <w:lang w:eastAsia="en-GB"/>
        </w:rPr>
        <w:t xml:space="preserve">: </w:t>
      </w:r>
      <w:r>
        <w:rPr>
          <w:rFonts w:ascii="Times New Roman" w:eastAsia="Times New Roman" w:hAnsi="Times New Roman"/>
          <w:noProof/>
          <w:sz w:val="24"/>
          <w:szCs w:val="20"/>
        </w:rPr>
        <w:t xml:space="preserve">The impact on </w:t>
      </w:r>
      <w:r>
        <w:rPr>
          <w:rFonts w:ascii="Times New Roman" w:eastAsia="Times New Roman" w:hAnsi="Times New Roman"/>
          <w:b/>
          <w:noProof/>
          <w:sz w:val="24"/>
          <w:szCs w:val="20"/>
        </w:rPr>
        <w:t>SMEs</w:t>
      </w:r>
      <w:r>
        <w:rPr>
          <w:rFonts w:ascii="Times New Roman" w:eastAsia="Times New Roman" w:hAnsi="Times New Roman"/>
          <w:noProof/>
          <w:sz w:val="24"/>
          <w:szCs w:val="20"/>
        </w:rPr>
        <w:t xml:space="preserve"> of the preferred option is to be expected to be positive on balance. SMEs would benefit from clearer rules and increased harmonisation. Furthermore, the changes in browser settings and limited need for cookie banners would lead to reduction of the complia</w:t>
      </w:r>
      <w:r>
        <w:rPr>
          <w:rFonts w:ascii="Times New Roman" w:eastAsia="Times New Roman" w:hAnsi="Times New Roman"/>
          <w:noProof/>
          <w:sz w:val="24"/>
          <w:szCs w:val="20"/>
        </w:rPr>
        <w:t>nce costs with regard to the cookie consent requirement. Moreover, the broadening of the exceptions to the current consent rule would allow SMEs which are operating in the advertising business to benefit from these exceptions. SMEs in the ECS business will</w:t>
      </w:r>
      <w:r>
        <w:rPr>
          <w:rFonts w:ascii="Times New Roman" w:eastAsia="Times New Roman" w:hAnsi="Times New Roman"/>
          <w:noProof/>
          <w:sz w:val="24"/>
          <w:szCs w:val="20"/>
        </w:rPr>
        <w:t xml:space="preserve"> also benefit from the exceptions to process communications data. </w:t>
      </w:r>
    </w:p>
    <w:p w:rsidR="0077224F" w:rsidRDefault="00D973EE">
      <w:pPr>
        <w:tabs>
          <w:tab w:val="left" w:pos="2302"/>
        </w:tabs>
        <w:spacing w:before="0"/>
        <w:rPr>
          <w:rFonts w:ascii="Times New Roman" w:eastAsia="Times New Roman" w:hAnsi="Times New Roman"/>
          <w:noProof/>
          <w:sz w:val="24"/>
          <w:szCs w:val="20"/>
        </w:rPr>
      </w:pPr>
      <w:r>
        <w:rPr>
          <w:rFonts w:ascii="Times New Roman" w:eastAsia="Times New Roman" w:hAnsi="Times New Roman"/>
          <w:noProof/>
          <w:sz w:val="24"/>
          <w:szCs w:val="20"/>
        </w:rPr>
        <w:t>SMEs which are OTTs would be faced with new obligations due to the broadened scope of the ePrivacy rules and could thus face additional compliance costs, in particular in so far as they cur</w:t>
      </w:r>
      <w:r>
        <w:rPr>
          <w:rFonts w:ascii="Times New Roman" w:eastAsia="Times New Roman" w:hAnsi="Times New Roman"/>
          <w:noProof/>
          <w:sz w:val="24"/>
          <w:szCs w:val="20"/>
        </w:rPr>
        <w:t>rently process communications data on legal bases other than consent. These would be, however, offset by the benefits associated to the increase of consumer trust in the digital economy and from greater harmonisation. SMEs active in the OBA are expected to</w:t>
      </w:r>
      <w:r>
        <w:rPr>
          <w:rFonts w:ascii="Times New Roman" w:eastAsia="Times New Roman" w:hAnsi="Times New Roman"/>
          <w:noProof/>
          <w:sz w:val="24"/>
          <w:szCs w:val="20"/>
        </w:rPr>
        <w:t xml:space="preserve"> face opportunity costs as a result of the extension of the confidentiality rules and the rules on browser settings. These costs may not be quantified, but some mitigating elements have been identified above on the basis of which such costs would be contai</w:t>
      </w:r>
      <w:r>
        <w:rPr>
          <w:rFonts w:ascii="Times New Roman" w:eastAsia="Times New Roman" w:hAnsi="Times New Roman"/>
          <w:noProof/>
          <w:sz w:val="24"/>
          <w:szCs w:val="20"/>
        </w:rPr>
        <w:t xml:space="preserve">ned. </w:t>
      </w:r>
    </w:p>
    <w:p w:rsidR="0077224F" w:rsidRDefault="00D973EE">
      <w:pPr>
        <w:tabs>
          <w:tab w:val="left" w:pos="2302"/>
        </w:tabs>
        <w:spacing w:before="0"/>
        <w:rPr>
          <w:rFonts w:ascii="Times New Roman" w:eastAsia="Calibri" w:hAnsi="Times New Roman"/>
          <w:noProof/>
          <w:sz w:val="24"/>
          <w:lang w:eastAsia="en-GB"/>
        </w:rPr>
      </w:pPr>
      <w:r>
        <w:rPr>
          <w:rFonts w:ascii="Times New Roman" w:eastAsia="Times New Roman" w:hAnsi="Times New Roman"/>
          <w:noProof/>
          <w:sz w:val="24"/>
          <w:szCs w:val="20"/>
        </w:rPr>
        <w:t xml:space="preserve">The external study supporting the present impact assessment attempted to estimate the impact on costs of each option, on the basis of a pragmatic model based on a wide range of assumptions reflecting the general scarcity of data. Taking these </w:t>
      </w:r>
      <w:r>
        <w:rPr>
          <w:rFonts w:ascii="Times New Roman" w:eastAsia="Times New Roman" w:hAnsi="Times New Roman"/>
          <w:noProof/>
          <w:sz w:val="24"/>
          <w:szCs w:val="20"/>
        </w:rPr>
        <w:t>limitations into account, the study estimated savings in compliance cost by 70% compared to the baseline (equal to an average of around EUR 261 per company)</w:t>
      </w:r>
      <w:r>
        <w:rPr>
          <w:rFonts w:ascii="Times New Roman" w:eastAsia="Times New Roman" w:hAnsi="Times New Roman"/>
          <w:noProof/>
          <w:sz w:val="24"/>
          <w:szCs w:val="20"/>
          <w:vertAlign w:val="superscript"/>
        </w:rPr>
        <w:footnoteReference w:id="116"/>
      </w:r>
      <w:r>
        <w:rPr>
          <w:rFonts w:ascii="Times New Roman" w:eastAsia="Times New Roman" w:hAnsi="Times New Roman"/>
          <w:noProof/>
          <w:sz w:val="24"/>
          <w:szCs w:val="20"/>
        </w:rPr>
        <w:t>. Costs related to administrative burden would also decrease even if less substantially (by a 10%).</w:t>
      </w:r>
      <w:r>
        <w:rPr>
          <w:rFonts w:ascii="Times New Roman" w:eastAsia="Times New Roman" w:hAnsi="Times New Roman"/>
          <w:noProof/>
          <w:sz w:val="24"/>
          <w:szCs w:val="20"/>
        </w:rPr>
        <w:t xml:space="preserve"> Far from being a precise figure, this gives however a rough idea of what the magnitude of the impact on SMEs could be. On the basis of these qualitative arguments and the external study quantitative estimated, it is concluded that the impact on costs for </w:t>
      </w:r>
      <w:r>
        <w:rPr>
          <w:rFonts w:ascii="Times New Roman" w:eastAsia="Times New Roman" w:hAnsi="Times New Roman"/>
          <w:noProof/>
          <w:sz w:val="24"/>
          <w:szCs w:val="20"/>
        </w:rPr>
        <w:t xml:space="preserve">SMEs of this option </w:t>
      </w:r>
      <w:r>
        <w:rPr>
          <w:rFonts w:ascii="Times New Roman" w:eastAsia="Calibri" w:hAnsi="Times New Roman"/>
          <w:noProof/>
          <w:sz w:val="24"/>
          <w:lang w:eastAsia="en-GB"/>
        </w:rPr>
        <w:t>would essentially be moderately positive.</w:t>
      </w:r>
    </w:p>
    <w:p w:rsidR="0077224F" w:rsidRDefault="00D973EE">
      <w:pPr>
        <w:tabs>
          <w:tab w:val="left" w:pos="2302"/>
        </w:tabs>
        <w:spacing w:before="0"/>
        <w:rPr>
          <w:rFonts w:ascii="Times New Roman" w:eastAsia="Calibri" w:hAnsi="Times New Roman"/>
          <w:noProof/>
          <w:sz w:val="24"/>
          <w:lang w:eastAsia="en-GB"/>
        </w:rPr>
      </w:pPr>
      <w:r>
        <w:rPr>
          <w:rFonts w:ascii="Times New Roman" w:eastAsia="Calibri" w:hAnsi="Times New Roman"/>
          <w:b/>
          <w:noProof/>
          <w:sz w:val="24"/>
          <w:lang w:eastAsia="en-GB"/>
        </w:rPr>
        <w:t>A</w:t>
      </w:r>
      <w:r>
        <w:rPr>
          <w:rFonts w:ascii="Times New Roman" w:eastAsia="Times New Roman" w:hAnsi="Times New Roman"/>
          <w:b/>
          <w:noProof/>
          <w:sz w:val="24"/>
          <w:szCs w:val="20"/>
        </w:rPr>
        <w:t>ssessment of alternative mechanisms and mitigating measures</w:t>
      </w:r>
      <w:r>
        <w:rPr>
          <w:rFonts w:ascii="Times New Roman" w:eastAsia="Times New Roman" w:hAnsi="Times New Roman"/>
          <w:noProof/>
          <w:sz w:val="24"/>
          <w:szCs w:val="20"/>
        </w:rPr>
        <w:t>: Microenterprises are normally excluded from EU regulations. However, the ePD does not allow a total exclusion of these enterprises i</w:t>
      </w:r>
      <w:r>
        <w:rPr>
          <w:rFonts w:ascii="Times New Roman" w:eastAsia="Times New Roman" w:hAnsi="Times New Roman"/>
          <w:noProof/>
          <w:sz w:val="24"/>
          <w:szCs w:val="20"/>
        </w:rPr>
        <w:t>n that it is meant to protect a fundamental right recognised under the European Charter. Compliance with fundamental rights cannot be made dependent on the size of the businesses concerned. A breach of confidentiality of communications perpetrated by a mic</w:t>
      </w:r>
      <w:r>
        <w:rPr>
          <w:rFonts w:ascii="Times New Roman" w:eastAsia="Times New Roman" w:hAnsi="Times New Roman"/>
          <w:noProof/>
          <w:sz w:val="24"/>
          <w:szCs w:val="20"/>
        </w:rPr>
        <w:t>roenterprise may potentially cause the same harm as one caused by a larger player. Fundamental rights, therefore, shall be respected by every operators and no fully-fledged derogation is therefore possible for micro-</w:t>
      </w:r>
      <w:r>
        <w:rPr>
          <w:rFonts w:ascii="Times New Roman" w:eastAsia="Calibri" w:hAnsi="Times New Roman"/>
          <w:noProof/>
          <w:sz w:val="24"/>
          <w:lang w:eastAsia="en-GB"/>
        </w:rPr>
        <w:t xml:space="preserve">enterprises. </w:t>
      </w:r>
    </w:p>
    <w:p w:rsidR="0077224F" w:rsidRDefault="00D973EE">
      <w:pPr>
        <w:tabs>
          <w:tab w:val="left" w:pos="2302"/>
        </w:tabs>
        <w:spacing w:before="0"/>
        <w:rPr>
          <w:rFonts w:ascii="Times New Roman" w:eastAsia="Calibri" w:hAnsi="Times New Roman"/>
          <w:noProof/>
          <w:sz w:val="24"/>
          <w:lang w:eastAsia="en-GB"/>
        </w:rPr>
      </w:pPr>
      <w:r>
        <w:rPr>
          <w:rFonts w:ascii="Times New Roman" w:eastAsia="Calibri" w:hAnsi="Times New Roman"/>
          <w:noProof/>
          <w:sz w:val="24"/>
          <w:lang w:eastAsia="en-GB"/>
        </w:rPr>
        <w:t>While the general protecti</w:t>
      </w:r>
      <w:r>
        <w:rPr>
          <w:rFonts w:ascii="Times New Roman" w:eastAsia="Calibri" w:hAnsi="Times New Roman"/>
          <w:noProof/>
          <w:sz w:val="24"/>
          <w:lang w:eastAsia="en-GB"/>
        </w:rPr>
        <w:t>on of communications should be afforded irrespective of the size of the enterprise concerned, it is however possible to identify some mitigating measures with specific regard to micro-enterprises in relation to the entry into force of the new rules and the</w:t>
      </w:r>
      <w:r>
        <w:rPr>
          <w:rFonts w:ascii="Times New Roman" w:eastAsia="Calibri" w:hAnsi="Times New Roman"/>
          <w:noProof/>
          <w:sz w:val="24"/>
          <w:lang w:eastAsia="en-GB"/>
        </w:rPr>
        <w:t xml:space="preserve"> applicability of some specific obligations. In particular, the proposed instrument will take action to avoid rules to be too prescriptive or specific, thus giving ample margin of manoeuvre to small enterprises to choose the most efficient implementation. </w:t>
      </w:r>
      <w:r>
        <w:rPr>
          <w:rFonts w:ascii="Times New Roman" w:eastAsia="Calibri" w:hAnsi="Times New Roman"/>
          <w:noProof/>
          <w:sz w:val="24"/>
          <w:lang w:eastAsia="en-GB"/>
        </w:rPr>
        <w:t xml:space="preserve">For example, the proposal would not prescribe specific means to request consent, does not contain specific prescriptions concerning the information obligations vis-à-vis users and supervisory authorities. All provisions are technology neutral and purpose, </w:t>
      </w:r>
      <w:r>
        <w:rPr>
          <w:rFonts w:ascii="Times New Roman" w:eastAsia="Calibri" w:hAnsi="Times New Roman"/>
          <w:noProof/>
          <w:sz w:val="24"/>
          <w:lang w:eastAsia="en-GB"/>
        </w:rPr>
        <w:t xml:space="preserve">rather than technology, driven. </w:t>
      </w:r>
    </w:p>
    <w:p w:rsidR="0077224F" w:rsidRDefault="00D973EE">
      <w:pPr>
        <w:tabs>
          <w:tab w:val="left" w:pos="2302"/>
        </w:tabs>
        <w:spacing w:before="0"/>
        <w:rPr>
          <w:rFonts w:ascii="Times New Roman" w:eastAsia="Calibri" w:hAnsi="Times New Roman"/>
          <w:noProof/>
          <w:sz w:val="24"/>
          <w:lang w:eastAsia="en-GB"/>
        </w:rPr>
      </w:pPr>
      <w:r>
        <w:rPr>
          <w:rFonts w:ascii="Times New Roman" w:eastAsia="Calibri" w:hAnsi="Times New Roman"/>
          <w:noProof/>
          <w:sz w:val="24"/>
          <w:lang w:eastAsia="en-GB"/>
        </w:rPr>
        <w:t>Generally speaking, the preferred option does not include provisions implying any significant costs deriving from administrative burden. A provision including specific security and a reporting obligation, i.e. the data brea</w:t>
      </w:r>
      <w:r>
        <w:rPr>
          <w:rFonts w:ascii="Times New Roman" w:eastAsia="Calibri" w:hAnsi="Times New Roman"/>
          <w:noProof/>
          <w:sz w:val="24"/>
          <w:lang w:eastAsia="en-GB"/>
        </w:rPr>
        <w:t>ch notification obligation, would be removed. Moreover, the introduction of software enabled general privacy settings as a way to provide consent and the expansion of the exceptions to the cookie-consent rule would allow savings for all SMEs running a webs</w:t>
      </w:r>
      <w:r>
        <w:rPr>
          <w:rFonts w:ascii="Times New Roman" w:eastAsia="Calibri" w:hAnsi="Times New Roman"/>
          <w:noProof/>
          <w:sz w:val="24"/>
          <w:lang w:eastAsia="en-GB"/>
        </w:rPr>
        <w:t>ite. With regard to setting of administrative fines, the new instrument will take into account the economic size of the undertaking (worldwide consolidated turnover) as an element for setting the maximum value of an administrative fine. The new ePrivacy le</w:t>
      </w:r>
      <w:r>
        <w:rPr>
          <w:rFonts w:ascii="Times New Roman" w:eastAsia="Calibri" w:hAnsi="Times New Roman"/>
          <w:noProof/>
          <w:sz w:val="24"/>
          <w:lang w:eastAsia="en-GB"/>
        </w:rPr>
        <w:t>gal instrument will further encourage (in a recital) Member States and their supervisory authorities, to take account of the specific needs of micro, small and medium-sized enterprises in the application of this Regulation.</w:t>
      </w:r>
    </w:p>
    <w:p w:rsidR="0077224F" w:rsidRDefault="0077224F">
      <w:pPr>
        <w:spacing w:before="0" w:after="240"/>
        <w:rPr>
          <w:rFonts w:ascii="Times New Roman" w:eastAsia="Times New Roman" w:hAnsi="Times New Roman"/>
          <w:noProof/>
          <w:sz w:val="24"/>
          <w:szCs w:val="20"/>
        </w:rPr>
      </w:pPr>
    </w:p>
    <w:p w:rsidR="0077224F" w:rsidRDefault="00D973EE">
      <w:pPr>
        <w:spacing w:before="0"/>
        <w:rPr>
          <w:rFonts w:ascii="Times New Roman" w:eastAsia="Times New Roman" w:hAnsi="Times New Roman"/>
          <w:b/>
          <w:noProof/>
          <w:sz w:val="24"/>
          <w:shd w:val="clear" w:color="auto" w:fill="FFFFFF"/>
        </w:rPr>
      </w:pPr>
      <w:r>
        <w:rPr>
          <w:rFonts w:ascii="Times New Roman" w:eastAsia="Times New Roman" w:hAnsi="Times New Roman"/>
          <w:b/>
          <w:noProof/>
          <w:sz w:val="24"/>
          <w:shd w:val="clear" w:color="auto" w:fill="FFFFFF"/>
        </w:rPr>
        <w:t>3. Impact on international trad</w:t>
      </w:r>
      <w:r>
        <w:rPr>
          <w:rFonts w:ascii="Times New Roman" w:eastAsia="Times New Roman" w:hAnsi="Times New Roman"/>
          <w:b/>
          <w:noProof/>
          <w:sz w:val="24"/>
          <w:shd w:val="clear" w:color="auto" w:fill="FFFFFF"/>
        </w:rPr>
        <w:t>e</w:t>
      </w:r>
    </w:p>
    <w:p w:rsidR="0077224F" w:rsidRDefault="00D973EE">
      <w:pPr>
        <w:spacing w:before="0"/>
        <w:rPr>
          <w:rFonts w:ascii="Times New Roman" w:eastAsia="Times New Roman" w:hAnsi="Times New Roman"/>
          <w:noProof/>
          <w:sz w:val="24"/>
        </w:rPr>
      </w:pPr>
      <w:r>
        <w:rPr>
          <w:rFonts w:ascii="Times New Roman" w:eastAsia="Times New Roman" w:hAnsi="Times New Roman"/>
          <w:noProof/>
          <w:sz w:val="24"/>
        </w:rPr>
        <w:t xml:space="preserve">While the IA certainly does not constitute a legal assessment of the WTO compliance of regulatory measures, it is important to take account of the broad legal obligations associated with trading regimes in the formulation of policy options. </w:t>
      </w:r>
      <w:r>
        <w:rPr>
          <w:rFonts w:ascii="Times New Roman" w:eastAsia="Times New Roman" w:hAnsi="Times New Roman"/>
          <w:b/>
          <w:noProof/>
          <w:sz w:val="24"/>
        </w:rPr>
        <w:t>Option 3</w:t>
      </w:r>
      <w:r>
        <w:rPr>
          <w:rFonts w:ascii="Times New Roman" w:eastAsia="Times New Roman" w:hAnsi="Times New Roman"/>
          <w:noProof/>
          <w:sz w:val="24"/>
        </w:rPr>
        <w:t xml:space="preserve"> extends the scope of the ePD and, in particular of confidentiality rules, to OTTs, i.e. online services. These services are more or less frequently totally financed by means of OBA, rather than direct payments, as they are normally provided free of charge</w:t>
      </w:r>
      <w:r>
        <w:rPr>
          <w:rFonts w:ascii="Times New Roman" w:eastAsia="Times New Roman" w:hAnsi="Times New Roman"/>
          <w:noProof/>
          <w:sz w:val="24"/>
        </w:rPr>
        <w:t xml:space="preserve">. In this respect, the extension of the confidentiality and other ePD rules to these services may be considered as a barrier to trade. </w:t>
      </w:r>
    </w:p>
    <w:p w:rsidR="0077224F" w:rsidRDefault="00D973EE">
      <w:pPr>
        <w:spacing w:before="0" w:after="240"/>
        <w:rPr>
          <w:rFonts w:ascii="Times New Roman" w:eastAsia="Times New Roman" w:hAnsi="Times New Roman"/>
          <w:noProof/>
          <w:sz w:val="24"/>
        </w:rPr>
      </w:pPr>
      <w:r>
        <w:rPr>
          <w:rFonts w:ascii="Times New Roman" w:eastAsia="Times New Roman" w:hAnsi="Times New Roman"/>
          <w:noProof/>
          <w:sz w:val="24"/>
        </w:rPr>
        <w:t>However, this measure is considered to be a justified and proportionate measure to ensure the effective protection of fu</w:t>
      </w:r>
      <w:r>
        <w:rPr>
          <w:rFonts w:ascii="Times New Roman" w:eastAsia="Times New Roman" w:hAnsi="Times New Roman"/>
          <w:noProof/>
          <w:sz w:val="24"/>
        </w:rPr>
        <w:t xml:space="preserve">ndamental right to privacy and data protection. In light of the particular sensitivity of the data relating to electronic communications, browser setting are considered as a necessary tool to make sure that users retain effective control over the tracking </w:t>
      </w:r>
      <w:r>
        <w:rPr>
          <w:rFonts w:ascii="Times New Roman" w:eastAsia="Times New Roman" w:hAnsi="Times New Roman"/>
          <w:noProof/>
          <w:sz w:val="24"/>
        </w:rPr>
        <w:t>of their communications and thus to ensure compliance with the protection of the privacy of individuals in relation to the processing and dissemination of personal data. In the online world, users are increasingly overloaded with notices and requests for c</w:t>
      </w:r>
      <w:r>
        <w:rPr>
          <w:rFonts w:ascii="Times New Roman" w:eastAsia="Times New Roman" w:hAnsi="Times New Roman"/>
          <w:noProof/>
          <w:sz w:val="24"/>
        </w:rPr>
        <w:t>onsent. Given people's limited time and the increasing complexity of online interactions, users are less and less capable of coping with the growing amount of notices and requests. A centralised system governing by means of mandatory general settings the u</w:t>
      </w:r>
      <w:r>
        <w:rPr>
          <w:rFonts w:ascii="Times New Roman" w:eastAsia="Times New Roman" w:hAnsi="Times New Roman"/>
          <w:noProof/>
          <w:sz w:val="24"/>
        </w:rPr>
        <w:t xml:space="preserve">sers' privacy choices with regard to all third party interactions with their terminal equipment would greatly simply and make more effective the level of protection. </w:t>
      </w:r>
    </w:p>
    <w:p w:rsidR="0077224F" w:rsidRDefault="00D973EE">
      <w:pPr>
        <w:spacing w:before="0" w:after="240"/>
        <w:rPr>
          <w:rFonts w:ascii="Times New Roman" w:eastAsia="Times New Roman" w:hAnsi="Times New Roman"/>
          <w:noProof/>
          <w:sz w:val="24"/>
        </w:rPr>
      </w:pPr>
      <w:r>
        <w:rPr>
          <w:rFonts w:ascii="Times New Roman" w:eastAsia="Times New Roman" w:hAnsi="Times New Roman"/>
          <w:noProof/>
          <w:sz w:val="24"/>
        </w:rPr>
        <w:t>In particular, this system would have the following main advantages:</w:t>
      </w:r>
    </w:p>
    <w:p w:rsidR="0077224F" w:rsidRDefault="00D973EE">
      <w:pPr>
        <w:numPr>
          <w:ilvl w:val="0"/>
          <w:numId w:val="116"/>
        </w:numPr>
        <w:spacing w:before="0" w:after="240"/>
        <w:rPr>
          <w:rFonts w:ascii="Times New Roman" w:eastAsia="Times New Roman" w:hAnsi="Times New Roman"/>
          <w:noProof/>
          <w:sz w:val="24"/>
        </w:rPr>
      </w:pPr>
      <w:r>
        <w:rPr>
          <w:rFonts w:ascii="Times New Roman" w:eastAsia="Times New Roman" w:hAnsi="Times New Roman"/>
          <w:noProof/>
          <w:sz w:val="24"/>
        </w:rPr>
        <w:t xml:space="preserve">Users would be able </w:t>
      </w:r>
      <w:r>
        <w:rPr>
          <w:rFonts w:ascii="Times New Roman" w:eastAsia="Times New Roman" w:hAnsi="Times New Roman"/>
          <w:noProof/>
          <w:sz w:val="24"/>
        </w:rPr>
        <w:t>to set (and adjust) their privacy preferences only once, in a way that is valid and binding for all websites or services they interact with;</w:t>
      </w:r>
    </w:p>
    <w:p w:rsidR="0077224F" w:rsidRDefault="00D973EE">
      <w:pPr>
        <w:numPr>
          <w:ilvl w:val="0"/>
          <w:numId w:val="116"/>
        </w:numPr>
        <w:spacing w:before="0" w:after="240"/>
        <w:rPr>
          <w:rFonts w:ascii="Times New Roman" w:eastAsia="Times New Roman" w:hAnsi="Times New Roman"/>
          <w:noProof/>
          <w:sz w:val="24"/>
        </w:rPr>
      </w:pPr>
      <w:r>
        <w:rPr>
          <w:rFonts w:ascii="Times New Roman" w:eastAsia="Times New Roman" w:hAnsi="Times New Roman"/>
          <w:noProof/>
          <w:sz w:val="24"/>
        </w:rPr>
        <w:t>Users would not be overwhelmed with banners and requests for consent every time they visit a website;</w:t>
      </w:r>
    </w:p>
    <w:p w:rsidR="0077224F" w:rsidRDefault="00D973EE">
      <w:pPr>
        <w:numPr>
          <w:ilvl w:val="0"/>
          <w:numId w:val="116"/>
        </w:numPr>
        <w:spacing w:before="0" w:after="240"/>
        <w:rPr>
          <w:rFonts w:ascii="Times New Roman" w:eastAsia="Times New Roman" w:hAnsi="Times New Roman"/>
          <w:noProof/>
          <w:sz w:val="24"/>
        </w:rPr>
      </w:pPr>
      <w:r>
        <w:rPr>
          <w:rFonts w:ascii="Times New Roman" w:eastAsia="Times New Roman" w:hAnsi="Times New Roman"/>
          <w:noProof/>
          <w:sz w:val="24"/>
        </w:rPr>
        <w:t>If a user opt</w:t>
      </w:r>
      <w:r>
        <w:rPr>
          <w:rFonts w:ascii="Times New Roman" w:eastAsia="Times New Roman" w:hAnsi="Times New Roman"/>
          <w:noProof/>
          <w:sz w:val="24"/>
        </w:rPr>
        <w:t>s for strong privacy settings (e.g. do-not-track or “reject third party cookies”), tracking websites may still send individual requests to users (possibly through the browser) asking to be authorised to place cookies as a condition to access the website or</w:t>
      </w:r>
      <w:r>
        <w:rPr>
          <w:rFonts w:ascii="Times New Roman" w:eastAsia="Times New Roman" w:hAnsi="Times New Roman"/>
          <w:noProof/>
          <w:sz w:val="24"/>
        </w:rPr>
        <w:t xml:space="preserve"> the service. As these individual requests will be less frequent that it is the case today, users would be prompted to pay attention and make a conscious choice about whether or not they want to consent.</w:t>
      </w:r>
    </w:p>
    <w:p w:rsidR="0077224F" w:rsidRDefault="00D973EE">
      <w:pPr>
        <w:numPr>
          <w:ilvl w:val="0"/>
          <w:numId w:val="116"/>
        </w:numPr>
        <w:spacing w:before="0" w:after="240"/>
        <w:rPr>
          <w:rFonts w:ascii="Times New Roman" w:eastAsia="Times New Roman" w:hAnsi="Times New Roman"/>
          <w:b/>
          <w:noProof/>
          <w:sz w:val="24"/>
        </w:rPr>
      </w:pPr>
      <w:r>
        <w:rPr>
          <w:rFonts w:ascii="Times New Roman" w:eastAsia="Times New Roman" w:hAnsi="Times New Roman"/>
          <w:noProof/>
          <w:sz w:val="24"/>
        </w:rPr>
        <w:t>Significant savings in terms of compliance costs may</w:t>
      </w:r>
      <w:r>
        <w:rPr>
          <w:rFonts w:ascii="Times New Roman" w:eastAsia="Times New Roman" w:hAnsi="Times New Roman"/>
          <w:noProof/>
          <w:sz w:val="24"/>
        </w:rPr>
        <w:t xml:space="preserve"> be envisaged per individual websites, given that the dialogue with the user, today performed by the websites, would be guaranteed centrally by general applications like banners.</w:t>
      </w:r>
    </w:p>
    <w:p w:rsidR="0077224F" w:rsidRDefault="00D973EE">
      <w:pPr>
        <w:numPr>
          <w:ilvl w:val="0"/>
          <w:numId w:val="116"/>
        </w:numPr>
        <w:spacing w:before="0" w:after="240"/>
        <w:rPr>
          <w:rFonts w:ascii="Times New Roman" w:eastAsia="Times New Roman" w:hAnsi="Times New Roman"/>
          <w:noProof/>
          <w:sz w:val="24"/>
        </w:rPr>
      </w:pPr>
      <w:r>
        <w:rPr>
          <w:rFonts w:ascii="Times New Roman" w:eastAsia="Times New Roman" w:hAnsi="Times New Roman"/>
          <w:noProof/>
          <w:sz w:val="24"/>
        </w:rPr>
        <w:t>Moreover, it has to be considered that “reject third party cookies”/do-not-tr</w:t>
      </w:r>
      <w:r>
        <w:rPr>
          <w:rFonts w:ascii="Times New Roman" w:eastAsia="Times New Roman" w:hAnsi="Times New Roman"/>
          <w:noProof/>
          <w:sz w:val="24"/>
        </w:rPr>
        <w:t>ack software already exist in the market and are widely used. The main difference and added value of the present measures is (a) to clarify that these settings, as long as they correspond to certain conditions, can be considered as a valid and legally bind</w:t>
      </w:r>
      <w:r>
        <w:rPr>
          <w:rFonts w:ascii="Times New Roman" w:eastAsia="Times New Roman" w:hAnsi="Times New Roman"/>
          <w:noProof/>
          <w:sz w:val="24"/>
        </w:rPr>
        <w:t>ing form of consent; (b) to ensure that these settings are made available by default in terminal equipment, by prompting users to regulate such settings at the first utilisation of the device to set their privacy preferences.</w:t>
      </w:r>
    </w:p>
    <w:p w:rsidR="0077224F" w:rsidRDefault="00D973EE">
      <w:pPr>
        <w:spacing w:before="0" w:after="240"/>
        <w:rPr>
          <w:rFonts w:ascii="Times New Roman" w:eastAsia="Times New Roman" w:hAnsi="Times New Roman"/>
          <w:noProof/>
          <w:sz w:val="24"/>
          <w:szCs w:val="20"/>
        </w:rPr>
      </w:pPr>
      <w:r>
        <w:rPr>
          <w:rFonts w:ascii="Times New Roman" w:eastAsia="Times New Roman" w:hAnsi="Times New Roman"/>
          <w:noProof/>
          <w:sz w:val="24"/>
        </w:rPr>
        <w:t>In light of the above, it is c</w:t>
      </w:r>
      <w:r>
        <w:rPr>
          <w:rFonts w:ascii="Times New Roman" w:eastAsia="Times New Roman" w:hAnsi="Times New Roman"/>
          <w:noProof/>
          <w:sz w:val="24"/>
        </w:rPr>
        <w:t>onsidered that the measure in question is indeed necessary and proportionate to achieve the underlying objective of ensuring effective protection of privacy and confidentiality of terminal equipment.</w:t>
      </w:r>
    </w:p>
    <w:p w:rsidR="0077224F" w:rsidRDefault="0077224F">
      <w:pPr>
        <w:spacing w:before="0" w:after="240"/>
        <w:rPr>
          <w:rFonts w:ascii="Times New Roman" w:eastAsia="Times New Roman" w:hAnsi="Times New Roman"/>
          <w:noProof/>
          <w:sz w:val="24"/>
          <w:szCs w:val="20"/>
        </w:rPr>
        <w:sectPr w:rsidR="0077224F">
          <w:headerReference w:type="even" r:id="rId85"/>
          <w:headerReference w:type="default" r:id="rId86"/>
          <w:footerReference w:type="even" r:id="rId87"/>
          <w:footerReference w:type="default" r:id="rId88"/>
          <w:headerReference w:type="first" r:id="rId89"/>
          <w:footerReference w:type="first" r:id="rId90"/>
          <w:pgSz w:w="11906" w:h="16838"/>
          <w:pgMar w:top="1020" w:right="1701" w:bottom="1020" w:left="1587" w:header="709" w:footer="709" w:gutter="0"/>
          <w:pgNumType w:start="94"/>
          <w:cols w:space="720"/>
          <w:titlePg/>
          <w:docGrid w:linePitch="326"/>
        </w:sectPr>
      </w:pPr>
    </w:p>
    <w:p w:rsidR="0077224F" w:rsidRDefault="00D973EE">
      <w:pPr>
        <w:rPr>
          <w:rFonts w:ascii="Times New Roman" w:eastAsia="Times New Roman" w:hAnsi="Times New Roman"/>
          <w:b/>
          <w:noProof/>
          <w:sz w:val="24"/>
          <w:szCs w:val="20"/>
        </w:rPr>
      </w:pPr>
      <w:r>
        <w:rPr>
          <w:rFonts w:ascii="Times New Roman" w:eastAsia="Times New Roman" w:hAnsi="Times New Roman"/>
          <w:b/>
          <w:noProof/>
          <w:sz w:val="24"/>
          <w:szCs w:val="20"/>
        </w:rPr>
        <w:t>Summary stakeholder impacts</w:t>
      </w:r>
      <w:bookmarkEnd w:id="1141"/>
      <w:bookmarkEnd w:id="1142"/>
      <w:r>
        <w:rPr>
          <w:rFonts w:ascii="Times New Roman" w:eastAsia="Times New Roman" w:hAnsi="Times New Roman"/>
          <w:b/>
          <w:noProof/>
          <w:sz w:val="24"/>
          <w:szCs w:val="20"/>
        </w:rPr>
        <w:t xml:space="preserve"> </w:t>
      </w:r>
      <w:bookmarkEnd w:id="1143"/>
      <w:bookmarkEnd w:id="1144"/>
      <w:bookmarkEnd w:id="1145"/>
    </w:p>
    <w:tbl>
      <w:tblPr>
        <w:tblStyle w:val="GridTable4-Accent11"/>
        <w:tblW w:w="14454" w:type="dxa"/>
        <w:tblLook w:val="06A0" w:firstRow="1" w:lastRow="0" w:firstColumn="1" w:lastColumn="0" w:noHBand="1" w:noVBand="1"/>
      </w:tblPr>
      <w:tblGrid>
        <w:gridCol w:w="2689"/>
        <w:gridCol w:w="6378"/>
        <w:gridCol w:w="5387"/>
      </w:tblGrid>
      <w:tr w:rsidR="0077224F" w:rsidTr="007722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7224F" w:rsidRDefault="0077224F">
            <w:pPr>
              <w:spacing w:before="0" w:after="240" w:line="312" w:lineRule="atLeast"/>
              <w:rPr>
                <w:rFonts w:ascii="Arial" w:eastAsia="Times New Roman" w:hAnsi="Arial"/>
                <w:noProof/>
                <w:szCs w:val="18"/>
                <w:lang w:eastAsia="de-DE"/>
              </w:rPr>
            </w:pPr>
          </w:p>
        </w:tc>
        <w:tc>
          <w:tcPr>
            <w:tcW w:w="6378" w:type="dxa"/>
            <w:hideMark/>
          </w:tcPr>
          <w:p w:rsidR="0077224F" w:rsidRDefault="00D973EE">
            <w:pPr>
              <w:spacing w:before="0" w:after="240" w:line="312" w:lineRule="atLeast"/>
              <w:cnfStyle w:val="100000000000" w:firstRow="1" w:lastRow="0" w:firstColumn="0" w:lastColumn="0" w:oddVBand="0" w:evenVBand="0" w:oddHBand="0" w:evenHBand="0" w:firstRowFirstColumn="0" w:firstRowLastColumn="0" w:lastRowFirstColumn="0" w:lastRowLastColumn="0"/>
              <w:rPr>
                <w:rFonts w:ascii="Arial" w:eastAsia="Times New Roman" w:hAnsi="Arial"/>
                <w:noProof/>
                <w:szCs w:val="18"/>
                <w:lang w:eastAsia="de-DE"/>
              </w:rPr>
            </w:pPr>
            <w:r>
              <w:rPr>
                <w:rFonts w:ascii="Calibri" w:hAnsi="Calibri"/>
                <w:noProof/>
                <w:szCs w:val="18"/>
              </w:rPr>
              <w:t>Opportunities</w:t>
            </w:r>
          </w:p>
        </w:tc>
        <w:tc>
          <w:tcPr>
            <w:tcW w:w="5387" w:type="dxa"/>
            <w:hideMark/>
          </w:tcPr>
          <w:p w:rsidR="0077224F" w:rsidRDefault="00D973EE">
            <w:pPr>
              <w:spacing w:before="0" w:after="240" w:line="312" w:lineRule="atLeast"/>
              <w:cnfStyle w:val="100000000000" w:firstRow="1" w:lastRow="0" w:firstColumn="0" w:lastColumn="0" w:oddVBand="0" w:evenVBand="0" w:oddHBand="0" w:evenHBand="0" w:firstRowFirstColumn="0" w:firstRowLastColumn="0" w:lastRowFirstColumn="0" w:lastRowLastColumn="0"/>
              <w:rPr>
                <w:rFonts w:ascii="Arial" w:eastAsia="Times New Roman" w:hAnsi="Arial"/>
                <w:noProof/>
                <w:szCs w:val="18"/>
                <w:lang w:eastAsia="de-DE"/>
              </w:rPr>
            </w:pPr>
            <w:r>
              <w:rPr>
                <w:rFonts w:ascii="Calibri" w:hAnsi="Calibri"/>
                <w:noProof/>
                <w:szCs w:val="18"/>
              </w:rPr>
              <w:t>Challenges</w:t>
            </w:r>
          </w:p>
        </w:tc>
      </w:tr>
      <w:tr w:rsidR="0077224F" w:rsidTr="0077224F">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left w:val="single" w:sz="4" w:space="0" w:color="95B3D7"/>
              <w:bottom w:val="single" w:sz="4" w:space="0" w:color="95B3D7"/>
              <w:right w:val="single" w:sz="4" w:space="0" w:color="95B3D7"/>
            </w:tcBorders>
            <w:hideMark/>
          </w:tcPr>
          <w:p w:rsidR="0077224F" w:rsidRDefault="00D973EE">
            <w:pPr>
              <w:spacing w:before="0" w:after="240" w:line="312" w:lineRule="atLeast"/>
              <w:jc w:val="left"/>
              <w:rPr>
                <w:rFonts w:ascii="Arial" w:eastAsia="Times New Roman" w:hAnsi="Arial"/>
                <w:noProof/>
                <w:szCs w:val="18"/>
                <w:lang w:eastAsia="de-DE"/>
              </w:rPr>
            </w:pPr>
            <w:r>
              <w:rPr>
                <w:rFonts w:ascii="Calibri" w:hAnsi="Calibri"/>
                <w:noProof/>
                <w:szCs w:val="18"/>
              </w:rPr>
              <w:t>Citizens (both physical and legal persons)</w:t>
            </w:r>
          </w:p>
        </w:tc>
        <w:tc>
          <w:tcPr>
            <w:tcW w:w="6378" w:type="dxa"/>
            <w:tcBorders>
              <w:top w:val="single" w:sz="4" w:space="0" w:color="95B3D7"/>
              <w:left w:val="single" w:sz="4" w:space="0" w:color="95B3D7"/>
              <w:bottom w:val="single" w:sz="4" w:space="0" w:color="95B3D7"/>
              <w:right w:val="single" w:sz="4" w:space="0" w:color="95B3D7"/>
            </w:tcBorders>
            <w:hideMark/>
          </w:tcPr>
          <w:p w:rsidR="0077224F" w:rsidRDefault="00D973EE">
            <w:pPr>
              <w:numPr>
                <w:ilvl w:val="0"/>
                <w:numId w:val="73"/>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noProof/>
                <w:szCs w:val="18"/>
                <w:lang w:eastAsia="de-DE"/>
              </w:rPr>
            </w:pPr>
            <w:r>
              <w:rPr>
                <w:rFonts w:ascii="Calibri" w:hAnsi="Calibri"/>
                <w:noProof/>
                <w:szCs w:val="18"/>
              </w:rPr>
              <w:t>Comprehensive protection of confidentiality, irrespective of technology</w:t>
            </w:r>
          </w:p>
          <w:p w:rsidR="0077224F" w:rsidRDefault="00D973EE">
            <w:pPr>
              <w:numPr>
                <w:ilvl w:val="0"/>
                <w:numId w:val="73"/>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noProof/>
                <w:szCs w:val="18"/>
                <w:lang w:eastAsia="de-DE"/>
              </w:rPr>
            </w:pPr>
            <w:r>
              <w:rPr>
                <w:rFonts w:ascii="Calibri" w:hAnsi="Calibri"/>
                <w:noProof/>
                <w:szCs w:val="18"/>
              </w:rPr>
              <w:t>Clearer and more consistent rules,</w:t>
            </w:r>
            <w:r>
              <w:rPr>
                <w:rFonts w:ascii="Calibri" w:hAnsi="Calibri"/>
                <w:noProof/>
                <w:szCs w:val="18"/>
              </w:rPr>
              <w:t xml:space="preserve"> filling existing gaps and clarifying relationship with related legislation (e.g., GDPR)</w:t>
            </w:r>
          </w:p>
          <w:p w:rsidR="0077224F" w:rsidRDefault="00D973EE">
            <w:pPr>
              <w:numPr>
                <w:ilvl w:val="0"/>
                <w:numId w:val="73"/>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noProof/>
                <w:szCs w:val="18"/>
                <w:lang w:eastAsia="de-DE"/>
              </w:rPr>
            </w:pPr>
            <w:r>
              <w:rPr>
                <w:rFonts w:ascii="Calibri" w:hAnsi="Calibri"/>
                <w:noProof/>
                <w:szCs w:val="18"/>
              </w:rPr>
              <w:t xml:space="preserve">More consistent protection across the all EU </w:t>
            </w:r>
          </w:p>
          <w:p w:rsidR="0077224F" w:rsidRDefault="00D973EE">
            <w:pPr>
              <w:numPr>
                <w:ilvl w:val="0"/>
                <w:numId w:val="73"/>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noProof/>
                <w:szCs w:val="18"/>
                <w:lang w:eastAsia="de-DE"/>
              </w:rPr>
            </w:pPr>
            <w:r>
              <w:rPr>
                <w:rFonts w:ascii="Calibri" w:hAnsi="Calibri"/>
                <w:noProof/>
                <w:szCs w:val="18"/>
              </w:rPr>
              <w:t>Greater and better control of their choices thorugh privacy settings</w:t>
            </w:r>
          </w:p>
          <w:p w:rsidR="0077224F" w:rsidRDefault="00D973EE">
            <w:pPr>
              <w:numPr>
                <w:ilvl w:val="0"/>
                <w:numId w:val="73"/>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noProof/>
                <w:szCs w:val="18"/>
                <w:lang w:eastAsia="de-DE"/>
              </w:rPr>
            </w:pPr>
            <w:r>
              <w:rPr>
                <w:rFonts w:ascii="Calibri" w:hAnsi="Calibri"/>
                <w:noProof/>
                <w:szCs w:val="18"/>
              </w:rPr>
              <w:t>Enhanced transparency (publicly available Wi-Fi)</w:t>
            </w:r>
          </w:p>
          <w:p w:rsidR="0077224F" w:rsidRDefault="00D973EE">
            <w:pPr>
              <w:numPr>
                <w:ilvl w:val="0"/>
                <w:numId w:val="73"/>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hAnsi="Calibri"/>
                <w:noProof/>
                <w:szCs w:val="18"/>
              </w:rPr>
            </w:pPr>
            <w:r>
              <w:rPr>
                <w:rFonts w:ascii="Calibri" w:hAnsi="Calibri"/>
                <w:noProof/>
                <w:szCs w:val="18"/>
              </w:rPr>
              <w:t>Reduction of cookie consent fatigue</w:t>
            </w:r>
          </w:p>
          <w:p w:rsidR="0077224F" w:rsidRDefault="00D973EE">
            <w:pPr>
              <w:numPr>
                <w:ilvl w:val="0"/>
                <w:numId w:val="73"/>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hAnsi="Calibri"/>
                <w:noProof/>
                <w:szCs w:val="18"/>
              </w:rPr>
            </w:pPr>
            <w:r>
              <w:rPr>
                <w:rFonts w:ascii="Calibri" w:hAnsi="Calibri"/>
                <w:noProof/>
                <w:szCs w:val="18"/>
              </w:rPr>
              <w:t>Greater transparency of phone calls for marketing purposes</w:t>
            </w:r>
          </w:p>
          <w:p w:rsidR="0077224F" w:rsidRDefault="00D973EE">
            <w:pPr>
              <w:numPr>
                <w:ilvl w:val="0"/>
                <w:numId w:val="73"/>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hAnsi="Calibri"/>
                <w:noProof/>
                <w:szCs w:val="18"/>
              </w:rPr>
            </w:pPr>
            <w:r>
              <w:rPr>
                <w:rFonts w:ascii="Calibri" w:hAnsi="Calibri"/>
                <w:noProof/>
                <w:szCs w:val="18"/>
              </w:rPr>
              <w:t xml:space="preserve">More consistent and effective enforcement </w:t>
            </w:r>
          </w:p>
        </w:tc>
        <w:tc>
          <w:tcPr>
            <w:tcW w:w="5387" w:type="dxa"/>
            <w:tcBorders>
              <w:top w:val="single" w:sz="4" w:space="0" w:color="95B3D7"/>
              <w:left w:val="single" w:sz="4" w:space="0" w:color="95B3D7"/>
              <w:bottom w:val="single" w:sz="4" w:space="0" w:color="95B3D7"/>
              <w:right w:val="single" w:sz="4" w:space="0" w:color="95B3D7"/>
            </w:tcBorders>
            <w:hideMark/>
          </w:tcPr>
          <w:p w:rsidR="0077224F" w:rsidRDefault="00D973EE">
            <w:pPr>
              <w:numPr>
                <w:ilvl w:val="0"/>
                <w:numId w:val="74"/>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noProof/>
                <w:szCs w:val="18"/>
                <w:lang w:eastAsia="de-DE"/>
              </w:rPr>
            </w:pPr>
            <w:r>
              <w:rPr>
                <w:rFonts w:ascii="Calibri" w:hAnsi="Calibri"/>
                <w:noProof/>
                <w:szCs w:val="18"/>
              </w:rPr>
              <w:t>If cookies are blocked and privacy settings are set on "do-not-track", citizens may still be requested to give individ</w:t>
            </w:r>
            <w:r>
              <w:rPr>
                <w:rFonts w:ascii="Calibri" w:hAnsi="Calibri"/>
                <w:noProof/>
                <w:szCs w:val="18"/>
              </w:rPr>
              <w:t>ual consent to "tracking". Websites may require consent to cookies to access specific websites/online services</w:t>
            </w:r>
          </w:p>
        </w:tc>
      </w:tr>
      <w:tr w:rsidR="0077224F" w:rsidTr="0077224F">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left w:val="single" w:sz="4" w:space="0" w:color="95B3D7"/>
              <w:bottom w:val="single" w:sz="4" w:space="0" w:color="95B3D7"/>
              <w:right w:val="single" w:sz="4" w:space="0" w:color="95B3D7"/>
            </w:tcBorders>
            <w:hideMark/>
          </w:tcPr>
          <w:p w:rsidR="0077224F" w:rsidRDefault="00D973EE">
            <w:pPr>
              <w:spacing w:before="0" w:after="240" w:line="312" w:lineRule="atLeast"/>
              <w:jc w:val="left"/>
              <w:rPr>
                <w:rFonts w:ascii="Arial" w:eastAsia="Times New Roman" w:hAnsi="Arial"/>
                <w:noProof/>
                <w:szCs w:val="18"/>
                <w:lang w:eastAsia="de-DE"/>
              </w:rPr>
            </w:pPr>
            <w:r>
              <w:rPr>
                <w:rFonts w:ascii="Calibri" w:hAnsi="Calibri"/>
                <w:noProof/>
                <w:szCs w:val="18"/>
              </w:rPr>
              <w:t>Traditional fixed and mobile electronic communication services  operators (ECS)</w:t>
            </w:r>
          </w:p>
        </w:tc>
        <w:tc>
          <w:tcPr>
            <w:tcW w:w="6378" w:type="dxa"/>
            <w:tcBorders>
              <w:top w:val="single" w:sz="4" w:space="0" w:color="95B3D7"/>
              <w:left w:val="single" w:sz="4" w:space="0" w:color="95B3D7"/>
              <w:bottom w:val="single" w:sz="4" w:space="0" w:color="95B3D7"/>
              <w:right w:val="single" w:sz="4" w:space="0" w:color="95B3D7"/>
            </w:tcBorders>
            <w:hideMark/>
          </w:tcPr>
          <w:p w:rsidR="0077224F" w:rsidRDefault="00D973EE">
            <w:pPr>
              <w:numPr>
                <w:ilvl w:val="0"/>
                <w:numId w:val="75"/>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noProof/>
                <w:szCs w:val="18"/>
                <w:lang w:eastAsia="de-DE"/>
              </w:rPr>
            </w:pPr>
            <w:r>
              <w:rPr>
                <w:rFonts w:ascii="Calibri" w:hAnsi="Calibri"/>
                <w:noProof/>
                <w:szCs w:val="18"/>
              </w:rPr>
              <w:t>One directly applicable regulation across 28 MS</w:t>
            </w:r>
          </w:p>
          <w:p w:rsidR="0077224F" w:rsidRDefault="00D973EE">
            <w:pPr>
              <w:numPr>
                <w:ilvl w:val="0"/>
                <w:numId w:val="75"/>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noProof/>
                <w:szCs w:val="18"/>
                <w:lang w:eastAsia="de-DE"/>
              </w:rPr>
            </w:pPr>
            <w:r>
              <w:rPr>
                <w:rFonts w:ascii="Calibri" w:hAnsi="Calibri"/>
                <w:noProof/>
                <w:szCs w:val="18"/>
              </w:rPr>
              <w:t>Clearer and more</w:t>
            </w:r>
            <w:r>
              <w:rPr>
                <w:rFonts w:ascii="Calibri" w:hAnsi="Calibri"/>
                <w:noProof/>
                <w:szCs w:val="18"/>
              </w:rPr>
              <w:t xml:space="preserve"> consistent rules, filling existing gaps and clarifying relationship with related legislation (e.g., GDPR)</w:t>
            </w:r>
          </w:p>
          <w:p w:rsidR="0077224F" w:rsidRDefault="00D973EE">
            <w:pPr>
              <w:numPr>
                <w:ilvl w:val="0"/>
                <w:numId w:val="75"/>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noProof/>
                <w:szCs w:val="18"/>
                <w:lang w:eastAsia="de-DE"/>
              </w:rPr>
            </w:pPr>
            <w:r>
              <w:rPr>
                <w:rFonts w:ascii="Calibri" w:hAnsi="Calibri"/>
                <w:noProof/>
                <w:szCs w:val="18"/>
              </w:rPr>
              <w:t>Savings from one-stop shop and consistency mechanism</w:t>
            </w:r>
          </w:p>
          <w:p w:rsidR="0077224F" w:rsidRDefault="00D973EE">
            <w:pPr>
              <w:numPr>
                <w:ilvl w:val="0"/>
                <w:numId w:val="75"/>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noProof/>
                <w:szCs w:val="18"/>
                <w:lang w:eastAsia="de-DE"/>
              </w:rPr>
            </w:pPr>
            <w:r>
              <w:rPr>
                <w:rFonts w:ascii="Calibri" w:hAnsi="Calibri"/>
                <w:noProof/>
                <w:szCs w:val="18"/>
              </w:rPr>
              <w:t>Level playing field with competing providers offering functionally equivalent services (OTTs)</w:t>
            </w:r>
          </w:p>
          <w:p w:rsidR="0077224F" w:rsidRDefault="00D973EE">
            <w:pPr>
              <w:numPr>
                <w:ilvl w:val="0"/>
                <w:numId w:val="75"/>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hAnsi="Calibri"/>
                <w:noProof/>
                <w:szCs w:val="18"/>
              </w:rPr>
            </w:pPr>
            <w:r>
              <w:rPr>
                <w:rFonts w:ascii="Calibri" w:hAnsi="Calibri"/>
                <w:noProof/>
                <w:szCs w:val="18"/>
              </w:rPr>
              <w:t>Gr</w:t>
            </w:r>
            <w:r>
              <w:rPr>
                <w:rFonts w:ascii="Calibri" w:hAnsi="Calibri"/>
                <w:noProof/>
                <w:szCs w:val="18"/>
              </w:rPr>
              <w:t>eater opportunity to invest, with the user's consent, in the OBA market</w:t>
            </w:r>
          </w:p>
          <w:p w:rsidR="0077224F" w:rsidRDefault="00D973EE">
            <w:pPr>
              <w:numPr>
                <w:ilvl w:val="0"/>
                <w:numId w:val="75"/>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hAnsi="Calibri"/>
                <w:noProof/>
                <w:szCs w:val="18"/>
              </w:rPr>
            </w:pPr>
            <w:r>
              <w:rPr>
                <w:rFonts w:ascii="Calibri" w:hAnsi="Calibri"/>
                <w:noProof/>
                <w:szCs w:val="18"/>
              </w:rPr>
              <w:t>Removal of redundant or unnecessary obligations</w:t>
            </w:r>
          </w:p>
          <w:p w:rsidR="0077224F" w:rsidRDefault="00D973EE">
            <w:pPr>
              <w:numPr>
                <w:ilvl w:val="0"/>
                <w:numId w:val="75"/>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hAnsi="Calibri"/>
                <w:noProof/>
                <w:szCs w:val="18"/>
              </w:rPr>
            </w:pPr>
            <w:r>
              <w:rPr>
                <w:rFonts w:ascii="Calibri" w:hAnsi="Calibri"/>
                <w:noProof/>
                <w:szCs w:val="18"/>
              </w:rPr>
              <w:t xml:space="preserve">Savings from one-stop shop and consistency mechanism </w:t>
            </w:r>
          </w:p>
        </w:tc>
        <w:tc>
          <w:tcPr>
            <w:tcW w:w="5387" w:type="dxa"/>
            <w:tcBorders>
              <w:top w:val="single" w:sz="4" w:space="0" w:color="95B3D7"/>
              <w:left w:val="single" w:sz="4" w:space="0" w:color="95B3D7"/>
              <w:bottom w:val="single" w:sz="4" w:space="0" w:color="95B3D7"/>
              <w:right w:val="single" w:sz="4" w:space="0" w:color="95B3D7"/>
            </w:tcBorders>
            <w:hideMark/>
          </w:tcPr>
          <w:p w:rsidR="0077224F" w:rsidRDefault="00D973EE">
            <w:pPr>
              <w:numPr>
                <w:ilvl w:val="0"/>
                <w:numId w:val="76"/>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noProof/>
                <w:szCs w:val="18"/>
                <w:lang w:eastAsia="de-DE"/>
              </w:rPr>
            </w:pPr>
            <w:r>
              <w:rPr>
                <w:rFonts w:ascii="Calibri" w:hAnsi="Calibri"/>
                <w:noProof/>
                <w:szCs w:val="18"/>
              </w:rPr>
              <w:t>Higher fines in case of privacy breaches</w:t>
            </w:r>
          </w:p>
          <w:p w:rsidR="0077224F" w:rsidRDefault="00D973EE">
            <w:pPr>
              <w:numPr>
                <w:ilvl w:val="0"/>
                <w:numId w:val="76"/>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noProof/>
                <w:szCs w:val="18"/>
                <w:lang w:eastAsia="de-DE"/>
              </w:rPr>
            </w:pPr>
            <w:r>
              <w:rPr>
                <w:rFonts w:ascii="Calibri" w:hAnsi="Calibri"/>
                <w:noProof/>
                <w:szCs w:val="18"/>
              </w:rPr>
              <w:t>No removal of the ePrivacy rules</w:t>
            </w:r>
          </w:p>
        </w:tc>
      </w:tr>
      <w:tr w:rsidR="0077224F" w:rsidTr="0077224F">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left w:val="single" w:sz="4" w:space="0" w:color="95B3D7"/>
              <w:bottom w:val="single" w:sz="4" w:space="0" w:color="95B3D7"/>
              <w:right w:val="single" w:sz="4" w:space="0" w:color="95B3D7"/>
            </w:tcBorders>
            <w:hideMark/>
          </w:tcPr>
          <w:p w:rsidR="0077224F" w:rsidRDefault="00D973EE">
            <w:pPr>
              <w:spacing w:before="0" w:after="240" w:line="312" w:lineRule="atLeast"/>
              <w:rPr>
                <w:rFonts w:ascii="Arial" w:eastAsia="Times New Roman" w:hAnsi="Arial"/>
                <w:noProof/>
                <w:szCs w:val="18"/>
                <w:lang w:eastAsia="de-DE"/>
              </w:rPr>
            </w:pPr>
            <w:r>
              <w:rPr>
                <w:rFonts w:ascii="Calibri" w:hAnsi="Calibri"/>
                <w:noProof/>
                <w:szCs w:val="18"/>
              </w:rPr>
              <w:t xml:space="preserve">Over-the-top (OTTs), IoT and publicly available private Wi-Fi providers </w:t>
            </w:r>
          </w:p>
        </w:tc>
        <w:tc>
          <w:tcPr>
            <w:tcW w:w="6378" w:type="dxa"/>
            <w:tcBorders>
              <w:top w:val="single" w:sz="4" w:space="0" w:color="95B3D7"/>
              <w:left w:val="single" w:sz="4" w:space="0" w:color="95B3D7"/>
              <w:bottom w:val="single" w:sz="4" w:space="0" w:color="95B3D7"/>
              <w:right w:val="single" w:sz="4" w:space="0" w:color="95B3D7"/>
            </w:tcBorders>
            <w:hideMark/>
          </w:tcPr>
          <w:p w:rsidR="0077224F" w:rsidRDefault="00D973EE">
            <w:pPr>
              <w:numPr>
                <w:ilvl w:val="0"/>
                <w:numId w:val="75"/>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noProof/>
                <w:szCs w:val="18"/>
                <w:lang w:eastAsia="de-DE"/>
              </w:rPr>
            </w:pPr>
            <w:r>
              <w:rPr>
                <w:rFonts w:ascii="Calibri" w:hAnsi="Calibri"/>
                <w:noProof/>
                <w:szCs w:val="18"/>
              </w:rPr>
              <w:t>One directly applicable regulation across 28 MS</w:t>
            </w:r>
          </w:p>
          <w:p w:rsidR="0077224F" w:rsidRDefault="00D973EE">
            <w:pPr>
              <w:numPr>
                <w:ilvl w:val="0"/>
                <w:numId w:val="75"/>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noProof/>
                <w:szCs w:val="18"/>
                <w:lang w:eastAsia="de-DE"/>
              </w:rPr>
            </w:pPr>
            <w:r>
              <w:rPr>
                <w:rFonts w:ascii="Calibri" w:hAnsi="Calibri"/>
                <w:noProof/>
                <w:szCs w:val="18"/>
              </w:rPr>
              <w:t>Clearer and more consistent rules, filling existing gaps and clarifying relationship with related legislation (e.g., GDPR)</w:t>
            </w:r>
          </w:p>
          <w:p w:rsidR="0077224F" w:rsidRDefault="00D973EE">
            <w:pPr>
              <w:numPr>
                <w:ilvl w:val="0"/>
                <w:numId w:val="75"/>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hAnsi="Calibri"/>
                <w:noProof/>
                <w:szCs w:val="18"/>
                <w:lang w:eastAsia="de-DE"/>
              </w:rPr>
            </w:pPr>
            <w:r>
              <w:rPr>
                <w:rFonts w:ascii="Calibri" w:hAnsi="Calibri"/>
                <w:noProof/>
                <w:szCs w:val="18"/>
              </w:rPr>
              <w:t xml:space="preserve">Opportunity </w:t>
            </w:r>
            <w:r>
              <w:rPr>
                <w:rFonts w:ascii="Calibri" w:hAnsi="Calibri"/>
                <w:noProof/>
                <w:szCs w:val="18"/>
              </w:rPr>
              <w:t>to differentiate their offers on the basis of privacy features</w:t>
            </w:r>
          </w:p>
        </w:tc>
        <w:tc>
          <w:tcPr>
            <w:tcW w:w="5387" w:type="dxa"/>
            <w:tcBorders>
              <w:top w:val="single" w:sz="4" w:space="0" w:color="95B3D7"/>
              <w:left w:val="single" w:sz="4" w:space="0" w:color="95B3D7"/>
              <w:bottom w:val="single" w:sz="4" w:space="0" w:color="95B3D7"/>
              <w:right w:val="single" w:sz="4" w:space="0" w:color="95B3D7"/>
            </w:tcBorders>
            <w:hideMark/>
          </w:tcPr>
          <w:p w:rsidR="0077224F" w:rsidRDefault="00D973EE">
            <w:pPr>
              <w:numPr>
                <w:ilvl w:val="0"/>
                <w:numId w:val="77"/>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noProof/>
                <w:szCs w:val="18"/>
                <w:lang w:eastAsia="de-DE"/>
              </w:rPr>
            </w:pPr>
            <w:r>
              <w:rPr>
                <w:rFonts w:ascii="Calibri" w:hAnsi="Calibri"/>
                <w:noProof/>
                <w:szCs w:val="18"/>
              </w:rPr>
              <w:t>New requirements/obligations become applicable (compliance costs)</w:t>
            </w:r>
          </w:p>
          <w:p w:rsidR="0077224F" w:rsidRDefault="00D973EE">
            <w:pPr>
              <w:numPr>
                <w:ilvl w:val="0"/>
                <w:numId w:val="77"/>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noProof/>
                <w:szCs w:val="18"/>
                <w:lang w:eastAsia="de-DE"/>
              </w:rPr>
            </w:pPr>
            <w:r>
              <w:rPr>
                <w:rFonts w:ascii="Calibri" w:eastAsia="Times New Roman" w:hAnsi="Calibri"/>
                <w:noProof/>
                <w:szCs w:val="18"/>
                <w:lang w:eastAsia="de-DE"/>
              </w:rPr>
              <w:t>Potentially increased competition from ECSs in the OBA markets</w:t>
            </w:r>
          </w:p>
          <w:p w:rsidR="0077224F" w:rsidRDefault="00D973EE">
            <w:pPr>
              <w:numPr>
                <w:ilvl w:val="0"/>
                <w:numId w:val="77"/>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noProof/>
                <w:szCs w:val="18"/>
                <w:lang w:eastAsia="de-DE"/>
              </w:rPr>
            </w:pPr>
            <w:r>
              <w:rPr>
                <w:rFonts w:ascii="Calibri" w:eastAsia="Times New Roman" w:hAnsi="Calibri"/>
                <w:noProof/>
                <w:szCs w:val="18"/>
                <w:lang w:eastAsia="de-DE"/>
              </w:rPr>
              <w:t>Opportunity costs</w:t>
            </w:r>
          </w:p>
          <w:p w:rsidR="0077224F" w:rsidRDefault="0077224F">
            <w:pPr>
              <w:spacing w:before="0" w:after="240" w:line="312" w:lineRule="atLeast"/>
              <w:ind w:left="36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noProof/>
                <w:szCs w:val="18"/>
                <w:lang w:eastAsia="de-DE"/>
              </w:rPr>
            </w:pPr>
          </w:p>
        </w:tc>
      </w:tr>
      <w:tr w:rsidR="0077224F" w:rsidTr="0077224F">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left w:val="single" w:sz="4" w:space="0" w:color="95B3D7"/>
              <w:bottom w:val="single" w:sz="4" w:space="0" w:color="95B3D7"/>
              <w:right w:val="single" w:sz="4" w:space="0" w:color="95B3D7"/>
            </w:tcBorders>
            <w:hideMark/>
          </w:tcPr>
          <w:p w:rsidR="0077224F" w:rsidRDefault="00D973EE">
            <w:pPr>
              <w:spacing w:before="0" w:after="240" w:line="312" w:lineRule="atLeast"/>
              <w:rPr>
                <w:rFonts w:ascii="Arial" w:eastAsia="Times New Roman" w:hAnsi="Arial"/>
                <w:noProof/>
                <w:szCs w:val="18"/>
                <w:lang w:eastAsia="de-DE"/>
              </w:rPr>
            </w:pPr>
            <w:r>
              <w:rPr>
                <w:rFonts w:ascii="Calibri" w:hAnsi="Calibri"/>
                <w:noProof/>
                <w:szCs w:val="18"/>
              </w:rPr>
              <w:t xml:space="preserve">Website and OBA operators </w:t>
            </w:r>
          </w:p>
        </w:tc>
        <w:tc>
          <w:tcPr>
            <w:tcW w:w="6378" w:type="dxa"/>
            <w:tcBorders>
              <w:top w:val="single" w:sz="4" w:space="0" w:color="95B3D7"/>
              <w:left w:val="single" w:sz="4" w:space="0" w:color="95B3D7"/>
              <w:bottom w:val="single" w:sz="4" w:space="0" w:color="95B3D7"/>
              <w:right w:val="single" w:sz="4" w:space="0" w:color="95B3D7"/>
            </w:tcBorders>
            <w:hideMark/>
          </w:tcPr>
          <w:p w:rsidR="0077224F" w:rsidRDefault="00D973EE">
            <w:pPr>
              <w:numPr>
                <w:ilvl w:val="0"/>
                <w:numId w:val="78"/>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noProof/>
                <w:szCs w:val="18"/>
                <w:lang w:eastAsia="de-DE"/>
              </w:rPr>
            </w:pPr>
            <w:r>
              <w:rPr>
                <w:rFonts w:ascii="Calibri" w:hAnsi="Calibri"/>
                <w:noProof/>
                <w:szCs w:val="18"/>
              </w:rPr>
              <w:t xml:space="preserve">One directly </w:t>
            </w:r>
            <w:r>
              <w:rPr>
                <w:rFonts w:ascii="Calibri" w:hAnsi="Calibri"/>
                <w:noProof/>
                <w:szCs w:val="18"/>
              </w:rPr>
              <w:t>applicable regulation across 28 MS</w:t>
            </w:r>
          </w:p>
          <w:p w:rsidR="0077224F" w:rsidRDefault="00D973EE">
            <w:pPr>
              <w:numPr>
                <w:ilvl w:val="0"/>
                <w:numId w:val="78"/>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noProof/>
                <w:szCs w:val="18"/>
                <w:lang w:eastAsia="de-DE"/>
              </w:rPr>
            </w:pPr>
            <w:r>
              <w:rPr>
                <w:rFonts w:ascii="Calibri" w:hAnsi="Calibri"/>
                <w:noProof/>
                <w:szCs w:val="18"/>
              </w:rPr>
              <w:t>Clearer and more consistent rules, filling existing gaps and clarifying relationship with related legislation (e.g., GDPR)</w:t>
            </w:r>
          </w:p>
          <w:p w:rsidR="0077224F" w:rsidRDefault="00D973EE">
            <w:pPr>
              <w:numPr>
                <w:ilvl w:val="0"/>
                <w:numId w:val="78"/>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noProof/>
                <w:szCs w:val="18"/>
                <w:lang w:eastAsia="de-DE"/>
              </w:rPr>
            </w:pPr>
            <w:r>
              <w:rPr>
                <w:rFonts w:ascii="Calibri" w:hAnsi="Calibri"/>
                <w:noProof/>
                <w:szCs w:val="18"/>
              </w:rPr>
              <w:t>Savings from one-stop shop and consistency mechanism</w:t>
            </w:r>
          </w:p>
          <w:p w:rsidR="0077224F" w:rsidRDefault="00D973EE">
            <w:pPr>
              <w:numPr>
                <w:ilvl w:val="0"/>
                <w:numId w:val="78"/>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hAnsi="Calibri" w:cs="Arial"/>
                <w:noProof/>
                <w:szCs w:val="18"/>
              </w:rPr>
            </w:pPr>
            <w:r>
              <w:rPr>
                <w:rFonts w:ascii="Calibri" w:hAnsi="Calibri"/>
                <w:noProof/>
                <w:szCs w:val="18"/>
              </w:rPr>
              <w:t>Simplification</w:t>
            </w:r>
            <w:r>
              <w:rPr>
                <w:rFonts w:ascii="Calibri" w:hAnsi="Calibri" w:cs="Arial"/>
                <w:noProof/>
                <w:szCs w:val="18"/>
              </w:rPr>
              <w:t xml:space="preserve"> measures proposed in relation </w:t>
            </w:r>
            <w:r>
              <w:rPr>
                <w:rFonts w:ascii="Calibri" w:hAnsi="Calibri" w:cs="Arial"/>
                <w:noProof/>
                <w:szCs w:val="18"/>
              </w:rPr>
              <w:t>to tracking (introduction of additional exceptions, derogations)</w:t>
            </w:r>
          </w:p>
        </w:tc>
        <w:tc>
          <w:tcPr>
            <w:tcW w:w="5387" w:type="dxa"/>
            <w:tcBorders>
              <w:top w:val="single" w:sz="4" w:space="0" w:color="95B3D7"/>
              <w:left w:val="single" w:sz="4" w:space="0" w:color="95B3D7"/>
              <w:bottom w:val="single" w:sz="4" w:space="0" w:color="95B3D7"/>
              <w:right w:val="single" w:sz="4" w:space="0" w:color="95B3D7"/>
            </w:tcBorders>
            <w:hideMark/>
          </w:tcPr>
          <w:p w:rsidR="0077224F" w:rsidRDefault="00D973EE">
            <w:pPr>
              <w:numPr>
                <w:ilvl w:val="0"/>
                <w:numId w:val="79"/>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noProof/>
                <w:szCs w:val="18"/>
                <w:lang w:eastAsia="de-DE"/>
              </w:rPr>
            </w:pPr>
            <w:r>
              <w:rPr>
                <w:rFonts w:ascii="Calibri" w:hAnsi="Calibri"/>
                <w:noProof/>
                <w:szCs w:val="18"/>
              </w:rPr>
              <w:t>Privacy sensitive citizens may decide not to use certain services, following the introduction of the rules on browser settings</w:t>
            </w:r>
          </w:p>
          <w:p w:rsidR="0077224F" w:rsidRDefault="00D973EE">
            <w:pPr>
              <w:numPr>
                <w:ilvl w:val="0"/>
                <w:numId w:val="79"/>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noProof/>
                <w:szCs w:val="18"/>
                <w:lang w:eastAsia="de-DE"/>
              </w:rPr>
            </w:pPr>
            <w:r>
              <w:rPr>
                <w:rFonts w:ascii="Calibri" w:hAnsi="Calibri"/>
                <w:noProof/>
                <w:szCs w:val="18"/>
              </w:rPr>
              <w:t>Opportunity costs</w:t>
            </w:r>
          </w:p>
        </w:tc>
      </w:tr>
      <w:tr w:rsidR="0077224F" w:rsidTr="0077224F">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left w:val="single" w:sz="4" w:space="0" w:color="95B3D7"/>
              <w:bottom w:val="single" w:sz="4" w:space="0" w:color="95B3D7"/>
              <w:right w:val="single" w:sz="4" w:space="0" w:color="95B3D7"/>
            </w:tcBorders>
            <w:hideMark/>
          </w:tcPr>
          <w:p w:rsidR="0077224F" w:rsidRDefault="00D973EE">
            <w:pPr>
              <w:spacing w:before="0" w:after="240" w:line="312" w:lineRule="atLeast"/>
              <w:rPr>
                <w:rFonts w:ascii="Arial" w:eastAsia="Times New Roman" w:hAnsi="Arial"/>
                <w:noProof/>
                <w:szCs w:val="18"/>
                <w:lang w:eastAsia="de-DE"/>
              </w:rPr>
            </w:pPr>
            <w:r>
              <w:rPr>
                <w:rFonts w:ascii="Calibri" w:hAnsi="Calibri"/>
                <w:noProof/>
                <w:szCs w:val="18"/>
              </w:rPr>
              <w:t xml:space="preserve">Web browser/Operating System </w:t>
            </w:r>
          </w:p>
        </w:tc>
        <w:tc>
          <w:tcPr>
            <w:tcW w:w="6378" w:type="dxa"/>
            <w:tcBorders>
              <w:top w:val="single" w:sz="4" w:space="0" w:color="95B3D7"/>
              <w:left w:val="single" w:sz="4" w:space="0" w:color="95B3D7"/>
              <w:bottom w:val="single" w:sz="4" w:space="0" w:color="95B3D7"/>
              <w:right w:val="single" w:sz="4" w:space="0" w:color="95B3D7"/>
            </w:tcBorders>
            <w:hideMark/>
          </w:tcPr>
          <w:p w:rsidR="0077224F" w:rsidRDefault="00D973EE">
            <w:pPr>
              <w:numPr>
                <w:ilvl w:val="0"/>
                <w:numId w:val="78"/>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hAnsi="Calibri"/>
                <w:noProof/>
                <w:szCs w:val="18"/>
              </w:rPr>
            </w:pPr>
            <w:r>
              <w:rPr>
                <w:rFonts w:ascii="Calibri" w:hAnsi="Calibri"/>
                <w:noProof/>
                <w:szCs w:val="18"/>
              </w:rPr>
              <w:t>Increased impor</w:t>
            </w:r>
            <w:r>
              <w:rPr>
                <w:rFonts w:ascii="Calibri" w:hAnsi="Calibri"/>
                <w:noProof/>
                <w:szCs w:val="18"/>
              </w:rPr>
              <w:t>tance in the privacy ecosystem</w:t>
            </w:r>
          </w:p>
          <w:p w:rsidR="0077224F" w:rsidRDefault="00D973EE">
            <w:pPr>
              <w:numPr>
                <w:ilvl w:val="0"/>
                <w:numId w:val="78"/>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hAnsi="Calibri"/>
                <w:noProof/>
                <w:szCs w:val="18"/>
              </w:rPr>
            </w:pPr>
            <w:r>
              <w:rPr>
                <w:rFonts w:ascii="Calibri" w:hAnsi="Calibri"/>
                <w:noProof/>
                <w:szCs w:val="18"/>
              </w:rPr>
              <w:t>Opportunity to differentiate their offers on the basis of privacy features</w:t>
            </w:r>
          </w:p>
          <w:p w:rsidR="0077224F" w:rsidRDefault="00D973EE">
            <w:pPr>
              <w:numPr>
                <w:ilvl w:val="0"/>
                <w:numId w:val="78"/>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noProof/>
                <w:szCs w:val="18"/>
                <w:lang w:eastAsia="de-DE"/>
              </w:rPr>
            </w:pPr>
            <w:r>
              <w:rPr>
                <w:rFonts w:ascii="Calibri" w:hAnsi="Calibri"/>
                <w:noProof/>
                <w:szCs w:val="18"/>
              </w:rPr>
              <w:t>Increased</w:t>
            </w:r>
            <w:r>
              <w:rPr>
                <w:rFonts w:ascii="Calibri" w:eastAsia="Times New Roman" w:hAnsi="Calibri" w:cs="Arial"/>
                <w:noProof/>
                <w:szCs w:val="18"/>
                <w:lang w:eastAsia="de-DE"/>
              </w:rPr>
              <w:t xml:space="preserve"> market competitiveness on non-price factors</w:t>
            </w:r>
          </w:p>
        </w:tc>
        <w:tc>
          <w:tcPr>
            <w:tcW w:w="5387" w:type="dxa"/>
            <w:tcBorders>
              <w:top w:val="single" w:sz="4" w:space="0" w:color="95B3D7"/>
              <w:left w:val="single" w:sz="4" w:space="0" w:color="95B3D7"/>
              <w:bottom w:val="single" w:sz="4" w:space="0" w:color="95B3D7"/>
              <w:right w:val="single" w:sz="4" w:space="0" w:color="95B3D7"/>
            </w:tcBorders>
            <w:hideMark/>
          </w:tcPr>
          <w:p w:rsidR="0077224F" w:rsidRDefault="00D973EE">
            <w:pPr>
              <w:numPr>
                <w:ilvl w:val="0"/>
                <w:numId w:val="81"/>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szCs w:val="18"/>
                <w:lang w:eastAsia="de-DE"/>
              </w:rPr>
            </w:pPr>
            <w:r>
              <w:rPr>
                <w:rFonts w:ascii="Calibri" w:hAnsi="Calibri" w:cs="Arial"/>
                <w:noProof/>
                <w:szCs w:val="18"/>
              </w:rPr>
              <w:t>Additional costs deriving from new obligations</w:t>
            </w:r>
          </w:p>
          <w:p w:rsidR="0077224F" w:rsidRDefault="00D973EE">
            <w:pPr>
              <w:numPr>
                <w:ilvl w:val="0"/>
                <w:numId w:val="81"/>
              </w:numPr>
              <w:spacing w:before="0" w:after="2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szCs w:val="18"/>
                <w:lang w:eastAsia="de-DE"/>
              </w:rPr>
            </w:pPr>
            <w:r>
              <w:rPr>
                <w:rFonts w:ascii="Calibri" w:hAnsi="Calibri" w:cs="Arial"/>
                <w:noProof/>
                <w:szCs w:val="18"/>
              </w:rPr>
              <w:t>Higher fines for privacy breaches</w:t>
            </w:r>
          </w:p>
          <w:p w:rsidR="0077224F" w:rsidRDefault="0077224F">
            <w:p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noProof/>
                <w:szCs w:val="18"/>
                <w:lang w:eastAsia="de-DE"/>
              </w:rPr>
            </w:pPr>
          </w:p>
        </w:tc>
      </w:tr>
      <w:tr w:rsidR="0077224F" w:rsidTr="0077224F">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left w:val="single" w:sz="4" w:space="0" w:color="95B3D7"/>
              <w:bottom w:val="single" w:sz="4" w:space="0" w:color="95B3D7"/>
              <w:right w:val="single" w:sz="4" w:space="0" w:color="95B3D7"/>
            </w:tcBorders>
            <w:hideMark/>
          </w:tcPr>
          <w:p w:rsidR="0077224F" w:rsidRDefault="00D973EE">
            <w:pPr>
              <w:spacing w:before="0" w:after="240" w:line="312" w:lineRule="atLeast"/>
              <w:rPr>
                <w:rFonts w:ascii="Arial" w:eastAsia="Times New Roman" w:hAnsi="Arial"/>
                <w:noProof/>
                <w:szCs w:val="18"/>
                <w:lang w:eastAsia="de-DE"/>
              </w:rPr>
            </w:pPr>
            <w:r>
              <w:rPr>
                <w:rFonts w:ascii="Calibri" w:hAnsi="Calibri"/>
                <w:noProof/>
                <w:szCs w:val="18"/>
              </w:rPr>
              <w:t xml:space="preserve">Direct </w:t>
            </w:r>
            <w:r>
              <w:rPr>
                <w:rFonts w:ascii="Calibri" w:hAnsi="Calibri"/>
                <w:noProof/>
                <w:szCs w:val="18"/>
              </w:rPr>
              <w:t>marketers</w:t>
            </w:r>
          </w:p>
        </w:tc>
        <w:tc>
          <w:tcPr>
            <w:tcW w:w="6378" w:type="dxa"/>
            <w:tcBorders>
              <w:top w:val="single" w:sz="4" w:space="0" w:color="95B3D7"/>
              <w:left w:val="single" w:sz="4" w:space="0" w:color="95B3D7"/>
              <w:bottom w:val="single" w:sz="4" w:space="0" w:color="95B3D7"/>
              <w:right w:val="single" w:sz="4" w:space="0" w:color="95B3D7"/>
            </w:tcBorders>
          </w:tcPr>
          <w:p w:rsidR="0077224F" w:rsidRDefault="00D973EE">
            <w:pPr>
              <w:numPr>
                <w:ilvl w:val="0"/>
                <w:numId w:val="78"/>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hAnsi="Calibri"/>
                <w:noProof/>
                <w:szCs w:val="18"/>
              </w:rPr>
            </w:pPr>
            <w:r>
              <w:rPr>
                <w:rFonts w:ascii="Calibri" w:hAnsi="Calibri"/>
                <w:noProof/>
                <w:szCs w:val="18"/>
              </w:rPr>
              <w:t>One directly applicable regulation across 28 MS (with possible exceptions for voice-to-voice live calls)</w:t>
            </w:r>
          </w:p>
          <w:p w:rsidR="0077224F" w:rsidRDefault="00D973EE">
            <w:pPr>
              <w:numPr>
                <w:ilvl w:val="0"/>
                <w:numId w:val="78"/>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hAnsi="Calibri"/>
                <w:noProof/>
                <w:szCs w:val="18"/>
              </w:rPr>
            </w:pPr>
            <w:r>
              <w:rPr>
                <w:rFonts w:ascii="Calibri" w:hAnsi="Calibri"/>
                <w:noProof/>
                <w:szCs w:val="18"/>
              </w:rPr>
              <w:t>Clearer and more consistent rules, filling existing gaps and clarifying relationship with related legislation (e.g., GDPR)</w:t>
            </w:r>
          </w:p>
          <w:p w:rsidR="0077224F" w:rsidRDefault="00D973EE">
            <w:pPr>
              <w:numPr>
                <w:ilvl w:val="0"/>
                <w:numId w:val="78"/>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noProof/>
                <w:szCs w:val="18"/>
                <w:lang w:eastAsia="de-DE"/>
              </w:rPr>
            </w:pPr>
            <w:r>
              <w:rPr>
                <w:rFonts w:ascii="Calibri" w:hAnsi="Calibri"/>
                <w:noProof/>
                <w:szCs w:val="18"/>
              </w:rPr>
              <w:t>Savings from one-s</w:t>
            </w:r>
            <w:r>
              <w:rPr>
                <w:rFonts w:ascii="Calibri" w:hAnsi="Calibri"/>
                <w:noProof/>
                <w:szCs w:val="18"/>
              </w:rPr>
              <w:t>top shop and consistency mechanism</w:t>
            </w:r>
          </w:p>
        </w:tc>
        <w:tc>
          <w:tcPr>
            <w:tcW w:w="5387" w:type="dxa"/>
            <w:tcBorders>
              <w:top w:val="single" w:sz="4" w:space="0" w:color="95B3D7"/>
              <w:left w:val="single" w:sz="4" w:space="0" w:color="95B3D7"/>
              <w:bottom w:val="single" w:sz="4" w:space="0" w:color="95B3D7"/>
              <w:right w:val="single" w:sz="4" w:space="0" w:color="95B3D7"/>
            </w:tcBorders>
          </w:tcPr>
          <w:p w:rsidR="0077224F" w:rsidRDefault="00D973EE">
            <w:pPr>
              <w:numPr>
                <w:ilvl w:val="0"/>
                <w:numId w:val="82"/>
              </w:numPr>
              <w:spacing w:before="0" w:after="2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szCs w:val="18"/>
                <w:lang w:eastAsia="de-DE"/>
              </w:rPr>
            </w:pPr>
            <w:r>
              <w:rPr>
                <w:rFonts w:ascii="Calibri" w:hAnsi="Calibri" w:cs="Arial"/>
                <w:noProof/>
                <w:szCs w:val="18"/>
              </w:rPr>
              <w:t xml:space="preserve">Increased costs for marketing campaigns </w:t>
            </w:r>
          </w:p>
          <w:p w:rsidR="0077224F" w:rsidRDefault="00D973EE">
            <w:pPr>
              <w:numPr>
                <w:ilvl w:val="0"/>
                <w:numId w:val="82"/>
              </w:numPr>
              <w:spacing w:before="0" w:after="2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szCs w:val="18"/>
                <w:lang w:eastAsia="de-DE"/>
              </w:rPr>
            </w:pPr>
            <w:r>
              <w:rPr>
                <w:rFonts w:ascii="Calibri" w:hAnsi="Calibri" w:cs="Arial"/>
                <w:noProof/>
                <w:szCs w:val="18"/>
              </w:rPr>
              <w:t>Additional costs for the use of the prefix</w:t>
            </w:r>
          </w:p>
          <w:p w:rsidR="0077224F" w:rsidRDefault="00D973EE">
            <w:pPr>
              <w:numPr>
                <w:ilvl w:val="0"/>
                <w:numId w:val="82"/>
              </w:numPr>
              <w:spacing w:before="0" w:after="2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szCs w:val="18"/>
                <w:lang w:eastAsia="de-DE"/>
              </w:rPr>
            </w:pPr>
            <w:r>
              <w:rPr>
                <w:rFonts w:ascii="Calibri" w:hAnsi="Calibri" w:cs="Arial"/>
                <w:noProof/>
                <w:szCs w:val="18"/>
              </w:rPr>
              <w:t>Higher fines for privacy breaches</w:t>
            </w:r>
          </w:p>
          <w:p w:rsidR="0077224F" w:rsidRDefault="0077224F">
            <w:pPr>
              <w:spacing w:before="0" w:after="240" w:line="312"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noProof/>
                <w:szCs w:val="18"/>
                <w:lang w:eastAsia="de-DE"/>
              </w:rPr>
            </w:pPr>
          </w:p>
        </w:tc>
      </w:tr>
      <w:tr w:rsidR="0077224F" w:rsidTr="0077224F">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left w:val="single" w:sz="4" w:space="0" w:color="95B3D7"/>
              <w:bottom w:val="single" w:sz="4" w:space="0" w:color="95B3D7"/>
              <w:right w:val="single" w:sz="4" w:space="0" w:color="95B3D7"/>
            </w:tcBorders>
          </w:tcPr>
          <w:p w:rsidR="0077224F" w:rsidRDefault="00D973EE">
            <w:pPr>
              <w:spacing w:before="0" w:after="240" w:line="312" w:lineRule="atLeast"/>
              <w:rPr>
                <w:rFonts w:ascii="Calibri" w:hAnsi="Calibri"/>
                <w:noProof/>
                <w:szCs w:val="18"/>
              </w:rPr>
            </w:pPr>
            <w:r>
              <w:rPr>
                <w:rFonts w:ascii="Calibri" w:hAnsi="Calibri"/>
                <w:noProof/>
                <w:szCs w:val="18"/>
              </w:rPr>
              <w:t>SMEs</w:t>
            </w:r>
          </w:p>
        </w:tc>
        <w:tc>
          <w:tcPr>
            <w:tcW w:w="6378" w:type="dxa"/>
            <w:tcBorders>
              <w:top w:val="single" w:sz="4" w:space="0" w:color="95B3D7"/>
              <w:left w:val="single" w:sz="4" w:space="0" w:color="95B3D7"/>
              <w:bottom w:val="single" w:sz="4" w:space="0" w:color="95B3D7"/>
              <w:right w:val="single" w:sz="4" w:space="0" w:color="95B3D7"/>
            </w:tcBorders>
          </w:tcPr>
          <w:p w:rsidR="0077224F" w:rsidRDefault="00D973EE">
            <w:pPr>
              <w:numPr>
                <w:ilvl w:val="0"/>
                <w:numId w:val="80"/>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hAnsi="Calibri"/>
                <w:noProof/>
                <w:szCs w:val="18"/>
              </w:rPr>
            </w:pPr>
            <w:r>
              <w:rPr>
                <w:rFonts w:ascii="Calibri" w:hAnsi="Calibri"/>
                <w:noProof/>
                <w:szCs w:val="18"/>
              </w:rPr>
              <w:t>The same opportunities identified for the various business categories above</w:t>
            </w:r>
          </w:p>
          <w:p w:rsidR="0077224F" w:rsidRDefault="00D973EE">
            <w:pPr>
              <w:numPr>
                <w:ilvl w:val="0"/>
                <w:numId w:val="80"/>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hAnsi="Calibri"/>
                <w:noProof/>
                <w:szCs w:val="18"/>
              </w:rPr>
            </w:pPr>
            <w:r>
              <w:rPr>
                <w:rFonts w:ascii="Calibri" w:hAnsi="Calibri"/>
                <w:noProof/>
                <w:szCs w:val="18"/>
              </w:rPr>
              <w:t xml:space="preserve">Smaller businesses </w:t>
            </w:r>
            <w:r>
              <w:rPr>
                <w:rFonts w:ascii="Calibri" w:hAnsi="Calibri"/>
                <w:noProof/>
                <w:szCs w:val="18"/>
              </w:rPr>
              <w:t>will benefit from the increased harmonisation, legal certainty and consistency across 28 MS</w:t>
            </w:r>
          </w:p>
          <w:p w:rsidR="0077224F" w:rsidRDefault="00D973EE">
            <w:pPr>
              <w:numPr>
                <w:ilvl w:val="0"/>
                <w:numId w:val="80"/>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hAnsi="Calibri"/>
                <w:noProof/>
                <w:szCs w:val="18"/>
              </w:rPr>
            </w:pPr>
            <w:r>
              <w:rPr>
                <w:rFonts w:ascii="Calibri" w:hAnsi="Calibri"/>
                <w:noProof/>
                <w:szCs w:val="18"/>
              </w:rPr>
              <w:t>Smaller businesses will benefit from the simplification of the legal framework and the related reduced costs</w:t>
            </w:r>
          </w:p>
          <w:p w:rsidR="0077224F" w:rsidRDefault="00D973EE">
            <w:pPr>
              <w:numPr>
                <w:ilvl w:val="0"/>
                <w:numId w:val="80"/>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hAnsi="Calibri"/>
                <w:noProof/>
                <w:szCs w:val="18"/>
              </w:rPr>
            </w:pPr>
            <w:r>
              <w:rPr>
                <w:rFonts w:ascii="Calibri" w:hAnsi="Calibri"/>
                <w:noProof/>
                <w:szCs w:val="18"/>
              </w:rPr>
              <w:t>Lower costs in relation to the cookie consent provision</w:t>
            </w:r>
          </w:p>
        </w:tc>
        <w:tc>
          <w:tcPr>
            <w:tcW w:w="5387" w:type="dxa"/>
            <w:tcBorders>
              <w:top w:val="single" w:sz="4" w:space="0" w:color="95B3D7"/>
              <w:left w:val="single" w:sz="4" w:space="0" w:color="95B3D7"/>
              <w:bottom w:val="single" w:sz="4" w:space="0" w:color="95B3D7"/>
              <w:right w:val="single" w:sz="4" w:space="0" w:color="95B3D7"/>
            </w:tcBorders>
          </w:tcPr>
          <w:p w:rsidR="0077224F" w:rsidRDefault="00D973EE">
            <w:pPr>
              <w:numPr>
                <w:ilvl w:val="0"/>
                <w:numId w:val="77"/>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noProof/>
                <w:szCs w:val="18"/>
                <w:lang w:eastAsia="de-DE"/>
              </w:rPr>
            </w:pPr>
            <w:r>
              <w:rPr>
                <w:rFonts w:ascii="Calibri" w:hAnsi="Calibri"/>
                <w:noProof/>
                <w:szCs w:val="18"/>
              </w:rPr>
              <w:t>The same identified for the various business categories above</w:t>
            </w:r>
          </w:p>
          <w:p w:rsidR="0077224F" w:rsidRDefault="00D973EE">
            <w:pPr>
              <w:numPr>
                <w:ilvl w:val="0"/>
                <w:numId w:val="77"/>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noProof/>
                <w:szCs w:val="18"/>
                <w:lang w:eastAsia="de-DE"/>
              </w:rPr>
            </w:pPr>
            <w:r>
              <w:rPr>
                <w:rFonts w:ascii="Calibri" w:eastAsia="Times New Roman" w:hAnsi="Calibri"/>
                <w:noProof/>
                <w:szCs w:val="18"/>
                <w:lang w:eastAsia="de-DE"/>
              </w:rPr>
              <w:t>While the adjustment and opportunity cost required by the new rules is expected to be low, it may felt more by smaller businesses</w:t>
            </w:r>
          </w:p>
        </w:tc>
      </w:tr>
      <w:tr w:rsidR="0077224F" w:rsidTr="0077224F">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95B3D7"/>
              <w:left w:val="single" w:sz="4" w:space="0" w:color="95B3D7"/>
              <w:bottom w:val="single" w:sz="4" w:space="0" w:color="95B3D7"/>
              <w:right w:val="single" w:sz="4" w:space="0" w:color="95B3D7"/>
            </w:tcBorders>
            <w:hideMark/>
          </w:tcPr>
          <w:p w:rsidR="0077224F" w:rsidRDefault="00D973EE">
            <w:pPr>
              <w:spacing w:before="0" w:after="240" w:line="312" w:lineRule="atLeast"/>
              <w:rPr>
                <w:rFonts w:ascii="Arial" w:eastAsia="Times New Roman" w:hAnsi="Arial"/>
                <w:noProof/>
                <w:szCs w:val="18"/>
                <w:lang w:eastAsia="de-DE"/>
              </w:rPr>
            </w:pPr>
            <w:r>
              <w:rPr>
                <w:rFonts w:ascii="Calibri" w:hAnsi="Calibri"/>
                <w:noProof/>
                <w:szCs w:val="18"/>
              </w:rPr>
              <w:t>Member States</w:t>
            </w:r>
          </w:p>
        </w:tc>
        <w:tc>
          <w:tcPr>
            <w:tcW w:w="6378" w:type="dxa"/>
            <w:tcBorders>
              <w:top w:val="single" w:sz="4" w:space="0" w:color="95B3D7"/>
              <w:left w:val="single" w:sz="4" w:space="0" w:color="95B3D7"/>
              <w:bottom w:val="single" w:sz="4" w:space="0" w:color="95B3D7"/>
              <w:right w:val="single" w:sz="4" w:space="0" w:color="95B3D7"/>
            </w:tcBorders>
            <w:hideMark/>
          </w:tcPr>
          <w:p w:rsidR="0077224F" w:rsidRDefault="00D973EE">
            <w:pPr>
              <w:numPr>
                <w:ilvl w:val="0"/>
                <w:numId w:val="83"/>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noProof/>
                <w:szCs w:val="18"/>
                <w:lang w:eastAsia="de-DE"/>
              </w:rPr>
            </w:pPr>
            <w:r>
              <w:rPr>
                <w:rFonts w:ascii="Calibri" w:hAnsi="Calibri"/>
                <w:noProof/>
                <w:szCs w:val="18"/>
              </w:rPr>
              <w:t xml:space="preserve">Streamlining of regulatory approaches and </w:t>
            </w:r>
            <w:r>
              <w:rPr>
                <w:rFonts w:ascii="Calibri" w:hAnsi="Calibri"/>
                <w:noProof/>
                <w:szCs w:val="18"/>
              </w:rPr>
              <w:t>governance at national and EU level should drive synergies and may enable cost savings</w:t>
            </w:r>
          </w:p>
        </w:tc>
        <w:tc>
          <w:tcPr>
            <w:tcW w:w="5387" w:type="dxa"/>
            <w:tcBorders>
              <w:top w:val="single" w:sz="4" w:space="0" w:color="95B3D7"/>
              <w:left w:val="single" w:sz="4" w:space="0" w:color="95B3D7"/>
              <w:bottom w:val="single" w:sz="4" w:space="0" w:color="95B3D7"/>
              <w:right w:val="single" w:sz="4" w:space="0" w:color="95B3D7"/>
            </w:tcBorders>
            <w:hideMark/>
          </w:tcPr>
          <w:p w:rsidR="0077224F" w:rsidRDefault="00D973EE">
            <w:pPr>
              <w:numPr>
                <w:ilvl w:val="0"/>
                <w:numId w:val="84"/>
              </w:numPr>
              <w:spacing w:before="0" w:after="240" w:line="312" w:lineRule="atLeast"/>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noProof/>
                <w:szCs w:val="18"/>
                <w:lang w:eastAsia="de-DE"/>
              </w:rPr>
            </w:pPr>
            <w:r>
              <w:rPr>
                <w:rFonts w:ascii="Calibri" w:hAnsi="Calibri"/>
                <w:noProof/>
                <w:szCs w:val="18"/>
              </w:rPr>
              <w:t>Ministries will need to ensure adequate resourcing and empowerment of supervisory authorities (where not already the case), and governance changes may require re-organis</w:t>
            </w:r>
            <w:r>
              <w:rPr>
                <w:rFonts w:ascii="Calibri" w:hAnsi="Calibri"/>
                <w:noProof/>
                <w:szCs w:val="18"/>
              </w:rPr>
              <w:t xml:space="preserve">ation in some Member States </w:t>
            </w:r>
          </w:p>
        </w:tc>
      </w:tr>
      <w:bookmarkEnd w:id="975"/>
    </w:tbl>
    <w:p w:rsidR="0077224F" w:rsidRDefault="0077224F">
      <w:pPr>
        <w:widowControl w:val="0"/>
        <w:spacing w:before="0"/>
        <w:ind w:left="20" w:right="20"/>
        <w:rPr>
          <w:rFonts w:ascii="Times New Roman" w:eastAsia="Times New Roman" w:hAnsi="Times New Roman"/>
          <w:noProof/>
          <w:color w:val="000000"/>
          <w:sz w:val="24"/>
          <w:lang w:eastAsia="en-GB"/>
        </w:rPr>
      </w:pPr>
    </w:p>
    <w:sectPr w:rsidR="0077224F">
      <w:headerReference w:type="even" r:id="rId91"/>
      <w:headerReference w:type="default" r:id="rId92"/>
      <w:footerReference w:type="even" r:id="rId93"/>
      <w:footerReference w:type="default" r:id="rId94"/>
      <w:headerReference w:type="first" r:id="rId95"/>
      <w:footerReference w:type="first" r:id="rId96"/>
      <w:pgSz w:w="16840" w:h="11900" w:orient="landscape"/>
      <w:pgMar w:top="1701" w:right="1021" w:bottom="1588"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24F" w:rsidRDefault="00D973EE">
      <w:r>
        <w:separator/>
      </w:r>
    </w:p>
  </w:endnote>
  <w:endnote w:type="continuationSeparator" w:id="0">
    <w:p w:rsidR="0077224F" w:rsidRDefault="00D97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EC Square Sans Pro Medium">
    <w:panose1 w:val="020B0500000000020004"/>
    <w:charset w:val="00"/>
    <w:family w:val="swiss"/>
    <w:pitch w:val="variable"/>
    <w:sig w:usb0="A00002BF" w:usb1="5000E0FB" w:usb2="00000000" w:usb3="00000000" w:csb0="0000019F" w:csb1="00000000"/>
  </w:font>
  <w:font w:name="EC Square Sans Pro">
    <w:altName w:val="EC Square Sans Pro"/>
    <w:panose1 w:val="020B0506040000020004"/>
    <w:charset w:val="00"/>
    <w:family w:val="swiss"/>
    <w:pitch w:val="variable"/>
    <w:sig w:usb0="A00002BF" w:usb1="5000E0F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TradeGothic">
    <w:altName w:val="TradeGothic"/>
    <w:panose1 w:val="00000000000000000000"/>
    <w:charset w:val="00"/>
    <w:family w:val="swiss"/>
    <w:notTrueType/>
    <w:pitch w:val="default"/>
    <w:sig w:usb0="00000003" w:usb1="00000000" w:usb2="00000000" w:usb3="00000000" w:csb0="00000001" w:csb1="00000000"/>
  </w:font>
  <w:font w:name="PFSquareSansPro-Regular">
    <w:altName w:val="EC Square Sans Pro Medium"/>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3EE" w:rsidRPr="00D973EE" w:rsidRDefault="00D973EE" w:rsidP="00D973E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D973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7224F" w:rsidRDefault="0077224F">
    <w:pPr>
      <w:pStyle w:val="Footer"/>
    </w:pPr>
  </w:p>
  <w:p w:rsidR="0077224F" w:rsidRDefault="0077224F"/>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Footer"/>
      <w:jc w:val="center"/>
    </w:pPr>
  </w:p>
  <w:p w:rsidR="0077224F" w:rsidRDefault="0077224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Footer"/>
      <w:jc w:val="center"/>
    </w:pPr>
  </w:p>
  <w:p w:rsidR="0077224F" w:rsidRDefault="0077224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D973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7224F" w:rsidRDefault="0077224F">
    <w:pPr>
      <w:pStyle w:val="Footer"/>
    </w:pPr>
  </w:p>
  <w:p w:rsidR="0077224F" w:rsidRDefault="0077224F"/>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D973EE">
    <w:pPr>
      <w:pStyle w:val="Footer"/>
      <w:jc w:val="center"/>
    </w:pPr>
    <w:r>
      <w:fldChar w:fldCharType="begin"/>
    </w:r>
    <w:r>
      <w:instrText xml:space="preserve"> PAGE   \* MERGEFORMAT </w:instrText>
    </w:r>
    <w:r>
      <w:fldChar w:fldCharType="separate"/>
    </w:r>
    <w:r>
      <w:rPr>
        <w:noProof/>
      </w:rPr>
      <w:t>61</w:t>
    </w:r>
    <w:r>
      <w:rPr>
        <w:noProof/>
      </w:rPr>
      <w:fldChar w:fldCharType="end"/>
    </w:r>
  </w:p>
  <w:p w:rsidR="0077224F" w:rsidRDefault="0077224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D973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7224F" w:rsidRDefault="0077224F">
    <w:pPr>
      <w:pStyle w:val="Footer"/>
    </w:pPr>
  </w:p>
  <w:p w:rsidR="0077224F" w:rsidRDefault="0077224F"/>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725240"/>
      <w:docPartObj>
        <w:docPartGallery w:val="Page Numbers (Bottom of Page)"/>
        <w:docPartUnique/>
      </w:docPartObj>
    </w:sdtPr>
    <w:sdtEndPr>
      <w:rPr>
        <w:noProof/>
      </w:rPr>
    </w:sdtEndPr>
    <w:sdtContent>
      <w:p w:rsidR="0077224F" w:rsidRDefault="00D973EE">
        <w:pPr>
          <w:pStyle w:val="Footer"/>
          <w:jc w:val="center"/>
        </w:pPr>
        <w:r>
          <w:fldChar w:fldCharType="begin"/>
        </w:r>
        <w:r>
          <w:instrText xml:space="preserve"> PAGE   \* MERGEFORMAT </w:instrText>
        </w:r>
        <w:r>
          <w:fldChar w:fldCharType="separate"/>
        </w:r>
        <w:r>
          <w:rPr>
            <w:noProof/>
          </w:rPr>
          <w:t>62</w:t>
        </w:r>
        <w:r>
          <w:rPr>
            <w:noProof/>
          </w:rPr>
          <w:fldChar w:fldCharType="end"/>
        </w:r>
      </w:p>
    </w:sdtContent>
  </w:sdt>
  <w:p w:rsidR="0077224F" w:rsidRDefault="0077224F">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D973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7224F" w:rsidRDefault="0077224F">
    <w:pPr>
      <w:pStyle w:val="Footer"/>
    </w:pPr>
  </w:p>
  <w:p w:rsidR="0077224F" w:rsidRDefault="0077224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3EE" w:rsidRPr="00D973EE" w:rsidRDefault="00D973EE" w:rsidP="00D973EE">
    <w:pPr>
      <w:pStyle w:val="FooterCoverPage"/>
      <w:rPr>
        <w:rFonts w:ascii="Arial" w:hAnsi="Arial" w:cs="Arial"/>
        <w:b/>
        <w:sz w:val="48"/>
      </w:rPr>
    </w:pPr>
    <w:r w:rsidRPr="00D973EE">
      <w:rPr>
        <w:rFonts w:ascii="Arial" w:hAnsi="Arial" w:cs="Arial"/>
        <w:b/>
        <w:sz w:val="48"/>
      </w:rPr>
      <w:t>EN</w:t>
    </w:r>
    <w:r w:rsidRPr="00D973EE">
      <w:rPr>
        <w:rFonts w:ascii="Arial" w:hAnsi="Arial" w:cs="Arial"/>
        <w:b/>
        <w:sz w:val="48"/>
      </w:rPr>
      <w:tab/>
    </w:r>
    <w:r w:rsidRPr="00D973EE">
      <w:rPr>
        <w:rFonts w:ascii="Arial" w:hAnsi="Arial" w:cs="Arial"/>
        <w:b/>
        <w:sz w:val="48"/>
      </w:rPr>
      <w:tab/>
    </w:r>
    <w:fldSimple w:instr=" DOCVARIABLE &quot;LW_Confidence&quot; \* MERGEFORMAT ">
      <w:r>
        <w:t xml:space="preserve"> </w:t>
      </w:r>
    </w:fldSimple>
    <w:r w:rsidRPr="00D973EE">
      <w:tab/>
    </w:r>
    <w:r w:rsidRPr="00D973EE">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797007"/>
      <w:docPartObj>
        <w:docPartGallery w:val="Page Numbers (Bottom of Page)"/>
        <w:docPartUnique/>
      </w:docPartObj>
    </w:sdtPr>
    <w:sdtEndPr>
      <w:rPr>
        <w:noProof/>
      </w:rPr>
    </w:sdtEndPr>
    <w:sdtContent>
      <w:p w:rsidR="0077224F" w:rsidRDefault="00D973EE">
        <w:pPr>
          <w:pStyle w:val="Footer"/>
          <w:jc w:val="center"/>
        </w:pPr>
        <w:r>
          <w:fldChar w:fldCharType="begin"/>
        </w:r>
        <w:r>
          <w:instrText xml:space="preserve"> PAGE   \* MERGEFORMAT </w:instrText>
        </w:r>
        <w:r>
          <w:fldChar w:fldCharType="separate"/>
        </w:r>
        <w:r>
          <w:rPr>
            <w:noProof/>
          </w:rPr>
          <w:t>104</w:t>
        </w:r>
        <w:r>
          <w:rPr>
            <w:noProof/>
          </w:rPr>
          <w:fldChar w:fldCharType="end"/>
        </w:r>
      </w:p>
    </w:sdtContent>
  </w:sdt>
  <w:p w:rsidR="0077224F" w:rsidRDefault="0077224F">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487864"/>
      <w:docPartObj>
        <w:docPartGallery w:val="Page Numbers (Bottom of Page)"/>
        <w:docPartUnique/>
      </w:docPartObj>
    </w:sdtPr>
    <w:sdtEndPr>
      <w:rPr>
        <w:noProof/>
      </w:rPr>
    </w:sdtEndPr>
    <w:sdtContent>
      <w:p w:rsidR="0077224F" w:rsidRDefault="00D973EE">
        <w:pPr>
          <w:pStyle w:val="Footer"/>
          <w:jc w:val="center"/>
        </w:pPr>
        <w:r>
          <w:fldChar w:fldCharType="begin"/>
        </w:r>
        <w:r>
          <w:instrText xml:space="preserve"> PAGE   \</w:instrText>
        </w:r>
        <w:r>
          <w:instrText xml:space="preserve">* MERGEFORMAT </w:instrText>
        </w:r>
        <w:r>
          <w:fldChar w:fldCharType="separate"/>
        </w:r>
        <w:r>
          <w:rPr>
            <w:noProof/>
          </w:rPr>
          <w:t>94</w:t>
        </w:r>
        <w:r>
          <w:rPr>
            <w:noProof/>
          </w:rPr>
          <w:fldChar w:fldCharType="end"/>
        </w:r>
      </w:p>
    </w:sdtContent>
  </w:sdt>
  <w:p w:rsidR="0077224F" w:rsidRDefault="0077224F">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D973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7224F" w:rsidRDefault="0077224F">
    <w:pPr>
      <w:pStyle w:val="Footer"/>
    </w:pPr>
  </w:p>
  <w:p w:rsidR="0077224F" w:rsidRDefault="0077224F"/>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D973EE">
    <w:pPr>
      <w:pStyle w:val="Footer"/>
      <w:jc w:val="center"/>
    </w:pPr>
    <w:r>
      <w:fldChar w:fldCharType="begin"/>
    </w:r>
    <w:r>
      <w:instrText>PAGE</w:instrText>
    </w:r>
    <w:r>
      <w:fldChar w:fldCharType="separate"/>
    </w:r>
    <w:r>
      <w:rPr>
        <w:noProof/>
      </w:rPr>
      <w:t>107</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471166"/>
      <w:docPartObj>
        <w:docPartGallery w:val="Page Numbers (Bottom of Page)"/>
        <w:docPartUnique/>
      </w:docPartObj>
    </w:sdtPr>
    <w:sdtEndPr>
      <w:rPr>
        <w:noProof/>
      </w:rPr>
    </w:sdtEndPr>
    <w:sdtContent>
      <w:p w:rsidR="0077224F" w:rsidRDefault="00D973EE">
        <w:pPr>
          <w:pStyle w:val="Footer"/>
          <w:jc w:val="center"/>
        </w:pPr>
        <w:r>
          <w:fldChar w:fldCharType="begin"/>
        </w:r>
        <w:r>
          <w:instrText xml:space="preserve"> PAGE   \* MERGEFORMAT </w:instrText>
        </w:r>
        <w:r>
          <w:fldChar w:fldCharType="separate"/>
        </w:r>
        <w:r>
          <w:rPr>
            <w:noProof/>
          </w:rPr>
          <w:t>96</w:t>
        </w:r>
        <w:r>
          <w:rPr>
            <w:noProof/>
          </w:rPr>
          <w:fldChar w:fldCharType="end"/>
        </w:r>
      </w:p>
    </w:sdtContent>
  </w:sdt>
  <w:p w:rsidR="0077224F" w:rsidRDefault="007722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3EE" w:rsidRPr="00D973EE" w:rsidRDefault="00D973EE" w:rsidP="00D973EE">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2201385"/>
      <w:docPartObj>
        <w:docPartGallery w:val="Page Numbers (Bottom of Page)"/>
        <w:docPartUnique/>
      </w:docPartObj>
    </w:sdtPr>
    <w:sdtEndPr>
      <w:rPr>
        <w:noProof/>
      </w:rPr>
    </w:sdtEndPr>
    <w:sdtContent>
      <w:p w:rsidR="0077224F" w:rsidRDefault="00D973E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77224F" w:rsidRDefault="0077224F">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D973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7224F" w:rsidRDefault="0077224F">
    <w:pPr>
      <w:pStyle w:val="Footer"/>
    </w:pPr>
  </w:p>
  <w:p w:rsidR="0077224F" w:rsidRDefault="0077224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197080"/>
      <w:docPartObj>
        <w:docPartGallery w:val="Page Numbers (Bottom of Page)"/>
        <w:docPartUnique/>
      </w:docPartObj>
    </w:sdtPr>
    <w:sdtEndPr>
      <w:rPr>
        <w:noProof/>
      </w:rPr>
    </w:sdtEndPr>
    <w:sdtContent>
      <w:p w:rsidR="0077224F" w:rsidRDefault="00D973EE">
        <w:pPr>
          <w:pStyle w:val="Footer"/>
          <w:jc w:val="center"/>
        </w:pPr>
        <w:r>
          <w:fldChar w:fldCharType="begin"/>
        </w:r>
        <w:r>
          <w:instrText xml:space="preserve"> PAGE   \* MERGEFORMAT </w:instrText>
        </w:r>
        <w:r>
          <w:fldChar w:fldCharType="separate"/>
        </w:r>
        <w:r>
          <w:rPr>
            <w:noProof/>
          </w:rPr>
          <w:t>35</w:t>
        </w:r>
        <w:r>
          <w:rPr>
            <w:noProof/>
          </w:rPr>
          <w:fldChar w:fldCharType="end"/>
        </w:r>
      </w:p>
    </w:sdtContent>
  </w:sdt>
  <w:p w:rsidR="0077224F" w:rsidRDefault="0077224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235114"/>
      <w:docPartObj>
        <w:docPartGallery w:val="Page Numbers (Bottom of Page)"/>
        <w:docPartUnique/>
      </w:docPartObj>
    </w:sdtPr>
    <w:sdtEndPr>
      <w:rPr>
        <w:noProof/>
      </w:rPr>
    </w:sdtEndPr>
    <w:sdtContent>
      <w:p w:rsidR="0077224F" w:rsidRDefault="00D973EE">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77224F" w:rsidRDefault="007722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24F" w:rsidRDefault="00D973EE">
      <w:r>
        <w:separator/>
      </w:r>
    </w:p>
  </w:footnote>
  <w:footnote w:type="continuationSeparator" w:id="0">
    <w:p w:rsidR="0077224F" w:rsidRDefault="00D973EE">
      <w:r>
        <w:continuationSeparator/>
      </w:r>
    </w:p>
  </w:footnote>
  <w:footnote w:id="1">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1" w:history="1">
        <w:r>
          <w:rPr>
            <w:rStyle w:val="Hyperlink"/>
            <w:rFonts w:ascii="Times New Roman" w:hAnsi="Times New Roman"/>
          </w:rPr>
          <w:t>http://ec.europa.eu/eurostat/data/database?node_code=isoc_cisci_prv</w:t>
        </w:r>
      </w:hyperlink>
      <w:r>
        <w:rPr>
          <w:rStyle w:val="Hyperlink"/>
          <w:rFonts w:ascii="Times New Roman" w:hAnsi="Times New Roman"/>
        </w:rPr>
        <w:t>.</w:t>
      </w:r>
    </w:p>
  </w:footnote>
  <w:footnote w:id="2">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Body of European Regulators for Electronic Communications.</w:t>
      </w:r>
    </w:p>
  </w:footnote>
  <w:footnote w:id="3">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The </w:t>
      </w:r>
      <w:r>
        <w:rPr>
          <w:rStyle w:val="st"/>
          <w:rFonts w:ascii="Times New Roman" w:hAnsi="Times New Roman"/>
        </w:rPr>
        <w:t xml:space="preserve">European Union </w:t>
      </w:r>
      <w:r>
        <w:rPr>
          <w:rStyle w:val="Emphasis"/>
          <w:rFonts w:ascii="Times New Roman" w:hAnsi="Times New Roman"/>
        </w:rPr>
        <w:t>Agency</w:t>
      </w:r>
      <w:r>
        <w:rPr>
          <w:rStyle w:val="st"/>
          <w:rFonts w:ascii="Times New Roman" w:hAnsi="Times New Roman"/>
        </w:rPr>
        <w:t xml:space="preserve"> for Network and Information Security.</w:t>
      </w:r>
    </w:p>
  </w:footnote>
  <w:footnote w:id="4">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The Article 29 Working Party is composed of all the data protection authorities of the EU.</w:t>
      </w:r>
    </w:p>
  </w:footnote>
  <w:footnote w:id="5">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The European Union law enforcement </w:t>
      </w:r>
      <w:r>
        <w:rPr>
          <w:rFonts w:ascii="Times New Roman" w:hAnsi="Times New Roman"/>
        </w:rPr>
        <w:t>agency.</w:t>
      </w:r>
    </w:p>
  </w:footnote>
  <w:footnote w:id="6">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The CPC Network is s a network of authorities responsible for enforcing EU consumer protection laws. Some of these authorities are in charge of enforcing the national provisions implementing Article 13 of the ePD.</w:t>
      </w:r>
    </w:p>
  </w:footnote>
  <w:footnote w:id="7">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Article 29 Working Party Opini</w:t>
      </w:r>
      <w:r>
        <w:rPr>
          <w:rFonts w:ascii="Times New Roman" w:hAnsi="Times New Roman"/>
        </w:rPr>
        <w:t xml:space="preserve">on 03/2016 on the evaluation and review of the ePrivacy Directive 2002/58/EC, WP 240. </w:t>
      </w:r>
    </w:p>
  </w:footnote>
  <w:footnote w:id="8">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EDPS opinion 5/2016, Preliminary EDPS Opinion on the review of the ePrivacy Directive (2002/58/EC), 22.07.2016.</w:t>
      </w:r>
    </w:p>
  </w:footnote>
  <w:footnote w:id="9">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BEREC response to the ePrivacy Questionnaire, 29.07.2016.</w:t>
      </w:r>
    </w:p>
  </w:footnote>
  <w:footnote w:id="10">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ENISA working paper on the review of the ePrivacy Directive - Article 4 – security of processing, July 2016; ENISA working paper on the review of the ePrivacy Directive – Article 5.3 – cookies an</w:t>
      </w:r>
      <w:r>
        <w:rPr>
          <w:rFonts w:ascii="Times New Roman" w:hAnsi="Times New Roman"/>
        </w:rPr>
        <w:t>d similar techniques, July 2016.</w:t>
      </w:r>
    </w:p>
  </w:footnote>
  <w:footnote w:id="11">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Informal inputs were requested from JRC on experience in lab with cookie banners and on technical aspects related to security.</w:t>
      </w:r>
    </w:p>
  </w:footnote>
  <w:footnote w:id="12">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The CPC network did not reply collegially but invited its members to reply to the ad hoc con</w:t>
      </w:r>
      <w:r>
        <w:rPr>
          <w:rFonts w:ascii="Times New Roman" w:hAnsi="Times New Roman"/>
        </w:rPr>
        <w:t>sultation.  Repliers were received from Spain, Norway, Denmark and Romania.</w:t>
      </w:r>
    </w:p>
  </w:footnote>
  <w:footnote w:id="13">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CIRCABC website on COCOM committee.</w:t>
      </w:r>
    </w:p>
  </w:footnote>
  <w:footnote w:id="14">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bCs/>
        </w:rPr>
        <w:t>E.g. EDPS</w:t>
      </w:r>
      <w:r>
        <w:rPr>
          <w:rFonts w:ascii="Times New Roman" w:hAnsi="Times New Roman"/>
        </w:rPr>
        <w:t xml:space="preserve"> </w:t>
      </w:r>
      <w:r>
        <w:rPr>
          <w:rFonts w:ascii="Times New Roman" w:hAnsi="Times New Roman"/>
          <w:bCs/>
        </w:rPr>
        <w:t xml:space="preserve">Opinion for a Directive of the European Parliament and of the Council amending, among others, Directive 2002/58/EC, 18 July </w:t>
      </w:r>
      <w:r>
        <w:rPr>
          <w:rFonts w:ascii="Times New Roman" w:hAnsi="Times New Roman"/>
          <w:bCs/>
        </w:rPr>
        <w:t>2008, C181/1 OJ; 2</w:t>
      </w:r>
      <w:r>
        <w:rPr>
          <w:rFonts w:ascii="Times New Roman" w:hAnsi="Times New Roman"/>
          <w:bCs/>
          <w:vertAlign w:val="superscript"/>
        </w:rPr>
        <w:t>nd</w:t>
      </w:r>
      <w:r>
        <w:rPr>
          <w:rFonts w:ascii="Times New Roman" w:hAnsi="Times New Roman"/>
          <w:bCs/>
        </w:rPr>
        <w:t xml:space="preserve"> EDPS Opinion on the review of Directive 2002/58/EC concerning the processing of personal data and the protection of privacy in the electronic communications sector, 9 January 2009, C128/04; EDPS Opinion on net neutrality, traffic manag</w:t>
      </w:r>
      <w:r>
        <w:rPr>
          <w:rFonts w:ascii="Times New Roman" w:hAnsi="Times New Roman"/>
          <w:bCs/>
        </w:rPr>
        <w:t>ement and the protection of privacy and personal data 7 October 2011; Article 29 WP Opinion 1/2003 on the storage of traffic data for billing purposes of 29 January 2003;</w:t>
      </w:r>
      <w:r>
        <w:rPr>
          <w:rFonts w:ascii="Times New Roman" w:hAnsi="Times New Roman"/>
          <w:b/>
          <w:bCs/>
        </w:rPr>
        <w:t xml:space="preserve"> </w:t>
      </w:r>
      <w:r>
        <w:rPr>
          <w:rFonts w:ascii="Times New Roman" w:hAnsi="Times New Roman"/>
          <w:bCs/>
        </w:rPr>
        <w:t>Article 29 WP Opinion 8/2006 on the review of  the regulatory Framework for Electroni</w:t>
      </w:r>
      <w:r>
        <w:rPr>
          <w:rFonts w:ascii="Times New Roman" w:hAnsi="Times New Roman"/>
          <w:bCs/>
        </w:rPr>
        <w:t>c Communications and Services, with focus on the ePrivacy Directive; Article 29 WP Opinion 5/2004 on unsolicited communications for marketing purposes under Article 13 of Directive 2002/58/EC of 27 February 2004; Article 29 Working Party, Opinion 2/2006 on</w:t>
      </w:r>
      <w:r>
        <w:rPr>
          <w:rFonts w:ascii="Times New Roman" w:hAnsi="Times New Roman"/>
          <w:bCs/>
        </w:rPr>
        <w:t xml:space="preserve"> privacy issues related to the provision of email screening services, WP 118 adopted 21.02.2006; Article 29 Working Party, Opinion 2/2010 on online behavioural advertising, WP 171 adopted 22.06.2010; Article 29 Working Party, Opinion 13/2011 on Geolocation</w:t>
      </w:r>
      <w:r>
        <w:rPr>
          <w:rFonts w:ascii="Times New Roman" w:hAnsi="Times New Roman"/>
          <w:bCs/>
        </w:rPr>
        <w:t xml:space="preserve"> services on  mobile devices, WP 185 adopted 16.05.2011; Article 29 Working Party, Opinion 04/2012 on Cookie Consent Exemption, WP 194 adopted 07.06.2012;</w:t>
      </w:r>
      <w:r>
        <w:rPr>
          <w:rFonts w:ascii="Times New Roman" w:hAnsi="Times New Roman"/>
        </w:rPr>
        <w:t xml:space="preserve"> Article 29 Working Party, </w:t>
      </w:r>
      <w:r>
        <w:rPr>
          <w:rFonts w:ascii="Times New Roman" w:hAnsi="Times New Roman"/>
          <w:iCs/>
        </w:rPr>
        <w:t>Opinion 02/2013 on apps on smart devices</w:t>
      </w:r>
      <w:r>
        <w:rPr>
          <w:rFonts w:ascii="Times New Roman" w:hAnsi="Times New Roman"/>
        </w:rPr>
        <w:t>, WP 202 adopted 27.02.2013;</w:t>
      </w:r>
      <w:r>
        <w:rPr>
          <w:rFonts w:ascii="Times New Roman" w:hAnsi="Times New Roman"/>
          <w:bCs/>
        </w:rPr>
        <w:t xml:space="preserve"> Articl</w:t>
      </w:r>
      <w:r>
        <w:rPr>
          <w:rFonts w:ascii="Times New Roman" w:hAnsi="Times New Roman"/>
          <w:bCs/>
        </w:rPr>
        <w:t>e 29 Working Party, Working Document 02/2013 providing guidance on obtaining consent for cookies, WP 208 adopted 02.10.2013; Article 29 Working Party, Opinion 9/2014 on the application of Directive 2002/58/EC to device Fingerprinting, WP 224 adopted 25.11.</w:t>
      </w:r>
      <w:r>
        <w:rPr>
          <w:rFonts w:ascii="Times New Roman" w:hAnsi="Times New Roman"/>
          <w:bCs/>
        </w:rPr>
        <w:t>2014; Article 29 Working Party, Report Cookie Sweep Combined Analysis, WP 229 adopted 03.02.2015; Berlin International Working Group on Data Protection in Telecommunications Working Paper on Web Tracking and Privacy: Respect for context, transparency and c</w:t>
      </w:r>
      <w:r>
        <w:rPr>
          <w:rFonts w:ascii="Times New Roman" w:hAnsi="Times New Roman"/>
          <w:bCs/>
        </w:rPr>
        <w:t xml:space="preserve">ontrol remains essential of 15-16 April 2013; Norway Datalsynet THE GREAT DATA RACE How commercial utilisation of personal data challenges privacy; Report, November 2015. ENISA (June 2016) Working paper on the review of the ePrivacy Directive. Article 4 – </w:t>
      </w:r>
      <w:r>
        <w:rPr>
          <w:rFonts w:ascii="Times New Roman" w:hAnsi="Times New Roman"/>
          <w:bCs/>
        </w:rPr>
        <w:t xml:space="preserve">Security of processing; Working Paper: Update on Privacy and Security Issues in Internet Telephony (VoIP) and Related Communication Technologies, </w:t>
      </w:r>
      <w:r>
        <w:rPr>
          <w:rFonts w:ascii="Times New Roman" w:hAnsi="Times New Roman"/>
          <w:bCs/>
          <w:iCs/>
        </w:rPr>
        <w:t>59th meeting, 24-25 April 2016, Oslo (Norway)</w:t>
      </w:r>
      <w:r>
        <w:rPr>
          <w:rFonts w:ascii="Times New Roman" w:hAnsi="Times New Roman"/>
          <w:bCs/>
        </w:rPr>
        <w:t>.</w:t>
      </w:r>
      <w:r>
        <w:rPr>
          <w:rFonts w:ascii="Times New Roman" w:hAnsi="Times New Roman"/>
        </w:rPr>
        <w:t xml:space="preserve"> </w:t>
      </w:r>
      <w:r>
        <w:rPr>
          <w:rFonts w:ascii="Times New Roman" w:hAnsi="Times New Roman"/>
          <w:bCs/>
        </w:rPr>
        <w:t>DLA Piper, ETNO "</w:t>
      </w:r>
      <w:r>
        <w:rPr>
          <w:rFonts w:ascii="Times New Roman" w:hAnsi="Times New Roman"/>
          <w:bCs/>
          <w:i/>
        </w:rPr>
        <w:t>Study on the revision of the ePrivacy Directiv</w:t>
      </w:r>
      <w:r>
        <w:rPr>
          <w:rFonts w:ascii="Times New Roman" w:hAnsi="Times New Roman"/>
          <w:bCs/>
          <w:i/>
        </w:rPr>
        <w:t>e"</w:t>
      </w:r>
      <w:r>
        <w:rPr>
          <w:rFonts w:ascii="Times New Roman" w:hAnsi="Times New Roman"/>
          <w:bCs/>
        </w:rPr>
        <w:t>; August 2016 and previous versions; VDAV study Quelle Ipso November 2015; CERRE, "Market Definition, Market Power and Regulatory Interaction in Electronic Communications Markets", 2014, 15; European Commission Study carried out by ECORYS, TNO and others</w:t>
      </w:r>
      <w:r>
        <w:rPr>
          <w:rFonts w:ascii="Times New Roman" w:hAnsi="Times New Roman"/>
          <w:bCs/>
        </w:rPr>
        <w:t xml:space="preserve"> (2016), Study on future trends and business models in communication services, (SMART 2013/0019), p54, 56, 60; The Information Technology &amp; Innovation Foundation, Daniel Castro and Alan McQuinn, "</w:t>
      </w:r>
      <w:r>
        <w:rPr>
          <w:rFonts w:ascii="Times New Roman" w:hAnsi="Times New Roman"/>
          <w:bCs/>
          <w:i/>
        </w:rPr>
        <w:t>The Economic Costs of the European Union's Cookie Notificati</w:t>
      </w:r>
      <w:r>
        <w:rPr>
          <w:rFonts w:ascii="Times New Roman" w:hAnsi="Times New Roman"/>
          <w:bCs/>
          <w:i/>
        </w:rPr>
        <w:t>on Policy"</w:t>
      </w:r>
      <w:r>
        <w:rPr>
          <w:rFonts w:ascii="Times New Roman" w:hAnsi="Times New Roman"/>
          <w:bCs/>
        </w:rPr>
        <w:t>, November 2014 (US); Directorate-General for Internal Policies, “Over-the-Top players (OTTs), Study for the IMCO Committee”, 2015.</w:t>
      </w:r>
    </w:p>
  </w:footnote>
  <w:footnote w:id="15">
    <w:p w:rsidR="0077224F" w:rsidRDefault="0077224F">
      <w:pPr>
        <w:pStyle w:val="FootnoteText"/>
        <w:rPr>
          <w:rFonts w:ascii="Times New Roman" w:hAnsi="Times New Roman"/>
        </w:rPr>
      </w:pPr>
    </w:p>
  </w:footnote>
  <w:footnote w:id="16">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European Commission Study carried out by Deloitte (2016), Evaluation and review of Directive 2002/58 on privacy</w:t>
      </w:r>
      <w:r>
        <w:rPr>
          <w:rFonts w:ascii="Times New Roman" w:hAnsi="Times New Roman"/>
        </w:rPr>
        <w:t xml:space="preserve"> and the electronic communication sector (SMART 2016/0080), https://ec.europa.eu/digital-single-market/en/news/eprivacy-directive-assessment-transposition-effectiveness-and-compatibility-proposed-data.</w:t>
      </w:r>
    </w:p>
  </w:footnote>
  <w:footnote w:id="17">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This ensures the application of the Directive not on</w:t>
      </w:r>
      <w:r>
        <w:rPr>
          <w:rFonts w:ascii="Times New Roman" w:hAnsi="Times New Roman"/>
        </w:rPr>
        <w:t xml:space="preserve">ly to information related to natural persons but also to information related legal persons. </w:t>
      </w:r>
    </w:p>
  </w:footnote>
  <w:footnote w:id="18">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OM(2012) 746, Communication from the Commission to the European Parliament, the Council, the European Economic and Social Committee and the Committee of the Regi</w:t>
      </w:r>
      <w:r>
        <w:rPr>
          <w:rFonts w:ascii="Times New Roman" w:hAnsi="Times New Roman"/>
        </w:rPr>
        <w:t>ons, EU Regulatory Fitness, 12.12.2012.</w:t>
      </w:r>
    </w:p>
  </w:footnote>
  <w:footnote w:id="19">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These rules require users' consent for using technologies such as cookies to store or access information on smart devices.</w:t>
      </w:r>
    </w:p>
  </w:footnote>
  <w:footnote w:id="20">
    <w:p w:rsidR="0077224F" w:rsidRDefault="00D973EE">
      <w:pPr>
        <w:pStyle w:val="FootnoteText"/>
      </w:pPr>
      <w:r>
        <w:rPr>
          <w:rStyle w:val="FootnoteReference"/>
          <w:rFonts w:ascii="Times New Roman" w:hAnsi="Times New Roman"/>
        </w:rPr>
        <w:footnoteRef/>
      </w:r>
      <w:r>
        <w:rPr>
          <w:rFonts w:ascii="Times New Roman" w:hAnsi="Times New Roman"/>
        </w:rPr>
        <w:t xml:space="preserve"> SMART study 2016/080, Final Report</w:t>
      </w:r>
      <w:r>
        <w:rPr>
          <w:rFonts w:ascii="Times New Roman" w:hAnsi="Times New Roman"/>
          <w:i/>
        </w:rPr>
        <w:t>,</w:t>
      </w:r>
      <w:r>
        <w:rPr>
          <w:rFonts w:ascii="Times New Roman" w:hAnsi="Times New Roman"/>
        </w:rPr>
        <w:t xml:space="preserve"> p 206.</w:t>
      </w:r>
    </w:p>
  </w:footnote>
  <w:footnote w:id="21">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Article 29 Working Party opinion of 19.07.20</w:t>
      </w:r>
      <w:r>
        <w:rPr>
          <w:rFonts w:ascii="Times New Roman" w:hAnsi="Times New Roman"/>
        </w:rPr>
        <w:t xml:space="preserve">16 </w:t>
      </w:r>
      <w:r>
        <w:rPr>
          <w:rFonts w:ascii="Times New Roman" w:hAnsi="Times New Roman"/>
          <w:bCs/>
        </w:rPr>
        <w:t>on the evaluation and review of the ePrivacy Directive (2002/58/EC), WP 240.</w:t>
      </w:r>
    </w:p>
  </w:footnote>
  <w:footnote w:id="22">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The updated rules should ensure that the confidentiality of users is protected on all publicly accessible networks, including Wi-Fi services in hotels, coffee shops, shops, a</w:t>
      </w:r>
      <w:r>
        <w:rPr>
          <w:rFonts w:ascii="Times New Roman" w:hAnsi="Times New Roman"/>
        </w:rPr>
        <w:t xml:space="preserve">irports and networks offered by hospitals to patients, universities to students, and hotspots created by public administrations. </w:t>
      </w:r>
    </w:p>
    <w:p w:rsidR="0077224F" w:rsidRDefault="0077224F">
      <w:pPr>
        <w:pStyle w:val="FootnoteText"/>
        <w:rPr>
          <w:rFonts w:ascii="Times New Roman" w:hAnsi="Times New Roman"/>
        </w:rPr>
      </w:pPr>
    </w:p>
  </w:footnote>
  <w:footnote w:id="23">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One respondent did not express his views on this.</w:t>
      </w:r>
    </w:p>
  </w:footnote>
  <w:footnote w:id="24">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BEREC reply p. 6: "</w:t>
      </w:r>
      <w:r>
        <w:rPr>
          <w:rFonts w:ascii="Times New Roman" w:hAnsi="Times New Roman"/>
          <w:i/>
        </w:rPr>
        <w:t xml:space="preserve">As technology has developed, so have the threats to </w:t>
      </w:r>
      <w:r>
        <w:rPr>
          <w:rFonts w:ascii="Times New Roman" w:hAnsi="Times New Roman"/>
          <w:i/>
        </w:rPr>
        <w:t xml:space="preserve">confidentiality of communications. Nowadays, it is for instance possible </w:t>
      </w:r>
      <w:r>
        <w:rPr>
          <w:rFonts w:ascii="Times New Roman" w:hAnsi="Times New Roman"/>
          <w:b/>
          <w:i/>
        </w:rPr>
        <w:t>to automatically analyse network traffic in real time (i.e. Deep Packet Inspection), even on a core network level</w:t>
      </w:r>
      <w:r>
        <w:rPr>
          <w:rFonts w:ascii="Times New Roman" w:hAnsi="Times New Roman"/>
          <w:i/>
        </w:rPr>
        <w:t xml:space="preserve">. Such analysis could be used for anything from traffic management to </w:t>
      </w:r>
      <w:r>
        <w:rPr>
          <w:rFonts w:ascii="Times New Roman" w:hAnsi="Times New Roman"/>
          <w:i/>
        </w:rPr>
        <w:t>profiling of the network users for marketing purposes</w:t>
      </w:r>
      <w:r>
        <w:rPr>
          <w:rFonts w:ascii="Times New Roman" w:hAnsi="Times New Roman"/>
        </w:rPr>
        <w:t>."</w:t>
      </w:r>
    </w:p>
  </w:footnote>
  <w:footnote w:id="25">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2016 Eurobarometer survey (EB) 443 on e-Privacy (SMART 2016/079).</w:t>
      </w:r>
    </w:p>
  </w:footnote>
  <w:footnote w:id="26">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92 % with 78% considering this as very important.</w:t>
      </w:r>
    </w:p>
  </w:footnote>
  <w:footnote w:id="27">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92% with 72% considering this as very important.</w:t>
      </w:r>
    </w:p>
  </w:footnote>
  <w:footnote w:id="28">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82% with 56% considering this very important.</w:t>
      </w:r>
    </w:p>
  </w:footnote>
  <w:footnote w:id="29">
    <w:p w:rsidR="0077224F" w:rsidRDefault="00D973EE">
      <w:pPr>
        <w:pStyle w:val="FootnoteText"/>
        <w:rPr>
          <w:rFonts w:ascii="Times New Roman" w:hAnsi="Times New Roman"/>
          <w:lang w:val="en-AU"/>
        </w:rPr>
      </w:pPr>
      <w:r>
        <w:rPr>
          <w:rStyle w:val="FootnoteReference"/>
          <w:rFonts w:ascii="Times New Roman" w:hAnsi="Times New Roman"/>
        </w:rPr>
        <w:footnoteRef/>
      </w:r>
      <w:r>
        <w:rPr>
          <w:rFonts w:ascii="Times New Roman" w:hAnsi="Times New Roman"/>
        </w:rPr>
        <w:t xml:space="preserve"> Q7 Which of the following would be your preferred approach to people telephoning you to sell goods or services?</w:t>
      </w:r>
    </w:p>
  </w:footnote>
  <w:footnote w:id="30">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Directive 95/46/EC of the European Parliament and of the Council of 24 October 1995 on the pr</w:t>
      </w:r>
      <w:r>
        <w:rPr>
          <w:rFonts w:ascii="Times New Roman" w:hAnsi="Times New Roman"/>
        </w:rPr>
        <w:t xml:space="preserve">otection of individuals with regard to the processing of personal data and on the free movement of such data, OJ, L 281, 23.11.1995. </w:t>
      </w:r>
    </w:p>
  </w:footnote>
  <w:footnote w:id="31">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The DPD is the legislative basis for two long-standing aims of European integration: the Internal Market (in this case t</w:t>
      </w:r>
      <w:r>
        <w:rPr>
          <w:rFonts w:ascii="Times New Roman" w:hAnsi="Times New Roman"/>
        </w:rPr>
        <w:t>he free movement of personal data) and the protection of fundamental rights and freedoms of individuals. In the Directive, both objectives are equally important.</w:t>
      </w:r>
    </w:p>
  </w:footnote>
  <w:footnote w:id="32">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Directive 97/66/EC of the European Parliament and of the Council, on concerning the processi</w:t>
      </w:r>
      <w:r>
        <w:rPr>
          <w:rFonts w:ascii="Times New Roman" w:hAnsi="Times New Roman"/>
        </w:rPr>
        <w:t>ng of personal data and the protection of privacy in the telecommunications sector, OJ L24/1, 30.1.98.</w:t>
      </w:r>
    </w:p>
  </w:footnote>
  <w:footnote w:id="33">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Recitals 2, 3 and 7 of the 1997 ePD.</w:t>
      </w:r>
    </w:p>
  </w:footnote>
  <w:footnote w:id="34">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bCs/>
        </w:rPr>
        <w:t>Directive 2009/136/EC of the European Parliament and of the the Council of 25 November 2009</w:t>
      </w:r>
      <w:r>
        <w:rPr>
          <w:rFonts w:ascii="Times New Roman" w:hAnsi="Times New Roman"/>
        </w:rPr>
        <w:t xml:space="preserve"> </w:t>
      </w:r>
      <w:r>
        <w:rPr>
          <w:rFonts w:ascii="Times New Roman" w:hAnsi="Times New Roman"/>
          <w:bCs/>
        </w:rPr>
        <w:t>amending Directi</w:t>
      </w:r>
      <w:r>
        <w:rPr>
          <w:rFonts w:ascii="Times New Roman" w:hAnsi="Times New Roman"/>
          <w:bCs/>
        </w:rPr>
        <w:t>ve 2002/22/EC on universal service and users’ rights relating to electronic communications networks and services, Directive 2002/58/EC concerning the processing of personal data and the protection of privacy in the electronic communications sector and Regu</w:t>
      </w:r>
      <w:r>
        <w:rPr>
          <w:rFonts w:ascii="Times New Roman" w:hAnsi="Times New Roman"/>
          <w:bCs/>
        </w:rPr>
        <w:t>lation (EC) No 2006/2004 on cooperation between national authorities responsible for the enforcement of consumer protection laws, OJ, L 337/1,</w:t>
      </w:r>
      <w:r>
        <w:rPr>
          <w:rFonts w:ascii="Times New Roman" w:hAnsi="Times New Roman"/>
        </w:rPr>
        <w:t xml:space="preserve"> 18.12.2009, p.11. </w:t>
      </w:r>
    </w:p>
  </w:footnote>
  <w:footnote w:id="35">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Article 7 provides that "Everyone has the right to respect for his or her private and family</w:t>
      </w:r>
      <w:r>
        <w:rPr>
          <w:rFonts w:ascii="Times New Roman" w:hAnsi="Times New Roman"/>
        </w:rPr>
        <w:t xml:space="preserve"> life, home and communications".</w:t>
      </w:r>
    </w:p>
  </w:footnote>
  <w:footnote w:id="36">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Article 8 provides that "</w:t>
      </w:r>
      <w:r>
        <w:rPr>
          <w:rFonts w:ascii="Times New Roman" w:hAnsi="Times New Roman"/>
          <w:color w:val="000000"/>
          <w:lang w:eastAsia="en-GB"/>
        </w:rPr>
        <w:t>Everyone has the right to the protection of personal data concerning him or her".</w:t>
      </w:r>
    </w:p>
  </w:footnote>
  <w:footnote w:id="37">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Articles 1 and 3 of the ePD.</w:t>
      </w:r>
    </w:p>
  </w:footnote>
  <w:footnote w:id="38">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Defined in Article 2 of Directive 2002/21/EC, OJ L 108, 24.4.2002, p. 33–50.</w:t>
      </w:r>
    </w:p>
  </w:footnote>
  <w:footnote w:id="39">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Eu</w:t>
      </w:r>
      <w:r>
        <w:rPr>
          <w:rFonts w:ascii="Times New Roman" w:hAnsi="Times New Roman"/>
        </w:rPr>
        <w:t xml:space="preserve">ropean Commission (2016). </w:t>
      </w:r>
      <w:r>
        <w:rPr>
          <w:rFonts w:ascii="Times New Roman" w:hAnsi="Times New Roman"/>
          <w:i/>
        </w:rPr>
        <w:t>Background to the public consultation on the evaluation and review of the ePrivacy Directive</w:t>
      </w:r>
      <w:r>
        <w:rPr>
          <w:rFonts w:ascii="Times New Roman" w:hAnsi="Times New Roman"/>
        </w:rPr>
        <w:t xml:space="preserve">, (http://ec.europa.eu/newsroom/dae/document.cfm?doc_id=15039), p. 5. </w:t>
      </w:r>
    </w:p>
  </w:footnote>
  <w:footnote w:id="40">
    <w:p w:rsidR="0077224F" w:rsidRDefault="00D973EE">
      <w:pPr>
        <w:pStyle w:val="FootnoteText"/>
        <w:rPr>
          <w:rFonts w:ascii="Times New Roman" w:hAnsi="Times New Roman"/>
          <w:lang w:val="en"/>
        </w:rPr>
      </w:pPr>
      <w:r>
        <w:rPr>
          <w:rStyle w:val="FootnoteReference"/>
          <w:rFonts w:ascii="Times New Roman" w:hAnsi="Times New Roman"/>
        </w:rPr>
        <w:footnoteRef/>
      </w:r>
      <w:r>
        <w:rPr>
          <w:rFonts w:ascii="Times New Roman" w:hAnsi="Times New Roman"/>
          <w:lang w:eastAsia="en-GB"/>
        </w:rPr>
        <w:t xml:space="preserve"> Based on existing communication technologies like the Internet, t</w:t>
      </w:r>
      <w:r>
        <w:rPr>
          <w:rFonts w:ascii="Times New Roman" w:hAnsi="Times New Roman"/>
          <w:lang w:eastAsia="en-GB"/>
        </w:rPr>
        <w:t>he IoT represents the next step towards digitisation where all objects and people can be interconnected through communication networks, in and across private, public and industrial spaces, and report about their status and/or about the status of the surrou</w:t>
      </w:r>
      <w:r>
        <w:rPr>
          <w:rFonts w:ascii="Times New Roman" w:hAnsi="Times New Roman"/>
          <w:lang w:eastAsia="en-GB"/>
        </w:rPr>
        <w:t>nding environment (Commission SWD(2016) 110/2 Advancing the Internet of Things in Europe, p. 6).</w:t>
      </w:r>
    </w:p>
  </w:footnote>
  <w:footnote w:id="41">
    <w:p w:rsidR="0077224F" w:rsidRDefault="00D973EE">
      <w:pPr>
        <w:pStyle w:val="FootnoteText"/>
        <w:rPr>
          <w:rFonts w:ascii="Times New Roman" w:hAnsi="Times New Roman"/>
          <w:lang w:eastAsia="en-GB"/>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eastAsia="en-GB"/>
        </w:rPr>
        <w:t>OJ L 337, 18.12.2009, p. 11–36.</w:t>
      </w:r>
    </w:p>
  </w:footnote>
  <w:footnote w:id="42">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EDPS Opinion 5/2016, Preliminary EDPS Opinion on the review of the ePrivacy Directive (2002/58/EC), 22.07.2016, p. 11.</w:t>
      </w:r>
    </w:p>
  </w:footnote>
  <w:footnote w:id="43">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w:t>
      </w:r>
      <w:r>
        <w:rPr>
          <w:rFonts w:ascii="Times New Roman" w:hAnsi="Times New Roman"/>
          <w:b/>
        </w:rPr>
        <w:t xml:space="preserve"> </w:t>
      </w:r>
      <w:r>
        <w:rPr>
          <w:rFonts w:ascii="Times New Roman" w:hAnsi="Times New Roman"/>
        </w:rPr>
        <w:t>cookie is a small piece of information placed on a person’s computer when they visit a website. They can be used to remember the users’ preferences, record items placed in a shopping basket and carry out various other tasks based on how that person uses th</w:t>
      </w:r>
      <w:r>
        <w:rPr>
          <w:rFonts w:ascii="Times New Roman" w:hAnsi="Times New Roman"/>
        </w:rPr>
        <w:t xml:space="preserve">e site. Some cookies, known as third party cookies, are placed by a website different from the website that one has visited. They are often used to record information about </w:t>
      </w:r>
      <w:r>
        <w:rPr>
          <w:rFonts w:ascii="Times New Roman" w:hAnsi="Times New Roman"/>
          <w:lang w:eastAsia="en-GB"/>
        </w:rPr>
        <w:t>individuals’ surfing behaviour (website visited, interactions, time, location) etc.</w:t>
      </w:r>
      <w:r>
        <w:rPr>
          <w:rFonts w:ascii="Times New Roman" w:hAnsi="Times New Roman"/>
          <w:lang w:eastAsia="en-GB"/>
        </w:rPr>
        <w:t xml:space="preserve">  This is used to develop specific profile and provide individuals with advertisements tailored to match their inferred interests (</w:t>
      </w:r>
      <w:r>
        <w:rPr>
          <w:rFonts w:ascii="Times New Roman" w:hAnsi="Times New Roman"/>
        </w:rPr>
        <w:t>Definition provided by Article 29 Data Protection Working Party, Press Release on the Cookie Sweep Combined Analysis Exercise</w:t>
      </w:r>
      <w:r>
        <w:rPr>
          <w:rFonts w:ascii="Times New Roman" w:hAnsi="Times New Roman"/>
        </w:rPr>
        <w:t xml:space="preserve">: </w:t>
      </w:r>
      <w:hyperlink r:id="rId2" w:history="1">
        <w:r>
          <w:rPr>
            <w:rStyle w:val="Hyperlink"/>
            <w:rFonts w:ascii="Times New Roman" w:hAnsi="Times New Roman"/>
          </w:rPr>
          <w:t>http://ec.europa.eu/justice/data-protection/article-29/press-material/press-re</w:t>
        </w:r>
        <w:r>
          <w:rPr>
            <w:rStyle w:val="Hyperlink"/>
            <w:rFonts w:ascii="Times New Roman" w:hAnsi="Times New Roman"/>
          </w:rPr>
          <w:t>lease/art29_press_material/2015/20150217__wp29_press_release_on_cookie_sweep_.pdf</w:t>
        </w:r>
      </w:hyperlink>
      <w:r>
        <w:rPr>
          <w:rFonts w:ascii="Times New Roman" w:hAnsi="Times New Roman"/>
          <w:lang w:eastAsia="en-GB"/>
        </w:rPr>
        <w:t>).</w:t>
      </w:r>
    </w:p>
  </w:footnote>
  <w:footnote w:id="44">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b/>
        </w:rPr>
        <w:t>Traffic data</w:t>
      </w:r>
      <w:r>
        <w:rPr>
          <w:rFonts w:ascii="Times New Roman" w:hAnsi="Times New Roman"/>
        </w:rPr>
        <w:t xml:space="preserve"> means any data processed for the purpose of the conveyance of a communication on an electronic communications network or for the billing thereof. This includ</w:t>
      </w:r>
      <w:r>
        <w:rPr>
          <w:rFonts w:ascii="Times New Roman" w:hAnsi="Times New Roman"/>
        </w:rPr>
        <w:t>es for instance calling and called numbers, Internet Protocol (IP) address, name and address of the subscribers concerned; date, time and duration of a communication; location. These data are commonly referred to also as "metadata".</w:t>
      </w:r>
    </w:p>
  </w:footnote>
  <w:footnote w:id="45">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OJ </w:t>
      </w:r>
      <w:r>
        <w:rPr>
          <w:rFonts w:ascii="Times New Roman" w:hAnsi="Times New Roman"/>
          <w:iCs/>
        </w:rPr>
        <w:t>L 281 , 23/11/1995</w:t>
      </w:r>
      <w:r>
        <w:rPr>
          <w:rFonts w:ascii="Times New Roman" w:hAnsi="Times New Roman"/>
          <w:iCs/>
        </w:rPr>
        <w:t xml:space="preserve"> P. 0031 - 0050</w:t>
      </w:r>
      <w:r>
        <w:rPr>
          <w:rFonts w:ascii="Times New Roman" w:hAnsi="Times New Roman"/>
        </w:rPr>
        <w:t xml:space="preserve">. </w:t>
      </w:r>
    </w:p>
  </w:footnote>
  <w:footnote w:id="46">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Regulation (EU) 2016/679 of the European Parliament and of the Council of 27 April 2016 on the protection of natural persons with regard to the processing of personal data and on the free movement of such data, and repealing Directive 9</w:t>
      </w:r>
      <w:r>
        <w:rPr>
          <w:rFonts w:ascii="Times New Roman" w:hAnsi="Times New Roman"/>
        </w:rPr>
        <w:t>5/46/EC (General Data Protection Regulation) (OJ L 119, 4.5.2016, p. 1–88).</w:t>
      </w:r>
    </w:p>
  </w:footnote>
  <w:footnote w:id="47">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http://eur-lex.europa.eu/LexUriServ/LexUriServ.do?uri=CONSLEG:2002L0058:20091219:EN:PDF.</w:t>
      </w:r>
    </w:p>
  </w:footnote>
  <w:footnote w:id="48">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eastAsia="en-GB"/>
        </w:rPr>
        <w:t>COM(2016) 590 final.</w:t>
      </w:r>
    </w:p>
  </w:footnote>
  <w:footnote w:id="49">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These are mainly the rights and obligations provided for in Arti</w:t>
      </w:r>
      <w:r>
        <w:rPr>
          <w:rFonts w:ascii="Times New Roman" w:hAnsi="Times New Roman"/>
        </w:rPr>
        <w:t>cle 5, Article 6, Article 8(1), (2), (3) and (4), and Article 9 of the ePD.</w:t>
      </w:r>
    </w:p>
  </w:footnote>
  <w:footnote w:id="50">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COM(2015) 185 final.</w:t>
      </w:r>
    </w:p>
  </w:footnote>
  <w:footnote w:id="51">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CERRE, Consumer Privacy in Network Industries,</w:t>
      </w:r>
      <w:r>
        <w:rPr>
          <w:rFonts w:ascii="Times New Roman" w:hAnsi="Times New Roman"/>
        </w:rPr>
        <w:tab/>
        <w:t xml:space="preserve"> </w:t>
      </w:r>
      <w:hyperlink r:id="rId3" w:history="1">
        <w:r>
          <w:rPr>
            <w:rStyle w:val="Hyperlink"/>
            <w:rFonts w:ascii="Times New Roman" w:hAnsi="Times New Roman"/>
          </w:rPr>
          <w:t>http://www.cerre.eu/si</w:t>
        </w:r>
        <w:r>
          <w:rPr>
            <w:rStyle w:val="Hyperlink"/>
            <w:rFonts w:ascii="Times New Roman" w:hAnsi="Times New Roman"/>
          </w:rPr>
          <w:t>tes/cerre/files/160125_CERRE_Privacy_Final.pdf</w:t>
        </w:r>
      </w:hyperlink>
      <w:r>
        <w:rPr>
          <w:rFonts w:ascii="Times New Roman" w:hAnsi="Times New Roman"/>
        </w:rPr>
        <w:t>, p. 8.</w:t>
      </w:r>
    </w:p>
  </w:footnote>
  <w:footnote w:id="52">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Only one third of respondents to the 2016 Eurobarometer on e-Privacy say it is acceptable to have their online activities monitored in exchange for unrestricted access to a certain website (33%). See </w:t>
      </w:r>
      <w:r>
        <w:rPr>
          <w:rFonts w:ascii="Times New Roman" w:hAnsi="Times New Roman"/>
        </w:rPr>
        <w:t>alsoStudy for the EP IMCO Committee, Over the Top players (OTT), 2015, p. 54-55.</w:t>
      </w:r>
    </w:p>
  </w:footnote>
  <w:footnote w:id="53">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Acquisti-Taylor-Wagman point out that consumers- ability to make informed decisions about their privacy is hindered, because most of the time they are in a position of imper</w:t>
      </w:r>
      <w:r>
        <w:rPr>
          <w:rFonts w:ascii="Times New Roman" w:hAnsi="Times New Roman"/>
        </w:rPr>
        <w:t xml:space="preserve">fect information regarding when their data is collected, with what purposes, and with what consequences. Acquisti A., Taylor C., Wagman L., The Economics of Privacy: </w:t>
      </w:r>
      <w:hyperlink r:id="rId4" w:history="1">
        <w:r>
          <w:rPr>
            <w:rStyle w:val="Hyperlink"/>
            <w:rFonts w:ascii="Times New Roman" w:hAnsi="Times New Roman"/>
          </w:rPr>
          <w:t>http://papers.s</w:t>
        </w:r>
        <w:r>
          <w:rPr>
            <w:rStyle w:val="Hyperlink"/>
            <w:rFonts w:ascii="Times New Roman" w:hAnsi="Times New Roman"/>
          </w:rPr>
          <w:t>srn.com/sol3/papers.cfm?abstract_id=2580411</w:t>
        </w:r>
      </w:hyperlink>
      <w:r>
        <w:rPr>
          <w:rFonts w:ascii="Times New Roman" w:hAnsi="Times New Roman"/>
        </w:rPr>
        <w:t xml:space="preserve">. </w:t>
      </w:r>
    </w:p>
  </w:footnote>
  <w:footnote w:id="54">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2016 Eurobarometer survey (EB) 443 on e-Privacy (SMART 2016/079).</w:t>
      </w:r>
    </w:p>
  </w:footnote>
  <w:footnote w:id="55">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Only a third of respondents to the 2016 Eurobarometer on e-Privacy said they use software that protects them from seeing online adverts (37%</w:t>
      </w:r>
      <w:r>
        <w:rPr>
          <w:rFonts w:ascii="Times New Roman" w:hAnsi="Times New Roman"/>
        </w:rPr>
        <w:t>) or from being monitored (27%).</w:t>
      </w:r>
    </w:p>
  </w:footnote>
  <w:footnote w:id="56">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See, e.g., survey conducted by the Norwegian DPA, Personal data in exchange for free services: an unhappy relationship?, </w:t>
      </w:r>
      <w:hyperlink r:id="rId5" w:history="1">
        <w:r>
          <w:rPr>
            <w:rStyle w:val="Hyperlink"/>
            <w:rFonts w:ascii="Times New Roman" w:hAnsi="Times New Roman"/>
          </w:rPr>
          <w:t>http</w:t>
        </w:r>
        <w:r>
          <w:rPr>
            <w:rStyle w:val="Hyperlink"/>
            <w:rFonts w:ascii="Times New Roman" w:hAnsi="Times New Roman"/>
          </w:rPr>
          <w:t>s://www.datatilsynet.no/globalassets/global/english/privacy-trends-2016.pdf</w:t>
        </w:r>
      </w:hyperlink>
      <w:r>
        <w:rPr>
          <w:rFonts w:ascii="Times New Roman" w:hAnsi="Times New Roman"/>
        </w:rPr>
        <w:t>.</w:t>
      </w:r>
    </w:p>
  </w:footnote>
  <w:footnote w:id="57">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Almost three quarters (74%) of respondents to the 2016 Eurobarometer on e-Privacy say it is not acceptable to</w:t>
      </w:r>
      <w:r>
        <w:rPr>
          <w:rFonts w:ascii="Times New Roman" w:hAnsi="Times New Roman"/>
          <w:b/>
        </w:rPr>
        <w:t xml:space="preserve"> </w:t>
      </w:r>
      <w:r>
        <w:rPr>
          <w:rFonts w:ascii="Times New Roman" w:hAnsi="Times New Roman"/>
        </w:rPr>
        <w:t>pay in order not to be monitored when using a website while only on</w:t>
      </w:r>
      <w:r>
        <w:rPr>
          <w:rFonts w:ascii="Times New Roman" w:hAnsi="Times New Roman"/>
        </w:rPr>
        <w:t>e quarter of respondents</w:t>
      </w:r>
      <w:r>
        <w:rPr>
          <w:rFonts w:ascii="Times New Roman" w:hAnsi="Times New Roman"/>
          <w:vertAlign w:val="superscript"/>
        </w:rPr>
        <w:footnoteRef/>
      </w:r>
      <w:r>
        <w:rPr>
          <w:rFonts w:ascii="Times New Roman" w:hAnsi="Times New Roman"/>
        </w:rPr>
        <w:t xml:space="preserve"> (24%) say it is acceptable,</w:t>
      </w:r>
    </w:p>
  </w:footnote>
  <w:footnote w:id="58">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According to the 2016 Eurobarometer on ePrivacy, 45% of the youngest respondents say it is acceptable to have their online activities monitored, compared to 24% of those aged 55+.</w:t>
      </w:r>
    </w:p>
  </w:footnote>
  <w:footnote w:id="59">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The content of this section is provided by the Commission external study prepared by Deloitte (2016), Evaluation and review of Directive 2002/58 on privacy and the electronic communication sector (SMART 2016/0080)..</w:t>
      </w:r>
    </w:p>
  </w:footnote>
  <w:footnote w:id="60">
    <w:p w:rsidR="0077224F" w:rsidRDefault="00D973EE">
      <w:pPr>
        <w:pStyle w:val="FootnoteText"/>
        <w:rPr>
          <w:rFonts w:ascii="Times New Roman" w:eastAsia="Times" w:hAnsi="Times New Roman"/>
          <w:color w:val="000000"/>
        </w:rPr>
      </w:pPr>
      <w:r>
        <w:rPr>
          <w:rStyle w:val="FootnoteReference"/>
          <w:rFonts w:ascii="Times New Roman" w:hAnsi="Times New Roman"/>
        </w:rPr>
        <w:footnoteRef/>
      </w:r>
      <w:r>
        <w:rPr>
          <w:rFonts w:ascii="Times New Roman" w:hAnsi="Times New Roman"/>
        </w:rPr>
        <w:t xml:space="preserve"> Eurostat defines this sector as being</w:t>
      </w:r>
      <w:r>
        <w:rPr>
          <w:rFonts w:ascii="Times New Roman" w:hAnsi="Times New Roman"/>
        </w:rPr>
        <w:t xml:space="preserve"> composed of business activities of providing telecommunications and related service activities, such as transmitting voice, data, text, sound and video.</w:t>
      </w:r>
    </w:p>
  </w:footnote>
  <w:footnote w:id="61">
    <w:p w:rsidR="0077224F" w:rsidRDefault="00D973EE">
      <w:pPr>
        <w:pStyle w:val="FootnoteText"/>
        <w:jc w:val="left"/>
        <w:rPr>
          <w:rFonts w:ascii="Times New Roman" w:hAnsi="Times New Roman"/>
        </w:rPr>
      </w:pPr>
      <w:r>
        <w:rPr>
          <w:rStyle w:val="FootnoteReference"/>
          <w:rFonts w:ascii="Times New Roman" w:hAnsi="Times New Roman"/>
        </w:rPr>
        <w:footnoteRef/>
      </w:r>
      <w:r>
        <w:rPr>
          <w:rFonts w:ascii="Times New Roman" w:hAnsi="Times New Roman"/>
        </w:rPr>
        <w:t xml:space="preserve"> See Eurostat: </w:t>
      </w:r>
      <w:hyperlink r:id="rId6" w:history="1">
        <w:r>
          <w:rPr>
            <w:rStyle w:val="Hyperlink"/>
            <w:rFonts w:ascii="Times New Roman" w:hAnsi="Times New Roman"/>
          </w:rPr>
          <w:t>http://ec.europa.eu/eurostat/statisticsexplained/images/8/88/Key_indicators%2C_telecommunications_%28NACE_Division_61%29%2C_2012_A.png</w:t>
        </w:r>
      </w:hyperlink>
      <w:r>
        <w:rPr>
          <w:rFonts w:ascii="Times New Roman" w:hAnsi="Times New Roman"/>
        </w:rPr>
        <w:t xml:space="preserve">.  </w:t>
      </w:r>
    </w:p>
  </w:footnote>
  <w:footnote w:id="62">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Eurostat data for 2012, final numbers for 2014 not </w:t>
      </w:r>
      <w:r>
        <w:rPr>
          <w:rFonts w:ascii="Times New Roman" w:hAnsi="Times New Roman"/>
        </w:rPr>
        <w:t>available.</w:t>
      </w:r>
    </w:p>
  </w:footnote>
  <w:footnote w:id="63">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No data on annual turnover available.</w:t>
      </w:r>
    </w:p>
  </w:footnote>
  <w:footnote w:id="64">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Figure from 2011. Actual figure today likely to be higher. See: http://ec.europa.eu/eurostat/statistics-explained/images/4/4f/Sectoral_analysis_of_key_indicators%2C_telecommunications_%28NACE_Division_61</w:t>
      </w:r>
      <w:r>
        <w:rPr>
          <w:rFonts w:ascii="Times New Roman" w:hAnsi="Times New Roman"/>
        </w:rPr>
        <w:t>%29%2C_EU-28%2C_2012_A.png.</w:t>
      </w:r>
    </w:p>
  </w:footnote>
  <w:footnote w:id="65">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This is based on internal calculations and cannot be directly concluded from the information sources we used for our analysis.</w:t>
      </w:r>
    </w:p>
  </w:footnote>
  <w:footnote w:id="66">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Figures relate to 2012. The actual figures today are likely to be higher. See Eurostat: http://ec</w:t>
      </w:r>
      <w:r>
        <w:rPr>
          <w:rFonts w:ascii="Times New Roman" w:hAnsi="Times New Roman"/>
        </w:rPr>
        <w:t>.europa.eu/eurostat/statistics-explained/images/9/9c/Key_indicators%2C_telecommunications_%28NACE_Division_61%29%2C_EU-28%2C_2012.png.</w:t>
      </w:r>
    </w:p>
  </w:footnote>
  <w:footnote w:id="67">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w:t>
      </w:r>
      <w:r>
        <w:rPr>
          <w:rFonts w:ascii="Times New Roman" w:hAnsi="Times New Roman"/>
        </w:rPr>
        <w:t>Over The Top) is a generic term commonly used to refer to the delivery of audio, video, and other media over the Inter</w:t>
      </w:r>
      <w:r>
        <w:rPr>
          <w:rFonts w:ascii="Times New Roman" w:hAnsi="Times New Roman"/>
        </w:rPr>
        <w:t xml:space="preserve">net without the involvement of a multiple-system operator in the control or distribution of the content. The term </w:t>
      </w:r>
      <w:r>
        <w:rPr>
          <w:rFonts w:ascii="Times New Roman" w:hAnsi="Times New Roman"/>
          <w:lang w:val="en-US"/>
        </w:rPr>
        <w:t>over-the-top (OTT) is commonly used to refer to online services which could substitute to some degree for traditional media and telecom servic</w:t>
      </w:r>
      <w:r>
        <w:rPr>
          <w:rFonts w:ascii="Times New Roman" w:hAnsi="Times New Roman"/>
          <w:lang w:val="en-US"/>
        </w:rPr>
        <w:t xml:space="preserve">es. Definition provided in the study of the European Parliament, </w:t>
      </w:r>
      <w:r>
        <w:rPr>
          <w:rFonts w:ascii="Times New Roman" w:hAnsi="Times New Roman"/>
        </w:rPr>
        <w:t>Directorate-General for internal policies, policy department A: Economic and Scientific Policy, Over-the-Top (OTTs) players: Market dynamics and policy challenges, dd.December. 2015,http://ww</w:t>
      </w:r>
      <w:r>
        <w:rPr>
          <w:rFonts w:ascii="Times New Roman" w:hAnsi="Times New Roman"/>
        </w:rPr>
        <w:t>w.europarl.europa.eu/RegData/etudes/STUD/2015/569979/IPOL_STU(2015)569979_EN.pdf.</w:t>
      </w:r>
    </w:p>
  </w:footnote>
  <w:footnote w:id="68">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http://www.marketsandmarkets.com/Market-Reports/over-the-top-ott-market-41276741.html.</w:t>
      </w:r>
    </w:p>
  </w:footnote>
  <w:footnote w:id="69">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http://www.prnewswire.com/news-releases/over-the-top-market-worth-6203-billion-usd-</w:t>
      </w:r>
      <w:r>
        <w:rPr>
          <w:rFonts w:ascii="Times New Roman" w:hAnsi="Times New Roman"/>
        </w:rPr>
        <w:t>by-2020-572232561.html.</w:t>
      </w:r>
    </w:p>
  </w:footnote>
  <w:footnote w:id="70">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Interestingly, the Eurobarometer data shows that for instant messaging OTTs, two large groups of consumers seem to exist: Those that use instant messaging every day and those that never use it. The proportion of consumers that uses it a few times per week</w:t>
      </w:r>
      <w:r>
        <w:rPr>
          <w:rFonts w:ascii="Times New Roman" w:hAnsi="Times New Roman"/>
        </w:rPr>
        <w:t xml:space="preserve"> / month is comparatively small. It can be assumed that age is an important factor with regard to the take-up of such services. While younger generations use instant messaging every day, the majority of older consumers do not use it at all. Therefore, it c</w:t>
      </w:r>
      <w:r>
        <w:rPr>
          <w:rFonts w:ascii="Times New Roman" w:hAnsi="Times New Roman"/>
        </w:rPr>
        <w:t>an be expected that the share of consumers who use instant messaging on a daily basis will increase over the next years.</w:t>
      </w:r>
    </w:p>
  </w:footnote>
  <w:footnote w:id="71">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Flash Eurobarometer 443 (2016): e-Privacy. Data on 26,526 consumers collected between 6 and 8 July 2016. At the stage of drafting thi</w:t>
      </w:r>
      <w:r>
        <w:rPr>
          <w:rFonts w:ascii="Times New Roman" w:hAnsi="Times New Roman"/>
        </w:rPr>
        <w:t>s report, the Eurobarometer results are only of provisional character.</w:t>
      </w:r>
    </w:p>
  </w:footnote>
  <w:footnote w:id="72">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DLA Piper 2016: ETNO. Study on the revision of the ePrivacy Directive, p. 11; see also https://ec.europa.eu/digital-single-market/en/news/full-synopsis-report-public-consultation-eval</w:t>
      </w:r>
      <w:r>
        <w:rPr>
          <w:rFonts w:ascii="Times New Roman" w:hAnsi="Times New Roman"/>
        </w:rPr>
        <w:t>uation-and-review-regulatory-framework-electronic.</w:t>
      </w:r>
    </w:p>
  </w:footnote>
  <w:footnote w:id="73">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Ecorys, 2016: Study on future trends and business models in communication services. Final report. A study prepared for the European Commission DG Communications Networks, Content &amp; Technology, p. 37, 39.</w:t>
      </w:r>
    </w:p>
  </w:footnote>
  <w:footnote w:id="74">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Ibid. p. 41.</w:t>
      </w:r>
    </w:p>
  </w:footnote>
  <w:footnote w:id="75">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Ecorys, 2016: Study on future trends and business models in communication services. Final report. A study prepared for the European Commission DG Communications Networks, Content &amp; Technology, p. 40.</w:t>
      </w:r>
    </w:p>
  </w:footnote>
  <w:footnote w:id="76">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Ibid. p.</w:t>
      </w:r>
      <w:r>
        <w:rPr>
          <w:rFonts w:ascii="Times New Roman" w:hAnsi="Times New Roman"/>
          <w:lang w:eastAsia="de-DE"/>
        </w:rPr>
        <w:t xml:space="preserve"> </w:t>
      </w:r>
      <w:r>
        <w:rPr>
          <w:rFonts w:ascii="Times New Roman" w:hAnsi="Times New Roman"/>
        </w:rPr>
        <w:t>15.</w:t>
      </w:r>
    </w:p>
  </w:footnote>
  <w:footnote w:id="77">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Ibid. p. 45.</w:t>
      </w:r>
    </w:p>
  </w:footnote>
  <w:footnote w:id="78">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Ibid. </w:t>
      </w:r>
      <w:r>
        <w:rPr>
          <w:rFonts w:ascii="Times New Roman" w:hAnsi="Times New Roman"/>
        </w:rPr>
        <w:t>p. 41.</w:t>
      </w:r>
    </w:p>
  </w:footnote>
  <w:footnote w:id="79">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Ecorys, 2016: Study on future trends and business models in communication services. Final report. A study prepared for the European Commission DG Communications Networks, Content &amp; Technology, p. 42-44.</w:t>
      </w:r>
    </w:p>
  </w:footnote>
  <w:footnote w:id="80">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DLA Piper 2016: ETNO. Study on the revision of the ePrivacy Directive, p. 13.</w:t>
      </w:r>
    </w:p>
  </w:footnote>
  <w:footnote w:id="81">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DLA Piper 2016: ETNO. Study on the revision of the ePrivacy Directive, p. 13.</w:t>
      </w:r>
    </w:p>
  </w:footnote>
  <w:footnote w:id="82">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Ecorys, 2016: Study on future trends and business models in communication services. Final repor</w:t>
      </w:r>
      <w:r>
        <w:rPr>
          <w:rFonts w:ascii="Times New Roman" w:hAnsi="Times New Roman"/>
        </w:rPr>
        <w:t>t. A study prepared for the European Commission DG Communications Networks, Content &amp; Technology.</w:t>
      </w:r>
    </w:p>
  </w:footnote>
  <w:footnote w:id="83">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Ecorys, 2016: Study on future trends and business models in communication services. Final report. A study prepared for the European Commission DG Communicat</w:t>
      </w:r>
      <w:r>
        <w:rPr>
          <w:rFonts w:ascii="Times New Roman" w:hAnsi="Times New Roman"/>
        </w:rPr>
        <w:t>ions Networks, Content &amp; Technology, p. 66.</w:t>
      </w:r>
    </w:p>
  </w:footnote>
  <w:footnote w:id="84">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Ecorys, 2016: Study on future trends and business models in communication services. Final report. A study prepared for the European Commission DG Communications Networks, Content &amp; Technology, p. 100.</w:t>
      </w:r>
    </w:p>
  </w:footnote>
  <w:footnote w:id="85">
    <w:p w:rsidR="0077224F" w:rsidRDefault="00D973EE">
      <w:pPr>
        <w:autoSpaceDE w:val="0"/>
        <w:autoSpaceDN w:val="0"/>
        <w:adjustRightInd w:val="0"/>
        <w:spacing w:after="0"/>
        <w:rPr>
          <w:rFonts w:ascii="Times New Roman" w:hAnsi="Times New Roman"/>
          <w:szCs w:val="20"/>
        </w:rPr>
      </w:pPr>
      <w:r>
        <w:rPr>
          <w:rStyle w:val="FootnoteReference"/>
          <w:rFonts w:ascii="Times New Roman" w:hAnsi="Times New Roman"/>
          <w:szCs w:val="20"/>
        </w:rPr>
        <w:footnoteRef/>
      </w:r>
      <w:r>
        <w:rPr>
          <w:rFonts w:ascii="Times New Roman" w:hAnsi="Times New Roman"/>
          <w:szCs w:val="20"/>
        </w:rPr>
        <w:t xml:space="preserve"> This su</w:t>
      </w:r>
      <w:r>
        <w:rPr>
          <w:rFonts w:ascii="Times New Roman" w:hAnsi="Times New Roman"/>
          <w:szCs w:val="20"/>
        </w:rPr>
        <w:t xml:space="preserve">mmary is based on Article 29 Working Party Opinion </w:t>
      </w:r>
      <w:r>
        <w:rPr>
          <w:rFonts w:ascii="Times New Roman" w:eastAsia="Calibri" w:hAnsi="Times New Roman"/>
          <w:bCs/>
          <w:szCs w:val="20"/>
        </w:rPr>
        <w:t xml:space="preserve">2/2010 on online behavioural advertising, adopted on 22 June 2010 and on a report of the Norwegian </w:t>
      </w:r>
      <w:r>
        <w:rPr>
          <w:rFonts w:ascii="Times New Roman" w:hAnsi="Times New Roman"/>
          <w:szCs w:val="20"/>
        </w:rPr>
        <w:t xml:space="preserve">Data Protection Authority </w:t>
      </w:r>
      <w:r>
        <w:rPr>
          <w:rFonts w:ascii="Times New Roman" w:eastAsia="Calibri" w:hAnsi="Times New Roman"/>
          <w:bCs/>
          <w:szCs w:val="20"/>
        </w:rPr>
        <w:t>entitled ‘</w:t>
      </w:r>
      <w:r>
        <w:rPr>
          <w:rFonts w:ascii="Times New Roman" w:eastAsia="Calibri" w:hAnsi="Times New Roman"/>
          <w:bCs/>
          <w:i/>
          <w:szCs w:val="20"/>
        </w:rPr>
        <w:t>The Great Data Race, how commercial utilisation of personal data chall</w:t>
      </w:r>
      <w:r>
        <w:rPr>
          <w:rFonts w:ascii="Times New Roman" w:eastAsia="Calibri" w:hAnsi="Times New Roman"/>
          <w:bCs/>
          <w:i/>
          <w:szCs w:val="20"/>
        </w:rPr>
        <w:t>enges privacy</w:t>
      </w:r>
      <w:r>
        <w:rPr>
          <w:rFonts w:ascii="Times New Roman" w:eastAsia="Calibri" w:hAnsi="Times New Roman"/>
          <w:bCs/>
          <w:szCs w:val="20"/>
        </w:rPr>
        <w:t xml:space="preserve">”, November 2015.  It also based on a report </w:t>
      </w:r>
      <w:r>
        <w:rPr>
          <w:rStyle w:val="Strong"/>
          <w:rFonts w:ascii="Times New Roman" w:hAnsi="Times New Roman"/>
          <w:szCs w:val="20"/>
          <w:lang w:val="en-US"/>
        </w:rPr>
        <w:t>produced by IHS and sponsored by IAB Europe, “Paving the way: online advertising in the European economy</w:t>
      </w:r>
      <w:r>
        <w:rPr>
          <w:rFonts w:ascii="Times New Roman" w:eastAsia="Calibri" w:hAnsi="Times New Roman"/>
          <w:b/>
          <w:bCs/>
          <w:szCs w:val="20"/>
        </w:rPr>
        <w:t xml:space="preserve">, </w:t>
      </w:r>
      <w:r>
        <w:rPr>
          <w:rFonts w:ascii="Times New Roman" w:eastAsia="Calibri" w:hAnsi="Times New Roman"/>
          <w:bCs/>
          <w:szCs w:val="20"/>
        </w:rPr>
        <w:t>November 2015.  We have included an excerpt from the JRC Contribution to the revision of the</w:t>
      </w:r>
      <w:r>
        <w:rPr>
          <w:rFonts w:ascii="Times New Roman" w:eastAsia="Calibri" w:hAnsi="Times New Roman"/>
          <w:bCs/>
          <w:szCs w:val="20"/>
        </w:rPr>
        <w:t xml:space="preserve"> ePrivacy Directive, of 5.5.2016.</w:t>
      </w:r>
    </w:p>
    <w:p w:rsidR="0077224F" w:rsidRDefault="0077224F">
      <w:pPr>
        <w:pStyle w:val="FootnoteText"/>
        <w:rPr>
          <w:rFonts w:ascii="Times New Roman" w:hAnsi="Times New Roman"/>
          <w:lang w:val="en"/>
        </w:rPr>
      </w:pPr>
    </w:p>
  </w:footnote>
  <w:footnote w:id="86">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i/>
          <w:lang w:val="en"/>
        </w:rPr>
        <w:t>Four days that shook the digital ad world, available at:</w:t>
      </w:r>
      <w:r>
        <w:rPr>
          <w:rFonts w:ascii="Times New Roman" w:hAnsi="Times New Roman"/>
        </w:rPr>
        <w:t xml:space="preserve"> </w:t>
      </w:r>
      <w:hyperlink r:id="rId7" w:anchor="ixzz4IG8JgHEk" w:history="1">
        <w:r>
          <w:rPr>
            <w:rStyle w:val="Hyperlink"/>
            <w:rFonts w:ascii="Times New Roman" w:hAnsi="Times New Roman"/>
            <w:lang w:val="en"/>
          </w:rPr>
          <w:t>http://www.ft.com/cms/s/0/a7b36494-5546-11e6-9664-e0bdc13c3</w:t>
        </w:r>
        <w:r>
          <w:rPr>
            <w:rStyle w:val="Hyperlink"/>
            <w:rFonts w:ascii="Times New Roman" w:hAnsi="Times New Roman"/>
            <w:lang w:val="en"/>
          </w:rPr>
          <w:t>bef.html#ixzz4IG8JgHEk</w:t>
        </w:r>
      </w:hyperlink>
      <w:r>
        <w:rPr>
          <w:rFonts w:ascii="Times New Roman" w:hAnsi="Times New Roman"/>
        </w:rPr>
        <w:t xml:space="preserve">,  </w:t>
      </w:r>
      <w:r>
        <w:rPr>
          <w:rFonts w:ascii="Times New Roman" w:hAnsi="Times New Roman"/>
          <w:i/>
          <w:lang w:val="en"/>
        </w:rPr>
        <w:t>TV Ad Growth Overshadowed by Surge of Digital Giants Like Facebook, Google,</w:t>
      </w:r>
      <w:r>
        <w:rPr>
          <w:rFonts w:ascii="Times New Roman" w:hAnsi="Times New Roman"/>
          <w:lang w:val="en"/>
        </w:rPr>
        <w:t xml:space="preserve"> available at: </w:t>
      </w:r>
      <w:hyperlink r:id="rId8" w:history="1">
        <w:r>
          <w:rPr>
            <w:rStyle w:val="Hyperlink"/>
            <w:rFonts w:ascii="Times New Roman" w:hAnsi="Times New Roman"/>
            <w:lang w:val="en"/>
          </w:rPr>
          <w:t>http://variety.com/2016/voices/columns/facebook-</w:t>
        </w:r>
        <w:r>
          <w:rPr>
            <w:rStyle w:val="Hyperlink"/>
            <w:rFonts w:ascii="Times New Roman" w:hAnsi="Times New Roman"/>
            <w:lang w:val="en"/>
          </w:rPr>
          <w:t>google-ad-growth-1201839746/</w:t>
        </w:r>
      </w:hyperlink>
      <w:r>
        <w:rPr>
          <w:rFonts w:ascii="Times New Roman" w:hAnsi="Times New Roman"/>
          <w:lang w:val="en"/>
        </w:rPr>
        <w:t>.</w:t>
      </w:r>
    </w:p>
  </w:footnote>
  <w:footnote w:id="87">
    <w:p w:rsidR="0077224F" w:rsidRDefault="00D973EE">
      <w:pPr>
        <w:pStyle w:val="FootnoteText"/>
      </w:pPr>
      <w:r>
        <w:rPr>
          <w:rStyle w:val="FootnoteReference"/>
        </w:rPr>
        <w:footnoteRef/>
      </w:r>
      <w:r>
        <w:t xml:space="preserve"> Libraries and classes usually written in C/C++ and compiled for a specific hardware platform, which can be called by the app bytecode</w:t>
      </w:r>
    </w:p>
  </w:footnote>
  <w:footnote w:id="88">
    <w:p w:rsidR="0077224F" w:rsidRDefault="00D973EE">
      <w:pPr>
        <w:pStyle w:val="FootnoteText"/>
      </w:pPr>
      <w:r>
        <w:rPr>
          <w:rStyle w:val="FootnoteReference"/>
        </w:rPr>
        <w:footnoteRef/>
      </w:r>
      <w:r>
        <w:t xml:space="preserve"> https://support.google.com/accounts/answer/2812853?hl=en</w:t>
      </w:r>
    </w:p>
  </w:footnote>
  <w:footnote w:id="89">
    <w:p w:rsidR="0077224F" w:rsidRDefault="00D973EE">
      <w:pPr>
        <w:pStyle w:val="FootnoteText"/>
      </w:pPr>
      <w:r>
        <w:rPr>
          <w:rStyle w:val="FootnoteReference"/>
        </w:rPr>
        <w:footnoteRef/>
      </w:r>
      <w:r>
        <w:t xml:space="preserve"> http://developer.android.com/distribute/tools/open-distribution.html</w:t>
      </w:r>
    </w:p>
  </w:footnote>
  <w:footnote w:id="90">
    <w:p w:rsidR="0077224F" w:rsidRDefault="00D973EE">
      <w:pPr>
        <w:pStyle w:val="FootnoteText"/>
      </w:pPr>
      <w:r>
        <w:rPr>
          <w:rStyle w:val="FootnoteReference"/>
        </w:rPr>
        <w:footnoteRef/>
      </w:r>
      <w:r>
        <w:t xml:space="preserve"> https://github.com/laktak/vanilla-chrome</w:t>
      </w:r>
    </w:p>
  </w:footnote>
  <w:footnote w:id="91">
    <w:p w:rsidR="0077224F" w:rsidRDefault="00D973EE">
      <w:pPr>
        <w:pStyle w:val="FootnoteText"/>
      </w:pPr>
      <w:r>
        <w:rPr>
          <w:rStyle w:val="FootnoteReference"/>
        </w:rPr>
        <w:footnoteRef/>
      </w:r>
      <w:r>
        <w:t xml:space="preserve"> </w:t>
      </w:r>
      <w:hyperlink r:id="rId9" w:history="1">
        <w:r>
          <w:rPr>
            <w:rStyle w:val="Hyperlink"/>
          </w:rPr>
          <w:t>https://addons.mozilla.org/en-US/firefox/addon/lightbeam/</w:t>
        </w:r>
      </w:hyperlink>
      <w:r>
        <w:t xml:space="preserve"> </w:t>
      </w:r>
    </w:p>
  </w:footnote>
  <w:footnote w:id="92">
    <w:p w:rsidR="0077224F" w:rsidRDefault="00D973EE">
      <w:pPr>
        <w:pStyle w:val="FootnoteText"/>
      </w:pPr>
      <w:r>
        <w:rPr>
          <w:rStyle w:val="FootnoteReference"/>
        </w:rPr>
        <w:footnoteRef/>
      </w:r>
      <w:r>
        <w:t xml:space="preserve"> </w:t>
      </w:r>
      <w:hyperlink r:id="rId10" w:history="1">
        <w:r>
          <w:rPr>
            <w:rStyle w:val="Hyperlink"/>
          </w:rPr>
          <w:t>https://disconnect.me/disconnect</w:t>
        </w:r>
      </w:hyperlink>
      <w:r>
        <w:t xml:space="preserve"> </w:t>
      </w:r>
    </w:p>
  </w:footnote>
  <w:footnote w:id="93">
    <w:p w:rsidR="0077224F" w:rsidRDefault="00D973EE">
      <w:pPr>
        <w:pStyle w:val="FootnoteText"/>
      </w:pPr>
      <w:r>
        <w:rPr>
          <w:rStyle w:val="FootnoteReference"/>
        </w:rPr>
        <w:footnoteRef/>
      </w:r>
      <w:r>
        <w:t xml:space="preserve"> </w:t>
      </w:r>
      <w:hyperlink r:id="rId11" w:history="1">
        <w:r>
          <w:rPr>
            <w:rStyle w:val="Hyperlink"/>
          </w:rPr>
          <w:t>http://www.ghostery.com/</w:t>
        </w:r>
      </w:hyperlink>
    </w:p>
  </w:footnote>
  <w:footnote w:id="94">
    <w:p w:rsidR="0077224F" w:rsidRDefault="00D973EE">
      <w:pPr>
        <w:pStyle w:val="FootnoteText"/>
      </w:pPr>
      <w:r>
        <w:rPr>
          <w:rStyle w:val="FootnoteReference"/>
        </w:rPr>
        <w:footnoteRef/>
      </w:r>
      <w:r>
        <w:t xml:space="preserve"> </w:t>
      </w:r>
      <w:hyperlink r:id="rId12" w:history="1">
        <w:r>
          <w:rPr>
            <w:rStyle w:val="Hyperlink"/>
          </w:rPr>
          <w:t>https://www.eff.org/privacybadger</w:t>
        </w:r>
      </w:hyperlink>
      <w:r>
        <w:t xml:space="preserve"> </w:t>
      </w:r>
    </w:p>
  </w:footnote>
  <w:footnote w:id="95">
    <w:p w:rsidR="0077224F" w:rsidRDefault="00D973EE">
      <w:pPr>
        <w:pStyle w:val="FootnoteText"/>
        <w:rPr>
          <w:sz w:val="22"/>
          <w:szCs w:val="22"/>
        </w:rPr>
      </w:pPr>
      <w:r>
        <w:rPr>
          <w:rStyle w:val="FootnoteReference"/>
        </w:rPr>
        <w:footnoteRef/>
      </w:r>
      <w:r>
        <w:t xml:space="preserve"> </w:t>
      </w:r>
      <w:r>
        <w:rPr>
          <w:sz w:val="22"/>
          <w:szCs w:val="22"/>
        </w:rPr>
        <w:t>https://www.eff.org/ht</w:t>
      </w:r>
      <w:r>
        <w:rPr>
          <w:sz w:val="22"/>
          <w:szCs w:val="22"/>
        </w:rPr>
        <w:t>tps-everywhere</w:t>
      </w:r>
    </w:p>
  </w:footnote>
  <w:footnote w:id="96">
    <w:p w:rsidR="0077224F" w:rsidRDefault="00D973EE">
      <w:pPr>
        <w:pStyle w:val="FootnoteText"/>
      </w:pPr>
      <w:r>
        <w:rPr>
          <w:rStyle w:val="FootnoteReference"/>
        </w:rPr>
        <w:footnoteRef/>
      </w:r>
      <w:r>
        <w:t xml:space="preserve"> The top 98% used web browsers are: Internet Explorer, Firefox, Chrome, Safari, Opera, and Android Browser </w:t>
      </w:r>
      <w:r>
        <w:fldChar w:fldCharType="begin"/>
      </w:r>
      <w:r>
        <w:instrText xml:space="preserve"> ADDIN ZOTERO_ITEM CSL_CITATION {"citationID":"1lt4l5kb1k","properties":{"formattedCitation":"[17]","plainCitation":"[17]"},"citation</w:instrText>
      </w:r>
      <w:r>
        <w:instrText>Items":[{"id":306,"uris":["http://zotero.org/groups/583788/items/8PI53T5G"],"uri":["http://zotero.org/groups/583788/items/8PI53T5G"],"itemData":{"id":306,"type":"webpage","title":"Browser Statistics","URL":"http://www.w3schools.com/browsers/browsers_stats.</w:instrText>
      </w:r>
      <w:r>
        <w:instrText xml:space="preserve">asp","accessed":{"date-parts":[["2016",7,25]]}}}],"schema":"https://github.com/citation-style-language/schema/raw/master/csl-citation.json"} </w:instrText>
      </w:r>
      <w:r>
        <w:fldChar w:fldCharType="separate"/>
      </w:r>
      <w:r>
        <w:rPr>
          <w:rFonts w:ascii="Calibri" w:hAnsi="Calibri"/>
        </w:rPr>
        <w:t>[17]</w:t>
      </w:r>
      <w:r>
        <w:fldChar w:fldCharType="end"/>
      </w:r>
    </w:p>
  </w:footnote>
  <w:footnote w:id="97">
    <w:p w:rsidR="0077224F" w:rsidRDefault="00D973EE">
      <w:pPr>
        <w:pStyle w:val="FootnoteText"/>
      </w:pPr>
      <w:r>
        <w:rPr>
          <w:rStyle w:val="FootnoteReference"/>
        </w:rPr>
        <w:footnoteRef/>
      </w:r>
      <w:r>
        <w:t xml:space="preserve"> https://anonymous-proxy-servers.net/en/jondofox.html</w:t>
      </w:r>
    </w:p>
  </w:footnote>
  <w:footnote w:id="98">
    <w:p w:rsidR="0077224F" w:rsidRDefault="00D973EE">
      <w:pPr>
        <w:pStyle w:val="FootnoteText"/>
      </w:pPr>
      <w:r>
        <w:rPr>
          <w:rStyle w:val="FootnoteReference"/>
        </w:rPr>
        <w:footnoteRef/>
      </w:r>
      <w:r>
        <w:t xml:space="preserve"> Invisible Internet Project (I2P) is an overlay network that allows applications to send messages to each other pseudonymously and securely.</w:t>
      </w:r>
    </w:p>
  </w:footnote>
  <w:footnote w:id="99">
    <w:p w:rsidR="0077224F" w:rsidRDefault="00D973EE">
      <w:pPr>
        <w:pStyle w:val="FootnoteText"/>
      </w:pPr>
      <w:r>
        <w:rPr>
          <w:rStyle w:val="FootnoteReference"/>
        </w:rPr>
        <w:footnoteRef/>
      </w:r>
      <w:r>
        <w:t xml:space="preserve"> https://www.mywot.com</w:t>
      </w:r>
    </w:p>
  </w:footnote>
  <w:footnote w:id="100">
    <w:p w:rsidR="0077224F" w:rsidRDefault="00D973EE">
      <w:pPr>
        <w:pStyle w:val="FootnoteText"/>
      </w:pPr>
      <w:r>
        <w:rPr>
          <w:rStyle w:val="FootnoteReference"/>
        </w:rPr>
        <w:footnoteRef/>
      </w:r>
      <w:r>
        <w:t xml:space="preserve"> https://ipleak.net/</w:t>
      </w:r>
    </w:p>
  </w:footnote>
  <w:footnote w:id="101">
    <w:p w:rsidR="0077224F" w:rsidRDefault="00D973EE">
      <w:pPr>
        <w:pStyle w:val="FootnoteText"/>
      </w:pPr>
      <w:r>
        <w:rPr>
          <w:rStyle w:val="FootnoteReference"/>
          <w:sz w:val="22"/>
          <w:szCs w:val="22"/>
        </w:rPr>
        <w:footnoteRef/>
      </w:r>
      <w:r>
        <w:rPr>
          <w:sz w:val="22"/>
          <w:szCs w:val="22"/>
        </w:rPr>
        <w:t xml:space="preserve"> https://panopticlick.eff.org</w:t>
      </w:r>
    </w:p>
  </w:footnote>
  <w:footnote w:id="102">
    <w:p w:rsidR="0077224F" w:rsidRDefault="00D973EE">
      <w:pPr>
        <w:spacing w:after="0"/>
      </w:pPr>
      <w:r>
        <w:rPr>
          <w:rStyle w:val="FootnoteReference"/>
        </w:rPr>
        <w:footnoteRef/>
      </w:r>
      <w:r>
        <w:t xml:space="preserve"> https://www.eff.org/privacybadger</w:t>
      </w:r>
    </w:p>
  </w:footnote>
  <w:footnote w:id="103">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 xml:space="preserve">On the so-called privacy paradox, see e.g.: </w:t>
      </w:r>
      <w:hyperlink r:id="rId13" w:history="1">
        <w:r>
          <w:rPr>
            <w:rStyle w:val="Hyperlink"/>
            <w:rFonts w:ascii="Times New Roman" w:hAnsi="Times New Roman"/>
          </w:rPr>
          <w:t>https://www.brookings.edu/wp-content/uploads/2016/06/Wittes-and-Liu_Privacy-paradox_v10.pdf</w:t>
        </w:r>
      </w:hyperlink>
      <w:r>
        <w:rPr>
          <w:rFonts w:ascii="Times New Roman" w:hAnsi="Times New Roman"/>
        </w:rPr>
        <w:t>.</w:t>
      </w:r>
    </w:p>
  </w:footnote>
  <w:footnote w:id="104">
    <w:p w:rsidR="0077224F" w:rsidRDefault="00D973EE">
      <w:pPr>
        <w:pStyle w:val="FootnoteText"/>
        <w:rPr>
          <w:rFonts w:ascii="Times New Roman" w:hAnsi="Times New Roman"/>
        </w:rPr>
      </w:pPr>
      <w:r>
        <w:rPr>
          <w:rStyle w:val="FootnoteReference"/>
          <w:rFonts w:ascii="Times New Roman" w:hAnsi="Times New Roman"/>
        </w:rPr>
        <w:footnoteRef/>
      </w:r>
      <w:r>
        <w:rPr>
          <w:rStyle w:val="FootnoteReference"/>
          <w:rFonts w:ascii="Times New Roman" w:hAnsi="Times New Roman"/>
        </w:rPr>
        <w:t xml:space="preserve"> </w:t>
      </w:r>
      <w:r>
        <w:rPr>
          <w:rFonts w:ascii="Times New Roman" w:hAnsi="Times New Roman"/>
        </w:rPr>
        <w:t xml:space="preserve">Castro, D. and Mcquinn, A. (2014), </w:t>
      </w:r>
      <w:r>
        <w:rPr>
          <w:rFonts w:ascii="Times New Roman" w:hAnsi="Times New Roman"/>
          <w:i/>
        </w:rPr>
        <w:t>The Economic Costs of the European Union’s Cookie Notification Policy</w:t>
      </w:r>
      <w:r>
        <w:rPr>
          <w:rFonts w:ascii="Times New Roman" w:hAnsi="Times New Roman"/>
        </w:rPr>
        <w:t xml:space="preserve">, ITIF, p. 5. </w:t>
      </w:r>
    </w:p>
  </w:footnote>
  <w:footnote w:id="105">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Given that the estimated average lifetime of a website is of 3 years, the study supporting the impact assessment has assumed a financia</w:t>
      </w:r>
      <w:r>
        <w:rPr>
          <w:rFonts w:ascii="Times New Roman" w:hAnsi="Times New Roman"/>
        </w:rPr>
        <w:t>l cost of 300 per year. See SMART 2016/0080, cited above.</w:t>
      </w:r>
    </w:p>
  </w:footnote>
  <w:footnote w:id="106">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SMART 2016/0080, cited above.</w:t>
      </w:r>
    </w:p>
  </w:footnote>
  <w:footnote w:id="107">
    <w:p w:rsidR="0077224F" w:rsidRDefault="00D973EE">
      <w:pPr>
        <w:pStyle w:val="Default"/>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Article 29 Working Party, Opinion 04/2012 on </w:t>
      </w:r>
      <w:r>
        <w:rPr>
          <w:rFonts w:ascii="Times New Roman" w:hAnsi="Times New Roman" w:cs="Times New Roman"/>
          <w:i/>
          <w:sz w:val="20"/>
          <w:szCs w:val="20"/>
        </w:rPr>
        <w:t>Cookie Consent Exemption</w:t>
      </w:r>
      <w:r>
        <w:rPr>
          <w:rFonts w:ascii="Times New Roman" w:hAnsi="Times New Roman" w:cs="Times New Roman"/>
          <w:sz w:val="20"/>
          <w:szCs w:val="20"/>
        </w:rPr>
        <w:t>, WP 194.</w:t>
      </w:r>
    </w:p>
  </w:footnote>
  <w:footnote w:id="108">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This assessment of opportunity costs is the result of SMART 2016/0080, cited above.</w:t>
      </w:r>
    </w:p>
  </w:footnote>
  <w:footnote w:id="109">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Data for geographic Europe only, based on visitors of a sample of 3 million websites globally accessible on </w:t>
      </w:r>
      <w:hyperlink r:id="rId14" w:history="1">
        <w:r>
          <w:rPr>
            <w:rStyle w:val="Hyperlink"/>
            <w:rFonts w:ascii="Times New Roman" w:hAnsi="Times New Roman"/>
          </w:rPr>
          <w:t>http://gs.statcounter.com/</w:t>
        </w:r>
      </w:hyperlink>
    </w:p>
  </w:footnote>
  <w:footnote w:id="110">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SMART 2016/0080, cited above.</w:t>
      </w:r>
    </w:p>
  </w:footnote>
  <w:footnote w:id="111">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European Commission (2016). </w:t>
      </w:r>
      <w:r>
        <w:rPr>
          <w:rFonts w:ascii="Times New Roman" w:hAnsi="Times New Roman"/>
          <w:i/>
        </w:rPr>
        <w:t>Background to</w:t>
      </w:r>
      <w:r>
        <w:rPr>
          <w:rFonts w:ascii="Times New Roman" w:hAnsi="Times New Roman"/>
          <w:i/>
        </w:rPr>
        <w:t xml:space="preserve"> the public consultation on the evaluation and review of the ePrivacy Directive</w:t>
      </w:r>
      <w:r>
        <w:rPr>
          <w:rFonts w:ascii="Times New Roman" w:hAnsi="Times New Roman"/>
        </w:rPr>
        <w:t>, (</w:t>
      </w:r>
      <w:hyperlink r:id="rId15" w:history="1">
        <w:r>
          <w:rPr>
            <w:rStyle w:val="Hyperlink"/>
            <w:rFonts w:ascii="Times New Roman" w:hAnsi="Times New Roman"/>
          </w:rPr>
          <w:t>https://ec.europa.eu/digital-single-market/en/</w:t>
        </w:r>
        <w:r>
          <w:rPr>
            <w:rStyle w:val="Hyperlink"/>
            <w:rFonts w:ascii="Times New Roman" w:hAnsi="Times New Roman"/>
          </w:rPr>
          <w:t>news/public-consultation-evaluation-and-review-eprivacy-directive</w:t>
        </w:r>
      </w:hyperlink>
      <w:r>
        <w:rPr>
          <w:rFonts w:ascii="Times New Roman" w:hAnsi="Times New Roman"/>
        </w:rPr>
        <w:t>), p. 11.</w:t>
      </w:r>
    </w:p>
  </w:footnote>
  <w:footnote w:id="112">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SMART 2016/0080, cited above.</w:t>
      </w:r>
    </w:p>
  </w:footnote>
  <w:footnote w:id="113">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Commission Staff Working Paper on </w:t>
      </w:r>
      <w:r>
        <w:rPr>
          <w:rFonts w:ascii="Times New Roman" w:hAnsi="Times New Roman"/>
          <w:i/>
        </w:rPr>
        <w:t>Impact Assessment on the General Data Protection Regulation proposal</w:t>
      </w:r>
      <w:r>
        <w:rPr>
          <w:rFonts w:ascii="Times New Roman" w:hAnsi="Times New Roman"/>
        </w:rPr>
        <w:t xml:space="preserve">, 25.01.2012, SEC 2012(72), p 103. </w:t>
      </w:r>
    </w:p>
  </w:footnote>
  <w:footnote w:id="114">
    <w:p w:rsidR="0077224F" w:rsidRDefault="00D973EE">
      <w:pPr>
        <w:pStyle w:val="FootnoteText"/>
        <w:rPr>
          <w:rFonts w:ascii="Times New Roman" w:eastAsia="Times" w:hAnsi="Times New Roman"/>
          <w:color w:val="000000"/>
        </w:rPr>
      </w:pPr>
      <w:r>
        <w:rPr>
          <w:rStyle w:val="FootnoteReference"/>
          <w:rFonts w:ascii="Times New Roman" w:hAnsi="Times New Roman"/>
        </w:rPr>
        <w:footnoteRef/>
      </w:r>
      <w:r>
        <w:rPr>
          <w:rFonts w:ascii="Times New Roman" w:hAnsi="Times New Roman"/>
        </w:rPr>
        <w:t xml:space="preserve"> SMART 2</w:t>
      </w:r>
      <w:r>
        <w:rPr>
          <w:rFonts w:ascii="Times New Roman" w:hAnsi="Times New Roman"/>
        </w:rPr>
        <w:t>016/0080, cited above.</w:t>
      </w:r>
    </w:p>
  </w:footnote>
  <w:footnote w:id="115">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The study submits that there are two reasons for which this can be reasonably assumed: (1) All businesses can, potentially, make use of unsolicited communications by electronic communication means– either in a B2B or B2C context. H</w:t>
      </w:r>
      <w:r>
        <w:rPr>
          <w:rFonts w:ascii="Times New Roman" w:hAnsi="Times New Roman"/>
        </w:rPr>
        <w:t>owever, it is only those businesses that provide for a website that are actually able to collect users’ consent, either by an opt-in or opt-out solution. Furthermore, such businesses are generally expected to make also use of cookies in order to understand</w:t>
      </w:r>
      <w:r>
        <w:rPr>
          <w:rFonts w:ascii="Times New Roman" w:hAnsi="Times New Roman"/>
        </w:rPr>
        <w:t xml:space="preserve"> better “who their customers are” with a view to providing targeted unsolicited communication by electronic communication means. (2) Businesses that provide for unsolicited communication by electronic communication means but do not make use of a website ar</w:t>
      </w:r>
      <w:r>
        <w:rPr>
          <w:rFonts w:ascii="Times New Roman" w:hAnsi="Times New Roman"/>
        </w:rPr>
        <w:t>e not able to collect the consent of their customers – both from a B2B and B2C perspective. Therefore, such businesses are expected to simply provide for unsolicited communication – even though this may not necessarily be compliant with national law. In an</w:t>
      </w:r>
      <w:r>
        <w:rPr>
          <w:rFonts w:ascii="Times New Roman" w:hAnsi="Times New Roman"/>
        </w:rPr>
        <w:t xml:space="preserve">y event, though, the compliance costs incurred by such businesses (e.g. related to legal advice) are (1) expected to be insignificant in view of the overall amount of costs; and (2) even though businesses may have costs related to legal advice, they could </w:t>
      </w:r>
      <w:r>
        <w:rPr>
          <w:rFonts w:ascii="Times New Roman" w:hAnsi="Times New Roman"/>
        </w:rPr>
        <w:t>still make use of unsolicited communication as the chances of being detected of non-compliance are close to zero.</w:t>
      </w:r>
    </w:p>
  </w:footnote>
  <w:footnote w:id="116">
    <w:p w:rsidR="0077224F" w:rsidRDefault="00D973EE">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SMART 2016/0080, cited above.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3EE" w:rsidRPr="00D973EE" w:rsidRDefault="00D973EE" w:rsidP="00D973E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3EE" w:rsidRPr="00D973EE" w:rsidRDefault="00D973EE" w:rsidP="00D973EE">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3EE" w:rsidRPr="00D973EE" w:rsidRDefault="00D973EE" w:rsidP="00D973EE">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Header"/>
    </w:pPr>
    <w:bookmarkStart w:id="385" w:name="_Toc411013657"/>
  </w:p>
  <w:bookmarkEnd w:id="385"/>
  <w:p w:rsidR="0077224F" w:rsidRDefault="0077224F"/>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24F" w:rsidRDefault="007722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12pt" o:bullet="t">
        <v:imagedata r:id="rId1" o:title="Deloitte Green Bullet"/>
      </v:shape>
    </w:pict>
  </w:numPicBullet>
  <w:numPicBullet w:numPicBulletId="1">
    <w:pict>
      <v:shape id="_x0000_i1030" type="#_x0000_t75" style="width:12pt;height:12pt" o:bullet="t">
        <v:imagedata r:id="rId2" o:title="EU Mid Blue Bullet"/>
      </v:shape>
    </w:pict>
  </w:numPicBullet>
  <w:numPicBullet w:numPicBulletId="2">
    <w:pict>
      <v:shape id="_x0000_i1031" type="#_x0000_t75" style="width:12pt;height:12pt" o:bullet="t">
        <v:imagedata r:id="rId3" o:title="EU Blue Bullet"/>
      </v:shape>
    </w:pict>
  </w:numPicBullet>
  <w:numPicBullet w:numPicBulletId="3">
    <w:pict>
      <v:shape id="_x0000_i1032" type="#_x0000_t75" style="width:12pt;height:12pt" o:bullet="t">
        <v:imagedata r:id="rId4" o:title="EU Dark Green Bullet"/>
      </v:shape>
    </w:pict>
  </w:numPicBullet>
  <w:numPicBullet w:numPicBulletId="4">
    <w:pict>
      <v:shape id="_x0000_i1033" type="#_x0000_t75" style="width:12pt;height:12pt" o:bullet="t">
        <v:imagedata r:id="rId5" o:title="EU Light Green Bullet"/>
      </v:shape>
    </w:pict>
  </w:numPicBullet>
  <w:numPicBullet w:numPicBulletId="5">
    <w:pict>
      <v:shape id="_x0000_i1034" type="#_x0000_t75" style="width:12pt;height:12pt" o:bullet="t">
        <v:imagedata r:id="rId6" o:title="EU Light Blue Bullet"/>
      </v:shape>
    </w:pict>
  </w:numPicBullet>
  <w:numPicBullet w:numPicBulletId="6">
    <w:pict>
      <v:shape id="_x0000_i1035" type="#_x0000_t75" style="width:19.5pt;height:20.25pt" o:bullet="t">
        <v:imagedata r:id="rId7" o:title="clip_image001"/>
      </v:shape>
    </w:pict>
  </w:numPicBullet>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9"/>
    <w:multiLevelType w:val="singleLevel"/>
    <w:tmpl w:val="C4F6C3E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4927E8"/>
    <w:multiLevelType w:val="hybridMultilevel"/>
    <w:tmpl w:val="BA50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0515EFB"/>
    <w:multiLevelType w:val="multilevel"/>
    <w:tmpl w:val="22266CAE"/>
    <w:styleLink w:val="NumbLstMain"/>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color w:val="0067AC"/>
        <w:sz w:val="20"/>
      </w:rPr>
    </w:lvl>
    <w:lvl w:ilvl="4">
      <w:start w:val="1"/>
      <w:numFmt w:val="decimal"/>
      <w:lvlText w:val="%1.%2.%3.%4.%5"/>
      <w:lvlJc w:val="left"/>
      <w:pPr>
        <w:ind w:left="851" w:hanging="851"/>
      </w:pPr>
      <w:rPr>
        <w:rFonts w:ascii="Calibri" w:hAnsi="Calibri" w:hint="default"/>
        <w:b/>
        <w:i/>
        <w:color w:val="0067AC"/>
        <w:sz w:val="20"/>
      </w:rPr>
    </w:lvl>
    <w:lvl w:ilvl="5">
      <w:start w:val="1"/>
      <w:numFmt w:val="decimal"/>
      <w:lvlRestart w:val="1"/>
      <w:lvlText w:val="Figure %1.%6"/>
      <w:lvlJc w:val="left"/>
      <w:pPr>
        <w:tabs>
          <w:tab w:val="num" w:pos="3969"/>
        </w:tabs>
        <w:ind w:left="5046" w:hanging="1077"/>
      </w:pPr>
      <w:rPr>
        <w:rFonts w:ascii="Calibri" w:hAnsi="Calibri" w:hint="default"/>
        <w:color w:val="0067AC"/>
      </w:rPr>
    </w:lvl>
    <w:lvl w:ilvl="6">
      <w:start w:val="1"/>
      <w:numFmt w:val="decimal"/>
      <w:lvlRestart w:val="1"/>
      <w:lvlText w:val="Table %1.%7"/>
      <w:lvlJc w:val="left"/>
      <w:pPr>
        <w:tabs>
          <w:tab w:val="num" w:pos="709"/>
        </w:tabs>
        <w:ind w:left="1786" w:hanging="1077"/>
      </w:pPr>
      <w:rPr>
        <w:rFonts w:ascii="Calibri" w:hAnsi="Calibri" w:hint="default"/>
      </w:rPr>
    </w:lvl>
    <w:lvl w:ilvl="7">
      <w:start w:val="1"/>
      <w:numFmt w:val="decimal"/>
      <w:lvlRestart w:val="1"/>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1F497D" w:themeColor="text2"/>
      </w:rPr>
    </w:lvl>
  </w:abstractNum>
  <w:abstractNum w:abstractNumId="5">
    <w:nsid w:val="05275268"/>
    <w:multiLevelType w:val="hybridMultilevel"/>
    <w:tmpl w:val="71F0872C"/>
    <w:lvl w:ilvl="0" w:tplc="C470802A">
      <w:start w:val="1"/>
      <w:numFmt w:val="bullet"/>
      <w:lvlText w:val=""/>
      <w:lvlJc w:val="left"/>
      <w:pPr>
        <w:ind w:left="360" w:hanging="360"/>
      </w:pPr>
      <w:rPr>
        <w:rFonts w:ascii="Wingdings" w:hAnsi="Wingdings" w:hint="default"/>
        <w:color w:val="FF0000"/>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060B0EC5"/>
    <w:multiLevelType w:val="hybridMultilevel"/>
    <w:tmpl w:val="5DD8B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73769D0"/>
    <w:multiLevelType w:val="hybridMultilevel"/>
    <w:tmpl w:val="256ABD9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8B82251"/>
    <w:multiLevelType w:val="hybridMultilevel"/>
    <w:tmpl w:val="5AEEDF88"/>
    <w:lvl w:ilvl="0" w:tplc="0E0C4BB4">
      <w:start w:val="1"/>
      <w:numFmt w:val="decimal"/>
      <w:lvlText w:val="(%1)"/>
      <w:lvlJc w:val="left"/>
      <w:pPr>
        <w:ind w:left="750" w:hanging="390"/>
      </w:pPr>
      <w:rPr>
        <w:rFonts w:hint="default"/>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08DE61A8"/>
    <w:multiLevelType w:val="hybridMultilevel"/>
    <w:tmpl w:val="686A40CA"/>
    <w:name w:val="LegalNumParListTemplate3"/>
    <w:lvl w:ilvl="0" w:tplc="A588FCC0">
      <w:start w:val="1"/>
      <w:numFmt w:val="decimal"/>
      <w:pStyle w:val="LegalNumPar"/>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C5541FE"/>
    <w:multiLevelType w:val="hybridMultilevel"/>
    <w:tmpl w:val="D21639FE"/>
    <w:lvl w:ilvl="0" w:tplc="C470802A">
      <w:start w:val="1"/>
      <w:numFmt w:val="bullet"/>
      <w:lvlText w:val=""/>
      <w:lvlJc w:val="left"/>
      <w:pPr>
        <w:ind w:left="360" w:hanging="360"/>
      </w:pPr>
      <w:rPr>
        <w:rFonts w:ascii="Wingdings" w:hAnsi="Wingdings" w:hint="default"/>
        <w:color w:val="FF0000"/>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nsid w:val="0CEF51A5"/>
    <w:multiLevelType w:val="hybridMultilevel"/>
    <w:tmpl w:val="BA98F61C"/>
    <w:lvl w:ilvl="0" w:tplc="C470802A">
      <w:start w:val="1"/>
      <w:numFmt w:val="bullet"/>
      <w:lvlText w:val=""/>
      <w:lvlJc w:val="left"/>
      <w:pPr>
        <w:ind w:left="360" w:hanging="360"/>
      </w:pPr>
      <w:rPr>
        <w:rFonts w:ascii="Wingdings" w:hAnsi="Wingdings" w:hint="default"/>
        <w:color w:val="FF0000"/>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nsid w:val="0D386296"/>
    <w:multiLevelType w:val="hybridMultilevel"/>
    <w:tmpl w:val="9A96D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0EF5FF6"/>
    <w:multiLevelType w:val="hybridMultilevel"/>
    <w:tmpl w:val="671CF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9A69C8"/>
    <w:multiLevelType w:val="hybridMultilevel"/>
    <w:tmpl w:val="62B2E260"/>
    <w:styleLink w:val="NumbLstBTBullet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2D2230"/>
    <w:multiLevelType w:val="hybridMultilevel"/>
    <w:tmpl w:val="140C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B6181A"/>
    <w:multiLevelType w:val="hybridMultilevel"/>
    <w:tmpl w:val="8CC26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664344D"/>
    <w:multiLevelType w:val="hybridMultilevel"/>
    <w:tmpl w:val="41B4F796"/>
    <w:lvl w:ilvl="0" w:tplc="0407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897051D"/>
    <w:multiLevelType w:val="multilevel"/>
    <w:tmpl w:val="E7FC4010"/>
    <w:numStyleLink w:val="NumbLstTableBullet"/>
  </w:abstractNum>
  <w:abstractNum w:abstractNumId="19">
    <w:nsid w:val="19076146"/>
    <w:multiLevelType w:val="hybridMultilevel"/>
    <w:tmpl w:val="70284F5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1A001513"/>
    <w:multiLevelType w:val="hybridMultilevel"/>
    <w:tmpl w:val="5D340E3A"/>
    <w:lvl w:ilvl="0" w:tplc="C470802A">
      <w:start w:val="1"/>
      <w:numFmt w:val="bullet"/>
      <w:lvlText w:val=""/>
      <w:lvlJc w:val="left"/>
      <w:pPr>
        <w:ind w:left="360" w:hanging="360"/>
      </w:pPr>
      <w:rPr>
        <w:rFonts w:ascii="Wingdings" w:hAnsi="Wingdings" w:hint="default"/>
        <w:color w:val="FF0000"/>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nsid w:val="1A3649B2"/>
    <w:multiLevelType w:val="hybridMultilevel"/>
    <w:tmpl w:val="79C60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E44DBC"/>
    <w:multiLevelType w:val="hybridMultilevel"/>
    <w:tmpl w:val="9954CE86"/>
    <w:lvl w:ilvl="0" w:tplc="08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1B234BA4"/>
    <w:multiLevelType w:val="hybridMultilevel"/>
    <w:tmpl w:val="439AF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6">
    <w:nsid w:val="1C0F170D"/>
    <w:multiLevelType w:val="hybridMultilevel"/>
    <w:tmpl w:val="1DB05F1A"/>
    <w:lvl w:ilvl="0" w:tplc="349E1C2A">
      <w:start w:val="1"/>
      <w:numFmt w:val="decimal"/>
      <w:lvlText w:val="%1."/>
      <w:lvlJc w:val="left"/>
      <w:pPr>
        <w:ind w:left="36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06E61EB"/>
    <w:multiLevelType w:val="hybridMultilevel"/>
    <w:tmpl w:val="2F6CA90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8">
    <w:nsid w:val="209C2FCB"/>
    <w:multiLevelType w:val="hybridMultilevel"/>
    <w:tmpl w:val="1DB05F1A"/>
    <w:lvl w:ilvl="0" w:tplc="349E1C2A">
      <w:start w:val="1"/>
      <w:numFmt w:val="decimal"/>
      <w:lvlText w:val="%1."/>
      <w:lvlJc w:val="left"/>
      <w:pPr>
        <w:ind w:left="36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13478CE"/>
    <w:multiLevelType w:val="hybridMultilevel"/>
    <w:tmpl w:val="869C9A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22DD3599"/>
    <w:multiLevelType w:val="multilevel"/>
    <w:tmpl w:val="4EAA5BA6"/>
    <w:styleLink w:val="NumbLstBTBullet"/>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23CF794F"/>
    <w:multiLevelType w:val="hybridMultilevel"/>
    <w:tmpl w:val="4732A93A"/>
    <w:lvl w:ilvl="0" w:tplc="3D0C4376">
      <w:start w:val="1"/>
      <w:numFmt w:val="bullet"/>
      <w:lvlText w:val=""/>
      <w:lvlJc w:val="left"/>
      <w:pPr>
        <w:ind w:left="360" w:hanging="360"/>
      </w:pPr>
      <w:rPr>
        <w:rFonts w:ascii="Wingdings" w:hAnsi="Wingdings" w:hint="default"/>
        <w:color w:val="00B050"/>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nsid w:val="252C38D6"/>
    <w:multiLevelType w:val="hybridMultilevel"/>
    <w:tmpl w:val="39D8A3FC"/>
    <w:lvl w:ilvl="0" w:tplc="0809000F">
      <w:start w:val="1"/>
      <w:numFmt w:val="decimal"/>
      <w:lvlText w:val="%1."/>
      <w:lvlJc w:val="left"/>
      <w:pPr>
        <w:ind w:left="720" w:hanging="360"/>
      </w:pPr>
    </w:lvl>
    <w:lvl w:ilvl="1" w:tplc="B778FB24">
      <w:start w:val="1"/>
      <w:numFmt w:val="decimal"/>
      <w:lvlText w:val="(%2)"/>
      <w:lvlJc w:val="left"/>
      <w:pPr>
        <w:ind w:left="644"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72B4D9D"/>
    <w:multiLevelType w:val="hybridMultilevel"/>
    <w:tmpl w:val="499688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9363500"/>
    <w:multiLevelType w:val="hybridMultilevel"/>
    <w:tmpl w:val="1B644E9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5">
    <w:nsid w:val="296542E8"/>
    <w:multiLevelType w:val="hybridMultilevel"/>
    <w:tmpl w:val="1DB05F1A"/>
    <w:lvl w:ilvl="0" w:tplc="349E1C2A">
      <w:start w:val="1"/>
      <w:numFmt w:val="decimal"/>
      <w:lvlText w:val="%1."/>
      <w:lvlJc w:val="left"/>
      <w:pPr>
        <w:ind w:left="36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37">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9">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40">
    <w:nsid w:val="2EF06172"/>
    <w:multiLevelType w:val="hybridMultilevel"/>
    <w:tmpl w:val="1BF60D2A"/>
    <w:lvl w:ilvl="0" w:tplc="08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EF65430"/>
    <w:multiLevelType w:val="hybridMultilevel"/>
    <w:tmpl w:val="F2204314"/>
    <w:lvl w:ilvl="0" w:tplc="3D0C4376">
      <w:start w:val="1"/>
      <w:numFmt w:val="bullet"/>
      <w:lvlText w:val=""/>
      <w:lvlJc w:val="left"/>
      <w:pPr>
        <w:ind w:left="360" w:hanging="360"/>
      </w:pPr>
      <w:rPr>
        <w:rFonts w:ascii="Wingdings" w:hAnsi="Wingdings" w:hint="default"/>
        <w:color w:val="00B050"/>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nsid w:val="31BD5688"/>
    <w:multiLevelType w:val="hybridMultilevel"/>
    <w:tmpl w:val="BCB88E72"/>
    <w:lvl w:ilvl="0" w:tplc="F760AA9C">
      <w:start w:val="1"/>
      <w:numFmt w:val="bullet"/>
      <w:lvlText w:val=""/>
      <w:lvlPicBulletId w:val="6"/>
      <w:lvlJc w:val="left"/>
      <w:pPr>
        <w:tabs>
          <w:tab w:val="num" w:pos="720"/>
        </w:tabs>
        <w:ind w:left="720" w:hanging="360"/>
      </w:pPr>
      <w:rPr>
        <w:rFonts w:ascii="Symbol" w:hAnsi="Symbol" w:hint="default"/>
        <w:color w:val="auto"/>
      </w:rPr>
    </w:lvl>
    <w:lvl w:ilvl="1" w:tplc="A192CBF4">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nsid w:val="33394D0B"/>
    <w:multiLevelType w:val="hybridMultilevel"/>
    <w:tmpl w:val="BA26B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38832EF"/>
    <w:multiLevelType w:val="multilevel"/>
    <w:tmpl w:val="4A040AEA"/>
    <w:styleLink w:val="BulletEU"/>
    <w:lvl w:ilvl="0">
      <w:start w:val="1"/>
      <w:numFmt w:val="bullet"/>
      <w:lvlText w:val=""/>
      <w:lvlPicBulletId w:val="0"/>
      <w:lvlJc w:val="left"/>
      <w:pPr>
        <w:tabs>
          <w:tab w:val="num" w:pos="360"/>
        </w:tabs>
        <w:ind w:left="680" w:hanging="226"/>
      </w:pPr>
      <w:rPr>
        <w:rFonts w:ascii="Arial" w:hAnsi="Arial" w:hint="default"/>
        <w:color w:val="auto"/>
      </w:rPr>
    </w:lvl>
    <w:lvl w:ilvl="1">
      <w:start w:val="1"/>
      <w:numFmt w:val="bullet"/>
      <w:lvlText w:val=""/>
      <w:lvlPicBulletId w:val="1"/>
      <w:lvlJc w:val="left"/>
      <w:pPr>
        <w:tabs>
          <w:tab w:val="num" w:pos="1040"/>
        </w:tabs>
        <w:ind w:left="1360" w:hanging="226"/>
      </w:pPr>
      <w:rPr>
        <w:rFonts w:ascii="Symbol" w:hAnsi="Symbol" w:hint="default"/>
        <w:color w:val="auto"/>
      </w:rPr>
    </w:lvl>
    <w:lvl w:ilvl="2">
      <w:start w:val="1"/>
      <w:numFmt w:val="bullet"/>
      <w:lvlText w:val=""/>
      <w:lvlPicBulletId w:val="2"/>
      <w:lvlJc w:val="left"/>
      <w:pPr>
        <w:tabs>
          <w:tab w:val="num" w:pos="1720"/>
        </w:tabs>
        <w:ind w:left="2040" w:hanging="226"/>
      </w:pPr>
      <w:rPr>
        <w:rFonts w:ascii="Symbol" w:hAnsi="Symbol" w:hint="default"/>
        <w:color w:val="auto"/>
      </w:rPr>
    </w:lvl>
    <w:lvl w:ilvl="3">
      <w:start w:val="1"/>
      <w:numFmt w:val="bullet"/>
      <w:lvlText w:val=""/>
      <w:lvlPicBulletId w:val="3"/>
      <w:lvlJc w:val="left"/>
      <w:pPr>
        <w:tabs>
          <w:tab w:val="num" w:pos="2400"/>
        </w:tabs>
        <w:ind w:left="2720" w:hanging="226"/>
      </w:pPr>
      <w:rPr>
        <w:rFonts w:ascii="Symbol" w:hAnsi="Symbol" w:hint="default"/>
        <w:color w:val="auto"/>
      </w:rPr>
    </w:lvl>
    <w:lvl w:ilvl="4">
      <w:start w:val="1"/>
      <w:numFmt w:val="bullet"/>
      <w:lvlText w:val=""/>
      <w:lvlPicBulletId w:val="4"/>
      <w:lvlJc w:val="left"/>
      <w:pPr>
        <w:tabs>
          <w:tab w:val="num" w:pos="3080"/>
        </w:tabs>
        <w:ind w:left="3400" w:hanging="226"/>
      </w:pPr>
      <w:rPr>
        <w:rFonts w:ascii="Symbol" w:hAnsi="Symbol" w:hint="default"/>
        <w:color w:val="auto"/>
      </w:rPr>
    </w:lvl>
    <w:lvl w:ilvl="5">
      <w:start w:val="1"/>
      <w:numFmt w:val="bullet"/>
      <w:lvlText w:val=""/>
      <w:lvlPicBulletId w:val="5"/>
      <w:lvlJc w:val="left"/>
      <w:pPr>
        <w:tabs>
          <w:tab w:val="num" w:pos="3760"/>
        </w:tabs>
        <w:ind w:left="4080" w:hanging="226"/>
      </w:pPr>
      <w:rPr>
        <w:rFonts w:ascii="Symbol" w:hAnsi="Symbol" w:hint="default"/>
        <w:color w:val="auto"/>
      </w:rPr>
    </w:lvl>
    <w:lvl w:ilvl="6">
      <w:start w:val="1"/>
      <w:numFmt w:val="bullet"/>
      <w:lvlText w:val=""/>
      <w:lvlJc w:val="left"/>
      <w:pPr>
        <w:tabs>
          <w:tab w:val="num" w:pos="4440"/>
        </w:tabs>
        <w:ind w:left="4760" w:hanging="226"/>
      </w:pPr>
      <w:rPr>
        <w:rFonts w:ascii="Symbol" w:hAnsi="Symbol" w:hint="default"/>
      </w:rPr>
    </w:lvl>
    <w:lvl w:ilvl="7">
      <w:start w:val="1"/>
      <w:numFmt w:val="bullet"/>
      <w:lvlText w:val="o"/>
      <w:lvlJc w:val="left"/>
      <w:pPr>
        <w:tabs>
          <w:tab w:val="num" w:pos="5120"/>
        </w:tabs>
        <w:ind w:left="5440" w:hanging="226"/>
      </w:pPr>
      <w:rPr>
        <w:rFonts w:ascii="Courier New" w:hAnsi="Courier New" w:cs="Courier New" w:hint="default"/>
      </w:rPr>
    </w:lvl>
    <w:lvl w:ilvl="8">
      <w:start w:val="1"/>
      <w:numFmt w:val="bullet"/>
      <w:lvlText w:val=""/>
      <w:lvlJc w:val="left"/>
      <w:pPr>
        <w:tabs>
          <w:tab w:val="num" w:pos="5800"/>
        </w:tabs>
        <w:ind w:left="6120" w:hanging="226"/>
      </w:pPr>
      <w:rPr>
        <w:rFonts w:ascii="Wingdings" w:hAnsi="Wingdings" w:hint="default"/>
      </w:rPr>
    </w:lvl>
  </w:abstractNum>
  <w:abstractNum w:abstractNumId="45">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46">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36F63817"/>
    <w:multiLevelType w:val="hybridMultilevel"/>
    <w:tmpl w:val="B082E262"/>
    <w:lvl w:ilvl="0" w:tplc="08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9801475"/>
    <w:multiLevelType w:val="multilevel"/>
    <w:tmpl w:val="321482F0"/>
    <w:styleLink w:val="NumbLstBTBullet1"/>
    <w:lvl w:ilvl="0">
      <w:start w:val="1"/>
      <w:numFmt w:val="bullet"/>
      <w:lvlText w:val=""/>
      <w:lvlJc w:val="left"/>
      <w:pPr>
        <w:tabs>
          <w:tab w:val="num" w:pos="1191"/>
        </w:tabs>
        <w:ind w:left="1191" w:hanging="340"/>
      </w:pPr>
      <w:rPr>
        <w:rFonts w:ascii="Symbol" w:hAnsi="Symbol" w:hint="default"/>
        <w:color w:val="0067AC"/>
      </w:rPr>
    </w:lvl>
    <w:lvl w:ilvl="1">
      <w:start w:val="1"/>
      <w:numFmt w:val="bullet"/>
      <w:lvlText w:val="–"/>
      <w:lvlJc w:val="left"/>
      <w:pPr>
        <w:tabs>
          <w:tab w:val="num" w:pos="1531"/>
        </w:tabs>
        <w:ind w:left="1531" w:hanging="340"/>
      </w:pPr>
      <w:rPr>
        <w:rFonts w:ascii="Arial" w:hAnsi="Arial" w:hint="default"/>
        <w:color w:val="0067AC"/>
      </w:rPr>
    </w:lvl>
    <w:lvl w:ilvl="2">
      <w:start w:val="1"/>
      <w:numFmt w:val="bullet"/>
      <w:lvlText w:val="○"/>
      <w:lvlJc w:val="left"/>
      <w:pPr>
        <w:tabs>
          <w:tab w:val="num" w:pos="187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49">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50">
    <w:nsid w:val="3C1A6BA6"/>
    <w:multiLevelType w:val="hybridMultilevel"/>
    <w:tmpl w:val="0918629A"/>
    <w:styleLink w:val="NumbLstBTBullet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E144406"/>
    <w:multiLevelType w:val="multilevel"/>
    <w:tmpl w:val="85BCEBDA"/>
    <w:styleLink w:val="NumbLstBullet"/>
    <w:lvl w:ilvl="0">
      <w:start w:val="1"/>
      <w:numFmt w:val="bullet"/>
      <w:lvlText w:val="■"/>
      <w:lvlJc w:val="left"/>
      <w:pPr>
        <w:tabs>
          <w:tab w:val="num" w:pos="340"/>
        </w:tabs>
        <w:ind w:left="340" w:hanging="340"/>
      </w:pPr>
      <w:rPr>
        <w:rFonts w:ascii="Arial" w:hAnsi="Arial" w:hint="default"/>
        <w:color w:val="0067AC"/>
        <w:sz w:val="18"/>
      </w:rPr>
    </w:lvl>
    <w:lvl w:ilvl="1">
      <w:start w:val="1"/>
      <w:numFmt w:val="bullet"/>
      <w:lvlText w:val="–"/>
      <w:lvlJc w:val="left"/>
      <w:pPr>
        <w:tabs>
          <w:tab w:val="num" w:pos="680"/>
        </w:tabs>
        <w:ind w:left="680" w:hanging="340"/>
      </w:pPr>
      <w:rPr>
        <w:rFonts w:ascii="Arial" w:hAnsi="Arial" w:hint="default"/>
        <w:color w:val="0067AC"/>
      </w:rPr>
    </w:lvl>
    <w:lvl w:ilvl="2">
      <w:start w:val="1"/>
      <w:numFmt w:val="bullet"/>
      <w:lvlText w:val="○"/>
      <w:lvlJc w:val="left"/>
      <w:pPr>
        <w:tabs>
          <w:tab w:val="num" w:pos="1021"/>
        </w:tabs>
        <w:ind w:left="1021" w:hanging="341"/>
      </w:pPr>
      <w:rPr>
        <w:rFonts w:ascii="Arial" w:hAnsi="Arial" w:hint="default"/>
        <w:color w:val="0067AC"/>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52">
    <w:nsid w:val="3EB607DE"/>
    <w:multiLevelType w:val="hybridMultilevel"/>
    <w:tmpl w:val="E53A6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EE04FB4"/>
    <w:multiLevelType w:val="hybridMultilevel"/>
    <w:tmpl w:val="F6EE9CCA"/>
    <w:lvl w:ilvl="0" w:tplc="349E1C2A">
      <w:start w:val="1"/>
      <w:numFmt w:val="decimal"/>
      <w:lvlText w:val="%1."/>
      <w:lvlJc w:val="left"/>
      <w:pPr>
        <w:ind w:left="360" w:hanging="360"/>
      </w:pPr>
      <w:rPr>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3F1F4E45"/>
    <w:multiLevelType w:val="hybridMultilevel"/>
    <w:tmpl w:val="CCAC6D90"/>
    <w:lvl w:ilvl="0" w:tplc="F760AA9C">
      <w:start w:val="1"/>
      <w:numFmt w:val="bullet"/>
      <w:lvlText w:val=""/>
      <w:lvlPicBulletId w:val="6"/>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nsid w:val="3F5C7292"/>
    <w:multiLevelType w:val="hybridMultilevel"/>
    <w:tmpl w:val="1974BDFA"/>
    <w:lvl w:ilvl="0" w:tplc="FFFFFFFF">
      <w:start w:val="1"/>
      <w:numFmt w:val="bullet"/>
      <w:pStyle w:val="Bullet"/>
      <w:lvlText w:val=""/>
      <w:lvlJc w:val="left"/>
      <w:pPr>
        <w:tabs>
          <w:tab w:val="num" w:pos="1264"/>
        </w:tabs>
        <w:ind w:left="1267" w:hanging="360"/>
      </w:pPr>
      <w:rPr>
        <w:rFonts w:ascii="Wingdings" w:hAnsi="Wingdings" w:hint="default"/>
      </w:rPr>
    </w:lvl>
    <w:lvl w:ilvl="1" w:tplc="FFFFFFFF">
      <w:start w:val="1"/>
      <w:numFmt w:val="bullet"/>
      <w:lvlText w:val="o"/>
      <w:lvlJc w:val="left"/>
      <w:pPr>
        <w:tabs>
          <w:tab w:val="num" w:pos="2347"/>
        </w:tabs>
        <w:ind w:left="2347" w:hanging="360"/>
      </w:pPr>
      <w:rPr>
        <w:rFonts w:ascii="Courier New" w:hAnsi="Courier New" w:hint="default"/>
      </w:rPr>
    </w:lvl>
    <w:lvl w:ilvl="2" w:tplc="FFFFFFFF" w:tentative="1">
      <w:start w:val="1"/>
      <w:numFmt w:val="bullet"/>
      <w:lvlText w:val=""/>
      <w:lvlJc w:val="left"/>
      <w:pPr>
        <w:tabs>
          <w:tab w:val="num" w:pos="3067"/>
        </w:tabs>
        <w:ind w:left="3067" w:hanging="360"/>
      </w:pPr>
      <w:rPr>
        <w:rFonts w:ascii="Wingdings" w:hAnsi="Wingdings" w:hint="default"/>
      </w:rPr>
    </w:lvl>
    <w:lvl w:ilvl="3" w:tplc="FFFFFFFF" w:tentative="1">
      <w:start w:val="1"/>
      <w:numFmt w:val="bullet"/>
      <w:lvlText w:val=""/>
      <w:lvlJc w:val="left"/>
      <w:pPr>
        <w:tabs>
          <w:tab w:val="num" w:pos="3787"/>
        </w:tabs>
        <w:ind w:left="3787" w:hanging="360"/>
      </w:pPr>
      <w:rPr>
        <w:rFonts w:ascii="Symbol" w:hAnsi="Symbol" w:hint="default"/>
      </w:rPr>
    </w:lvl>
    <w:lvl w:ilvl="4" w:tplc="FFFFFFFF" w:tentative="1">
      <w:start w:val="1"/>
      <w:numFmt w:val="bullet"/>
      <w:lvlText w:val="o"/>
      <w:lvlJc w:val="left"/>
      <w:pPr>
        <w:tabs>
          <w:tab w:val="num" w:pos="4507"/>
        </w:tabs>
        <w:ind w:left="4507" w:hanging="360"/>
      </w:pPr>
      <w:rPr>
        <w:rFonts w:ascii="Courier New" w:hAnsi="Courier New" w:hint="default"/>
      </w:rPr>
    </w:lvl>
    <w:lvl w:ilvl="5" w:tplc="FFFFFFFF" w:tentative="1">
      <w:start w:val="1"/>
      <w:numFmt w:val="bullet"/>
      <w:lvlText w:val=""/>
      <w:lvlJc w:val="left"/>
      <w:pPr>
        <w:tabs>
          <w:tab w:val="num" w:pos="5227"/>
        </w:tabs>
        <w:ind w:left="5227" w:hanging="360"/>
      </w:pPr>
      <w:rPr>
        <w:rFonts w:ascii="Wingdings" w:hAnsi="Wingdings" w:hint="default"/>
      </w:rPr>
    </w:lvl>
    <w:lvl w:ilvl="6" w:tplc="FFFFFFFF" w:tentative="1">
      <w:start w:val="1"/>
      <w:numFmt w:val="bullet"/>
      <w:lvlText w:val=""/>
      <w:lvlJc w:val="left"/>
      <w:pPr>
        <w:tabs>
          <w:tab w:val="num" w:pos="5947"/>
        </w:tabs>
        <w:ind w:left="5947" w:hanging="360"/>
      </w:pPr>
      <w:rPr>
        <w:rFonts w:ascii="Symbol" w:hAnsi="Symbol" w:hint="default"/>
      </w:rPr>
    </w:lvl>
    <w:lvl w:ilvl="7" w:tplc="FFFFFFFF" w:tentative="1">
      <w:start w:val="1"/>
      <w:numFmt w:val="bullet"/>
      <w:lvlText w:val="o"/>
      <w:lvlJc w:val="left"/>
      <w:pPr>
        <w:tabs>
          <w:tab w:val="num" w:pos="6667"/>
        </w:tabs>
        <w:ind w:left="6667" w:hanging="360"/>
      </w:pPr>
      <w:rPr>
        <w:rFonts w:ascii="Courier New" w:hAnsi="Courier New" w:hint="default"/>
      </w:rPr>
    </w:lvl>
    <w:lvl w:ilvl="8" w:tplc="FFFFFFFF" w:tentative="1">
      <w:start w:val="1"/>
      <w:numFmt w:val="bullet"/>
      <w:lvlText w:val=""/>
      <w:lvlJc w:val="left"/>
      <w:pPr>
        <w:tabs>
          <w:tab w:val="num" w:pos="7387"/>
        </w:tabs>
        <w:ind w:left="7387" w:hanging="360"/>
      </w:pPr>
      <w:rPr>
        <w:rFonts w:ascii="Wingdings" w:hAnsi="Wingdings" w:hint="default"/>
      </w:rPr>
    </w:lvl>
  </w:abstractNum>
  <w:abstractNum w:abstractNumId="56">
    <w:nsid w:val="41DF54E6"/>
    <w:multiLevelType w:val="hybridMultilevel"/>
    <w:tmpl w:val="FDC2C0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8">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59">
    <w:nsid w:val="44ED7A42"/>
    <w:multiLevelType w:val="hybridMultilevel"/>
    <w:tmpl w:val="00423CE0"/>
    <w:lvl w:ilvl="0" w:tplc="C470802A">
      <w:start w:val="1"/>
      <w:numFmt w:val="bullet"/>
      <w:lvlText w:val=""/>
      <w:lvlJc w:val="left"/>
      <w:pPr>
        <w:ind w:left="360" w:hanging="360"/>
      </w:pPr>
      <w:rPr>
        <w:rFonts w:ascii="Wingdings" w:hAnsi="Wingdings" w:hint="default"/>
        <w:color w:val="FF0000"/>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61">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62">
    <w:nsid w:val="48A06C76"/>
    <w:multiLevelType w:val="hybridMultilevel"/>
    <w:tmpl w:val="5DEC97AA"/>
    <w:lvl w:ilvl="0" w:tplc="08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497C5E09"/>
    <w:multiLevelType w:val="multilevel"/>
    <w:tmpl w:val="E7FC4010"/>
    <w:styleLink w:val="NumbLstTableBullet"/>
    <w:lvl w:ilvl="0">
      <w:start w:val="1"/>
      <w:numFmt w:val="bullet"/>
      <w:pStyle w:val="TableBullet"/>
      <w:lvlText w:val="■"/>
      <w:lvlJc w:val="left"/>
      <w:pPr>
        <w:tabs>
          <w:tab w:val="num" w:pos="397"/>
        </w:tabs>
        <w:ind w:left="397" w:hanging="340"/>
      </w:pPr>
      <w:rPr>
        <w:rFonts w:ascii="Arial" w:hAnsi="Arial" w:cs="Arial" w:hint="default"/>
        <w:color w:val="0067AC"/>
      </w:rPr>
    </w:lvl>
    <w:lvl w:ilvl="1">
      <w:start w:val="1"/>
      <w:numFmt w:val="bullet"/>
      <w:lvlText w:val="–"/>
      <w:lvlJc w:val="left"/>
      <w:pPr>
        <w:tabs>
          <w:tab w:val="num" w:pos="737"/>
        </w:tabs>
        <w:ind w:left="737" w:hanging="340"/>
      </w:pPr>
      <w:rPr>
        <w:rFonts w:ascii="Arial" w:hAnsi="Arial" w:cs="Arial" w:hint="default"/>
        <w:color w:val="1F497D"/>
      </w:rPr>
    </w:lvl>
    <w:lvl w:ilvl="2">
      <w:start w:val="1"/>
      <w:numFmt w:val="bullet"/>
      <w:lvlText w:val="○"/>
      <w:lvlJc w:val="left"/>
      <w:pPr>
        <w:tabs>
          <w:tab w:val="num" w:pos="1077"/>
        </w:tabs>
        <w:ind w:left="1077" w:hanging="340"/>
      </w:pPr>
      <w:rPr>
        <w:rFonts w:ascii="Arial" w:hAnsi="Arial" w:cs="Arial" w:hint="default"/>
        <w:color w:val="1F497D"/>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64">
    <w:nsid w:val="49DC479C"/>
    <w:multiLevelType w:val="hybridMultilevel"/>
    <w:tmpl w:val="C52EEE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4F7A3C4A"/>
    <w:multiLevelType w:val="hybridMultilevel"/>
    <w:tmpl w:val="694AC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4FA7122E"/>
    <w:multiLevelType w:val="hybridMultilevel"/>
    <w:tmpl w:val="47864FEA"/>
    <w:lvl w:ilvl="0" w:tplc="3D0C4376">
      <w:start w:val="1"/>
      <w:numFmt w:val="bullet"/>
      <w:lvlText w:val=""/>
      <w:lvlJc w:val="left"/>
      <w:pPr>
        <w:ind w:left="360" w:hanging="360"/>
      </w:pPr>
      <w:rPr>
        <w:rFonts w:ascii="Wingdings" w:hAnsi="Wingdings" w:hint="default"/>
        <w:color w:val="00B050"/>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7">
    <w:nsid w:val="504936E5"/>
    <w:multiLevelType w:val="multilevel"/>
    <w:tmpl w:val="4EAA5BA6"/>
    <w:numStyleLink w:val="NumbLstBTBullet"/>
  </w:abstractNum>
  <w:abstractNum w:abstractNumId="68">
    <w:nsid w:val="51821DC2"/>
    <w:multiLevelType w:val="hybridMultilevel"/>
    <w:tmpl w:val="AA7CF3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70">
    <w:nsid w:val="556E1D63"/>
    <w:multiLevelType w:val="singleLevel"/>
    <w:tmpl w:val="493AAFF0"/>
    <w:name w:val="Bullet 4"/>
    <w:styleLink w:val="BulletEU1"/>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1">
    <w:nsid w:val="585F058A"/>
    <w:multiLevelType w:val="hybridMultilevel"/>
    <w:tmpl w:val="4C6AEF9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5A134F14"/>
    <w:multiLevelType w:val="hybridMultilevel"/>
    <w:tmpl w:val="1DB05F1A"/>
    <w:lvl w:ilvl="0" w:tplc="349E1C2A">
      <w:start w:val="1"/>
      <w:numFmt w:val="decimal"/>
      <w:lvlText w:val="%1."/>
      <w:lvlJc w:val="left"/>
      <w:pPr>
        <w:ind w:left="36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5A786CF8"/>
    <w:multiLevelType w:val="hybridMultilevel"/>
    <w:tmpl w:val="54D603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75">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76">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7">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78">
    <w:nsid w:val="5FEF1F2B"/>
    <w:multiLevelType w:val="hybridMultilevel"/>
    <w:tmpl w:val="D3C841CA"/>
    <w:styleLink w:val="NumbLstBullet1"/>
    <w:lvl w:ilvl="0" w:tplc="08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80">
    <w:nsid w:val="61FA7335"/>
    <w:multiLevelType w:val="hybridMultilevel"/>
    <w:tmpl w:val="65BC624E"/>
    <w:lvl w:ilvl="0" w:tplc="0809000D">
      <w:start w:val="1"/>
      <w:numFmt w:val="bullet"/>
      <w:lvlText w:val=""/>
      <w:lvlJc w:val="left"/>
      <w:pPr>
        <w:ind w:left="720" w:hanging="360"/>
      </w:pPr>
      <w:rPr>
        <w:rFonts w:ascii="Wingdings" w:hAnsi="Wingdings" w:hint="default"/>
        <w:sz w:val="24"/>
        <w:szCs w:val="24"/>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1">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82">
    <w:nsid w:val="62854AC5"/>
    <w:multiLevelType w:val="hybridMultilevel"/>
    <w:tmpl w:val="2FA8989C"/>
    <w:lvl w:ilvl="0" w:tplc="FD7283D2">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nsid w:val="63D65142"/>
    <w:multiLevelType w:val="hybridMultilevel"/>
    <w:tmpl w:val="37E6D69A"/>
    <w:lvl w:ilvl="0" w:tplc="08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4572EA3"/>
    <w:multiLevelType w:val="hybridMultilevel"/>
    <w:tmpl w:val="0866B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nsid w:val="64596592"/>
    <w:multiLevelType w:val="hybridMultilevel"/>
    <w:tmpl w:val="ACE07F2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nsid w:val="65041D85"/>
    <w:multiLevelType w:val="hybridMultilevel"/>
    <w:tmpl w:val="5FC6827A"/>
    <w:lvl w:ilvl="0" w:tplc="FD7283D2">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nsid w:val="66824E5D"/>
    <w:multiLevelType w:val="hybridMultilevel"/>
    <w:tmpl w:val="374E3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668F3A4A"/>
    <w:multiLevelType w:val="multilevel"/>
    <w:tmpl w:val="EB7A4D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9">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90">
    <w:nsid w:val="68C87F1B"/>
    <w:multiLevelType w:val="hybridMultilevel"/>
    <w:tmpl w:val="090A0E3A"/>
    <w:lvl w:ilvl="0" w:tplc="F760AA9C">
      <w:start w:val="1"/>
      <w:numFmt w:val="bullet"/>
      <w:lvlText w:val=""/>
      <w:lvlPicBulletId w:val="6"/>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nsid w:val="68DE5947"/>
    <w:multiLevelType w:val="hybridMultilevel"/>
    <w:tmpl w:val="D194A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692739B7"/>
    <w:multiLevelType w:val="hybridMultilevel"/>
    <w:tmpl w:val="09FA162A"/>
    <w:lvl w:ilvl="0" w:tplc="7D00D2C6">
      <w:start w:val="1"/>
      <w:numFmt w:val="bullet"/>
      <w:lvlText w:val=""/>
      <w:lvlPicBulletId w:val="6"/>
      <w:lvlJc w:val="left"/>
      <w:pPr>
        <w:ind w:left="720" w:hanging="360"/>
      </w:pPr>
      <w:rPr>
        <w:rFonts w:ascii="Symbol" w:hAnsi="Symbol" w:hint="default"/>
        <w:color w:val="auto"/>
      </w:rPr>
    </w:lvl>
    <w:lvl w:ilvl="1" w:tplc="98ACA012">
      <w:numFmt w:val="bullet"/>
      <w:lvlText w:val="•"/>
      <w:lvlJc w:val="left"/>
      <w:pPr>
        <w:ind w:left="1800" w:hanging="720"/>
      </w:pPr>
      <w:rPr>
        <w:rFonts w:ascii="Arial" w:eastAsia="Times"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3">
    <w:nsid w:val="69C02722"/>
    <w:multiLevelType w:val="hybridMultilevel"/>
    <w:tmpl w:val="0E567AF6"/>
    <w:lvl w:ilvl="0" w:tplc="F760AA9C">
      <w:start w:val="1"/>
      <w:numFmt w:val="bullet"/>
      <w:lvlText w:val=""/>
      <w:lvlPicBulletId w:val="6"/>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nsid w:val="6ACE3FE8"/>
    <w:multiLevelType w:val="hybridMultilevel"/>
    <w:tmpl w:val="CA1C2D94"/>
    <w:styleLink w:val="NumbLstTableBulle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B114475"/>
    <w:multiLevelType w:val="hybridMultilevel"/>
    <w:tmpl w:val="5FC6827A"/>
    <w:lvl w:ilvl="0" w:tplc="FD7283D2">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nsid w:val="6C44477F"/>
    <w:multiLevelType w:val="hybridMultilevel"/>
    <w:tmpl w:val="31E20B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6DAD50D9"/>
    <w:multiLevelType w:val="hybridMultilevel"/>
    <w:tmpl w:val="CFA68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99">
    <w:nsid w:val="6ED950A6"/>
    <w:multiLevelType w:val="hybridMultilevel"/>
    <w:tmpl w:val="68727560"/>
    <w:lvl w:ilvl="0" w:tplc="C470802A">
      <w:start w:val="1"/>
      <w:numFmt w:val="bullet"/>
      <w:lvlText w:val=""/>
      <w:lvlJc w:val="left"/>
      <w:pPr>
        <w:ind w:left="360" w:hanging="360"/>
      </w:pPr>
      <w:rPr>
        <w:rFonts w:ascii="Wingdings" w:hAnsi="Wingdings" w:hint="default"/>
        <w:color w:val="FF0000"/>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0">
    <w:nsid w:val="6F333E15"/>
    <w:multiLevelType w:val="hybridMultilevel"/>
    <w:tmpl w:val="25CAF98E"/>
    <w:styleLink w:val="NumbLstMain1"/>
    <w:lvl w:ilvl="0" w:tplc="08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F5D14DF"/>
    <w:multiLevelType w:val="hybridMultilevel"/>
    <w:tmpl w:val="2F8A3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3">
    <w:nsid w:val="72CA7362"/>
    <w:multiLevelType w:val="hybridMultilevel"/>
    <w:tmpl w:val="6A8E6B32"/>
    <w:lvl w:ilvl="0" w:tplc="C470802A">
      <w:start w:val="1"/>
      <w:numFmt w:val="bullet"/>
      <w:lvlText w:val=""/>
      <w:lvlJc w:val="left"/>
      <w:pPr>
        <w:ind w:left="360" w:hanging="360"/>
      </w:pPr>
      <w:rPr>
        <w:rFonts w:ascii="Wingdings" w:hAnsi="Wingdings" w:hint="default"/>
        <w:color w:val="FF0000"/>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4">
    <w:nsid w:val="747B6940"/>
    <w:multiLevelType w:val="hybridMultilevel"/>
    <w:tmpl w:val="2B4C5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4BD3BF2"/>
    <w:multiLevelType w:val="hybridMultilevel"/>
    <w:tmpl w:val="D6701012"/>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75981274"/>
    <w:multiLevelType w:val="hybridMultilevel"/>
    <w:tmpl w:val="A410A168"/>
    <w:lvl w:ilvl="0" w:tplc="0E0C4BB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7">
    <w:nsid w:val="75E2374C"/>
    <w:multiLevelType w:val="hybridMultilevel"/>
    <w:tmpl w:val="4D2C1A7C"/>
    <w:lvl w:ilvl="0" w:tplc="3D0C4376">
      <w:start w:val="1"/>
      <w:numFmt w:val="bullet"/>
      <w:lvlText w:val=""/>
      <w:lvlJc w:val="left"/>
      <w:pPr>
        <w:ind w:left="360" w:hanging="360"/>
      </w:pPr>
      <w:rPr>
        <w:rFonts w:ascii="Wingdings" w:hAnsi="Wingdings" w:hint="default"/>
        <w:color w:val="00B050"/>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8">
    <w:nsid w:val="76A26850"/>
    <w:multiLevelType w:val="hybridMultilevel"/>
    <w:tmpl w:val="4A3EA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772C14E5"/>
    <w:multiLevelType w:val="hybridMultilevel"/>
    <w:tmpl w:val="950435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nsid w:val="77E90534"/>
    <w:multiLevelType w:val="hybridMultilevel"/>
    <w:tmpl w:val="9F8C2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nsid w:val="79225A09"/>
    <w:multiLevelType w:val="hybridMultilevel"/>
    <w:tmpl w:val="8974A894"/>
    <w:lvl w:ilvl="0" w:tplc="B878728C">
      <w:start w:val="1"/>
      <w:numFmt w:val="upperLetter"/>
      <w:pStyle w:val="AnnexChapterHeading"/>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7BC21584"/>
    <w:multiLevelType w:val="hybridMultilevel"/>
    <w:tmpl w:val="099C2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114">
    <w:nsid w:val="7DCD6F56"/>
    <w:multiLevelType w:val="hybridMultilevel"/>
    <w:tmpl w:val="CEF88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7E987116"/>
    <w:multiLevelType w:val="hybridMultilevel"/>
    <w:tmpl w:val="62EED654"/>
    <w:lvl w:ilvl="0" w:tplc="3D0C4376">
      <w:start w:val="1"/>
      <w:numFmt w:val="bullet"/>
      <w:lvlText w:val=""/>
      <w:lvlJc w:val="left"/>
      <w:pPr>
        <w:ind w:left="360" w:hanging="360"/>
      </w:pPr>
      <w:rPr>
        <w:rFonts w:ascii="Wingdings" w:hAnsi="Wingdings" w:hint="default"/>
        <w:color w:val="00B050"/>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6">
    <w:nsid w:val="7F4E2C0A"/>
    <w:multiLevelType w:val="hybridMultilevel"/>
    <w:tmpl w:val="7E645AB4"/>
    <w:lvl w:ilvl="0" w:tplc="F760AA9C">
      <w:start w:val="1"/>
      <w:numFmt w:val="bullet"/>
      <w:lvlText w:val=""/>
      <w:lvlPicBulletId w:val="6"/>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0"/>
  </w:num>
  <w:num w:numId="2">
    <w:abstractNumId w:val="88"/>
  </w:num>
  <w:num w:numId="3">
    <w:abstractNumId w:val="105"/>
  </w:num>
  <w:num w:numId="4">
    <w:abstractNumId w:val="71"/>
  </w:num>
  <w:num w:numId="5">
    <w:abstractNumId w:val="22"/>
  </w:num>
  <w:num w:numId="6">
    <w:abstractNumId w:val="40"/>
  </w:num>
  <w:num w:numId="7">
    <w:abstractNumId w:val="83"/>
  </w:num>
  <w:num w:numId="8">
    <w:abstractNumId w:val="96"/>
  </w:num>
  <w:num w:numId="9">
    <w:abstractNumId w:val="104"/>
  </w:num>
  <w:num w:numId="10">
    <w:abstractNumId w:val="19"/>
  </w:num>
  <w:num w:numId="11">
    <w:abstractNumId w:val="15"/>
  </w:num>
  <w:num w:numId="12">
    <w:abstractNumId w:val="84"/>
  </w:num>
  <w:num w:numId="13">
    <w:abstractNumId w:val="24"/>
  </w:num>
  <w:num w:numId="14">
    <w:abstractNumId w:val="110"/>
  </w:num>
  <w:num w:numId="15">
    <w:abstractNumId w:val="62"/>
  </w:num>
  <w:num w:numId="16">
    <w:abstractNumId w:val="52"/>
  </w:num>
  <w:num w:numId="17">
    <w:abstractNumId w:val="78"/>
  </w:num>
  <w:num w:numId="18">
    <w:abstractNumId w:val="94"/>
  </w:num>
  <w:num w:numId="19">
    <w:abstractNumId w:val="13"/>
  </w:num>
  <w:num w:numId="20">
    <w:abstractNumId w:val="21"/>
  </w:num>
  <w:num w:numId="21">
    <w:abstractNumId w:val="14"/>
  </w:num>
  <w:num w:numId="22">
    <w:abstractNumId w:val="100"/>
  </w:num>
  <w:num w:numId="23">
    <w:abstractNumId w:val="47"/>
  </w:num>
  <w:num w:numId="24">
    <w:abstractNumId w:val="64"/>
  </w:num>
  <w:num w:numId="25">
    <w:abstractNumId w:val="56"/>
  </w:num>
  <w:num w:numId="26">
    <w:abstractNumId w:val="101"/>
  </w:num>
  <w:num w:numId="27">
    <w:abstractNumId w:val="1"/>
  </w:num>
  <w:num w:numId="28">
    <w:abstractNumId w:val="0"/>
  </w:num>
  <w:num w:numId="29">
    <w:abstractNumId w:val="36"/>
  </w:num>
  <w:num w:numId="30">
    <w:abstractNumId w:val="49"/>
  </w:num>
  <w:num w:numId="31">
    <w:abstractNumId w:val="81"/>
  </w:num>
  <w:num w:numId="32">
    <w:abstractNumId w:val="98"/>
  </w:num>
  <w:num w:numId="33">
    <w:abstractNumId w:val="45"/>
  </w:num>
  <w:num w:numId="34">
    <w:abstractNumId w:val="79"/>
  </w:num>
  <w:num w:numId="35">
    <w:abstractNumId w:val="77"/>
  </w:num>
  <w:num w:numId="36">
    <w:abstractNumId w:val="61"/>
  </w:num>
  <w:num w:numId="37">
    <w:abstractNumId w:val="69"/>
  </w:num>
  <w:num w:numId="38">
    <w:abstractNumId w:val="30"/>
  </w:num>
  <w:num w:numId="39">
    <w:abstractNumId w:val="46"/>
  </w:num>
  <w:num w:numId="40">
    <w:abstractNumId w:val="23"/>
  </w:num>
  <w:num w:numId="41">
    <w:abstractNumId w:val="37"/>
  </w:num>
  <w:num w:numId="42">
    <w:abstractNumId w:val="102"/>
  </w:num>
  <w:num w:numId="43">
    <w:abstractNumId w:val="9"/>
  </w:num>
  <w:num w:numId="44">
    <w:abstractNumId w:val="76"/>
  </w:num>
  <w:num w:numId="45">
    <w:abstractNumId w:val="57"/>
  </w:num>
  <w:num w:numId="46">
    <w:abstractNumId w:val="89"/>
  </w:num>
  <w:num w:numId="47">
    <w:abstractNumId w:val="39"/>
  </w:num>
  <w:num w:numId="48">
    <w:abstractNumId w:val="58"/>
  </w:num>
  <w:num w:numId="49">
    <w:abstractNumId w:val="25"/>
  </w:num>
  <w:num w:numId="50">
    <w:abstractNumId w:val="60"/>
  </w:num>
  <w:num w:numId="51">
    <w:abstractNumId w:val="74"/>
  </w:num>
  <w:num w:numId="52">
    <w:abstractNumId w:val="75"/>
  </w:num>
  <w:num w:numId="53">
    <w:abstractNumId w:val="38"/>
  </w:num>
  <w:num w:numId="54">
    <w:abstractNumId w:val="70"/>
  </w:num>
  <w:num w:numId="55">
    <w:abstractNumId w:val="113"/>
  </w:num>
  <w:num w:numId="56">
    <w:abstractNumId w:val="67"/>
  </w:num>
  <w:num w:numId="57">
    <w:abstractNumId w:val="55"/>
  </w:num>
  <w:num w:numId="58">
    <w:abstractNumId w:val="51"/>
  </w:num>
  <w:num w:numId="59">
    <w:abstractNumId w:val="63"/>
  </w:num>
  <w:num w:numId="60">
    <w:abstractNumId w:val="18"/>
  </w:num>
  <w:num w:numId="61">
    <w:abstractNumId w:val="80"/>
  </w:num>
  <w:num w:numId="62">
    <w:abstractNumId w:val="48"/>
  </w:num>
  <w:num w:numId="63">
    <w:abstractNumId w:val="4"/>
  </w:num>
  <w:num w:numId="64">
    <w:abstractNumId w:val="6"/>
  </w:num>
  <w:num w:numId="65">
    <w:abstractNumId w:val="65"/>
  </w:num>
  <w:num w:numId="66">
    <w:abstractNumId w:val="3"/>
  </w:num>
  <w:num w:numId="67">
    <w:abstractNumId w:val="87"/>
  </w:num>
  <w:num w:numId="68">
    <w:abstractNumId w:val="91"/>
  </w:num>
  <w:num w:numId="69">
    <w:abstractNumId w:val="16"/>
  </w:num>
  <w:num w:numId="70">
    <w:abstractNumId w:val="32"/>
  </w:num>
  <w:num w:numId="71">
    <w:abstractNumId w:val="68"/>
  </w:num>
  <w:num w:numId="72">
    <w:abstractNumId w:val="95"/>
  </w:num>
  <w:num w:numId="73">
    <w:abstractNumId w:val="107"/>
  </w:num>
  <w:num w:numId="74">
    <w:abstractNumId w:val="103"/>
  </w:num>
  <w:num w:numId="75">
    <w:abstractNumId w:val="66"/>
  </w:num>
  <w:num w:numId="76">
    <w:abstractNumId w:val="5"/>
  </w:num>
  <w:num w:numId="77">
    <w:abstractNumId w:val="11"/>
  </w:num>
  <w:num w:numId="78">
    <w:abstractNumId w:val="115"/>
  </w:num>
  <w:num w:numId="79">
    <w:abstractNumId w:val="99"/>
  </w:num>
  <w:num w:numId="80">
    <w:abstractNumId w:val="41"/>
  </w:num>
  <w:num w:numId="81">
    <w:abstractNumId w:val="20"/>
  </w:num>
  <w:num w:numId="82">
    <w:abstractNumId w:val="59"/>
  </w:num>
  <w:num w:numId="83">
    <w:abstractNumId w:val="31"/>
  </w:num>
  <w:num w:numId="84">
    <w:abstractNumId w:val="10"/>
  </w:num>
  <w:num w:numId="85">
    <w:abstractNumId w:val="43"/>
  </w:num>
  <w:num w:numId="86">
    <w:abstractNumId w:val="34"/>
  </w:num>
  <w:num w:numId="87">
    <w:abstractNumId w:val="44"/>
  </w:num>
  <w:num w:numId="88">
    <w:abstractNumId w:val="7"/>
  </w:num>
  <w:num w:numId="89">
    <w:abstractNumId w:val="109"/>
  </w:num>
  <w:num w:numId="90">
    <w:abstractNumId w:val="27"/>
  </w:num>
  <w:num w:numId="91">
    <w:abstractNumId w:val="97"/>
  </w:num>
  <w:num w:numId="92">
    <w:abstractNumId w:val="8"/>
  </w:num>
  <w:num w:numId="9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2"/>
  </w:num>
  <w:num w:numId="95">
    <w:abstractNumId w:val="112"/>
  </w:num>
  <w:num w:numId="96">
    <w:abstractNumId w:val="12"/>
  </w:num>
  <w:num w:numId="97">
    <w:abstractNumId w:val="114"/>
  </w:num>
  <w:num w:numId="98">
    <w:abstractNumId w:val="33"/>
  </w:num>
  <w:num w:numId="99">
    <w:abstractNumId w:val="72"/>
  </w:num>
  <w:num w:numId="100">
    <w:abstractNumId w:val="82"/>
  </w:num>
  <w:num w:numId="101">
    <w:abstractNumId w:val="86"/>
  </w:num>
  <w:num w:numId="102">
    <w:abstractNumId w:val="53"/>
  </w:num>
  <w:num w:numId="103">
    <w:abstractNumId w:val="85"/>
  </w:num>
  <w:num w:numId="104">
    <w:abstractNumId w:val="28"/>
  </w:num>
  <w:num w:numId="105">
    <w:abstractNumId w:val="35"/>
  </w:num>
  <w:num w:numId="106">
    <w:abstractNumId w:val="26"/>
  </w:num>
  <w:num w:numId="107">
    <w:abstractNumId w:val="111"/>
  </w:num>
  <w:num w:numId="108">
    <w:abstractNumId w:val="17"/>
  </w:num>
  <w:num w:numId="109">
    <w:abstractNumId w:val="73"/>
  </w:num>
  <w:num w:numId="110">
    <w:abstractNumId w:val="29"/>
  </w:num>
  <w:num w:numId="111">
    <w:abstractNumId w:val="54"/>
  </w:num>
  <w:num w:numId="112">
    <w:abstractNumId w:val="93"/>
  </w:num>
  <w:num w:numId="113">
    <w:abstractNumId w:val="90"/>
  </w:num>
  <w:num w:numId="114">
    <w:abstractNumId w:val="116"/>
  </w:num>
  <w:num w:numId="115">
    <w:abstractNumId w:val="92"/>
  </w:num>
  <w:num w:numId="116">
    <w:abstractNumId w:val="108"/>
  </w:num>
  <w:num w:numId="117">
    <w:abstractNumId w:val="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56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E4E9ED8CA69846DE8AD37011EB6D85EC"/>
    <w:docVar w:name="LW_CROSSREFERENCE" w:val="{COM(2017) 10 final}_x000b_{SWD(2017) 4 final}_x000b_{SWD(2017) 5 final}_x000b_{SWD(2017) 6 final}"/>
    <w:docVar w:name="LW_DocType" w:val="JRC_SCI_&amp;_POL_REP_COV_TEMPL_ONLINE"/>
    <w:docVar w:name="LW_EMISSION" w:val="10.1.2017"/>
    <w:docVar w:name="LW_EMISSION_ISODATE" w:val="2017-01-10"/>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concerning the respect for private life and the protection of personal data in electronic communications and repealing Directive 2002/58/EC (Regulation on Privacy and Electronic Communications)"/>
    <w:docVar w:name="LW_PART_NBR" w:val="2"/>
    <w:docVar w:name="LW_PART_NBR_TOTAL" w:val="3"/>
    <w:docVar w:name="LW_REF.INST.NEW" w:val="SWD"/>
    <w:docVar w:name="LW_REF.INST.NEW_ADOPTED" w:val="final"/>
    <w:docVar w:name="LW_REF.INST.NEW_TEXT" w:val="(2017) 3"/>
    <w:docVar w:name="LW_REF.INTERNE" w:val="&lt;UNUSED&gt;"/>
    <w:docVar w:name="LW_SUPERTITRE" w:val="&lt;UNUSED&gt;"/>
    <w:docVar w:name="LW_TITRE.OBJ.CP" w:val="&lt;UNUSED&gt;"/>
    <w:docVar w:name="LW_TYPE.DOC.CP" w:val="COMMISSION STAFF WORKING DOCUMENT_x000b__x000b_IMPACT ASSESSMENT_x000b_"/>
    <w:docVar w:name="LW_TYPEACTEPRINCIPAL.CP" w:val="Proposal for REGULATION OF THE EUROPEAN PARLIAMENT AND OF THE COUNCIL"/>
  </w:docVars>
  <w:rsids>
    <w:rsidRoot w:val="0077224F"/>
    <w:rsid w:val="0077224F"/>
    <w:rsid w:val="00D973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35" w:qFormat="1"/>
    <w:lsdException w:name="envelope address" w:uiPriority="0"/>
    <w:lsdException w:name="envelope return" w:uiPriority="0"/>
    <w:lsdException w:name="footnote reference" w:qFormat="1"/>
    <w:lsdException w:name="table of authorities" w:uiPriority="0"/>
    <w:lsdException w:name="macro" w:uiPriority="0"/>
    <w:lsdException w:name="toa heading" w:uiPriority="0"/>
    <w:lsdException w:name="List" w:uiPriority="0"/>
    <w:lsdException w:name="List Bullet" w:uiPriority="0" w:qFormat="1"/>
    <w:lsdException w:name="List Number" w:uiPriority="0"/>
    <w:lsdException w:name="List 2" w:uiPriority="0"/>
    <w:lsdException w:name="List 3" w:uiPriority="0"/>
    <w:lsdException w:name="List 4" w:uiPriority="0"/>
    <w:lsdException w:name="List Bullet 2" w:qFormat="1"/>
    <w:lsdException w:name="List Bullet 3" w:qFormat="1"/>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Columns 1" w:uiPriority="0"/>
    <w:lsdException w:name="Table Columns 2" w:uiPriority="0"/>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pPr>
      <w:spacing w:before="120" w:after="120"/>
      <w:jc w:val="both"/>
    </w:pPr>
    <w:rPr>
      <w:rFonts w:ascii="Verdana" w:hAnsi="Verdana"/>
      <w:szCs w:val="24"/>
      <w:lang w:eastAsia="en-US"/>
    </w:rPr>
  </w:style>
  <w:style w:type="paragraph" w:styleId="Heading1">
    <w:name w:val="heading 1"/>
    <w:aliases w:val="F3 Heading 1 - Section,1.,h1,ITTHEADER1,(Section),Numbered - 1,Section,Chapter Hdg,CH TITLE 1,Chapter Heading,Titre 1,1,H1,section head,al,section head1,h11,section head2,h12,section head3,h13,section head4,h14,IMPACT STUDY TITLE1,Headline 1"/>
    <w:basedOn w:val="Normal"/>
    <w:next w:val="Normal"/>
    <w:link w:val="Heading1Char"/>
    <w:autoRedefine/>
    <w:uiPriority w:val="9"/>
    <w:qFormat/>
    <w:pPr>
      <w:keepNext/>
      <w:numPr>
        <w:numId w:val="2"/>
      </w:numPr>
      <w:spacing w:before="240" w:after="60"/>
      <w:outlineLvl w:val="0"/>
    </w:pPr>
    <w:rPr>
      <w:b/>
      <w:sz w:val="26"/>
    </w:rPr>
  </w:style>
  <w:style w:type="paragraph" w:styleId="Heading2">
    <w:name w:val="heading 2"/>
    <w:aliases w:val="F4 Heading 2 - SubSection,h2,Heading 2 Char1,Heading 2 Char Char,H2 Char,heading 2 Char,(SubSection),Para Nos,Para,Main Heading,Main Headi,Numbered - 2,(Main Heading),Paragraph,Sub Heading,ignorer2,Oscar Faber 2,IMPACT STUDY TITLE2,2H,2H1,2H2"/>
    <w:basedOn w:val="Normal"/>
    <w:next w:val="Normal"/>
    <w:link w:val="Heading2Char"/>
    <w:autoRedefine/>
    <w:uiPriority w:val="9"/>
    <w:qFormat/>
    <w:pPr>
      <w:keepNext/>
      <w:keepLines/>
      <w:numPr>
        <w:ilvl w:val="1"/>
        <w:numId w:val="2"/>
      </w:numPr>
      <w:spacing w:before="200"/>
      <w:outlineLvl w:val="1"/>
    </w:pPr>
    <w:rPr>
      <w:rFonts w:eastAsiaTheme="majorEastAsia" w:cstheme="majorBidi"/>
      <w:b/>
      <w:bCs/>
      <w:iCs/>
      <w:sz w:val="24"/>
      <w:szCs w:val="26"/>
    </w:rPr>
  </w:style>
  <w:style w:type="paragraph" w:styleId="Heading3">
    <w:name w:val="heading 3"/>
    <w:aliases w:val="H31,Headline 3,h3,h31,h32,H3,Heading 3 Char Char,Heading 3 - old,heading 3,ASAPHeading 3,Mi,Minor,Headline,Punt 3,Heading 3 CFMU,Para 3,Punt 3 Char,Arial 12 Fett,1.1.1 Heading 3,Numbered 3 (SBC),Sub-Title,Heading 3 - SBC,V_Head3,Podkapitola2"/>
    <w:basedOn w:val="Normal"/>
    <w:next w:val="Normal"/>
    <w:link w:val="Heading3Char"/>
    <w:autoRedefine/>
    <w:uiPriority w:val="9"/>
    <w:unhideWhenUsed/>
    <w:qFormat/>
    <w:pPr>
      <w:keepNext/>
      <w:keepLines/>
      <w:numPr>
        <w:ilvl w:val="2"/>
        <w:numId w:val="2"/>
      </w:numPr>
      <w:spacing w:before="200" w:after="0"/>
      <w:outlineLvl w:val="2"/>
    </w:pPr>
    <w:rPr>
      <w:rFonts w:eastAsiaTheme="majorEastAsia" w:cstheme="majorBidi"/>
      <w:b/>
      <w:bCs/>
      <w:sz w:val="22"/>
    </w:rPr>
  </w:style>
  <w:style w:type="paragraph" w:styleId="Heading4">
    <w:name w:val="heading 4"/>
    <w:aliases w:val="itth4,TABLE,heading 4 Char,Numbered - 4,level 3 subhead,PA Micro Section,(Alt+4),H41,(Alt+4)1,H42,(Alt+4)2,H43,(Alt+4)3,H44,(Alt+4)4,H45,(Alt+4)5,H411,(Alt+4)11,H421,(Alt+4)21,H431,(Alt+4)31,H46,(Alt+4)6,H412,(Alt+4)12,H422,(Alt+4)22,H432,H47"/>
    <w:basedOn w:val="Normal"/>
    <w:next w:val="Normal"/>
    <w:link w:val="Heading4Char"/>
    <w:autoRedefine/>
    <w:uiPriority w:val="9"/>
    <w:unhideWhenUsed/>
    <w:qFormat/>
    <w:pPr>
      <w:keepNext/>
      <w:keepLines/>
      <w:numPr>
        <w:ilvl w:val="3"/>
        <w:numId w:val="2"/>
      </w:num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pPr>
      <w:keepNext/>
      <w:keepLines/>
      <w:numPr>
        <w:ilvl w:val="4"/>
        <w:numId w:val="2"/>
      </w:numPr>
      <w:spacing w:before="200" w:after="0"/>
      <w:outlineLvl w:val="4"/>
    </w:pPr>
    <w:rPr>
      <w:rFonts w:eastAsiaTheme="majorEastAsia" w:cstheme="majorBidi"/>
      <w:b/>
      <w:color w:val="0033CC"/>
    </w:rPr>
  </w:style>
  <w:style w:type="paragraph" w:styleId="Heading6">
    <w:name w:val="heading 6"/>
    <w:basedOn w:val="Normal"/>
    <w:next w:val="Normal"/>
    <w:link w:val="Heading6Char"/>
    <w:uiPriority w:val="9"/>
    <w:unhideWhenUsed/>
    <w:qFormat/>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sub4,Heading 8 (do not use),Heading 8 CFMU,h8,Header 8,ASAPHeading 8,8,Titolo8,action,action1,action2,action11,action3,action4,action5,action6,action7,action12,action21,action111,action31,action8,action13,action22,action112,action32"/>
    <w:basedOn w:val="Normal"/>
    <w:next w:val="Normal"/>
    <w:link w:val="Heading8Char"/>
    <w:unhideWhenUsed/>
    <w:qFormat/>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qFormat/>
    <w:pPr>
      <w:numPr>
        <w:ilvl w:val="8"/>
        <w:numId w:val="2"/>
      </w:numPr>
      <w:spacing w:before="240" w:after="60"/>
      <w:outlineLvl w:val="8"/>
    </w:pPr>
    <w:rPr>
      <w:rFonts w:ascii="Calibri" w:eastAsia="MS Gothic" w:hAnsi="Calibr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Pr>
      <w:rFonts w:ascii="Lucida Grande" w:hAnsi="Lucida Grande" w:cs="Lucida Grande"/>
      <w:sz w:val="18"/>
      <w:szCs w:val="18"/>
    </w:rPr>
  </w:style>
  <w:style w:type="character" w:customStyle="1" w:styleId="BalloonTextChar">
    <w:name w:val="Balloon Text Char"/>
    <w:link w:val="BalloonText"/>
    <w:uiPriority w:val="99"/>
    <w:rPr>
      <w:rFonts w:ascii="Lucida Grande" w:hAnsi="Lucida Grande" w:cs="Lucida Grande"/>
      <w:sz w:val="18"/>
      <w:szCs w:val="18"/>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Times-Roman" w:hAnsi="Times-Roman" w:cs="Times-Roman"/>
      <w:color w:val="000000"/>
      <w:lang w:val="fr-FR"/>
    </w:rPr>
  </w:style>
  <w:style w:type="character" w:customStyle="1" w:styleId="Heading1Char">
    <w:name w:val="Heading 1 Char"/>
    <w:aliases w:val="F3 Heading 1 - Section Char,1. Char,h1 Char,ITTHEADER1 Char,(Section) Char,Numbered - 1 Char,Section Char,Chapter Hdg Char,CH TITLE 1 Char,Chapter Heading Char,Titre 1 Char,1 Char,H1 Char,section head Char,al Char,section head1 Char"/>
    <w:link w:val="Heading1"/>
    <w:uiPriority w:val="9"/>
    <w:rPr>
      <w:rFonts w:ascii="Verdana" w:hAnsi="Verdana"/>
      <w:b/>
      <w:sz w:val="26"/>
      <w:szCs w:val="24"/>
      <w:lang w:eastAsia="en-US"/>
    </w:rPr>
  </w:style>
  <w:style w:type="character" w:customStyle="1" w:styleId="Heading2Char">
    <w:name w:val="Heading 2 Char"/>
    <w:aliases w:val="F4 Heading 2 - SubSection Char,h2 Char,Heading 2 Char1 Char,Heading 2 Char Char Char,H2 Char Char,heading 2 Char Char,(SubSection) Char,Para Nos Char,Para Char,Main Heading Char,Main Headi Char,Numbered - 2 Char,(Main Heading) Char"/>
    <w:link w:val="Heading2"/>
    <w:uiPriority w:val="9"/>
    <w:rPr>
      <w:rFonts w:ascii="Verdana" w:eastAsiaTheme="majorEastAsia" w:hAnsi="Verdana" w:cstheme="majorBidi"/>
      <w:b/>
      <w:bCs/>
      <w:iCs/>
      <w:sz w:val="24"/>
      <w:szCs w:val="26"/>
      <w:lang w:eastAsia="en-US"/>
    </w:rPr>
  </w:style>
  <w:style w:type="character" w:customStyle="1" w:styleId="Heading9Char">
    <w:name w:val="Heading 9 Char"/>
    <w:link w:val="Heading9"/>
    <w:uiPriority w:val="9"/>
    <w:rPr>
      <w:rFonts w:ascii="Calibri" w:eastAsia="MS Gothic" w:hAnsi="Calibri"/>
      <w:sz w:val="22"/>
      <w:szCs w:val="22"/>
      <w:lang w:eastAsia="en-US"/>
    </w:rPr>
  </w:style>
  <w:style w:type="character" w:customStyle="1" w:styleId="A2">
    <w:name w:val="A2"/>
    <w:rPr>
      <w:rFonts w:cs="EC Square Sans Pro Medium"/>
      <w:i/>
      <w:iCs/>
      <w:color w:val="21ADE4"/>
    </w:rPr>
  </w:style>
  <w:style w:type="character" w:customStyle="1" w:styleId="A0">
    <w:name w:val="A0"/>
    <w:rPr>
      <w:rFonts w:cs="EC Square Sans Pro Medium"/>
      <w:color w:val="21ADE4"/>
      <w:sz w:val="22"/>
      <w:szCs w:val="22"/>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4"/>
      <w:szCs w:val="24"/>
      <w:lang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4"/>
      <w:szCs w:val="24"/>
      <w:lang w:eastAsia="en-US"/>
    </w:rPr>
  </w:style>
  <w:style w:type="paragraph" w:styleId="NoSpacing">
    <w:name w:val="No Spacing"/>
    <w:link w:val="NoSpacingChar"/>
    <w:uiPriority w:val="99"/>
    <w:qFormat/>
    <w:rPr>
      <w:sz w:val="24"/>
      <w:szCs w:val="24"/>
      <w:lang w:eastAsia="en-US"/>
    </w:rPr>
  </w:style>
  <w:style w:type="paragraph" w:styleId="ListParagraph">
    <w:name w:val="List Paragraph"/>
    <w:aliases w:val="Paragraphe de liste 2,Reference list,Normal bullet 2,Bullet list,Numbered List,List Paragraph1,1st level - Bullet List Paragraph,Lettre d'introduction,Paragrafo elenco,Bullet EY,List Paragraph11,Normal bullet 21,O-1 List bullets,List1"/>
    <w:basedOn w:val="Normal"/>
    <w:link w:val="ListParagraphChar"/>
    <w:uiPriority w:val="34"/>
    <w:qFormat/>
    <w:pPr>
      <w:spacing w:after="200"/>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rFonts w:ascii="EC Square Sans Pro" w:hAnsi="EC Square Sans Pro"/>
      <w:lang w:eastAsia="en-US"/>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EC Square Sans Pro" w:hAnsi="EC Square Sans Pro"/>
      <w:b/>
      <w:bCs/>
      <w:lang w:eastAsia="en-US"/>
    </w:rPr>
  </w:style>
  <w:style w:type="character" w:customStyle="1" w:styleId="Heading3Char">
    <w:name w:val="Heading 3 Char"/>
    <w:aliases w:val="H31 Char,Headline 3 Char,h3 Char,h31 Char,h32 Char,H3 Char,Heading 3 Char Char Char,Heading 3 - old Char,heading 3 Char,ASAPHeading 3 Char,Mi Char,Minor Char,Headline Char,Punt 3 Char1,Heading 3 CFMU Char,Para 3 Char,Punt 3 Char Char"/>
    <w:basedOn w:val="DefaultParagraphFont"/>
    <w:link w:val="Heading3"/>
    <w:uiPriority w:val="9"/>
    <w:rPr>
      <w:rFonts w:ascii="Verdana" w:eastAsiaTheme="majorEastAsia" w:hAnsi="Verdana" w:cstheme="majorBidi"/>
      <w:b/>
      <w:bCs/>
      <w:sz w:val="22"/>
      <w:szCs w:val="24"/>
      <w:lang w:eastAsia="en-US"/>
    </w:rPr>
  </w:style>
  <w:style w:type="character" w:customStyle="1" w:styleId="Heading4Char">
    <w:name w:val="Heading 4 Char"/>
    <w:aliases w:val="itth4 Char,TABLE Char,heading 4 Char Char,Numbered - 4 Char,level 3 subhead Char,PA Micro Section Char,(Alt+4) Char,H41 Char,(Alt+4)1 Char,H42 Char,(Alt+4)2 Char,H43 Char,(Alt+4)3 Char,H44 Char,(Alt+4)4 Char,H45 Char,(Alt+4)5 Char"/>
    <w:basedOn w:val="DefaultParagraphFont"/>
    <w:link w:val="Heading4"/>
    <w:uiPriority w:val="9"/>
    <w:rPr>
      <w:rFonts w:ascii="Verdana" w:eastAsiaTheme="majorEastAsia" w:hAnsi="Verdana" w:cstheme="majorBidi"/>
      <w:b/>
      <w:bCs/>
      <w:iCs/>
      <w:szCs w:val="24"/>
      <w:lang w:eastAsia="en-US"/>
    </w:rPr>
  </w:style>
  <w:style w:type="character" w:customStyle="1" w:styleId="Heading5Char">
    <w:name w:val="Heading 5 Char"/>
    <w:basedOn w:val="DefaultParagraphFont"/>
    <w:link w:val="Heading5"/>
    <w:uiPriority w:val="9"/>
    <w:rPr>
      <w:rFonts w:ascii="Verdana" w:eastAsiaTheme="majorEastAsia" w:hAnsi="Verdana" w:cstheme="majorBidi"/>
      <w:b/>
      <w:color w:val="0033CC"/>
      <w:szCs w:val="24"/>
      <w:lang w:eastAsia="en-US"/>
    </w:rPr>
  </w:style>
  <w:style w:type="paragraph" w:styleId="TOCHeading">
    <w:name w:val="TOC Heading"/>
    <w:basedOn w:val="Heading1"/>
    <w:next w:val="Normal"/>
    <w:uiPriority w:val="39"/>
    <w:unhideWhenUsed/>
    <w:qFormat/>
    <w:pPr>
      <w:keepLines/>
      <w:spacing w:before="480" w:after="0"/>
      <w:jc w:val="left"/>
      <w:outlineLvl w:val="9"/>
    </w:pPr>
    <w:rPr>
      <w:rFonts w:asciiTheme="majorHAnsi" w:eastAsiaTheme="majorEastAsia" w:hAnsiTheme="majorHAnsi" w:cstheme="majorBidi"/>
      <w:caps/>
      <w:color w:val="365F91" w:themeColor="accent1" w:themeShade="BF"/>
      <w:sz w:val="28"/>
      <w:szCs w:val="28"/>
      <w:lang w:val="en-US" w:eastAsia="ja-JP"/>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00"/>
    </w:pPr>
  </w:style>
  <w:style w:type="paragraph" w:styleId="TOC3">
    <w:name w:val="toc 3"/>
    <w:basedOn w:val="Normal"/>
    <w:next w:val="Normal"/>
    <w:autoRedefine/>
    <w:uiPriority w:val="39"/>
    <w:unhideWhenUsed/>
    <w:qFormat/>
    <w:pPr>
      <w:spacing w:after="100"/>
      <w:ind w:left="400"/>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spacing w:before="100" w:beforeAutospacing="1" w:after="100" w:afterAutospacing="1"/>
      <w:jc w:val="left"/>
    </w:pPr>
    <w:rPr>
      <w:rFonts w:ascii="Times New Roman" w:eastAsia="Times New Roman" w:hAnsi="Times New Roman"/>
      <w:sz w:val="24"/>
      <w:lang w:eastAsia="en-GB"/>
    </w:rPr>
  </w:style>
  <w:style w:type="paragraph" w:styleId="TOC4">
    <w:name w:val="toc 4"/>
    <w:basedOn w:val="Normal"/>
    <w:next w:val="Normal"/>
    <w:autoRedefine/>
    <w:uiPriority w:val="39"/>
    <w:unhideWhenUsed/>
    <w:pPr>
      <w:spacing w:after="100"/>
      <w:ind w:left="600"/>
    </w:pPr>
  </w:style>
  <w:style w:type="paragraph" w:styleId="TOC5">
    <w:name w:val="toc 5"/>
    <w:basedOn w:val="Normal"/>
    <w:next w:val="Normal"/>
    <w:autoRedefine/>
    <w:uiPriority w:val="39"/>
    <w:unhideWhenUsed/>
    <w:pPr>
      <w:spacing w:after="100"/>
      <w:ind w:left="800"/>
    </w:pPr>
  </w:style>
  <w:style w:type="paragraph" w:styleId="FootnoteText">
    <w:name w:val="footnote text"/>
    <w:aliases w:val="Testo nota a piè di pagina_Rientro,stile 1,Footnote,Footnote1,Footnote2,Footnote3,Footnote4,Footnote5,Footnote6,Footnote7,Footnote8,Footnote9,Footnote10,Footnote11,Footnote21,Footnote31,Footnote41,Footnote51,Footnote61,ft,fn,Fußnotentextf"/>
    <w:basedOn w:val="Normal"/>
    <w:link w:val="FootnoteTextChar"/>
    <w:uiPriority w:val="99"/>
    <w:unhideWhenUsed/>
    <w:qFormat/>
    <w:pPr>
      <w:spacing w:before="0" w:after="0"/>
    </w:pPr>
    <w:rPr>
      <w:szCs w:val="20"/>
    </w:rPr>
  </w:style>
  <w:style w:type="character" w:customStyle="1" w:styleId="FootnoteTextChar">
    <w:name w:val="Footnote Text Char"/>
    <w:aliases w:val="Testo nota a piè di pagina_Rientro Char,stile 1 Char,Footnote Char,Footnote1 Char,Footnote2 Char,Footnote3 Char,Footnote4 Char,Footnote5 Char,Footnote6 Char,Footnote7 Char,Footnote8 Char,Footnote9 Char,Footnote10 Char,Footnote11 Char"/>
    <w:basedOn w:val="DefaultParagraphFont"/>
    <w:link w:val="FootnoteText"/>
    <w:uiPriority w:val="99"/>
    <w:rPr>
      <w:rFonts w:ascii="Verdana" w:hAnsi="Verdana"/>
      <w:lang w:eastAsia="en-US"/>
    </w:rPr>
  </w:style>
  <w:style w:type="character" w:styleId="FootnoteReference">
    <w:name w:val="footnote reference"/>
    <w:aliases w:val="Footnote Refernece,BVI fnr,callout,16 Point,Superscript 6 Point,Footnote Reference Superscript,Ref,de nota al pie,-E Fußnotenzeichen,number,SUPERS,EN Footnote Reference,-E Fuﬂnotenzeichen,-E Fuûnotenzeichen,Footnote number,F,FR,o,f,E"/>
    <w:basedOn w:val="DefaultParagraphFont"/>
    <w:link w:val="FootnotesymbolCarZchn"/>
    <w:uiPriority w:val="99"/>
    <w:unhideWhenUsed/>
    <w:qFormat/>
    <w:rPr>
      <w:vertAlign w:val="superscript"/>
    </w:rPr>
  </w:style>
  <w:style w:type="paragraph" w:customStyle="1" w:styleId="Maintitle">
    <w:name w:val="Main title"/>
    <w:basedOn w:val="Normal"/>
    <w:link w:val="MaintitleChar"/>
    <w:qFormat/>
    <w:pPr>
      <w:widowControl w:val="0"/>
      <w:spacing w:line="640" w:lineRule="exact"/>
    </w:pPr>
    <w:rPr>
      <w:sz w:val="56"/>
      <w:szCs w:val="56"/>
    </w:rPr>
  </w:style>
  <w:style w:type="paragraph" w:customStyle="1" w:styleId="MainSubtitle">
    <w:name w:val="Main Subtitle"/>
    <w:basedOn w:val="Normal"/>
    <w:link w:val="MainSubtitleChar"/>
    <w:qFormat/>
    <w:pPr>
      <w:widowControl w:val="0"/>
      <w:spacing w:line="320" w:lineRule="exact"/>
    </w:pPr>
    <w:rPr>
      <w:i/>
      <w:color w:val="646567"/>
      <w:sz w:val="32"/>
      <w:szCs w:val="32"/>
    </w:rPr>
  </w:style>
  <w:style w:type="character" w:customStyle="1" w:styleId="MaintitleChar">
    <w:name w:val="Main title Char"/>
    <w:basedOn w:val="DefaultParagraphFont"/>
    <w:link w:val="Maintitle"/>
    <w:rPr>
      <w:rFonts w:ascii="Verdana" w:hAnsi="Verdana"/>
      <w:sz w:val="56"/>
      <w:szCs w:val="56"/>
      <w:lang w:eastAsia="en-US"/>
    </w:rPr>
  </w:style>
  <w:style w:type="paragraph" w:customStyle="1" w:styleId="Datecover">
    <w:name w:val="Date cover"/>
    <w:basedOn w:val="Normal"/>
    <w:link w:val="DatecoverChar"/>
    <w:qFormat/>
    <w:rPr>
      <w:color w:val="000000" w:themeColor="text1"/>
      <w:spacing w:val="32"/>
      <w:szCs w:val="20"/>
    </w:rPr>
  </w:style>
  <w:style w:type="character" w:customStyle="1" w:styleId="MainSubtitleChar">
    <w:name w:val="Main Subtitle Char"/>
    <w:basedOn w:val="DefaultParagraphFont"/>
    <w:link w:val="MainSubtitle"/>
    <w:rPr>
      <w:rFonts w:ascii="Verdana" w:hAnsi="Verdana"/>
      <w:i/>
      <w:color w:val="646567"/>
      <w:sz w:val="32"/>
      <w:szCs w:val="32"/>
      <w:lang w:eastAsia="en-US"/>
    </w:rPr>
  </w:style>
  <w:style w:type="character" w:customStyle="1" w:styleId="DatecoverChar">
    <w:name w:val="Date cover Char"/>
    <w:basedOn w:val="DefaultParagraphFont"/>
    <w:link w:val="Datecover"/>
    <w:rPr>
      <w:rFonts w:ascii="Verdana" w:hAnsi="Verdana"/>
      <w:color w:val="000000" w:themeColor="text1"/>
      <w:spacing w:val="32"/>
      <w:lang w:eastAsia="en-US"/>
    </w:rPr>
  </w:style>
  <w:style w:type="character" w:styleId="PageNumber">
    <w:name w:val="page number"/>
    <w:basedOn w:val="DefaultParagraphFont"/>
    <w:uiPriority w:val="99"/>
    <w:semiHidden/>
    <w:unhideWhenUsed/>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Cs w:val="24"/>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szCs w:val="24"/>
      <w:lang w:eastAsia="en-US"/>
    </w:rPr>
  </w:style>
  <w:style w:type="character" w:customStyle="1" w:styleId="Heading8Char">
    <w:name w:val="Heading 8 Char"/>
    <w:aliases w:val="sub4 Char,Heading 8 (do not use) Char,Heading 8 CFMU Char,h8 Char,Header 8 Char,ASAPHeading 8 Char,8 Char,Titolo8 Char,action Char,action1 Char,action2 Char,action11 Char,action3 Char,action4 Char,action5 Char,action6 Char,action7 Char"/>
    <w:basedOn w:val="DefaultParagraphFont"/>
    <w:link w:val="Heading8"/>
    <w:rPr>
      <w:rFonts w:asciiTheme="majorHAnsi" w:eastAsiaTheme="majorEastAsia" w:hAnsiTheme="majorHAnsi" w:cstheme="majorBidi"/>
      <w:color w:val="404040" w:themeColor="text1" w:themeTint="BF"/>
      <w:lang w:eastAsia="en-US"/>
    </w:rPr>
  </w:style>
  <w:style w:type="paragraph" w:customStyle="1" w:styleId="Headingnonumber">
    <w:name w:val="Heading (no number)"/>
    <w:basedOn w:val="Heading1"/>
    <w:next w:val="Normal"/>
    <w:link w:val="HeadingnonumberChar"/>
    <w:autoRedefine/>
    <w:qFormat/>
    <w:pPr>
      <w:numPr>
        <w:numId w:val="0"/>
      </w:numPr>
      <w:jc w:val="left"/>
    </w:pPr>
    <w:rPr>
      <w:smallCaps/>
      <w:sz w:val="24"/>
    </w:rPr>
  </w:style>
  <w:style w:type="paragraph" w:customStyle="1" w:styleId="Contentsdoesnotappearintableofcontents">
    <w:name w:val="Contents (does not appear in table of contents)"/>
    <w:basedOn w:val="Normal"/>
    <w:link w:val="ContentsdoesnotappearintableofcontentsChar"/>
    <w:autoRedefine/>
    <w:qFormat/>
    <w:rPr>
      <w:b/>
      <w:sz w:val="26"/>
      <w:szCs w:val="26"/>
    </w:rPr>
  </w:style>
  <w:style w:type="character" w:customStyle="1" w:styleId="HeadingnonumberChar">
    <w:name w:val="Heading (no number) Char"/>
    <w:basedOn w:val="Heading1Char"/>
    <w:link w:val="Headingnonumber"/>
    <w:rPr>
      <w:rFonts w:ascii="Verdana" w:hAnsi="Verdana"/>
      <w:b/>
      <w:smallCaps/>
      <w:sz w:val="24"/>
      <w:szCs w:val="24"/>
      <w:lang w:eastAsia="en-US"/>
    </w:rPr>
  </w:style>
  <w:style w:type="character" w:customStyle="1" w:styleId="ContentsdoesnotappearintableofcontentsChar">
    <w:name w:val="Contents (does not appear in table of contents) Char"/>
    <w:basedOn w:val="DefaultParagraphFont"/>
    <w:link w:val="Contentsdoesnotappearintableofcontents"/>
    <w:rPr>
      <w:rFonts w:ascii="Verdana" w:hAnsi="Verdana"/>
      <w:b/>
      <w:sz w:val="26"/>
      <w:szCs w:val="26"/>
      <w:lang w:eastAsia="en-US"/>
    </w:rPr>
  </w:style>
  <w:style w:type="paragraph" w:customStyle="1" w:styleId="Text">
    <w:name w:val="Text"/>
    <w:basedOn w:val="Normal"/>
    <w:link w:val="TextChar"/>
    <w:autoRedefine/>
    <w:qFormat/>
    <w:rPr>
      <w:lang w:val="pt-PT"/>
    </w:rPr>
  </w:style>
  <w:style w:type="character" w:customStyle="1" w:styleId="TextChar">
    <w:name w:val="Text Char"/>
    <w:basedOn w:val="DefaultParagraphFont"/>
    <w:link w:val="Text"/>
    <w:rPr>
      <w:rFonts w:ascii="Verdana" w:hAnsi="Verdana"/>
      <w:szCs w:val="24"/>
      <w:lang w:val="pt-PT" w:eastAsia="en-US"/>
    </w:rPr>
  </w:style>
  <w:style w:type="table" w:styleId="TableGrid">
    <w:name w:val="Table Grid"/>
    <w:aliases w:val="HTG,TabelEcorys,Deloitte"/>
    <w:basedOn w:val="TableNormal"/>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pPr>
      <w:numPr>
        <w:ilvl w:val="1"/>
      </w:numPr>
    </w:pPr>
    <w:rPr>
      <w:rFonts w:asciiTheme="majorHAnsi" w:eastAsiaTheme="majorEastAsia" w:hAnsiTheme="majorHAnsi" w:cstheme="majorBidi"/>
      <w:i/>
      <w:iCs/>
      <w:spacing w:val="15"/>
      <w:sz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spacing w:val="15"/>
      <w:sz w:val="24"/>
      <w:szCs w:val="24"/>
      <w:lang w:eastAsia="en-US"/>
    </w:rPr>
  </w:style>
  <w:style w:type="paragraph" w:styleId="Caption">
    <w:name w:val="caption"/>
    <w:aliases w:val="Figure Caption, Char Char,Char Char,Figure Caption + Avant : 14 pt,Motif : Transparente (Gris - 15 %),TF,Caption1 Char Char Char Char Char Char Char Char Tegn Tegn Tegn Tegn Tegn,Caption1 Char Char Char Char Char Char Char Char Tegn Tegn Tegn"/>
    <w:basedOn w:val="Normal"/>
    <w:next w:val="Normal"/>
    <w:link w:val="CaptionChar"/>
    <w:uiPriority w:val="35"/>
    <w:unhideWhenUsed/>
    <w:qFormat/>
    <w:pPr>
      <w:spacing w:before="0" w:after="200"/>
      <w:jc w:val="center"/>
    </w:pPr>
    <w:rPr>
      <w:rFonts w:asciiTheme="minorHAnsi" w:eastAsiaTheme="minorHAnsi" w:hAnsiTheme="minorHAnsi" w:cstheme="minorBidi"/>
      <w:b/>
      <w:bCs/>
      <w:color w:val="4F81BD" w:themeColor="accent1"/>
      <w:sz w:val="18"/>
      <w:szCs w:val="18"/>
      <w:lang w:val="en-US"/>
    </w:rPr>
  </w:style>
  <w:style w:type="paragraph" w:styleId="Bibliography">
    <w:name w:val="Bibliography"/>
    <w:basedOn w:val="Normal"/>
    <w:next w:val="Normal"/>
    <w:uiPriority w:val="70"/>
  </w:style>
  <w:style w:type="paragraph" w:styleId="TableofFigures">
    <w:name w:val="table of figures"/>
    <w:basedOn w:val="Normal"/>
    <w:next w:val="Normal"/>
    <w:uiPriority w:val="99"/>
    <w:unhideWhenUsed/>
    <w:pPr>
      <w:spacing w:after="0"/>
    </w:pPr>
  </w:style>
  <w:style w:type="character" w:customStyle="1" w:styleId="NoSpacingChar">
    <w:name w:val="No Spacing Char"/>
    <w:basedOn w:val="DefaultParagraphFont"/>
    <w:link w:val="NoSpacing"/>
    <w:uiPriority w:val="1"/>
    <w:rPr>
      <w:sz w:val="24"/>
      <w:szCs w:val="24"/>
      <w:lang w:eastAsia="en-US"/>
    </w:rPr>
  </w:style>
  <w:style w:type="numbering" w:customStyle="1" w:styleId="NoList1">
    <w:name w:val="No List1"/>
    <w:next w:val="NoList"/>
    <w:uiPriority w:val="99"/>
    <w:semiHidden/>
    <w:unhideWhenUsed/>
  </w:style>
  <w:style w:type="paragraph" w:customStyle="1" w:styleId="Text1">
    <w:name w:val="Text 1"/>
    <w:basedOn w:val="Normal"/>
    <w:link w:val="Text1Char"/>
    <w:pPr>
      <w:spacing w:before="0" w:after="240"/>
      <w:ind w:left="482"/>
    </w:pPr>
    <w:rPr>
      <w:rFonts w:ascii="Times New Roman" w:eastAsia="Times New Roman" w:hAnsi="Times New Roman"/>
      <w:sz w:val="24"/>
      <w:szCs w:val="20"/>
    </w:rPr>
  </w:style>
  <w:style w:type="paragraph" w:customStyle="1" w:styleId="Text2">
    <w:name w:val="Text 2"/>
    <w:basedOn w:val="Normal"/>
    <w:link w:val="Text2Char"/>
    <w:pPr>
      <w:tabs>
        <w:tab w:val="left" w:pos="2302"/>
      </w:tabs>
      <w:spacing w:before="0" w:after="240"/>
      <w:ind w:left="1202"/>
    </w:pPr>
    <w:rPr>
      <w:rFonts w:ascii="Times New Roman" w:eastAsia="Times New Roman" w:hAnsi="Times New Roman"/>
      <w:sz w:val="24"/>
      <w:szCs w:val="20"/>
    </w:rPr>
  </w:style>
  <w:style w:type="paragraph" w:customStyle="1" w:styleId="Text3">
    <w:name w:val="Text 3"/>
    <w:basedOn w:val="Normal"/>
    <w:pPr>
      <w:tabs>
        <w:tab w:val="left" w:pos="2302"/>
      </w:tabs>
      <w:spacing w:before="0" w:after="240"/>
      <w:ind w:left="1202"/>
    </w:pPr>
    <w:rPr>
      <w:rFonts w:ascii="Times New Roman" w:eastAsia="Times New Roman" w:hAnsi="Times New Roman"/>
      <w:sz w:val="24"/>
      <w:szCs w:val="20"/>
    </w:rPr>
  </w:style>
  <w:style w:type="paragraph" w:customStyle="1" w:styleId="Text4">
    <w:name w:val="Text 4"/>
    <w:basedOn w:val="Normal"/>
    <w:pPr>
      <w:tabs>
        <w:tab w:val="left" w:pos="2302"/>
      </w:tabs>
      <w:spacing w:before="0" w:after="240"/>
      <w:ind w:left="1202"/>
    </w:pPr>
    <w:rPr>
      <w:rFonts w:ascii="Times New Roman" w:eastAsia="Times New Roman" w:hAnsi="Times New Roman"/>
      <w:sz w:val="24"/>
      <w:szCs w:val="20"/>
    </w:rPr>
  </w:style>
  <w:style w:type="paragraph" w:customStyle="1" w:styleId="Address">
    <w:name w:val="Address"/>
    <w:basedOn w:val="Normal"/>
    <w:pPr>
      <w:spacing w:before="0" w:after="0"/>
      <w:jc w:val="left"/>
    </w:pPr>
    <w:rPr>
      <w:rFonts w:ascii="Times New Roman" w:eastAsia="Times New Roman" w:hAnsi="Times New Roman"/>
      <w:sz w:val="24"/>
      <w:szCs w:val="20"/>
    </w:rPr>
  </w:style>
  <w:style w:type="paragraph" w:customStyle="1" w:styleId="AddressTL">
    <w:name w:val="AddressTL"/>
    <w:basedOn w:val="Normal"/>
    <w:next w:val="Normal"/>
    <w:pPr>
      <w:spacing w:before="0" w:after="720"/>
      <w:jc w:val="left"/>
    </w:pPr>
    <w:rPr>
      <w:rFonts w:ascii="Times New Roman" w:eastAsia="Times New Roman" w:hAnsi="Times New Roman"/>
      <w:sz w:val="24"/>
      <w:szCs w:val="20"/>
    </w:rPr>
  </w:style>
  <w:style w:type="paragraph" w:customStyle="1" w:styleId="AddressTR">
    <w:name w:val="AddressTR"/>
    <w:basedOn w:val="Normal"/>
    <w:next w:val="Normal"/>
    <w:pPr>
      <w:spacing w:before="0" w:after="720"/>
      <w:ind w:left="5103"/>
      <w:jc w:val="left"/>
    </w:pPr>
    <w:rPr>
      <w:rFonts w:ascii="Times New Roman" w:eastAsia="Times New Roman" w:hAnsi="Times New Roman"/>
      <w:sz w:val="24"/>
      <w:szCs w:val="20"/>
    </w:rPr>
  </w:style>
  <w:style w:type="paragraph" w:styleId="BlockText">
    <w:name w:val="Block Text"/>
    <w:basedOn w:val="Normal"/>
    <w:pPr>
      <w:spacing w:before="0"/>
      <w:ind w:left="1440" w:right="1440"/>
    </w:pPr>
    <w:rPr>
      <w:rFonts w:ascii="Times New Roman" w:eastAsia="Times New Roman" w:hAnsi="Times New Roman"/>
      <w:sz w:val="24"/>
      <w:szCs w:val="20"/>
    </w:rPr>
  </w:style>
  <w:style w:type="paragraph" w:styleId="BodyText">
    <w:name w:val="Body Text"/>
    <w:aliases w:val="F2 Body Text,F4 Main Text,Document,Doc,Body Text2,doc,Standard paragraph,1body,BodText,bt,body text,Body Txt,Body Text-10,Τίτλος Μελέτης,- TF,BodyText,(Norm),Body Text 12,gl,uvlaka 2,heading3,Body Text - Level 2,Text Char1,b...,-, (Norm)"/>
    <w:basedOn w:val="Normal"/>
    <w:link w:val="BodyTextChar"/>
    <w:qFormat/>
    <w:pPr>
      <w:spacing w:before="0"/>
    </w:pPr>
    <w:rPr>
      <w:rFonts w:ascii="Times New Roman" w:eastAsia="Times New Roman" w:hAnsi="Times New Roman"/>
      <w:sz w:val="24"/>
      <w:szCs w:val="20"/>
    </w:rPr>
  </w:style>
  <w:style w:type="character" w:customStyle="1" w:styleId="BodyTextChar">
    <w:name w:val="Body Text Char"/>
    <w:aliases w:val="F2 Body Text Char,F4 Main Text Char,Document Char,Doc Char,Body Text2 Char,doc Char,Standard paragraph Char,1body Char,BodText Char,bt Char,body text Char,Body Txt Char,Body Text-10 Char,Τίτλος Μελέτης Char,- TF Char,BodyText Char,gl Char"/>
    <w:basedOn w:val="DefaultParagraphFont"/>
    <w:link w:val="BodyText"/>
    <w:rPr>
      <w:rFonts w:ascii="Times New Roman" w:eastAsia="Times New Roman" w:hAnsi="Times New Roman"/>
      <w:sz w:val="24"/>
      <w:lang w:eastAsia="en-US"/>
    </w:rPr>
  </w:style>
  <w:style w:type="paragraph" w:styleId="BodyText2">
    <w:name w:val="Body Text 2"/>
    <w:basedOn w:val="Normal"/>
    <w:link w:val="BodyText2Char"/>
    <w:pPr>
      <w:spacing w:before="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rPr>
      <w:rFonts w:ascii="Times New Roman" w:eastAsia="Times New Roman" w:hAnsi="Times New Roman"/>
      <w:sz w:val="24"/>
      <w:lang w:eastAsia="en-US"/>
    </w:rPr>
  </w:style>
  <w:style w:type="paragraph" w:styleId="BodyText3">
    <w:name w:val="Body Text 3"/>
    <w:basedOn w:val="Normal"/>
    <w:link w:val="BodyText3Char"/>
    <w:pPr>
      <w:spacing w:before="0"/>
    </w:pPr>
    <w:rPr>
      <w:rFonts w:ascii="Times New Roman" w:eastAsia="Times New Roman" w:hAnsi="Times New Roman"/>
      <w:sz w:val="16"/>
      <w:szCs w:val="20"/>
    </w:rPr>
  </w:style>
  <w:style w:type="character" w:customStyle="1" w:styleId="BodyText3Char">
    <w:name w:val="Body Text 3 Char"/>
    <w:basedOn w:val="DefaultParagraphFont"/>
    <w:link w:val="BodyText3"/>
    <w:rPr>
      <w:rFonts w:ascii="Times New Roman" w:eastAsia="Times New Roman" w:hAnsi="Times New Roman"/>
      <w:sz w:val="16"/>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sz w:val="24"/>
      <w:lang w:eastAsia="en-US"/>
    </w:rPr>
  </w:style>
  <w:style w:type="paragraph" w:styleId="BodyTextIndent">
    <w:name w:val="Body Text Indent"/>
    <w:basedOn w:val="Normal"/>
    <w:link w:val="BodyTextIndentChar"/>
    <w:pPr>
      <w:spacing w:before="0"/>
      <w:ind w:left="283"/>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sz w:val="24"/>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sz w:val="24"/>
      <w:lang w:eastAsia="en-US"/>
    </w:rPr>
  </w:style>
  <w:style w:type="paragraph" w:styleId="BodyTextIndent2">
    <w:name w:val="Body Text Indent 2"/>
    <w:basedOn w:val="Normal"/>
    <w:link w:val="BodyTextIndent2Char"/>
    <w:pPr>
      <w:spacing w:before="0" w:line="480" w:lineRule="auto"/>
      <w:ind w:left="283"/>
    </w:pPr>
    <w:rPr>
      <w:rFonts w:ascii="Times New Roman" w:eastAsia="Times New Roman" w:hAnsi="Times New Roman"/>
      <w:sz w:val="24"/>
      <w:szCs w:val="20"/>
    </w:rPr>
  </w:style>
  <w:style w:type="character" w:customStyle="1" w:styleId="BodyTextIndent2Char">
    <w:name w:val="Body Text Indent 2 Char"/>
    <w:basedOn w:val="DefaultParagraphFont"/>
    <w:link w:val="BodyTextIndent2"/>
    <w:rPr>
      <w:rFonts w:ascii="Times New Roman" w:eastAsia="Times New Roman" w:hAnsi="Times New Roman"/>
      <w:sz w:val="24"/>
      <w:lang w:eastAsia="en-US"/>
    </w:rPr>
  </w:style>
  <w:style w:type="paragraph" w:styleId="BodyTextIndent3">
    <w:name w:val="Body Text Indent 3"/>
    <w:basedOn w:val="Normal"/>
    <w:link w:val="BodyTextIndent3Char"/>
    <w:pPr>
      <w:spacing w:before="0"/>
      <w:ind w:left="283"/>
    </w:pPr>
    <w:rPr>
      <w:rFonts w:ascii="Times New Roman" w:eastAsia="Times New Roman" w:hAnsi="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sz w:val="16"/>
      <w:lang w:eastAsia="en-US"/>
    </w:rPr>
  </w:style>
  <w:style w:type="paragraph" w:customStyle="1" w:styleId="ChapterTitle">
    <w:name w:val="ChapterTitle"/>
    <w:basedOn w:val="Normal"/>
    <w:next w:val="SectionTitle"/>
    <w:pPr>
      <w:keepNext/>
      <w:spacing w:before="0" w:after="480"/>
      <w:jc w:val="center"/>
    </w:pPr>
    <w:rPr>
      <w:rFonts w:ascii="Times New Roman" w:eastAsia="Times New Roman" w:hAnsi="Times New Roman"/>
      <w:b/>
      <w:sz w:val="32"/>
      <w:szCs w:val="20"/>
    </w:rPr>
  </w:style>
  <w:style w:type="paragraph" w:customStyle="1" w:styleId="SectionTitle">
    <w:name w:val="SectionTitle"/>
    <w:basedOn w:val="Normal"/>
    <w:next w:val="Heading1"/>
    <w:pPr>
      <w:keepNext/>
      <w:spacing w:before="0" w:after="480"/>
      <w:jc w:val="center"/>
    </w:pPr>
    <w:rPr>
      <w:rFonts w:ascii="Times New Roman" w:eastAsia="Times New Roman" w:hAnsi="Times New Roman"/>
      <w:b/>
      <w:smallCaps/>
      <w:sz w:val="28"/>
      <w:szCs w:val="20"/>
    </w:rPr>
  </w:style>
  <w:style w:type="paragraph" w:styleId="Closing">
    <w:name w:val="Closing"/>
    <w:basedOn w:val="Normal"/>
    <w:link w:val="ClosingChar"/>
    <w:pPr>
      <w:spacing w:before="0" w:after="240"/>
      <w:ind w:left="4252"/>
    </w:pPr>
    <w:rPr>
      <w:rFonts w:ascii="Times New Roman" w:eastAsia="Times New Roman" w:hAnsi="Times New Roman"/>
      <w:sz w:val="24"/>
      <w:szCs w:val="20"/>
    </w:rPr>
  </w:style>
  <w:style w:type="character" w:customStyle="1" w:styleId="ClosingChar">
    <w:name w:val="Closing Char"/>
    <w:basedOn w:val="DefaultParagraphFont"/>
    <w:link w:val="Closing"/>
    <w:rPr>
      <w:rFonts w:ascii="Times New Roman" w:eastAsia="Times New Roman" w:hAnsi="Times New Roman"/>
      <w:sz w:val="24"/>
      <w:lang w:eastAsia="en-US"/>
    </w:rPr>
  </w:style>
  <w:style w:type="paragraph" w:styleId="Date">
    <w:name w:val="Date"/>
    <w:basedOn w:val="Normal"/>
    <w:next w:val="References"/>
    <w:link w:val="DateChar"/>
    <w:pPr>
      <w:spacing w:before="0" w:after="0"/>
      <w:ind w:left="5103" w:right="-567"/>
      <w:jc w:val="left"/>
    </w:pPr>
    <w:rPr>
      <w:rFonts w:ascii="Times New Roman" w:eastAsia="Times New Roman" w:hAnsi="Times New Roman"/>
      <w:sz w:val="24"/>
      <w:szCs w:val="20"/>
    </w:rPr>
  </w:style>
  <w:style w:type="character" w:customStyle="1" w:styleId="DateChar">
    <w:name w:val="Date Char"/>
    <w:basedOn w:val="DefaultParagraphFont"/>
    <w:link w:val="Date"/>
    <w:rPr>
      <w:rFonts w:ascii="Times New Roman" w:eastAsia="Times New Roman" w:hAnsi="Times New Roman"/>
      <w:sz w:val="24"/>
      <w:lang w:eastAsia="en-US"/>
    </w:rPr>
  </w:style>
  <w:style w:type="paragraph" w:customStyle="1" w:styleId="References">
    <w:name w:val="References"/>
    <w:basedOn w:val="Normal"/>
    <w:next w:val="AddressTR"/>
    <w:pPr>
      <w:spacing w:before="0" w:after="240"/>
      <w:ind w:left="5103"/>
      <w:jc w:val="left"/>
    </w:pPr>
    <w:rPr>
      <w:rFonts w:ascii="Times New Roman" w:eastAsia="Times New Roman" w:hAnsi="Times New Roman"/>
      <w:szCs w:val="20"/>
    </w:rPr>
  </w:style>
  <w:style w:type="paragraph" w:styleId="DocumentMap">
    <w:name w:val="Document Map"/>
    <w:basedOn w:val="Normal"/>
    <w:link w:val="DocumentMapChar"/>
    <w:semiHidden/>
    <w:pPr>
      <w:shd w:val="clear" w:color="auto" w:fill="000080"/>
      <w:spacing w:before="0" w:after="240"/>
    </w:pPr>
    <w:rPr>
      <w:rFonts w:ascii="Tahoma" w:eastAsia="Times New Roman" w:hAnsi="Tahoma"/>
      <w:sz w:val="24"/>
      <w:szCs w:val="20"/>
    </w:rPr>
  </w:style>
  <w:style w:type="character" w:customStyle="1" w:styleId="DocumentMapChar">
    <w:name w:val="Document Map Char"/>
    <w:basedOn w:val="DefaultParagraphFont"/>
    <w:link w:val="DocumentMap"/>
    <w:semiHidden/>
    <w:rPr>
      <w:rFonts w:ascii="Tahoma" w:eastAsia="Times New Roman" w:hAnsi="Tahoma"/>
      <w:sz w:val="24"/>
      <w:shd w:val="clear" w:color="auto" w:fill="000080"/>
      <w:lang w:eastAsia="en-US"/>
    </w:rPr>
  </w:style>
  <w:style w:type="paragraph" w:customStyle="1" w:styleId="DoubSign">
    <w:name w:val="DoubSign"/>
    <w:basedOn w:val="Normal"/>
    <w:next w:val="Enclosures"/>
    <w:pPr>
      <w:tabs>
        <w:tab w:val="left" w:pos="5103"/>
      </w:tabs>
      <w:spacing w:before="1200" w:after="0"/>
      <w:jc w:val="left"/>
    </w:pPr>
    <w:rPr>
      <w:rFonts w:ascii="Times New Roman" w:eastAsia="Times New Roman" w:hAnsi="Times New Roman"/>
      <w:sz w:val="24"/>
      <w:szCs w:val="20"/>
    </w:rPr>
  </w:style>
  <w:style w:type="paragraph" w:customStyle="1" w:styleId="Enclosures">
    <w:name w:val="Enclosures"/>
    <w:basedOn w:val="Normal"/>
    <w:pPr>
      <w:keepNext/>
      <w:keepLines/>
      <w:tabs>
        <w:tab w:val="left" w:pos="5642"/>
      </w:tabs>
      <w:spacing w:before="480" w:after="0"/>
      <w:ind w:left="1191" w:hanging="1191"/>
      <w:jc w:val="left"/>
    </w:pPr>
    <w:rPr>
      <w:rFonts w:ascii="Times New Roman" w:eastAsia="Times New Roman" w:hAnsi="Times New Roman"/>
      <w:sz w:val="24"/>
      <w:szCs w:val="20"/>
    </w:rPr>
  </w:style>
  <w:style w:type="paragraph" w:styleId="EndnoteText">
    <w:name w:val="endnote text"/>
    <w:basedOn w:val="Normal"/>
    <w:link w:val="EndnoteTextChar1"/>
    <w:uiPriority w:val="99"/>
    <w:pPr>
      <w:spacing w:before="0" w:after="240"/>
    </w:pPr>
    <w:rPr>
      <w:rFonts w:ascii="Times New Roman" w:eastAsia="Times New Roman" w:hAnsi="Times New Roman"/>
      <w:szCs w:val="20"/>
    </w:rPr>
  </w:style>
  <w:style w:type="character" w:customStyle="1" w:styleId="EndnoteTextChar">
    <w:name w:val="Endnote Text Char"/>
    <w:basedOn w:val="DefaultParagraphFont"/>
    <w:rPr>
      <w:rFonts w:ascii="Verdana" w:hAnsi="Verdana"/>
      <w:lang w:eastAsia="en-US"/>
    </w:rPr>
  </w:style>
  <w:style w:type="paragraph" w:styleId="EnvelopeAddress">
    <w:name w:val="envelope address"/>
    <w:basedOn w:val="Normal"/>
    <w:pPr>
      <w:framePr w:w="7920" w:h="1980" w:hRule="exact" w:hSpace="180" w:wrap="auto" w:hAnchor="page" w:xAlign="center" w:yAlign="bottom"/>
      <w:spacing w:before="0" w:after="0"/>
    </w:pPr>
    <w:rPr>
      <w:rFonts w:ascii="Times New Roman" w:eastAsia="Times New Roman" w:hAnsi="Times New Roman"/>
      <w:sz w:val="24"/>
      <w:szCs w:val="20"/>
    </w:rPr>
  </w:style>
  <w:style w:type="paragraph" w:styleId="EnvelopeReturn">
    <w:name w:val="envelope return"/>
    <w:basedOn w:val="Normal"/>
    <w:pPr>
      <w:spacing w:before="0" w:after="0"/>
    </w:pPr>
    <w:rPr>
      <w:rFonts w:ascii="Times New Roman" w:eastAsia="Times New Roman" w:hAnsi="Times New Roman"/>
      <w:szCs w:val="20"/>
    </w:rPr>
  </w:style>
  <w:style w:type="paragraph" w:styleId="Index1">
    <w:name w:val="index 1"/>
    <w:basedOn w:val="Normal"/>
    <w:next w:val="Normal"/>
    <w:autoRedefine/>
    <w:semiHidden/>
    <w:pPr>
      <w:spacing w:before="0" w:after="240"/>
      <w:ind w:left="240" w:hanging="240"/>
    </w:pPr>
    <w:rPr>
      <w:rFonts w:ascii="Times New Roman" w:eastAsia="Times New Roman" w:hAnsi="Times New Roman"/>
      <w:sz w:val="24"/>
      <w:szCs w:val="20"/>
    </w:rPr>
  </w:style>
  <w:style w:type="paragraph" w:styleId="Index2">
    <w:name w:val="index 2"/>
    <w:basedOn w:val="Normal"/>
    <w:next w:val="Normal"/>
    <w:autoRedefine/>
    <w:semiHidden/>
    <w:pPr>
      <w:spacing w:before="0" w:after="240"/>
      <w:ind w:left="480" w:hanging="240"/>
    </w:pPr>
    <w:rPr>
      <w:rFonts w:ascii="Times New Roman" w:eastAsia="Times New Roman" w:hAnsi="Times New Roman"/>
      <w:sz w:val="24"/>
      <w:szCs w:val="20"/>
    </w:rPr>
  </w:style>
  <w:style w:type="paragraph" w:styleId="Index3">
    <w:name w:val="index 3"/>
    <w:basedOn w:val="Normal"/>
    <w:next w:val="Normal"/>
    <w:autoRedefine/>
    <w:semiHidden/>
    <w:pPr>
      <w:spacing w:before="0" w:after="240"/>
      <w:ind w:left="720" w:hanging="240"/>
    </w:pPr>
    <w:rPr>
      <w:rFonts w:ascii="Times New Roman" w:eastAsia="Times New Roman" w:hAnsi="Times New Roman"/>
      <w:sz w:val="24"/>
      <w:szCs w:val="20"/>
    </w:rPr>
  </w:style>
  <w:style w:type="paragraph" w:styleId="Index4">
    <w:name w:val="index 4"/>
    <w:basedOn w:val="Normal"/>
    <w:next w:val="Normal"/>
    <w:autoRedefine/>
    <w:semiHidden/>
    <w:pPr>
      <w:spacing w:before="0" w:after="240"/>
      <w:ind w:left="960" w:hanging="240"/>
    </w:pPr>
    <w:rPr>
      <w:rFonts w:ascii="Times New Roman" w:eastAsia="Times New Roman" w:hAnsi="Times New Roman"/>
      <w:sz w:val="24"/>
      <w:szCs w:val="20"/>
    </w:rPr>
  </w:style>
  <w:style w:type="paragraph" w:styleId="Index5">
    <w:name w:val="index 5"/>
    <w:basedOn w:val="Normal"/>
    <w:next w:val="Normal"/>
    <w:autoRedefine/>
    <w:semiHidden/>
    <w:pPr>
      <w:spacing w:before="0" w:after="240"/>
      <w:ind w:left="1200" w:hanging="240"/>
    </w:pPr>
    <w:rPr>
      <w:rFonts w:ascii="Times New Roman" w:eastAsia="Times New Roman" w:hAnsi="Times New Roman"/>
      <w:sz w:val="24"/>
      <w:szCs w:val="20"/>
    </w:rPr>
  </w:style>
  <w:style w:type="paragraph" w:styleId="Index6">
    <w:name w:val="index 6"/>
    <w:basedOn w:val="Normal"/>
    <w:next w:val="Normal"/>
    <w:autoRedefine/>
    <w:semiHidden/>
    <w:pPr>
      <w:spacing w:before="0" w:after="240"/>
      <w:ind w:left="1440" w:hanging="240"/>
    </w:pPr>
    <w:rPr>
      <w:rFonts w:ascii="Times New Roman" w:eastAsia="Times New Roman" w:hAnsi="Times New Roman"/>
      <w:sz w:val="24"/>
      <w:szCs w:val="20"/>
    </w:rPr>
  </w:style>
  <w:style w:type="paragraph" w:styleId="Index7">
    <w:name w:val="index 7"/>
    <w:basedOn w:val="Normal"/>
    <w:next w:val="Normal"/>
    <w:autoRedefine/>
    <w:semiHidden/>
    <w:pPr>
      <w:spacing w:before="0" w:after="240"/>
      <w:ind w:left="1680" w:hanging="240"/>
    </w:pPr>
    <w:rPr>
      <w:rFonts w:ascii="Times New Roman" w:eastAsia="Times New Roman" w:hAnsi="Times New Roman"/>
      <w:sz w:val="24"/>
      <w:szCs w:val="20"/>
    </w:rPr>
  </w:style>
  <w:style w:type="paragraph" w:styleId="Index8">
    <w:name w:val="index 8"/>
    <w:basedOn w:val="Normal"/>
    <w:next w:val="Normal"/>
    <w:autoRedefine/>
    <w:semiHidden/>
    <w:pPr>
      <w:spacing w:before="0" w:after="240"/>
      <w:ind w:left="1920" w:hanging="240"/>
    </w:pPr>
    <w:rPr>
      <w:rFonts w:ascii="Times New Roman" w:eastAsia="Times New Roman" w:hAnsi="Times New Roman"/>
      <w:sz w:val="24"/>
      <w:szCs w:val="20"/>
    </w:rPr>
  </w:style>
  <w:style w:type="paragraph" w:styleId="Index9">
    <w:name w:val="index 9"/>
    <w:basedOn w:val="Normal"/>
    <w:next w:val="Normal"/>
    <w:autoRedefine/>
    <w:semiHidden/>
    <w:pPr>
      <w:spacing w:before="0" w:after="240"/>
      <w:ind w:left="2160" w:hanging="240"/>
    </w:pPr>
    <w:rPr>
      <w:rFonts w:ascii="Times New Roman" w:eastAsia="Times New Roman" w:hAnsi="Times New Roman"/>
      <w:sz w:val="24"/>
      <w:szCs w:val="20"/>
    </w:rPr>
  </w:style>
  <w:style w:type="paragraph" w:styleId="IndexHeading">
    <w:name w:val="index heading"/>
    <w:basedOn w:val="Normal"/>
    <w:next w:val="Index1"/>
    <w:semiHidden/>
    <w:pPr>
      <w:spacing w:before="0" w:after="240"/>
    </w:pPr>
    <w:rPr>
      <w:rFonts w:ascii="Arial" w:eastAsia="Times New Roman" w:hAnsi="Arial"/>
      <w:b/>
      <w:sz w:val="24"/>
      <w:szCs w:val="20"/>
    </w:rPr>
  </w:style>
  <w:style w:type="paragraph" w:styleId="List">
    <w:name w:val="List"/>
    <w:basedOn w:val="Normal"/>
    <w:pPr>
      <w:spacing w:before="0" w:after="240"/>
      <w:ind w:left="283" w:hanging="283"/>
    </w:pPr>
    <w:rPr>
      <w:rFonts w:ascii="Times New Roman" w:eastAsia="Times New Roman" w:hAnsi="Times New Roman"/>
      <w:sz w:val="24"/>
      <w:szCs w:val="20"/>
    </w:rPr>
  </w:style>
  <w:style w:type="paragraph" w:styleId="List2">
    <w:name w:val="List 2"/>
    <w:basedOn w:val="Normal"/>
    <w:pPr>
      <w:spacing w:before="0" w:after="240"/>
      <w:ind w:left="566" w:hanging="283"/>
    </w:pPr>
    <w:rPr>
      <w:rFonts w:ascii="Times New Roman" w:eastAsia="Times New Roman" w:hAnsi="Times New Roman"/>
      <w:sz w:val="24"/>
      <w:szCs w:val="20"/>
    </w:rPr>
  </w:style>
  <w:style w:type="paragraph" w:styleId="List3">
    <w:name w:val="List 3"/>
    <w:basedOn w:val="Normal"/>
    <w:pPr>
      <w:spacing w:before="0" w:after="240"/>
      <w:ind w:left="849" w:hanging="283"/>
    </w:pPr>
    <w:rPr>
      <w:rFonts w:ascii="Times New Roman" w:eastAsia="Times New Roman" w:hAnsi="Times New Roman"/>
      <w:sz w:val="24"/>
      <w:szCs w:val="20"/>
    </w:rPr>
  </w:style>
  <w:style w:type="paragraph" w:styleId="List4">
    <w:name w:val="List 4"/>
    <w:basedOn w:val="Normal"/>
    <w:pPr>
      <w:spacing w:before="0" w:after="240"/>
      <w:ind w:left="1132" w:hanging="283"/>
    </w:pPr>
    <w:rPr>
      <w:rFonts w:ascii="Times New Roman" w:eastAsia="Times New Roman" w:hAnsi="Times New Roman"/>
      <w:sz w:val="24"/>
      <w:szCs w:val="20"/>
    </w:rPr>
  </w:style>
  <w:style w:type="paragraph" w:styleId="List5">
    <w:name w:val="List 5"/>
    <w:basedOn w:val="Normal"/>
    <w:uiPriority w:val="99"/>
    <w:pPr>
      <w:spacing w:before="0" w:after="240"/>
      <w:ind w:left="1415" w:hanging="283"/>
    </w:pPr>
    <w:rPr>
      <w:rFonts w:ascii="Times New Roman" w:eastAsia="Times New Roman" w:hAnsi="Times New Roman"/>
      <w:sz w:val="24"/>
      <w:szCs w:val="20"/>
    </w:rPr>
  </w:style>
  <w:style w:type="paragraph" w:styleId="ListBullet">
    <w:name w:val="List Bullet"/>
    <w:aliases w:val="Bullet Point EU,Bullet Point EU 2,UL"/>
    <w:basedOn w:val="Normal"/>
    <w:link w:val="ListBulletChar"/>
    <w:qFormat/>
    <w:pPr>
      <w:numPr>
        <w:numId w:val="117"/>
      </w:numPr>
      <w:tabs>
        <w:tab w:val="clear" w:pos="360"/>
        <w:tab w:val="num" w:pos="283"/>
      </w:tabs>
      <w:spacing w:before="0" w:after="240"/>
      <w:ind w:left="283" w:hanging="283"/>
    </w:pPr>
    <w:rPr>
      <w:rFonts w:ascii="Times New Roman" w:eastAsia="Times New Roman" w:hAnsi="Times New Roman"/>
      <w:sz w:val="24"/>
      <w:szCs w:val="20"/>
    </w:rPr>
  </w:style>
  <w:style w:type="paragraph" w:styleId="ListBullet2">
    <w:name w:val="List Bullet 2"/>
    <w:basedOn w:val="Text2"/>
    <w:link w:val="ListBullet2Char"/>
    <w:uiPriority w:val="99"/>
    <w:qFormat/>
    <w:pPr>
      <w:numPr>
        <w:numId w:val="30"/>
      </w:numPr>
      <w:tabs>
        <w:tab w:val="clear" w:pos="2302"/>
      </w:tabs>
    </w:pPr>
  </w:style>
  <w:style w:type="paragraph" w:styleId="ListBullet3">
    <w:name w:val="List Bullet 3"/>
    <w:basedOn w:val="Text3"/>
    <w:uiPriority w:val="99"/>
    <w:qFormat/>
    <w:pPr>
      <w:numPr>
        <w:numId w:val="31"/>
      </w:numPr>
      <w:tabs>
        <w:tab w:val="clear" w:pos="2302"/>
      </w:tabs>
    </w:pPr>
  </w:style>
  <w:style w:type="paragraph" w:styleId="ListBullet4">
    <w:name w:val="List Bullet 4"/>
    <w:basedOn w:val="Text4"/>
    <w:uiPriority w:val="99"/>
    <w:pPr>
      <w:numPr>
        <w:numId w:val="32"/>
      </w:numPr>
      <w:tabs>
        <w:tab w:val="clear" w:pos="2302"/>
      </w:tabs>
    </w:pPr>
  </w:style>
  <w:style w:type="paragraph" w:styleId="ListBullet5">
    <w:name w:val="List Bullet 5"/>
    <w:basedOn w:val="Normal"/>
    <w:autoRedefine/>
    <w:uiPriority w:val="99"/>
    <w:pPr>
      <w:numPr>
        <w:numId w:val="27"/>
      </w:numPr>
      <w:spacing w:before="0" w:after="240"/>
    </w:pPr>
    <w:rPr>
      <w:rFonts w:ascii="Times New Roman" w:eastAsia="Times New Roman" w:hAnsi="Times New Roman"/>
      <w:sz w:val="24"/>
      <w:szCs w:val="20"/>
    </w:rPr>
  </w:style>
  <w:style w:type="paragraph" w:styleId="ListContinue">
    <w:name w:val="List Continue"/>
    <w:basedOn w:val="Normal"/>
    <w:pPr>
      <w:spacing w:before="0"/>
      <w:ind w:left="283"/>
    </w:pPr>
    <w:rPr>
      <w:rFonts w:ascii="Times New Roman" w:eastAsia="Times New Roman" w:hAnsi="Times New Roman"/>
      <w:sz w:val="24"/>
      <w:szCs w:val="20"/>
    </w:rPr>
  </w:style>
  <w:style w:type="paragraph" w:styleId="ListContinue2">
    <w:name w:val="List Continue 2"/>
    <w:basedOn w:val="Normal"/>
    <w:pPr>
      <w:spacing w:before="0"/>
      <w:ind w:left="566"/>
    </w:pPr>
    <w:rPr>
      <w:rFonts w:ascii="Times New Roman" w:eastAsia="Times New Roman" w:hAnsi="Times New Roman"/>
      <w:sz w:val="24"/>
      <w:szCs w:val="20"/>
    </w:rPr>
  </w:style>
  <w:style w:type="paragraph" w:styleId="ListContinue3">
    <w:name w:val="List Continue 3"/>
    <w:basedOn w:val="Normal"/>
    <w:pPr>
      <w:spacing w:before="0"/>
      <w:ind w:left="849"/>
    </w:pPr>
    <w:rPr>
      <w:rFonts w:ascii="Times New Roman" w:eastAsia="Times New Roman" w:hAnsi="Times New Roman"/>
      <w:sz w:val="24"/>
      <w:szCs w:val="20"/>
    </w:rPr>
  </w:style>
  <w:style w:type="paragraph" w:styleId="ListContinue4">
    <w:name w:val="List Continue 4"/>
    <w:basedOn w:val="Normal"/>
    <w:pPr>
      <w:spacing w:before="0"/>
      <w:ind w:left="1132"/>
    </w:pPr>
    <w:rPr>
      <w:rFonts w:ascii="Times New Roman" w:eastAsia="Times New Roman" w:hAnsi="Times New Roman"/>
      <w:sz w:val="24"/>
      <w:szCs w:val="20"/>
    </w:rPr>
  </w:style>
  <w:style w:type="paragraph" w:styleId="ListContinue5">
    <w:name w:val="List Continue 5"/>
    <w:basedOn w:val="Normal"/>
    <w:pPr>
      <w:spacing w:before="0"/>
      <w:ind w:left="1415"/>
    </w:pPr>
    <w:rPr>
      <w:rFonts w:ascii="Times New Roman" w:eastAsia="Times New Roman" w:hAnsi="Times New Roman"/>
      <w:sz w:val="24"/>
      <w:szCs w:val="20"/>
    </w:rPr>
  </w:style>
  <w:style w:type="paragraph" w:styleId="ListNumber">
    <w:name w:val="List Number"/>
    <w:basedOn w:val="Normal"/>
    <w:pPr>
      <w:numPr>
        <w:numId w:val="38"/>
      </w:numPr>
      <w:spacing w:before="0" w:after="240"/>
    </w:pPr>
    <w:rPr>
      <w:rFonts w:ascii="Times New Roman" w:eastAsia="Times New Roman" w:hAnsi="Times New Roman"/>
      <w:sz w:val="24"/>
      <w:szCs w:val="20"/>
    </w:rPr>
  </w:style>
  <w:style w:type="paragraph" w:styleId="ListNumber2">
    <w:name w:val="List Number 2"/>
    <w:basedOn w:val="Text2"/>
    <w:pPr>
      <w:numPr>
        <w:numId w:val="40"/>
      </w:numPr>
      <w:tabs>
        <w:tab w:val="clear" w:pos="1911"/>
        <w:tab w:val="clear" w:pos="2302"/>
      </w:tabs>
      <w:ind w:left="720" w:hanging="360"/>
    </w:pPr>
  </w:style>
  <w:style w:type="paragraph" w:styleId="ListNumber3">
    <w:name w:val="List Number 3"/>
    <w:basedOn w:val="Text3"/>
    <w:pPr>
      <w:numPr>
        <w:numId w:val="41"/>
      </w:numPr>
      <w:tabs>
        <w:tab w:val="clear" w:pos="2302"/>
      </w:tabs>
    </w:pPr>
  </w:style>
  <w:style w:type="paragraph" w:styleId="ListNumber4">
    <w:name w:val="List Number 4"/>
    <w:basedOn w:val="Text4"/>
    <w:pPr>
      <w:numPr>
        <w:numId w:val="42"/>
      </w:numPr>
      <w:tabs>
        <w:tab w:val="clear" w:pos="2302"/>
      </w:tabs>
    </w:pPr>
  </w:style>
  <w:style w:type="paragraph" w:styleId="ListNumber5">
    <w:name w:val="List Number 5"/>
    <w:basedOn w:val="Normal"/>
    <w:pPr>
      <w:numPr>
        <w:numId w:val="28"/>
      </w:numPr>
      <w:spacing w:before="0" w:after="240"/>
    </w:pPr>
    <w:rPr>
      <w:rFonts w:ascii="Times New Roman" w:eastAsia="Times New Roman" w:hAnsi="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eastAsia="en-US"/>
    </w:rPr>
  </w:style>
  <w:style w:type="character" w:customStyle="1" w:styleId="MacroTextChar">
    <w:name w:val="Macro Text Char"/>
    <w:basedOn w:val="DefaultParagraphFont"/>
    <w:link w:val="MacroText"/>
    <w:semiHidden/>
    <w:rPr>
      <w:rFonts w:ascii="Courier New" w:eastAsia="Times New Roman"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before="0" w:after="240"/>
      <w:ind w:left="1134" w:hanging="1134"/>
    </w:pPr>
    <w:rPr>
      <w:rFonts w:ascii="Arial" w:eastAsia="Times New Roman" w:hAnsi="Arial"/>
      <w:sz w:val="24"/>
      <w:szCs w:val="20"/>
    </w:rPr>
  </w:style>
  <w:style w:type="character" w:customStyle="1" w:styleId="MessageHeaderChar">
    <w:name w:val="Message Header Char"/>
    <w:basedOn w:val="DefaultParagraphFont"/>
    <w:link w:val="MessageHeader"/>
    <w:rPr>
      <w:rFonts w:ascii="Arial" w:eastAsia="Times New Roman" w:hAnsi="Arial"/>
      <w:sz w:val="24"/>
      <w:shd w:val="pct20" w:color="auto" w:fill="auto"/>
      <w:lang w:eastAsia="en-US"/>
    </w:rPr>
  </w:style>
  <w:style w:type="paragraph" w:styleId="NormalIndent">
    <w:name w:val="Normal Indent"/>
    <w:basedOn w:val="Normal"/>
    <w:pPr>
      <w:spacing w:before="0" w:after="240"/>
      <w:ind w:left="720"/>
    </w:pPr>
    <w:rPr>
      <w:rFonts w:ascii="Times New Roman" w:eastAsia="Times New Roman" w:hAnsi="Times New Roman"/>
      <w:sz w:val="24"/>
      <w:szCs w:val="20"/>
    </w:rPr>
  </w:style>
  <w:style w:type="paragraph" w:styleId="NoteHeading">
    <w:name w:val="Note Heading"/>
    <w:basedOn w:val="Normal"/>
    <w:next w:val="Normal"/>
    <w:link w:val="NoteHeadingChar"/>
    <w:pPr>
      <w:spacing w:before="0" w:after="240"/>
    </w:pPr>
    <w:rPr>
      <w:rFonts w:ascii="Times New Roman" w:eastAsia="Times New Roman" w:hAnsi="Times New Roman"/>
      <w:sz w:val="24"/>
      <w:szCs w:val="20"/>
    </w:rPr>
  </w:style>
  <w:style w:type="character" w:customStyle="1" w:styleId="NoteHeadingChar">
    <w:name w:val="Note Heading Char"/>
    <w:basedOn w:val="DefaultParagraphFont"/>
    <w:link w:val="NoteHeading"/>
    <w:rPr>
      <w:rFonts w:ascii="Times New Roman" w:eastAsia="Times New Roman" w:hAnsi="Times New Roman"/>
      <w:sz w:val="24"/>
      <w:lang w:eastAsia="en-US"/>
    </w:rPr>
  </w:style>
  <w:style w:type="paragraph" w:customStyle="1" w:styleId="NoteHead">
    <w:name w:val="NoteHead"/>
    <w:basedOn w:val="Normal"/>
    <w:next w:val="Subject"/>
    <w:pPr>
      <w:spacing w:before="720" w:after="720"/>
      <w:jc w:val="center"/>
    </w:pPr>
    <w:rPr>
      <w:rFonts w:ascii="Times New Roman" w:eastAsia="Times New Roman" w:hAnsi="Times New Roman"/>
      <w:b/>
      <w:smallCaps/>
      <w:sz w:val="24"/>
      <w:szCs w:val="20"/>
    </w:rPr>
  </w:style>
  <w:style w:type="paragraph" w:customStyle="1" w:styleId="Subject">
    <w:name w:val="Subject"/>
    <w:basedOn w:val="Normal"/>
    <w:next w:val="Normal"/>
    <w:pPr>
      <w:spacing w:before="0" w:after="480"/>
      <w:ind w:left="1531" w:hanging="1531"/>
      <w:jc w:val="left"/>
    </w:pPr>
    <w:rPr>
      <w:rFonts w:ascii="Times New Roman" w:eastAsia="Times New Roman" w:hAnsi="Times New Roman"/>
      <w:b/>
      <w:sz w:val="24"/>
      <w:szCs w:val="20"/>
    </w:rPr>
  </w:style>
  <w:style w:type="paragraph" w:customStyle="1" w:styleId="NoteList">
    <w:name w:val="NoteList"/>
    <w:basedOn w:val="Normal"/>
    <w:next w:val="Subject"/>
    <w:pPr>
      <w:tabs>
        <w:tab w:val="left" w:pos="5823"/>
      </w:tabs>
      <w:spacing w:before="720" w:after="720"/>
      <w:ind w:left="5104" w:hanging="3119"/>
      <w:jc w:val="left"/>
    </w:pPr>
    <w:rPr>
      <w:rFonts w:ascii="Times New Roman" w:eastAsia="Times New Roman" w:hAnsi="Times New Roman"/>
      <w:b/>
      <w:smallCaps/>
      <w:sz w:val="24"/>
      <w:szCs w:val="20"/>
    </w:rPr>
  </w:style>
  <w:style w:type="paragraph" w:customStyle="1" w:styleId="NumPar1">
    <w:name w:val="NumPar 1"/>
    <w:basedOn w:val="Heading1"/>
    <w:next w:val="Text1"/>
    <w:pPr>
      <w:keepNext w:val="0"/>
      <w:numPr>
        <w:numId w:val="0"/>
      </w:numPr>
      <w:spacing w:before="0" w:after="240"/>
      <w:outlineLvl w:val="9"/>
    </w:pPr>
    <w:rPr>
      <w:rFonts w:ascii="Times New Roman" w:eastAsia="Times New Roman" w:hAnsi="Times New Roman"/>
      <w:b w:val="0"/>
      <w:sz w:val="24"/>
      <w:szCs w:val="20"/>
    </w:rPr>
  </w:style>
  <w:style w:type="paragraph" w:customStyle="1" w:styleId="NumPar2">
    <w:name w:val="NumPar 2"/>
    <w:basedOn w:val="Heading2"/>
    <w:next w:val="Text2"/>
    <w:pPr>
      <w:keepNext w:val="0"/>
      <w:keepLines w:val="0"/>
      <w:numPr>
        <w:ilvl w:val="0"/>
        <w:numId w:val="0"/>
      </w:numPr>
      <w:spacing w:before="0" w:after="240"/>
      <w:outlineLvl w:val="9"/>
    </w:pPr>
    <w:rPr>
      <w:rFonts w:ascii="Times New Roman" w:eastAsia="Times New Roman" w:hAnsi="Times New Roman" w:cs="Times New Roman"/>
      <w:bCs w:val="0"/>
      <w:iCs w:val="0"/>
      <w:szCs w:val="20"/>
    </w:rPr>
  </w:style>
  <w:style w:type="paragraph" w:customStyle="1" w:styleId="NumPar3">
    <w:name w:val="NumPar 3"/>
    <w:basedOn w:val="Heading3"/>
    <w:next w:val="Text3"/>
    <w:pPr>
      <w:keepNext w:val="0"/>
      <w:keepLines w:val="0"/>
      <w:numPr>
        <w:ilvl w:val="0"/>
        <w:numId w:val="0"/>
      </w:numPr>
      <w:spacing w:before="0" w:after="240"/>
      <w:outlineLvl w:val="9"/>
    </w:pPr>
    <w:rPr>
      <w:rFonts w:ascii="Times New Roman" w:eastAsia="Times New Roman" w:hAnsi="Times New Roman" w:cs="Times New Roman"/>
      <w:b w:val="0"/>
      <w:bCs w:val="0"/>
      <w:sz w:val="24"/>
      <w:szCs w:val="20"/>
    </w:rPr>
  </w:style>
  <w:style w:type="paragraph" w:customStyle="1" w:styleId="NumPar4">
    <w:name w:val="NumPar 4"/>
    <w:basedOn w:val="Heading4"/>
    <w:next w:val="Text4"/>
    <w:pPr>
      <w:keepNext w:val="0"/>
      <w:keepLines w:val="0"/>
      <w:numPr>
        <w:ilvl w:val="0"/>
        <w:numId w:val="0"/>
      </w:numPr>
      <w:spacing w:before="0" w:after="240"/>
      <w:outlineLvl w:val="9"/>
    </w:pPr>
    <w:rPr>
      <w:rFonts w:ascii="Times New Roman" w:eastAsia="Times New Roman" w:hAnsi="Times New Roman" w:cs="Times New Roman"/>
      <w:b w:val="0"/>
      <w:bCs w:val="0"/>
      <w:iCs w:val="0"/>
      <w:sz w:val="24"/>
      <w:szCs w:val="20"/>
    </w:rPr>
  </w:style>
  <w:style w:type="paragraph" w:customStyle="1" w:styleId="PartTitle">
    <w:name w:val="PartTitle"/>
    <w:basedOn w:val="Normal"/>
    <w:next w:val="ChapterTitle"/>
    <w:pPr>
      <w:keepNext/>
      <w:pageBreakBefore/>
      <w:spacing w:before="0" w:after="480"/>
      <w:jc w:val="center"/>
    </w:pPr>
    <w:rPr>
      <w:rFonts w:ascii="Times New Roman" w:eastAsia="Times New Roman" w:hAnsi="Times New Roman"/>
      <w:b/>
      <w:sz w:val="36"/>
      <w:szCs w:val="20"/>
    </w:rPr>
  </w:style>
  <w:style w:type="paragraph" w:styleId="PlainText">
    <w:name w:val="Plain Text"/>
    <w:basedOn w:val="Normal"/>
    <w:link w:val="PlainTextChar"/>
    <w:pPr>
      <w:spacing w:before="0" w:after="240"/>
    </w:pPr>
    <w:rPr>
      <w:rFonts w:ascii="Courier New" w:eastAsia="Times New Roman" w:hAnsi="Courier New"/>
      <w:szCs w:val="20"/>
    </w:rPr>
  </w:style>
  <w:style w:type="character" w:customStyle="1" w:styleId="PlainTextChar">
    <w:name w:val="Plain Text Char"/>
    <w:basedOn w:val="DefaultParagraphFont"/>
    <w:link w:val="PlainText"/>
    <w:rPr>
      <w:rFonts w:ascii="Courier New" w:eastAsia="Times New Roman" w:hAnsi="Courier New"/>
      <w:lang w:eastAsia="en-US"/>
    </w:rPr>
  </w:style>
  <w:style w:type="paragraph" w:styleId="Salutation">
    <w:name w:val="Salutation"/>
    <w:basedOn w:val="Normal"/>
    <w:next w:val="Normal"/>
    <w:link w:val="SalutationChar"/>
    <w:pPr>
      <w:spacing w:before="0" w:after="240"/>
    </w:pPr>
    <w:rPr>
      <w:rFonts w:ascii="Times New Roman" w:eastAsia="Times New Roman" w:hAnsi="Times New Roman"/>
      <w:sz w:val="24"/>
      <w:szCs w:val="20"/>
    </w:rPr>
  </w:style>
  <w:style w:type="character" w:customStyle="1" w:styleId="SalutationChar">
    <w:name w:val="Salutation Char"/>
    <w:basedOn w:val="DefaultParagraphFont"/>
    <w:link w:val="Salutation"/>
    <w:rPr>
      <w:rFonts w:ascii="Times New Roman" w:eastAsia="Times New Roman" w:hAnsi="Times New Roman"/>
      <w:sz w:val="24"/>
      <w:lang w:eastAsia="en-US"/>
    </w:rPr>
  </w:style>
  <w:style w:type="paragraph" w:styleId="Signature">
    <w:name w:val="Signature"/>
    <w:basedOn w:val="Normal"/>
    <w:next w:val="Enclosures"/>
    <w:link w:val="SignatureChar"/>
    <w:pPr>
      <w:tabs>
        <w:tab w:val="left" w:pos="5103"/>
      </w:tabs>
      <w:spacing w:before="1200" w:after="0"/>
      <w:ind w:left="5103"/>
      <w:jc w:val="center"/>
    </w:pPr>
    <w:rPr>
      <w:rFonts w:ascii="Times New Roman" w:eastAsia="Times New Roman" w:hAnsi="Times New Roman"/>
      <w:sz w:val="24"/>
      <w:szCs w:val="20"/>
    </w:rPr>
  </w:style>
  <w:style w:type="character" w:customStyle="1" w:styleId="SignatureChar">
    <w:name w:val="Signature Char"/>
    <w:basedOn w:val="DefaultParagraphFont"/>
    <w:link w:val="Signature"/>
    <w:rPr>
      <w:rFonts w:ascii="Times New Roman" w:eastAsia="Times New Roman" w:hAnsi="Times New Roman"/>
      <w:sz w:val="24"/>
      <w:lang w:eastAsia="en-US"/>
    </w:rPr>
  </w:style>
  <w:style w:type="paragraph" w:customStyle="1" w:styleId="SubTitle1">
    <w:name w:val="SubTitle 1"/>
    <w:basedOn w:val="Normal"/>
    <w:next w:val="SubTitle2"/>
    <w:pPr>
      <w:spacing w:before="0" w:after="240"/>
      <w:jc w:val="center"/>
    </w:pPr>
    <w:rPr>
      <w:rFonts w:ascii="Times New Roman" w:eastAsia="Times New Roman" w:hAnsi="Times New Roman"/>
      <w:b/>
      <w:sz w:val="40"/>
      <w:szCs w:val="20"/>
    </w:rPr>
  </w:style>
  <w:style w:type="paragraph" w:customStyle="1" w:styleId="SubTitle2">
    <w:name w:val="SubTitle 2"/>
    <w:basedOn w:val="Normal"/>
    <w:pPr>
      <w:spacing w:before="0" w:after="240"/>
      <w:jc w:val="center"/>
    </w:pPr>
    <w:rPr>
      <w:rFonts w:ascii="Times New Roman" w:eastAsia="Times New Roman" w:hAnsi="Times New Roman"/>
      <w:b/>
      <w:sz w:val="32"/>
      <w:szCs w:val="20"/>
    </w:rPr>
  </w:style>
  <w:style w:type="paragraph" w:styleId="TableofAuthorities">
    <w:name w:val="table of authorities"/>
    <w:basedOn w:val="Normal"/>
    <w:next w:val="Normal"/>
    <w:semiHidden/>
    <w:pPr>
      <w:spacing w:before="0" w:after="240"/>
      <w:ind w:left="240" w:hanging="240"/>
    </w:pPr>
    <w:rPr>
      <w:rFonts w:ascii="Times New Roman" w:eastAsia="Times New Roman" w:hAnsi="Times New Roman"/>
      <w:sz w:val="24"/>
      <w:szCs w:val="20"/>
    </w:rPr>
  </w:style>
  <w:style w:type="paragraph" w:styleId="Title">
    <w:name w:val="Title"/>
    <w:basedOn w:val="Normal"/>
    <w:next w:val="Normal"/>
    <w:link w:val="TitleChar"/>
    <w:qFormat/>
    <w:pPr>
      <w:spacing w:before="0" w:after="480"/>
      <w:jc w:val="center"/>
    </w:pPr>
    <w:rPr>
      <w:rFonts w:ascii="Times New Roman Bold" w:eastAsia="Times New Roman" w:hAnsi="Times New Roman Bold"/>
      <w:b/>
      <w:smallCaps/>
      <w:kern w:val="28"/>
      <w:sz w:val="24"/>
      <w:szCs w:val="20"/>
    </w:rPr>
  </w:style>
  <w:style w:type="character" w:customStyle="1" w:styleId="TitleChar">
    <w:name w:val="Title Char"/>
    <w:basedOn w:val="DefaultParagraphFont"/>
    <w:link w:val="Title"/>
    <w:rPr>
      <w:rFonts w:ascii="Times New Roman Bold" w:eastAsia="Times New Roman" w:hAnsi="Times New Roman Bold"/>
      <w:b/>
      <w:smallCaps/>
      <w:kern w:val="28"/>
      <w:sz w:val="24"/>
      <w:lang w:eastAsia="en-US"/>
    </w:rPr>
  </w:style>
  <w:style w:type="paragraph" w:styleId="TOAHeading">
    <w:name w:val="toa heading"/>
    <w:basedOn w:val="Normal"/>
    <w:next w:val="Normal"/>
    <w:semiHidden/>
    <w:pPr>
      <w:spacing w:after="240"/>
    </w:pPr>
    <w:rPr>
      <w:rFonts w:ascii="Arial" w:eastAsia="Times New Roman" w:hAnsi="Arial"/>
      <w:b/>
      <w:sz w:val="24"/>
      <w:szCs w:val="20"/>
    </w:rPr>
  </w:style>
  <w:style w:type="paragraph" w:styleId="TOC6">
    <w:name w:val="toc 6"/>
    <w:basedOn w:val="Normal"/>
    <w:next w:val="Normal"/>
    <w:autoRedefine/>
    <w:uiPriority w:val="39"/>
    <w:pPr>
      <w:spacing w:before="0" w:after="240"/>
      <w:ind w:left="1200"/>
    </w:pPr>
    <w:rPr>
      <w:rFonts w:ascii="Times New Roman" w:eastAsia="Times New Roman" w:hAnsi="Times New Roman"/>
      <w:sz w:val="24"/>
      <w:szCs w:val="20"/>
    </w:rPr>
  </w:style>
  <w:style w:type="paragraph" w:styleId="TOC7">
    <w:name w:val="toc 7"/>
    <w:basedOn w:val="Normal"/>
    <w:next w:val="Normal"/>
    <w:autoRedefine/>
    <w:uiPriority w:val="39"/>
    <w:pPr>
      <w:spacing w:before="0" w:after="240"/>
      <w:ind w:left="1440"/>
    </w:pPr>
    <w:rPr>
      <w:rFonts w:ascii="Times New Roman" w:eastAsia="Times New Roman" w:hAnsi="Times New Roman"/>
      <w:sz w:val="24"/>
      <w:szCs w:val="20"/>
    </w:rPr>
  </w:style>
  <w:style w:type="paragraph" w:styleId="TOC8">
    <w:name w:val="toc 8"/>
    <w:basedOn w:val="Normal"/>
    <w:next w:val="Normal"/>
    <w:autoRedefine/>
    <w:uiPriority w:val="39"/>
    <w:pPr>
      <w:spacing w:before="0" w:after="240"/>
      <w:ind w:left="1680"/>
    </w:pPr>
    <w:rPr>
      <w:rFonts w:ascii="Times New Roman" w:eastAsia="Times New Roman" w:hAnsi="Times New Roman"/>
      <w:sz w:val="24"/>
      <w:szCs w:val="20"/>
    </w:rPr>
  </w:style>
  <w:style w:type="paragraph" w:styleId="TOC9">
    <w:name w:val="toc 9"/>
    <w:basedOn w:val="Normal"/>
    <w:next w:val="Normal"/>
    <w:autoRedefine/>
    <w:uiPriority w:val="39"/>
    <w:pPr>
      <w:spacing w:before="0" w:after="240"/>
      <w:ind w:left="1920"/>
    </w:pPr>
    <w:rPr>
      <w:rFonts w:ascii="Times New Roman" w:eastAsia="Times New Roman" w:hAnsi="Times New Roman"/>
      <w:sz w:val="24"/>
      <w:szCs w:val="20"/>
    </w:rPr>
  </w:style>
  <w:style w:type="paragraph" w:customStyle="1" w:styleId="YReferences">
    <w:name w:val="YReferences"/>
    <w:basedOn w:val="Normal"/>
    <w:next w:val="Normal"/>
    <w:pPr>
      <w:spacing w:before="0" w:after="480"/>
      <w:ind w:left="1531" w:hanging="1531"/>
    </w:pPr>
    <w:rPr>
      <w:rFonts w:ascii="Times New Roman" w:eastAsia="Times New Roman" w:hAnsi="Times New Roman"/>
      <w:sz w:val="24"/>
      <w:szCs w:val="20"/>
    </w:rPr>
  </w:style>
  <w:style w:type="paragraph" w:customStyle="1" w:styleId="ListBullet1">
    <w:name w:val="List Bullet 1"/>
    <w:basedOn w:val="Text1"/>
    <w:pPr>
      <w:numPr>
        <w:numId w:val="29"/>
      </w:numPr>
      <w:tabs>
        <w:tab w:val="clear" w:pos="765"/>
      </w:tabs>
      <w:ind w:left="1080" w:hanging="360"/>
    </w:pPr>
  </w:style>
  <w:style w:type="paragraph" w:customStyle="1" w:styleId="ListDash">
    <w:name w:val="List Dash"/>
    <w:basedOn w:val="Normal"/>
    <w:pPr>
      <w:numPr>
        <w:numId w:val="33"/>
      </w:numPr>
      <w:spacing w:before="0" w:after="240"/>
    </w:pPr>
    <w:rPr>
      <w:rFonts w:ascii="Times New Roman" w:eastAsia="Times New Roman" w:hAnsi="Times New Roman"/>
      <w:sz w:val="24"/>
      <w:szCs w:val="20"/>
    </w:rPr>
  </w:style>
  <w:style w:type="paragraph" w:customStyle="1" w:styleId="ListDash1">
    <w:name w:val="List Dash 1"/>
    <w:basedOn w:val="Text1"/>
    <w:pPr>
      <w:numPr>
        <w:numId w:val="34"/>
      </w:numPr>
      <w:tabs>
        <w:tab w:val="clear" w:pos="765"/>
      </w:tabs>
      <w:ind w:left="720" w:hanging="360"/>
    </w:pPr>
  </w:style>
  <w:style w:type="paragraph" w:customStyle="1" w:styleId="ListDash2">
    <w:name w:val="List Dash 2"/>
    <w:basedOn w:val="Text2"/>
    <w:pPr>
      <w:numPr>
        <w:numId w:val="35"/>
      </w:numPr>
      <w:tabs>
        <w:tab w:val="clear" w:pos="1485"/>
        <w:tab w:val="clear" w:pos="2302"/>
      </w:tabs>
      <w:ind w:left="720" w:hanging="360"/>
    </w:pPr>
  </w:style>
  <w:style w:type="paragraph" w:customStyle="1" w:styleId="ListDash3">
    <w:name w:val="List Dash 3"/>
    <w:basedOn w:val="Text3"/>
    <w:pPr>
      <w:numPr>
        <w:numId w:val="36"/>
      </w:numPr>
      <w:tabs>
        <w:tab w:val="clear" w:pos="2302"/>
      </w:tabs>
    </w:pPr>
  </w:style>
  <w:style w:type="paragraph" w:customStyle="1" w:styleId="ListDash4">
    <w:name w:val="List Dash 4"/>
    <w:basedOn w:val="Text4"/>
    <w:pPr>
      <w:numPr>
        <w:numId w:val="37"/>
      </w:numPr>
      <w:tabs>
        <w:tab w:val="clear" w:pos="2302"/>
      </w:tabs>
    </w:pPr>
  </w:style>
  <w:style w:type="paragraph" w:customStyle="1" w:styleId="ListNumberLevel2">
    <w:name w:val="List Number (Level 2)"/>
    <w:basedOn w:val="Normal"/>
    <w:pPr>
      <w:numPr>
        <w:ilvl w:val="1"/>
        <w:numId w:val="38"/>
      </w:numPr>
      <w:spacing w:before="0" w:after="240"/>
    </w:pPr>
    <w:rPr>
      <w:rFonts w:ascii="Times New Roman" w:eastAsia="Times New Roman" w:hAnsi="Times New Roman"/>
      <w:sz w:val="24"/>
      <w:szCs w:val="20"/>
    </w:rPr>
  </w:style>
  <w:style w:type="paragraph" w:customStyle="1" w:styleId="ListNumberLevel3">
    <w:name w:val="List Number (Level 3)"/>
    <w:basedOn w:val="Normal"/>
    <w:pPr>
      <w:numPr>
        <w:ilvl w:val="2"/>
        <w:numId w:val="38"/>
      </w:numPr>
      <w:spacing w:before="0" w:after="240"/>
    </w:pPr>
    <w:rPr>
      <w:rFonts w:ascii="Times New Roman" w:eastAsia="Times New Roman" w:hAnsi="Times New Roman"/>
      <w:sz w:val="24"/>
      <w:szCs w:val="20"/>
    </w:rPr>
  </w:style>
  <w:style w:type="paragraph" w:customStyle="1" w:styleId="ListNumberLevel4">
    <w:name w:val="List Number (Level 4)"/>
    <w:basedOn w:val="Normal"/>
    <w:pPr>
      <w:numPr>
        <w:ilvl w:val="3"/>
        <w:numId w:val="38"/>
      </w:numPr>
      <w:spacing w:before="0" w:after="240"/>
    </w:pPr>
    <w:rPr>
      <w:rFonts w:ascii="Times New Roman" w:eastAsia="Times New Roman" w:hAnsi="Times New Roman"/>
      <w:sz w:val="24"/>
      <w:szCs w:val="20"/>
    </w:rPr>
  </w:style>
  <w:style w:type="paragraph" w:customStyle="1" w:styleId="ListNumber1">
    <w:name w:val="List Number 1"/>
    <w:basedOn w:val="Text1"/>
    <w:pPr>
      <w:numPr>
        <w:numId w:val="39"/>
      </w:numPr>
      <w:tabs>
        <w:tab w:val="clear" w:pos="1191"/>
      </w:tabs>
      <w:ind w:left="720" w:hanging="360"/>
    </w:pPr>
  </w:style>
  <w:style w:type="paragraph" w:customStyle="1" w:styleId="ListNumber1Level2">
    <w:name w:val="List Number 1 (Level 2)"/>
    <w:basedOn w:val="Text1"/>
    <w:pPr>
      <w:numPr>
        <w:ilvl w:val="1"/>
        <w:numId w:val="39"/>
      </w:numPr>
      <w:tabs>
        <w:tab w:val="clear" w:pos="1899"/>
      </w:tabs>
      <w:ind w:left="1440" w:hanging="360"/>
    </w:pPr>
  </w:style>
  <w:style w:type="paragraph" w:customStyle="1" w:styleId="ListNumber1Level3">
    <w:name w:val="List Number 1 (Level 3)"/>
    <w:basedOn w:val="Text1"/>
    <w:pPr>
      <w:numPr>
        <w:ilvl w:val="2"/>
        <w:numId w:val="39"/>
      </w:numPr>
      <w:tabs>
        <w:tab w:val="clear" w:pos="2608"/>
      </w:tabs>
      <w:ind w:left="2160" w:hanging="360"/>
    </w:pPr>
  </w:style>
  <w:style w:type="paragraph" w:customStyle="1" w:styleId="ListNumber1Level4">
    <w:name w:val="List Number 1 (Level 4)"/>
    <w:basedOn w:val="Text1"/>
    <w:pPr>
      <w:numPr>
        <w:ilvl w:val="3"/>
        <w:numId w:val="39"/>
      </w:numPr>
      <w:tabs>
        <w:tab w:val="clear" w:pos="3317"/>
      </w:tabs>
      <w:ind w:left="2880" w:hanging="360"/>
    </w:pPr>
  </w:style>
  <w:style w:type="paragraph" w:customStyle="1" w:styleId="ListNumber2Level2">
    <w:name w:val="List Number 2 (Level 2)"/>
    <w:basedOn w:val="Text2"/>
    <w:pPr>
      <w:numPr>
        <w:ilvl w:val="1"/>
        <w:numId w:val="40"/>
      </w:numPr>
      <w:tabs>
        <w:tab w:val="clear" w:pos="2302"/>
        <w:tab w:val="clear" w:pos="2619"/>
      </w:tabs>
      <w:ind w:left="1440" w:hanging="360"/>
    </w:pPr>
  </w:style>
  <w:style w:type="paragraph" w:customStyle="1" w:styleId="ListNumber2Level3">
    <w:name w:val="List Number 2 (Level 3)"/>
    <w:basedOn w:val="Text2"/>
    <w:pPr>
      <w:numPr>
        <w:ilvl w:val="2"/>
        <w:numId w:val="40"/>
      </w:numPr>
      <w:tabs>
        <w:tab w:val="clear" w:pos="2302"/>
        <w:tab w:val="clear" w:pos="3328"/>
      </w:tabs>
      <w:ind w:left="2160" w:hanging="360"/>
    </w:pPr>
  </w:style>
  <w:style w:type="paragraph" w:customStyle="1" w:styleId="ListNumber2Level4">
    <w:name w:val="List Number 2 (Level 4)"/>
    <w:basedOn w:val="Text2"/>
    <w:pPr>
      <w:numPr>
        <w:ilvl w:val="3"/>
        <w:numId w:val="40"/>
      </w:numPr>
      <w:tabs>
        <w:tab w:val="clear" w:pos="2302"/>
        <w:tab w:val="clear" w:pos="4037"/>
      </w:tabs>
      <w:ind w:left="2880" w:hanging="360"/>
    </w:pPr>
  </w:style>
  <w:style w:type="paragraph" w:customStyle="1" w:styleId="ListNumber3Level2">
    <w:name w:val="List Number 3 (Level 2)"/>
    <w:basedOn w:val="Text3"/>
    <w:pPr>
      <w:numPr>
        <w:ilvl w:val="1"/>
        <w:numId w:val="41"/>
      </w:numPr>
      <w:tabs>
        <w:tab w:val="clear" w:pos="2302"/>
      </w:tabs>
    </w:pPr>
  </w:style>
  <w:style w:type="paragraph" w:customStyle="1" w:styleId="ListNumber3Level3">
    <w:name w:val="List Number 3 (Level 3)"/>
    <w:basedOn w:val="Text3"/>
    <w:pPr>
      <w:numPr>
        <w:ilvl w:val="2"/>
        <w:numId w:val="41"/>
      </w:numPr>
      <w:tabs>
        <w:tab w:val="clear" w:pos="2302"/>
      </w:tabs>
    </w:pPr>
  </w:style>
  <w:style w:type="paragraph" w:customStyle="1" w:styleId="ListNumber3Level4">
    <w:name w:val="List Number 3 (Level 4)"/>
    <w:basedOn w:val="Text3"/>
    <w:pPr>
      <w:numPr>
        <w:ilvl w:val="3"/>
        <w:numId w:val="41"/>
      </w:numPr>
      <w:tabs>
        <w:tab w:val="clear" w:pos="2302"/>
      </w:tabs>
    </w:pPr>
  </w:style>
  <w:style w:type="paragraph" w:customStyle="1" w:styleId="ListNumber4Level2">
    <w:name w:val="List Number 4 (Level 2)"/>
    <w:basedOn w:val="Text4"/>
    <w:pPr>
      <w:numPr>
        <w:ilvl w:val="1"/>
        <w:numId w:val="42"/>
      </w:numPr>
      <w:tabs>
        <w:tab w:val="clear" w:pos="2302"/>
      </w:tabs>
    </w:pPr>
  </w:style>
  <w:style w:type="paragraph" w:customStyle="1" w:styleId="ListNumber4Level3">
    <w:name w:val="List Number 4 (Level 3)"/>
    <w:basedOn w:val="Text4"/>
    <w:pPr>
      <w:numPr>
        <w:ilvl w:val="2"/>
        <w:numId w:val="42"/>
      </w:numPr>
      <w:tabs>
        <w:tab w:val="clear" w:pos="2302"/>
      </w:tabs>
    </w:pPr>
  </w:style>
  <w:style w:type="paragraph" w:customStyle="1" w:styleId="ListNumber4Level4">
    <w:name w:val="List Number 4 (Level 4)"/>
    <w:basedOn w:val="Text4"/>
    <w:pPr>
      <w:numPr>
        <w:ilvl w:val="3"/>
        <w:numId w:val="42"/>
      </w:numPr>
      <w:tabs>
        <w:tab w:val="clear" w:pos="2302"/>
      </w:tabs>
    </w:pPr>
  </w:style>
  <w:style w:type="paragraph" w:customStyle="1" w:styleId="Contact">
    <w:name w:val="Contact"/>
    <w:basedOn w:val="Normal"/>
    <w:next w:val="Normal"/>
    <w:pPr>
      <w:spacing w:before="0" w:after="480"/>
      <w:ind w:left="567" w:hanging="567"/>
      <w:jc w:val="left"/>
    </w:pPr>
    <w:rPr>
      <w:rFonts w:ascii="Times New Roman" w:eastAsia="Times New Roman" w:hAnsi="Times New Roman"/>
      <w:sz w:val="24"/>
      <w:szCs w:val="20"/>
    </w:rPr>
  </w:style>
  <w:style w:type="paragraph" w:customStyle="1" w:styleId="Designator">
    <w:name w:val="Designator"/>
    <w:basedOn w:val="Normal"/>
    <w:pPr>
      <w:spacing w:before="0" w:after="0"/>
      <w:jc w:val="center"/>
    </w:pPr>
    <w:rPr>
      <w:rFonts w:ascii="Times New Roman" w:eastAsia="Times New Roman" w:hAnsi="Times New Roman"/>
      <w:b/>
      <w:caps/>
      <w:sz w:val="32"/>
      <w:szCs w:val="20"/>
    </w:rPr>
  </w:style>
  <w:style w:type="paragraph" w:customStyle="1" w:styleId="Releasable">
    <w:name w:val="Releasable"/>
    <w:basedOn w:val="Normal"/>
    <w:qFormat/>
    <w:pPr>
      <w:spacing w:before="0" w:after="0"/>
      <w:jc w:val="center"/>
    </w:pPr>
    <w:rPr>
      <w:rFonts w:ascii="Times New Roman" w:eastAsia="Times New Roman" w:hAnsi="Times New Roman"/>
      <w:b/>
      <w:caps/>
      <w:sz w:val="32"/>
      <w:szCs w:val="20"/>
      <w:lang w:val="de-DE"/>
    </w:rPr>
  </w:style>
  <w:style w:type="paragraph" w:customStyle="1" w:styleId="RUE">
    <w:name w:val="RUE"/>
    <w:basedOn w:val="Normal"/>
    <w:pPr>
      <w:spacing w:before="0" w:after="0"/>
      <w:jc w:val="center"/>
    </w:pPr>
    <w:rPr>
      <w:rFonts w:ascii="Times New Roman" w:eastAsia="Times New Roman" w:hAnsi="Times New Roman"/>
      <w:b/>
      <w:caps/>
      <w:sz w:val="32"/>
      <w:szCs w:val="20"/>
      <w:bdr w:val="single" w:sz="18" w:space="0" w:color="auto"/>
      <w:lang w:val="de-DE"/>
    </w:rPr>
  </w:style>
  <w:style w:type="paragraph" w:customStyle="1" w:styleId="ConfidentialUE">
    <w:name w:val="Confidential UE"/>
    <w:basedOn w:val="Normal"/>
    <w:pPr>
      <w:spacing w:before="0" w:after="0"/>
      <w:jc w:val="center"/>
    </w:pPr>
    <w:rPr>
      <w:rFonts w:ascii="Times New Roman" w:eastAsia="Times New Roman" w:hAnsi="Times New Roman"/>
      <w:b/>
      <w:caps/>
      <w:sz w:val="32"/>
      <w:szCs w:val="20"/>
      <w:bdr w:val="single" w:sz="18" w:space="0" w:color="auto"/>
    </w:rPr>
  </w:style>
  <w:style w:type="paragraph" w:customStyle="1" w:styleId="SecretUE">
    <w:name w:val="Secret UE"/>
    <w:basedOn w:val="Normal"/>
    <w:pPr>
      <w:spacing w:before="0" w:after="0"/>
      <w:jc w:val="center"/>
    </w:pPr>
    <w:rPr>
      <w:rFonts w:ascii="Times New Roman" w:eastAsia="Times New Roman" w:hAnsi="Times New Roman"/>
      <w:b/>
      <w:caps/>
      <w:color w:val="FF0000"/>
      <w:sz w:val="32"/>
      <w:szCs w:val="20"/>
      <w:bdr w:val="single" w:sz="18" w:space="0" w:color="FF0000"/>
    </w:rPr>
  </w:style>
  <w:style w:type="paragraph" w:customStyle="1" w:styleId="TrsSecretUE">
    <w:name w:val="Très Secret UE"/>
    <w:basedOn w:val="Normal"/>
    <w:pPr>
      <w:spacing w:before="0" w:after="0"/>
      <w:jc w:val="center"/>
    </w:pPr>
    <w:rPr>
      <w:rFonts w:ascii="Times New Roman" w:eastAsia="Times New Roman" w:hAnsi="Times New Roman"/>
      <w:b/>
      <w:caps/>
      <w:color w:val="FF0000"/>
      <w:sz w:val="32"/>
      <w:szCs w:val="20"/>
      <w:bdr w:val="single" w:sz="18" w:space="0" w:color="FF0000"/>
    </w:rPr>
  </w:style>
  <w:style w:type="paragraph" w:customStyle="1" w:styleId="LegalNumPar">
    <w:name w:val="LegalNumPar"/>
    <w:basedOn w:val="Normal"/>
    <w:pPr>
      <w:numPr>
        <w:numId w:val="43"/>
      </w:numPr>
      <w:spacing w:before="0" w:after="240"/>
    </w:pPr>
    <w:rPr>
      <w:rFonts w:ascii="Times New Roman" w:eastAsia="Times New Roman" w:hAnsi="Times New Roman"/>
      <w:sz w:val="24"/>
      <w:szCs w:val="20"/>
    </w:rPr>
  </w:style>
  <w:style w:type="paragraph" w:customStyle="1" w:styleId="ZCom">
    <w:name w:val="Z_Com"/>
    <w:basedOn w:val="Normal"/>
    <w:next w:val="ZDGName"/>
    <w:uiPriority w:val="99"/>
    <w:pPr>
      <w:widowControl w:val="0"/>
      <w:autoSpaceDE w:val="0"/>
      <w:autoSpaceDN w:val="0"/>
      <w:spacing w:before="0" w:after="0"/>
      <w:ind w:right="85"/>
    </w:pPr>
    <w:rPr>
      <w:rFonts w:ascii="Arial" w:eastAsiaTheme="minorEastAsia" w:hAnsi="Arial" w:cs="Arial"/>
      <w:sz w:val="24"/>
      <w:lang w:eastAsia="en-GB"/>
    </w:rPr>
  </w:style>
  <w:style w:type="paragraph" w:customStyle="1" w:styleId="ZDGName">
    <w:name w:val="Z_DGName"/>
    <w:basedOn w:val="Normal"/>
    <w:uiPriority w:val="99"/>
    <w:pPr>
      <w:widowControl w:val="0"/>
      <w:autoSpaceDE w:val="0"/>
      <w:autoSpaceDN w:val="0"/>
      <w:spacing w:before="0" w:after="0"/>
      <w:ind w:right="85"/>
      <w:jc w:val="left"/>
    </w:pPr>
    <w:rPr>
      <w:rFonts w:ascii="Arial" w:eastAsiaTheme="minorEastAsia" w:hAnsi="Arial" w:cs="Arial"/>
      <w:sz w:val="16"/>
      <w:szCs w:val="16"/>
      <w:lang w:eastAsia="en-GB"/>
    </w:rPr>
  </w:style>
  <w:style w:type="paragraph" w:customStyle="1" w:styleId="HeaderLandscape">
    <w:name w:val="HeaderLandscape"/>
    <w:basedOn w:val="Normal"/>
    <w:pPr>
      <w:tabs>
        <w:tab w:val="center" w:pos="7285"/>
        <w:tab w:val="right" w:pos="14003"/>
      </w:tabs>
      <w:spacing w:before="0"/>
    </w:pPr>
    <w:rPr>
      <w:rFonts w:ascii="Times New Roman" w:eastAsia="Calibri" w:hAnsi="Times New Roman"/>
      <w:sz w:val="24"/>
      <w:szCs w:val="2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ascii="Times New Roman" w:eastAsia="Times New Roman" w:hAnsi="Times New Roman"/>
      <w:sz w:val="24"/>
    </w:rPr>
  </w:style>
  <w:style w:type="paragraph" w:customStyle="1" w:styleId="NormalCentered">
    <w:name w:val="Normal Centered"/>
    <w:basedOn w:val="Normal"/>
    <w:pPr>
      <w:jc w:val="center"/>
    </w:pPr>
    <w:rPr>
      <w:rFonts w:ascii="Times New Roman" w:eastAsia="Times New Roman" w:hAnsi="Times New Roman"/>
      <w:sz w:val="24"/>
    </w:rPr>
  </w:style>
  <w:style w:type="paragraph" w:customStyle="1" w:styleId="NormalLeft">
    <w:name w:val="Normal Left"/>
    <w:basedOn w:val="Normal"/>
    <w:pPr>
      <w:jc w:val="left"/>
    </w:pPr>
    <w:rPr>
      <w:rFonts w:ascii="Times New Roman" w:eastAsia="Times New Roman" w:hAnsi="Times New Roman"/>
      <w:sz w:val="24"/>
    </w:rPr>
  </w:style>
  <w:style w:type="paragraph" w:customStyle="1" w:styleId="NormalRight">
    <w:name w:val="Normal Right"/>
    <w:basedOn w:val="Normal"/>
    <w:pPr>
      <w:jc w:val="right"/>
    </w:pPr>
    <w:rPr>
      <w:rFonts w:ascii="Times New Roman" w:eastAsia="Times New Roman" w:hAnsi="Times New Roman"/>
      <w:sz w:val="24"/>
    </w:rPr>
  </w:style>
  <w:style w:type="paragraph" w:customStyle="1" w:styleId="QuotedText">
    <w:name w:val="Quoted Text"/>
    <w:basedOn w:val="Normal"/>
    <w:pPr>
      <w:ind w:left="1417"/>
    </w:pPr>
    <w:rPr>
      <w:rFonts w:ascii="Times New Roman" w:eastAsia="Times New Roman" w:hAnsi="Times New Roman"/>
      <w:sz w:val="24"/>
    </w:rPr>
  </w:style>
  <w:style w:type="paragraph" w:customStyle="1" w:styleId="Point0">
    <w:name w:val="Point 0"/>
    <w:basedOn w:val="Normal"/>
    <w:pPr>
      <w:ind w:left="850" w:hanging="850"/>
    </w:pPr>
    <w:rPr>
      <w:rFonts w:ascii="Times New Roman" w:eastAsia="Times New Roman" w:hAnsi="Times New Roman"/>
      <w:sz w:val="24"/>
    </w:rPr>
  </w:style>
  <w:style w:type="paragraph" w:customStyle="1" w:styleId="Point1">
    <w:name w:val="Point 1"/>
    <w:basedOn w:val="Normal"/>
    <w:pPr>
      <w:ind w:left="1417" w:hanging="567"/>
    </w:pPr>
    <w:rPr>
      <w:rFonts w:ascii="Times New Roman" w:eastAsia="Times New Roman" w:hAnsi="Times New Roman"/>
      <w:sz w:val="24"/>
    </w:rPr>
  </w:style>
  <w:style w:type="paragraph" w:customStyle="1" w:styleId="Point2">
    <w:name w:val="Point 2"/>
    <w:basedOn w:val="Normal"/>
    <w:pPr>
      <w:ind w:left="1984" w:hanging="567"/>
    </w:pPr>
    <w:rPr>
      <w:rFonts w:ascii="Times New Roman" w:eastAsia="Times New Roman" w:hAnsi="Times New Roman"/>
      <w:sz w:val="24"/>
    </w:rPr>
  </w:style>
  <w:style w:type="paragraph" w:customStyle="1" w:styleId="Point3">
    <w:name w:val="Point 3"/>
    <w:basedOn w:val="Normal"/>
    <w:pPr>
      <w:ind w:left="2551" w:hanging="567"/>
    </w:pPr>
    <w:rPr>
      <w:rFonts w:ascii="Times New Roman" w:eastAsia="Times New Roman" w:hAnsi="Times New Roman"/>
      <w:sz w:val="24"/>
    </w:rPr>
  </w:style>
  <w:style w:type="paragraph" w:customStyle="1" w:styleId="Point4">
    <w:name w:val="Point 4"/>
    <w:basedOn w:val="Normal"/>
    <w:pPr>
      <w:ind w:left="3118" w:hanging="567"/>
    </w:pPr>
    <w:rPr>
      <w:rFonts w:ascii="Times New Roman" w:eastAsia="Times New Roman" w:hAnsi="Times New Roman"/>
      <w:sz w:val="24"/>
    </w:rPr>
  </w:style>
  <w:style w:type="paragraph" w:customStyle="1" w:styleId="Tiret0">
    <w:name w:val="Tiret 0"/>
    <w:basedOn w:val="Point0"/>
    <w:pPr>
      <w:numPr>
        <w:numId w:val="44"/>
      </w:numPr>
      <w:tabs>
        <w:tab w:val="clear" w:pos="850"/>
      </w:tabs>
    </w:pPr>
  </w:style>
  <w:style w:type="paragraph" w:customStyle="1" w:styleId="Tiret1">
    <w:name w:val="Tiret 1"/>
    <w:basedOn w:val="Point1"/>
    <w:pPr>
      <w:numPr>
        <w:numId w:val="45"/>
      </w:numPr>
      <w:tabs>
        <w:tab w:val="clear" w:pos="1417"/>
      </w:tabs>
    </w:pPr>
  </w:style>
  <w:style w:type="paragraph" w:customStyle="1" w:styleId="Tiret2">
    <w:name w:val="Tiret 2"/>
    <w:basedOn w:val="Point2"/>
    <w:pPr>
      <w:numPr>
        <w:numId w:val="46"/>
      </w:numPr>
      <w:tabs>
        <w:tab w:val="clear" w:pos="1984"/>
      </w:tabs>
    </w:pPr>
  </w:style>
  <w:style w:type="paragraph" w:customStyle="1" w:styleId="Tiret3">
    <w:name w:val="Tiret 3"/>
    <w:basedOn w:val="Point3"/>
    <w:pPr>
      <w:numPr>
        <w:numId w:val="47"/>
      </w:numPr>
    </w:pPr>
  </w:style>
  <w:style w:type="paragraph" w:customStyle="1" w:styleId="Tiret4">
    <w:name w:val="Tiret 4"/>
    <w:basedOn w:val="Point4"/>
    <w:pPr>
      <w:numPr>
        <w:numId w:val="48"/>
      </w:numPr>
    </w:pPr>
  </w:style>
  <w:style w:type="paragraph" w:customStyle="1" w:styleId="PointDouble0">
    <w:name w:val="PointDouble 0"/>
    <w:basedOn w:val="Normal"/>
    <w:pPr>
      <w:tabs>
        <w:tab w:val="left" w:pos="850"/>
      </w:tabs>
      <w:ind w:left="1417" w:hanging="1417"/>
    </w:pPr>
    <w:rPr>
      <w:rFonts w:ascii="Times New Roman" w:eastAsia="Times New Roman" w:hAnsi="Times New Roman"/>
      <w:sz w:val="24"/>
    </w:rPr>
  </w:style>
  <w:style w:type="paragraph" w:customStyle="1" w:styleId="PointDouble1">
    <w:name w:val="PointDouble 1"/>
    <w:basedOn w:val="Normal"/>
    <w:pPr>
      <w:tabs>
        <w:tab w:val="left" w:pos="1417"/>
      </w:tabs>
      <w:ind w:left="1984" w:hanging="1134"/>
    </w:pPr>
    <w:rPr>
      <w:rFonts w:ascii="Times New Roman" w:eastAsia="Times New Roman" w:hAnsi="Times New Roman"/>
      <w:sz w:val="24"/>
    </w:rPr>
  </w:style>
  <w:style w:type="paragraph" w:customStyle="1" w:styleId="PointDouble2">
    <w:name w:val="PointDouble 2"/>
    <w:basedOn w:val="Normal"/>
    <w:pPr>
      <w:tabs>
        <w:tab w:val="left" w:pos="1984"/>
      </w:tabs>
      <w:ind w:left="2551" w:hanging="1134"/>
    </w:pPr>
    <w:rPr>
      <w:rFonts w:ascii="Times New Roman" w:eastAsia="Times New Roman" w:hAnsi="Times New Roman"/>
      <w:sz w:val="24"/>
    </w:rPr>
  </w:style>
  <w:style w:type="paragraph" w:customStyle="1" w:styleId="PointDouble3">
    <w:name w:val="PointDouble 3"/>
    <w:basedOn w:val="Normal"/>
    <w:pPr>
      <w:tabs>
        <w:tab w:val="left" w:pos="2551"/>
      </w:tabs>
      <w:ind w:left="3118" w:hanging="1134"/>
    </w:pPr>
    <w:rPr>
      <w:rFonts w:ascii="Times New Roman" w:eastAsia="Times New Roman" w:hAnsi="Times New Roman"/>
      <w:sz w:val="24"/>
    </w:rPr>
  </w:style>
  <w:style w:type="paragraph" w:customStyle="1" w:styleId="PointDouble4">
    <w:name w:val="PointDouble 4"/>
    <w:basedOn w:val="Normal"/>
    <w:pPr>
      <w:tabs>
        <w:tab w:val="left" w:pos="3118"/>
      </w:tabs>
      <w:ind w:left="3685" w:hanging="1134"/>
    </w:pPr>
    <w:rPr>
      <w:rFonts w:ascii="Times New Roman" w:eastAsia="Times New Roman" w:hAnsi="Times New Roman"/>
      <w:sz w:val="24"/>
    </w:rPr>
  </w:style>
  <w:style w:type="paragraph" w:customStyle="1" w:styleId="PointTriple0">
    <w:name w:val="PointTriple 0"/>
    <w:basedOn w:val="Normal"/>
    <w:pPr>
      <w:tabs>
        <w:tab w:val="left" w:pos="850"/>
        <w:tab w:val="left" w:pos="1417"/>
      </w:tabs>
      <w:ind w:left="1984" w:hanging="1984"/>
    </w:pPr>
    <w:rPr>
      <w:rFonts w:ascii="Times New Roman" w:eastAsia="Times New Roman" w:hAnsi="Times New Roman"/>
      <w:sz w:val="24"/>
    </w:rPr>
  </w:style>
  <w:style w:type="paragraph" w:customStyle="1" w:styleId="PointTriple1">
    <w:name w:val="PointTriple 1"/>
    <w:basedOn w:val="Normal"/>
    <w:pPr>
      <w:tabs>
        <w:tab w:val="left" w:pos="1417"/>
        <w:tab w:val="left" w:pos="1984"/>
      </w:tabs>
      <w:ind w:left="2551" w:hanging="1701"/>
    </w:pPr>
    <w:rPr>
      <w:rFonts w:ascii="Times New Roman" w:eastAsia="Times New Roman" w:hAnsi="Times New Roman"/>
      <w:sz w:val="24"/>
    </w:rPr>
  </w:style>
  <w:style w:type="paragraph" w:customStyle="1" w:styleId="PointTriple2">
    <w:name w:val="PointTriple 2"/>
    <w:basedOn w:val="Normal"/>
    <w:pPr>
      <w:tabs>
        <w:tab w:val="left" w:pos="1984"/>
        <w:tab w:val="left" w:pos="2551"/>
      </w:tabs>
      <w:ind w:left="3118" w:hanging="1701"/>
    </w:pPr>
    <w:rPr>
      <w:rFonts w:ascii="Times New Roman" w:eastAsia="Times New Roman" w:hAnsi="Times New Roman"/>
      <w:sz w:val="24"/>
    </w:rPr>
  </w:style>
  <w:style w:type="paragraph" w:customStyle="1" w:styleId="PointTriple3">
    <w:name w:val="PointTriple 3"/>
    <w:basedOn w:val="Normal"/>
    <w:pPr>
      <w:tabs>
        <w:tab w:val="left" w:pos="2551"/>
        <w:tab w:val="left" w:pos="3118"/>
      </w:tabs>
      <w:ind w:left="3685" w:hanging="1701"/>
    </w:pPr>
    <w:rPr>
      <w:rFonts w:ascii="Times New Roman" w:eastAsia="Times New Roman" w:hAnsi="Times New Roman"/>
      <w:sz w:val="24"/>
    </w:rPr>
  </w:style>
  <w:style w:type="paragraph" w:customStyle="1" w:styleId="PointTriple4">
    <w:name w:val="PointTriple 4"/>
    <w:basedOn w:val="Normal"/>
    <w:pPr>
      <w:tabs>
        <w:tab w:val="left" w:pos="3118"/>
        <w:tab w:val="left" w:pos="3685"/>
      </w:tabs>
      <w:ind w:left="4252" w:hanging="1701"/>
    </w:pPr>
    <w:rPr>
      <w:rFonts w:ascii="Times New Roman" w:eastAsia="Times New Roman" w:hAnsi="Times New Roman"/>
      <w:sz w:val="24"/>
    </w:rPr>
  </w:style>
  <w:style w:type="paragraph" w:customStyle="1" w:styleId="ManualNumPar1">
    <w:name w:val="Manual NumPar 1"/>
    <w:basedOn w:val="Normal"/>
    <w:next w:val="Text1"/>
    <w:pPr>
      <w:ind w:left="850" w:hanging="850"/>
    </w:pPr>
    <w:rPr>
      <w:rFonts w:ascii="Times New Roman" w:eastAsia="Times New Roman" w:hAnsi="Times New Roman"/>
      <w:sz w:val="24"/>
    </w:rPr>
  </w:style>
  <w:style w:type="paragraph" w:customStyle="1" w:styleId="ManualNumPar2">
    <w:name w:val="Manual NumPar 2"/>
    <w:basedOn w:val="Normal"/>
    <w:next w:val="Text1"/>
    <w:pPr>
      <w:ind w:left="850" w:hanging="850"/>
    </w:pPr>
    <w:rPr>
      <w:rFonts w:ascii="Times New Roman" w:eastAsia="Times New Roman" w:hAnsi="Times New Roman"/>
      <w:sz w:val="24"/>
    </w:rPr>
  </w:style>
  <w:style w:type="paragraph" w:customStyle="1" w:styleId="ManualNumPar3">
    <w:name w:val="Manual NumPar 3"/>
    <w:basedOn w:val="Normal"/>
    <w:next w:val="Text1"/>
    <w:pPr>
      <w:ind w:left="850" w:hanging="850"/>
    </w:pPr>
    <w:rPr>
      <w:rFonts w:ascii="Times New Roman" w:eastAsia="Times New Roman" w:hAnsi="Times New Roman"/>
      <w:sz w:val="24"/>
    </w:rPr>
  </w:style>
  <w:style w:type="paragraph" w:customStyle="1" w:styleId="ManualNumPar4">
    <w:name w:val="Manual NumPar 4"/>
    <w:basedOn w:val="Normal"/>
    <w:next w:val="Text1"/>
    <w:pPr>
      <w:ind w:left="850" w:hanging="850"/>
    </w:pPr>
    <w:rPr>
      <w:rFonts w:ascii="Times New Roman" w:eastAsia="Times New Roman" w:hAnsi="Times New Roman"/>
      <w:sz w:val="24"/>
    </w:rPr>
  </w:style>
  <w:style w:type="paragraph" w:customStyle="1" w:styleId="QuotedNumPar">
    <w:name w:val="Quoted NumPar"/>
    <w:basedOn w:val="Normal"/>
    <w:pPr>
      <w:ind w:left="1417" w:hanging="567"/>
    </w:pPr>
    <w:rPr>
      <w:rFonts w:ascii="Times New Roman" w:eastAsia="Times New Roman" w:hAnsi="Times New Roman"/>
      <w:sz w:val="24"/>
    </w:rPr>
  </w:style>
  <w:style w:type="paragraph" w:customStyle="1" w:styleId="ManualHeading1">
    <w:name w:val="Manual Heading 1"/>
    <w:basedOn w:val="Normal"/>
    <w:next w:val="Text1"/>
    <w:pPr>
      <w:keepNext/>
      <w:pBdr>
        <w:top w:val="single" w:sz="4" w:space="1" w:color="auto"/>
        <w:left w:val="single" w:sz="4" w:space="4" w:color="auto"/>
        <w:bottom w:val="single" w:sz="4" w:space="1" w:color="auto"/>
        <w:right w:val="single" w:sz="4" w:space="4" w:color="auto"/>
      </w:pBdr>
      <w:tabs>
        <w:tab w:val="left" w:pos="850"/>
      </w:tabs>
      <w:spacing w:before="360"/>
      <w:jc w:val="center"/>
      <w:outlineLvl w:val="0"/>
    </w:pPr>
    <w:rPr>
      <w:rFonts w:ascii="Times New Roman" w:eastAsia="Times New Roman" w:hAnsi="Times New Roman"/>
      <w:b/>
      <w:bCs/>
      <w:smallCaps/>
      <w:noProof/>
      <w:sz w:val="28"/>
    </w:rPr>
  </w:style>
  <w:style w:type="paragraph" w:customStyle="1" w:styleId="ManualHeading2">
    <w:name w:val="Manual Heading 2"/>
    <w:basedOn w:val="Normal"/>
    <w:next w:val="Text1"/>
    <w:autoRedefine/>
    <w:pPr>
      <w:keepNext/>
      <w:tabs>
        <w:tab w:val="left" w:pos="850"/>
      </w:tabs>
      <w:ind w:left="850" w:hanging="850"/>
      <w:outlineLvl w:val="1"/>
    </w:pPr>
    <w:rPr>
      <w:rFonts w:ascii="Times New Roman" w:eastAsia="Times New Roman" w:hAnsi="Times New Roman"/>
      <w:b/>
      <w:sz w:val="24"/>
      <w:lang w:eastAsia="en-GB"/>
    </w:rPr>
  </w:style>
  <w:style w:type="paragraph" w:customStyle="1" w:styleId="ManualHeading3">
    <w:name w:val="Manual Heading 3"/>
    <w:basedOn w:val="Normal"/>
    <w:next w:val="Text1"/>
    <w:pPr>
      <w:keepNext/>
      <w:tabs>
        <w:tab w:val="left" w:pos="850"/>
      </w:tabs>
      <w:ind w:left="1700" w:hanging="850"/>
      <w:outlineLvl w:val="2"/>
    </w:pPr>
    <w:rPr>
      <w:rFonts w:ascii="Times New Roman" w:eastAsia="Times New Roman" w:hAnsi="Times New Roman"/>
      <w:i/>
      <w:sz w:val="24"/>
    </w:rPr>
  </w:style>
  <w:style w:type="paragraph" w:customStyle="1" w:styleId="ManualHeading4">
    <w:name w:val="Manual Heading 4"/>
    <w:basedOn w:val="Normal"/>
    <w:next w:val="Text1"/>
    <w:pPr>
      <w:keepNext/>
      <w:tabs>
        <w:tab w:val="left" w:pos="850"/>
      </w:tabs>
      <w:ind w:left="850" w:hanging="850"/>
      <w:outlineLvl w:val="3"/>
    </w:pPr>
    <w:rPr>
      <w:rFonts w:ascii="Times New Roman" w:eastAsia="Times New Roman" w:hAnsi="Times New Roman"/>
      <w:sz w:val="24"/>
    </w:rPr>
  </w:style>
  <w:style w:type="paragraph" w:customStyle="1" w:styleId="TableTitle">
    <w:name w:val="Table Title"/>
    <w:basedOn w:val="Normal"/>
    <w:next w:val="Normal"/>
    <w:pPr>
      <w:jc w:val="center"/>
    </w:pPr>
    <w:rPr>
      <w:rFonts w:ascii="Times New Roman" w:eastAsia="Times New Roman" w:hAnsi="Times New Roman"/>
      <w:b/>
      <w:sz w:val="24"/>
    </w:rPr>
  </w:style>
  <w:style w:type="character" w:customStyle="1" w:styleId="Marker">
    <w:name w:val="Marker"/>
    <w:rPr>
      <w:color w:val="0000FF"/>
      <w:shd w:val="clear" w:color="auto" w:fill="auto"/>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customStyle="1" w:styleId="Point0number">
    <w:name w:val="Point 0 (number)"/>
    <w:basedOn w:val="Normal"/>
    <w:pPr>
      <w:numPr>
        <w:numId w:val="49"/>
      </w:numPr>
    </w:pPr>
    <w:rPr>
      <w:rFonts w:ascii="Times New Roman" w:eastAsia="Times New Roman" w:hAnsi="Times New Roman"/>
      <w:sz w:val="24"/>
    </w:rPr>
  </w:style>
  <w:style w:type="paragraph" w:customStyle="1" w:styleId="Point1number">
    <w:name w:val="Point 1 (number)"/>
    <w:basedOn w:val="Normal"/>
    <w:pPr>
      <w:numPr>
        <w:ilvl w:val="2"/>
        <w:numId w:val="49"/>
      </w:numPr>
    </w:pPr>
    <w:rPr>
      <w:rFonts w:ascii="Times New Roman" w:eastAsia="Times New Roman" w:hAnsi="Times New Roman"/>
      <w:sz w:val="24"/>
    </w:rPr>
  </w:style>
  <w:style w:type="paragraph" w:customStyle="1" w:styleId="Point2number">
    <w:name w:val="Point 2 (number)"/>
    <w:basedOn w:val="Normal"/>
    <w:pPr>
      <w:numPr>
        <w:ilvl w:val="4"/>
        <w:numId w:val="49"/>
      </w:numPr>
    </w:pPr>
    <w:rPr>
      <w:rFonts w:ascii="Times New Roman" w:eastAsia="Times New Roman" w:hAnsi="Times New Roman"/>
      <w:sz w:val="24"/>
    </w:rPr>
  </w:style>
  <w:style w:type="paragraph" w:customStyle="1" w:styleId="Point3number">
    <w:name w:val="Point 3 (number)"/>
    <w:basedOn w:val="Normal"/>
    <w:pPr>
      <w:numPr>
        <w:ilvl w:val="6"/>
        <w:numId w:val="49"/>
      </w:numPr>
    </w:pPr>
    <w:rPr>
      <w:rFonts w:ascii="Times New Roman" w:eastAsia="Times New Roman" w:hAnsi="Times New Roman"/>
      <w:sz w:val="24"/>
    </w:rPr>
  </w:style>
  <w:style w:type="paragraph" w:customStyle="1" w:styleId="Point0letter">
    <w:name w:val="Point 0 (letter)"/>
    <w:basedOn w:val="Normal"/>
    <w:pPr>
      <w:numPr>
        <w:ilvl w:val="1"/>
        <w:numId w:val="49"/>
      </w:numPr>
    </w:pPr>
    <w:rPr>
      <w:rFonts w:ascii="Times New Roman" w:eastAsia="Times New Roman" w:hAnsi="Times New Roman"/>
      <w:sz w:val="24"/>
    </w:rPr>
  </w:style>
  <w:style w:type="paragraph" w:customStyle="1" w:styleId="Point1letter">
    <w:name w:val="Point 1 (letter)"/>
    <w:basedOn w:val="Normal"/>
    <w:pPr>
      <w:numPr>
        <w:ilvl w:val="3"/>
        <w:numId w:val="49"/>
      </w:numPr>
    </w:pPr>
    <w:rPr>
      <w:rFonts w:ascii="Times New Roman" w:eastAsia="Times New Roman" w:hAnsi="Times New Roman"/>
      <w:sz w:val="24"/>
    </w:rPr>
  </w:style>
  <w:style w:type="paragraph" w:customStyle="1" w:styleId="Point2letter">
    <w:name w:val="Point 2 (letter)"/>
    <w:basedOn w:val="Normal"/>
    <w:pPr>
      <w:numPr>
        <w:ilvl w:val="5"/>
        <w:numId w:val="49"/>
      </w:numPr>
    </w:pPr>
    <w:rPr>
      <w:rFonts w:ascii="Times New Roman" w:eastAsia="Times New Roman" w:hAnsi="Times New Roman"/>
      <w:sz w:val="24"/>
    </w:rPr>
  </w:style>
  <w:style w:type="paragraph" w:customStyle="1" w:styleId="Point3letter">
    <w:name w:val="Point 3 (letter)"/>
    <w:basedOn w:val="Normal"/>
    <w:pPr>
      <w:numPr>
        <w:ilvl w:val="7"/>
        <w:numId w:val="49"/>
      </w:numPr>
    </w:pPr>
    <w:rPr>
      <w:rFonts w:ascii="Times New Roman" w:eastAsia="Times New Roman" w:hAnsi="Times New Roman"/>
      <w:sz w:val="24"/>
    </w:rPr>
  </w:style>
  <w:style w:type="paragraph" w:customStyle="1" w:styleId="Point4letter">
    <w:name w:val="Point 4 (letter)"/>
    <w:basedOn w:val="Normal"/>
    <w:pPr>
      <w:numPr>
        <w:ilvl w:val="8"/>
        <w:numId w:val="49"/>
      </w:numPr>
    </w:pPr>
    <w:rPr>
      <w:rFonts w:ascii="Times New Roman" w:eastAsia="Times New Roman" w:hAnsi="Times New Roman"/>
      <w:sz w:val="24"/>
    </w:rPr>
  </w:style>
  <w:style w:type="paragraph" w:customStyle="1" w:styleId="Bullet0">
    <w:name w:val="Bullet 0"/>
    <w:basedOn w:val="Normal"/>
    <w:pPr>
      <w:numPr>
        <w:numId w:val="50"/>
      </w:numPr>
    </w:pPr>
    <w:rPr>
      <w:rFonts w:ascii="Times New Roman" w:eastAsia="Times New Roman" w:hAnsi="Times New Roman"/>
      <w:sz w:val="24"/>
    </w:rPr>
  </w:style>
  <w:style w:type="paragraph" w:customStyle="1" w:styleId="Bullet1">
    <w:name w:val="Bullet 1"/>
    <w:basedOn w:val="Normal"/>
    <w:pPr>
      <w:numPr>
        <w:numId w:val="51"/>
      </w:numPr>
    </w:pPr>
    <w:rPr>
      <w:rFonts w:ascii="Times New Roman" w:eastAsia="Times New Roman" w:hAnsi="Times New Roman"/>
      <w:sz w:val="24"/>
    </w:rPr>
  </w:style>
  <w:style w:type="paragraph" w:customStyle="1" w:styleId="Bullet2">
    <w:name w:val="Bullet 2"/>
    <w:basedOn w:val="Normal"/>
    <w:pPr>
      <w:numPr>
        <w:numId w:val="52"/>
      </w:numPr>
    </w:pPr>
    <w:rPr>
      <w:rFonts w:ascii="Times New Roman" w:eastAsia="Times New Roman" w:hAnsi="Times New Roman"/>
      <w:sz w:val="24"/>
    </w:rPr>
  </w:style>
  <w:style w:type="paragraph" w:customStyle="1" w:styleId="Bullet3">
    <w:name w:val="Bullet 3"/>
    <w:basedOn w:val="Normal"/>
    <w:pPr>
      <w:numPr>
        <w:numId w:val="53"/>
      </w:numPr>
    </w:pPr>
    <w:rPr>
      <w:rFonts w:ascii="Times New Roman" w:eastAsia="Times New Roman" w:hAnsi="Times New Roman"/>
      <w:sz w:val="24"/>
    </w:rPr>
  </w:style>
  <w:style w:type="paragraph" w:customStyle="1" w:styleId="Bullet4">
    <w:name w:val="Bullet 4"/>
    <w:basedOn w:val="Normal"/>
    <w:pPr>
      <w:numPr>
        <w:numId w:val="54"/>
      </w:numPr>
    </w:pPr>
    <w:rPr>
      <w:rFonts w:ascii="Times New Roman" w:eastAsia="Times New Roman" w:hAnsi="Times New Roman"/>
      <w:sz w:val="24"/>
    </w:rPr>
  </w:style>
  <w:style w:type="paragraph" w:customStyle="1" w:styleId="Annexetitreexpos">
    <w:name w:val="Annexe titre (exposé)"/>
    <w:basedOn w:val="Normal"/>
    <w:next w:val="Normal"/>
    <w:pPr>
      <w:jc w:val="center"/>
    </w:pPr>
    <w:rPr>
      <w:rFonts w:ascii="Times New Roman" w:eastAsia="Times New Roman" w:hAnsi="Times New Roman"/>
      <w:b/>
      <w:sz w:val="24"/>
      <w:u w:val="single"/>
    </w:rPr>
  </w:style>
  <w:style w:type="paragraph" w:customStyle="1" w:styleId="Annexetitre">
    <w:name w:val="Annexe titre"/>
    <w:basedOn w:val="Normal"/>
    <w:next w:val="Normal"/>
    <w:pPr>
      <w:jc w:val="center"/>
    </w:pPr>
    <w:rPr>
      <w:rFonts w:ascii="Times New Roman" w:eastAsia="Times New Roman" w:hAnsi="Times New Roman"/>
      <w:b/>
      <w:sz w:val="24"/>
      <w:u w:val="single"/>
    </w:rPr>
  </w:style>
  <w:style w:type="paragraph" w:customStyle="1" w:styleId="Annexetitrefichefinancire">
    <w:name w:val="Annexe titre (fiche financière)"/>
    <w:basedOn w:val="Normal"/>
    <w:next w:val="Normal"/>
    <w:pPr>
      <w:jc w:val="center"/>
    </w:pPr>
    <w:rPr>
      <w:rFonts w:ascii="Times New Roman" w:eastAsia="Times New Roman" w:hAnsi="Times New Roman"/>
      <w:b/>
      <w:sz w:val="24"/>
      <w:u w:val="single"/>
    </w:rPr>
  </w:style>
  <w:style w:type="paragraph" w:customStyle="1" w:styleId="Applicationdirecte">
    <w:name w:val="Application directe"/>
    <w:basedOn w:val="Normal"/>
    <w:next w:val="Fait"/>
    <w:pPr>
      <w:spacing w:before="480"/>
    </w:pPr>
    <w:rPr>
      <w:rFonts w:ascii="Times New Roman" w:eastAsia="Times New Roman" w:hAnsi="Times New Roman"/>
      <w:sz w:val="24"/>
    </w:rPr>
  </w:style>
  <w:style w:type="paragraph" w:customStyle="1" w:styleId="Avertissementtitre">
    <w:name w:val="Avertissement titre"/>
    <w:basedOn w:val="Normal"/>
    <w:next w:val="Normal"/>
    <w:pPr>
      <w:keepNext/>
      <w:spacing w:before="480"/>
    </w:pPr>
    <w:rPr>
      <w:rFonts w:ascii="Times New Roman" w:eastAsia="Times New Roman" w:hAnsi="Times New Roman"/>
      <w:sz w:val="24"/>
      <w:u w:val="single"/>
    </w:rPr>
  </w:style>
  <w:style w:type="paragraph" w:customStyle="1" w:styleId="Confidence">
    <w:name w:val="Confidence"/>
    <w:basedOn w:val="Normal"/>
    <w:next w:val="Normal"/>
    <w:pPr>
      <w:spacing w:before="360"/>
      <w:jc w:val="center"/>
    </w:pPr>
    <w:rPr>
      <w:rFonts w:ascii="Times New Roman" w:eastAsia="Times New Roman" w:hAnsi="Times New Roman"/>
      <w:sz w:val="24"/>
    </w:rPr>
  </w:style>
  <w:style w:type="paragraph" w:customStyle="1" w:styleId="Confidentialit">
    <w:name w:val="Confidentialité"/>
    <w:basedOn w:val="Normal"/>
    <w:next w:val="TypedudocumentPagedecouverture"/>
    <w:pPr>
      <w:spacing w:before="240" w:after="240"/>
      <w:ind w:left="5103"/>
    </w:pPr>
    <w:rPr>
      <w:rFonts w:ascii="Times New Roman" w:eastAsia="Times New Roman" w:hAnsi="Times New Roman"/>
      <w:i/>
      <w:sz w:val="32"/>
    </w:rPr>
  </w:style>
  <w:style w:type="paragraph" w:customStyle="1" w:styleId="Considrant">
    <w:name w:val="Considérant"/>
    <w:basedOn w:val="Normal"/>
    <w:pPr>
      <w:numPr>
        <w:numId w:val="55"/>
      </w:numPr>
    </w:pPr>
    <w:rPr>
      <w:rFonts w:ascii="Times New Roman" w:eastAsia="Times New Roman" w:hAnsi="Times New Roman"/>
      <w:sz w:val="24"/>
    </w:rPr>
  </w:style>
  <w:style w:type="paragraph" w:customStyle="1" w:styleId="Corrigendum">
    <w:name w:val="Corrigendum"/>
    <w:basedOn w:val="Normal"/>
    <w:next w:val="Normal"/>
    <w:pPr>
      <w:spacing w:before="0" w:after="240"/>
      <w:jc w:val="left"/>
    </w:pPr>
    <w:rPr>
      <w:rFonts w:ascii="Times New Roman" w:eastAsia="Times New Roman" w:hAnsi="Times New Roman"/>
      <w:sz w:val="24"/>
    </w:rPr>
  </w:style>
  <w:style w:type="paragraph" w:customStyle="1" w:styleId="Datedadoption">
    <w:name w:val="Date d'adoption"/>
    <w:basedOn w:val="Normal"/>
    <w:next w:val="Titreobjet"/>
    <w:pPr>
      <w:spacing w:before="360" w:after="0"/>
      <w:jc w:val="center"/>
    </w:pPr>
    <w:rPr>
      <w:rFonts w:ascii="Times New Roman" w:eastAsia="Times New Roman" w:hAnsi="Times New Roman"/>
      <w:b/>
      <w:sz w:val="24"/>
    </w:rPr>
  </w:style>
  <w:style w:type="paragraph" w:customStyle="1" w:styleId="Emission">
    <w:name w:val="Emission"/>
    <w:basedOn w:val="Normal"/>
    <w:next w:val="Rfrenceinstitutionnelle"/>
    <w:pPr>
      <w:spacing w:before="0" w:after="0"/>
      <w:ind w:left="5103"/>
      <w:jc w:val="left"/>
    </w:pPr>
    <w:rPr>
      <w:rFonts w:ascii="Times New Roman" w:eastAsia="Times New Roman" w:hAnsi="Times New Roman"/>
      <w:sz w:val="24"/>
    </w:rPr>
  </w:style>
  <w:style w:type="paragraph" w:customStyle="1" w:styleId="Exposdesmotifstitre">
    <w:name w:val="Exposé des motifs titre"/>
    <w:basedOn w:val="Normal"/>
    <w:next w:val="Normal"/>
    <w:pPr>
      <w:jc w:val="center"/>
    </w:pPr>
    <w:rPr>
      <w:rFonts w:ascii="Times New Roman" w:eastAsia="Times New Roman" w:hAnsi="Times New Roman"/>
      <w:b/>
      <w:sz w:val="24"/>
      <w:u w:val="single"/>
    </w:rPr>
  </w:style>
  <w:style w:type="paragraph" w:customStyle="1" w:styleId="Fait">
    <w:name w:val="Fait à"/>
    <w:basedOn w:val="Normal"/>
    <w:next w:val="Institutionquisigne"/>
    <w:pPr>
      <w:keepNext/>
      <w:spacing w:after="0"/>
    </w:pPr>
    <w:rPr>
      <w:rFonts w:ascii="Times New Roman" w:eastAsia="Times New Roman" w:hAnsi="Times New Roman"/>
      <w:sz w:val="24"/>
    </w:rPr>
  </w:style>
  <w:style w:type="paragraph" w:customStyle="1" w:styleId="Formuledadoption">
    <w:name w:val="Formule d'adoption"/>
    <w:basedOn w:val="Normal"/>
    <w:next w:val="Titrearticle"/>
    <w:pPr>
      <w:keepNext/>
    </w:pPr>
    <w:rPr>
      <w:rFonts w:ascii="Times New Roman" w:eastAsia="Times New Roman" w:hAnsi="Times New Roman"/>
      <w:sz w:val="24"/>
    </w:rPr>
  </w:style>
  <w:style w:type="paragraph" w:customStyle="1" w:styleId="Institutionquiagit">
    <w:name w:val="Institution qui agit"/>
    <w:basedOn w:val="Normal"/>
    <w:next w:val="Normal"/>
    <w:pPr>
      <w:keepNext/>
      <w:spacing w:before="600"/>
    </w:pPr>
    <w:rPr>
      <w:rFonts w:ascii="Times New Roman" w:eastAsia="Times New Roman" w:hAnsi="Times New Roman"/>
      <w:sz w:val="24"/>
    </w:rPr>
  </w:style>
  <w:style w:type="paragraph" w:customStyle="1" w:styleId="Institutionquisigne">
    <w:name w:val="Institution qui signe"/>
    <w:basedOn w:val="Normal"/>
    <w:next w:val="Personnequisigne"/>
    <w:pPr>
      <w:keepNext/>
      <w:tabs>
        <w:tab w:val="left" w:pos="4252"/>
      </w:tabs>
      <w:spacing w:before="720" w:after="0"/>
    </w:pPr>
    <w:rPr>
      <w:rFonts w:ascii="Times New Roman" w:eastAsia="Times New Roman" w:hAnsi="Times New Roman"/>
      <w:i/>
      <w:sz w:val="24"/>
    </w:rPr>
  </w:style>
  <w:style w:type="paragraph" w:customStyle="1" w:styleId="Langue">
    <w:name w:val="Langue"/>
    <w:basedOn w:val="Normal"/>
    <w:next w:val="Rfrenceinterne"/>
    <w:pPr>
      <w:framePr w:wrap="around" w:vAnchor="page" w:hAnchor="text" w:xAlign="center" w:y="14741"/>
      <w:spacing w:before="0" w:after="600"/>
      <w:jc w:val="center"/>
    </w:pPr>
    <w:rPr>
      <w:rFonts w:ascii="Times New Roman" w:eastAsia="Times New Roman" w:hAnsi="Times New Roman"/>
      <w:b/>
      <w:caps/>
      <w:sz w:val="24"/>
    </w:rPr>
  </w:style>
  <w:style w:type="paragraph" w:customStyle="1" w:styleId="ManualConsidrant">
    <w:name w:val="Manual Considérant"/>
    <w:basedOn w:val="Normal"/>
    <w:pPr>
      <w:ind w:left="709" w:hanging="709"/>
    </w:pPr>
    <w:rPr>
      <w:rFonts w:ascii="Times New Roman" w:eastAsia="Times New Roman" w:hAnsi="Times New Roman"/>
      <w:sz w:val="24"/>
    </w:rPr>
  </w:style>
  <w:style w:type="paragraph" w:customStyle="1" w:styleId="Nomdelinstitution">
    <w:name w:val="Nom de l'institution"/>
    <w:basedOn w:val="Normal"/>
    <w:next w:val="Emission"/>
    <w:pPr>
      <w:spacing w:before="0" w:after="0"/>
      <w:jc w:val="left"/>
    </w:pPr>
    <w:rPr>
      <w:rFonts w:ascii="Arial" w:eastAsia="Times New Roman" w:hAnsi="Arial" w:cs="Arial"/>
      <w:sz w:val="24"/>
    </w:rPr>
  </w:style>
  <w:style w:type="paragraph" w:customStyle="1" w:styleId="Personnequisigne">
    <w:name w:val="Personne qui signe"/>
    <w:basedOn w:val="Normal"/>
    <w:next w:val="Institutionquisigne"/>
    <w:pPr>
      <w:tabs>
        <w:tab w:val="left" w:pos="4252"/>
      </w:tabs>
      <w:spacing w:before="0" w:after="0"/>
      <w:jc w:val="left"/>
    </w:pPr>
    <w:rPr>
      <w:rFonts w:ascii="Times New Roman" w:eastAsia="Times New Roman" w:hAnsi="Times New Roman"/>
      <w:i/>
      <w:sz w:val="24"/>
    </w:rPr>
  </w:style>
  <w:style w:type="paragraph" w:customStyle="1" w:styleId="Rfrenceinstitutionnelle">
    <w:name w:val="Référence institutionnelle"/>
    <w:basedOn w:val="Normal"/>
    <w:next w:val="Confidentialit"/>
    <w:pPr>
      <w:spacing w:before="0" w:after="240"/>
      <w:ind w:left="5103"/>
      <w:jc w:val="left"/>
    </w:pPr>
    <w:rPr>
      <w:rFonts w:ascii="Times New Roman" w:eastAsia="Times New Roman" w:hAnsi="Times New Roman"/>
      <w:sz w:val="24"/>
    </w:rPr>
  </w:style>
  <w:style w:type="paragraph" w:customStyle="1" w:styleId="Rfrenceinterinstitutionnelle">
    <w:name w:val="Référence interinstitutionnelle"/>
    <w:basedOn w:val="Normal"/>
    <w:next w:val="Statut"/>
    <w:pPr>
      <w:spacing w:before="0" w:after="0"/>
      <w:ind w:left="5103"/>
      <w:jc w:val="left"/>
    </w:pPr>
    <w:rPr>
      <w:rFonts w:ascii="Times New Roman" w:eastAsia="Times New Roman" w:hAnsi="Times New Roman"/>
      <w:sz w:val="24"/>
    </w:rPr>
  </w:style>
  <w:style w:type="paragraph" w:customStyle="1" w:styleId="Rfrenceinterne">
    <w:name w:val="Référence interne"/>
    <w:basedOn w:val="Normal"/>
    <w:next w:val="Rfrenceinterinstitutionnelle"/>
    <w:pPr>
      <w:spacing w:before="0" w:after="0"/>
      <w:ind w:left="5103"/>
      <w:jc w:val="left"/>
    </w:pPr>
    <w:rPr>
      <w:rFonts w:ascii="Times New Roman" w:eastAsia="Times New Roman" w:hAnsi="Times New Roman"/>
      <w:sz w:val="24"/>
    </w:rPr>
  </w:style>
  <w:style w:type="paragraph" w:customStyle="1" w:styleId="Sous-titreobjet">
    <w:name w:val="Sous-titre objet"/>
    <w:basedOn w:val="Normal"/>
    <w:pPr>
      <w:spacing w:before="0" w:after="0"/>
      <w:jc w:val="center"/>
    </w:pPr>
    <w:rPr>
      <w:rFonts w:ascii="Times New Roman" w:eastAsia="Times New Roman" w:hAnsi="Times New Roman"/>
      <w:b/>
      <w:sz w:val="24"/>
    </w:rPr>
  </w:style>
  <w:style w:type="paragraph" w:customStyle="1" w:styleId="Statut">
    <w:name w:val="Statut"/>
    <w:basedOn w:val="Normal"/>
    <w:next w:val="Typedudocument"/>
    <w:pPr>
      <w:spacing w:before="360" w:after="0"/>
      <w:jc w:val="center"/>
    </w:pPr>
    <w:rPr>
      <w:rFonts w:ascii="Times New Roman" w:eastAsia="Times New Roman" w:hAnsi="Times New Roman"/>
      <w:sz w:val="24"/>
    </w:rPr>
  </w:style>
  <w:style w:type="paragraph" w:customStyle="1" w:styleId="Titrearticle">
    <w:name w:val="Titre article"/>
    <w:basedOn w:val="Normal"/>
    <w:next w:val="Normal"/>
    <w:pPr>
      <w:keepNext/>
      <w:spacing w:before="360"/>
      <w:jc w:val="center"/>
    </w:pPr>
    <w:rPr>
      <w:rFonts w:ascii="Times New Roman" w:eastAsia="Times New Roman" w:hAnsi="Times New Roman"/>
      <w:i/>
      <w:sz w:val="24"/>
    </w:rPr>
  </w:style>
  <w:style w:type="paragraph" w:customStyle="1" w:styleId="Titreobjet">
    <w:name w:val="Titre objet"/>
    <w:basedOn w:val="Normal"/>
    <w:next w:val="Sous-titreobjet"/>
    <w:pPr>
      <w:spacing w:before="360" w:after="360"/>
      <w:jc w:val="center"/>
    </w:pPr>
    <w:rPr>
      <w:rFonts w:ascii="Times New Roman" w:eastAsia="Times New Roman" w:hAnsi="Times New Roman"/>
      <w:b/>
      <w:sz w:val="24"/>
    </w:rPr>
  </w:style>
  <w:style w:type="paragraph" w:customStyle="1" w:styleId="Typedudocument">
    <w:name w:val="Type du document"/>
    <w:basedOn w:val="Normal"/>
    <w:next w:val="Titreobjet"/>
    <w:pPr>
      <w:spacing w:before="360" w:after="0"/>
      <w:jc w:val="center"/>
    </w:pPr>
    <w:rPr>
      <w:rFonts w:ascii="Times New Roman" w:eastAsia="Times New Roman" w:hAnsi="Times New Roman"/>
      <w:b/>
      <w:sz w:val="24"/>
    </w:rPr>
  </w:style>
  <w:style w:type="character" w:customStyle="1" w:styleId="Added">
    <w:name w:val="Added"/>
    <w:rPr>
      <w:b/>
      <w:u w:val="single"/>
      <w:shd w:val="clear" w:color="auto" w:fill="auto"/>
    </w:rPr>
  </w:style>
  <w:style w:type="character" w:customStyle="1" w:styleId="Deleted">
    <w:name w:val="Deleted"/>
    <w:rPr>
      <w:strike/>
      <w:shd w:val="clear" w:color="auto" w:fill="auto"/>
    </w:rPr>
  </w:style>
  <w:style w:type="paragraph" w:customStyle="1" w:styleId="Objetexterne">
    <w:name w:val="Objet externe"/>
    <w:basedOn w:val="Normal"/>
    <w:next w:val="Normal"/>
    <w:rPr>
      <w:rFonts w:ascii="Times New Roman" w:eastAsia="Times New Roman" w:hAnsi="Times New Roman"/>
      <w:i/>
      <w:caps/>
      <w:sz w:val="24"/>
    </w:rPr>
  </w:style>
  <w:style w:type="paragraph" w:customStyle="1" w:styleId="Pagedecouverture">
    <w:name w:val="Page de couverture"/>
    <w:basedOn w:val="Normal"/>
    <w:next w:val="Normal"/>
    <w:pPr>
      <w:spacing w:before="0" w:after="0"/>
    </w:pPr>
    <w:rPr>
      <w:rFonts w:ascii="Times New Roman" w:eastAsia="Times New Roman" w:hAnsi="Times New Roman"/>
      <w:sz w:val="24"/>
    </w:rPr>
  </w:style>
  <w:style w:type="paragraph" w:customStyle="1" w:styleId="Supertitre">
    <w:name w:val="Supertitre"/>
    <w:basedOn w:val="Normal"/>
    <w:next w:val="Normal"/>
    <w:pPr>
      <w:spacing w:before="0" w:after="600"/>
      <w:jc w:val="center"/>
    </w:pPr>
    <w:rPr>
      <w:rFonts w:ascii="Times New Roman" w:eastAsia="Times New Roman" w:hAnsi="Times New Roman"/>
      <w:b/>
      <w:sz w:val="24"/>
    </w:rPr>
  </w:style>
  <w:style w:type="paragraph" w:customStyle="1" w:styleId="Languesfaisantfoi">
    <w:name w:val="Langues faisant foi"/>
    <w:basedOn w:val="Normal"/>
    <w:next w:val="Normal"/>
    <w:pPr>
      <w:spacing w:before="360" w:after="0"/>
      <w:jc w:val="center"/>
    </w:pPr>
    <w:rPr>
      <w:rFonts w:ascii="Times New Roman" w:eastAsia="Times New Roman" w:hAnsi="Times New Roman"/>
      <w:sz w:val="24"/>
    </w:rPr>
  </w:style>
  <w:style w:type="paragraph" w:customStyle="1" w:styleId="Rfrencecroise">
    <w:name w:val="Référence croisée"/>
    <w:basedOn w:val="Normal"/>
    <w:pPr>
      <w:spacing w:before="0" w:after="0"/>
      <w:jc w:val="center"/>
    </w:pPr>
    <w:rPr>
      <w:rFonts w:ascii="Times New Roman" w:eastAsia="Times New Roman" w:hAnsi="Times New Roman"/>
      <w:sz w:val="24"/>
    </w:rPr>
  </w:style>
  <w:style w:type="paragraph" w:customStyle="1" w:styleId="Fichefinanciretitre">
    <w:name w:val="Fiche financière titre"/>
    <w:basedOn w:val="Normal"/>
    <w:next w:val="Normal"/>
    <w:pPr>
      <w:jc w:val="center"/>
    </w:pPr>
    <w:rPr>
      <w:rFonts w:ascii="Times New Roman" w:eastAsia="Times New Roman" w:hAnsi="Times New Roman"/>
      <w:b/>
      <w:sz w:val="24"/>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rPr>
      <w:rFonts w:ascii="Times New Roman" w:eastAsia="Times New Roman" w:hAnsi="Times New Roman"/>
      <w:sz w:val="24"/>
    </w:rPr>
  </w:style>
  <w:style w:type="paragraph" w:customStyle="1" w:styleId="IntrtEEE">
    <w:name w:val="Intérêt EEE"/>
    <w:basedOn w:val="Languesfaisantfoi"/>
    <w:next w:val="Normal"/>
  </w:style>
  <w:style w:type="paragraph" w:customStyle="1" w:styleId="Accompagnant">
    <w:name w:val="Accompagnant"/>
    <w:basedOn w:val="Normal"/>
    <w:next w:val="Typeacteprincipal"/>
    <w:pPr>
      <w:spacing w:before="0" w:after="240"/>
      <w:jc w:val="center"/>
    </w:pPr>
    <w:rPr>
      <w:rFonts w:ascii="Times New Roman" w:eastAsia="Times New Roman" w:hAnsi="Times New Roman"/>
      <w:b/>
      <w:i/>
      <w:sz w:val="24"/>
    </w:rPr>
  </w:style>
  <w:style w:type="paragraph" w:customStyle="1" w:styleId="Typeacteprincipal">
    <w:name w:val="Type acte principal"/>
    <w:basedOn w:val="Normal"/>
    <w:next w:val="Objetacteprincipal"/>
    <w:pPr>
      <w:spacing w:before="0" w:after="240"/>
      <w:jc w:val="center"/>
    </w:pPr>
    <w:rPr>
      <w:rFonts w:ascii="Times New Roman" w:eastAsia="Times New Roman" w:hAnsi="Times New Roman"/>
      <w:b/>
      <w:sz w:val="24"/>
    </w:rPr>
  </w:style>
  <w:style w:type="paragraph" w:customStyle="1" w:styleId="Objetacteprincipal">
    <w:name w:val="Objet acte principal"/>
    <w:basedOn w:val="Normal"/>
    <w:next w:val="Titrearticle"/>
    <w:pPr>
      <w:spacing w:before="0" w:after="360"/>
      <w:jc w:val="center"/>
    </w:pPr>
    <w:rPr>
      <w:rFonts w:ascii="Times New Roman" w:eastAsia="Times New Roman" w:hAnsi="Times New Roman"/>
      <w:b/>
      <w:sz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rPr>
      <w:rFonts w:ascii="Times New Roman" w:eastAsia="Times New Roman" w:hAnsi="Times New Roman"/>
      <w:sz w:val="24"/>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paragraph" w:customStyle="1" w:styleId="astandard3520normal">
    <w:name w:val="a_standard__35__20_normal"/>
    <w:basedOn w:val="Normal"/>
    <w:pPr>
      <w:spacing w:before="0"/>
      <w:ind w:right="57"/>
    </w:pPr>
    <w:rPr>
      <w:rFonts w:ascii="Times New Roman" w:eastAsia="Times New Roman" w:hAnsi="Times New Roman"/>
      <w:b/>
      <w:bCs/>
      <w:sz w:val="24"/>
      <w:lang w:eastAsia="en-GB"/>
    </w:rPr>
  </w:style>
  <w:style w:type="character" w:customStyle="1" w:styleId="at21">
    <w:name w:val="a__t21"/>
    <w:rPr>
      <w:b w:val="0"/>
      <w:bCs w:val="0"/>
    </w:rPr>
  </w:style>
  <w:style w:type="character" w:customStyle="1" w:styleId="at12">
    <w:name w:val="a__t12"/>
    <w:rPr>
      <w:b w:val="0"/>
      <w:bCs w:val="0"/>
    </w:rPr>
  </w:style>
  <w:style w:type="character" w:customStyle="1" w:styleId="CommentTextChar1">
    <w:name w:val="Comment Text Char1"/>
    <w:basedOn w:val="DefaultParagraphFont"/>
    <w:rPr>
      <w:lang w:eastAsia="en-US"/>
    </w:rPr>
  </w:style>
  <w:style w:type="paragraph" w:customStyle="1" w:styleId="Headinsh2">
    <w:name w:val="Headinsh 2"/>
    <w:basedOn w:val="Text1"/>
    <w:pPr>
      <w:spacing w:before="120" w:after="120"/>
      <w:ind w:left="850"/>
    </w:pPr>
    <w:rPr>
      <w:szCs w:val="24"/>
    </w:rPr>
  </w:style>
  <w:style w:type="paragraph" w:styleId="Revision">
    <w:name w:val="Revision"/>
    <w:hidden/>
    <w:uiPriority w:val="99"/>
    <w:rPr>
      <w:rFonts w:ascii="Times New Roman" w:eastAsia="Times New Roman" w:hAnsi="Times New Roman"/>
      <w:sz w:val="24"/>
      <w:szCs w:val="24"/>
      <w:lang w:eastAsia="en-US"/>
    </w:rPr>
  </w:style>
  <w:style w:type="character" w:styleId="FollowedHyperlink">
    <w:name w:val="FollowedHyperlink"/>
    <w:uiPriority w:val="99"/>
    <w:rPr>
      <w:color w:val="800080"/>
      <w:u w:val="single"/>
    </w:rPr>
  </w:style>
  <w:style w:type="paragraph" w:customStyle="1" w:styleId="Headig4">
    <w:name w:val="Headig 4"/>
    <w:basedOn w:val="Normal"/>
    <w:pPr>
      <w:autoSpaceDE w:val="0"/>
      <w:autoSpaceDN w:val="0"/>
      <w:adjustRightInd w:val="0"/>
      <w:spacing w:before="0" w:after="166"/>
    </w:pPr>
    <w:rPr>
      <w:rFonts w:ascii="Times New Roman" w:eastAsia="Times New Roman" w:hAnsi="Times New Roman"/>
      <w:b/>
      <w:sz w:val="24"/>
      <w:lang w:eastAsia="en-GB"/>
    </w:rPr>
  </w:style>
  <w:style w:type="character" w:styleId="HTMLCite">
    <w:name w:val="HTML Cite"/>
    <w:uiPriority w:val="99"/>
    <w:unhideWhenUsed/>
    <w:rPr>
      <w:i/>
      <w:iCs/>
    </w:rPr>
  </w:style>
  <w:style w:type="character" w:customStyle="1" w:styleId="t-dates1">
    <w:name w:val="t-dates1"/>
    <w:rPr>
      <w:color w:val="414141"/>
    </w:rPr>
  </w:style>
  <w:style w:type="character" w:customStyle="1" w:styleId="FootnoteCharacters">
    <w:name w:val="Footnote Characters"/>
    <w:rPr>
      <w:rFonts w:cs="Times New Roman"/>
      <w:vertAlign w:val="superscript"/>
    </w:rPr>
  </w:style>
  <w:style w:type="character" w:customStyle="1" w:styleId="Odwoanieprzypisudolnego2">
    <w:name w:val="Odwołanie przypisu dolnego2"/>
    <w:rPr>
      <w:vertAlign w:val="superscript"/>
    </w:rPr>
  </w:style>
  <w:style w:type="character" w:customStyle="1" w:styleId="A7">
    <w:name w:val="A7"/>
    <w:uiPriority w:val="99"/>
    <w:rPr>
      <w:rFonts w:ascii="TradeGothic" w:hAnsi="TradeGothic" w:cs="TradeGothic" w:hint="default"/>
      <w:color w:val="000000"/>
      <w:sz w:val="17"/>
      <w:szCs w:val="17"/>
    </w:rPr>
  </w:style>
  <w:style w:type="character" w:customStyle="1" w:styleId="EndnoteTextChar1">
    <w:name w:val="Endnote Text Char1"/>
    <w:link w:val="EndnoteText"/>
    <w:uiPriority w:val="99"/>
    <w:locked/>
    <w:rPr>
      <w:rFonts w:ascii="Times New Roman" w:eastAsia="Times New Roman" w:hAnsi="Times New Roman"/>
      <w:lang w:eastAsia="en-US"/>
    </w:rPr>
  </w:style>
  <w:style w:type="paragraph" w:customStyle="1" w:styleId="Heaing2">
    <w:name w:val="Heaing 2"/>
    <w:basedOn w:val="Heading3"/>
    <w:pPr>
      <w:keepLines w:val="0"/>
      <w:numPr>
        <w:ilvl w:val="0"/>
        <w:numId w:val="0"/>
      </w:numPr>
      <w:spacing w:before="240" w:after="120"/>
      <w:ind w:left="720"/>
    </w:pPr>
    <w:rPr>
      <w:rFonts w:ascii="Times New Roman" w:eastAsia="Times New Roman" w:hAnsi="Times New Roman" w:cs="Times New Roman"/>
      <w:b w:val="0"/>
      <w:bCs w:val="0"/>
      <w:i/>
      <w:sz w:val="24"/>
      <w:szCs w:val="26"/>
      <w:lang w:val="en-US" w:eastAsia="en-GB"/>
    </w:rPr>
  </w:style>
  <w:style w:type="paragraph" w:customStyle="1" w:styleId="Headung3">
    <w:name w:val="Headung 3"/>
    <w:basedOn w:val="Normal"/>
    <w:pPr>
      <w:spacing w:before="0" w:after="200" w:line="276" w:lineRule="auto"/>
      <w:jc w:val="left"/>
    </w:pPr>
    <w:rPr>
      <w:rFonts w:ascii="Times New Roman" w:eastAsia="Calibri" w:hAnsi="Times New Roman"/>
      <w:color w:val="000000"/>
      <w:sz w:val="24"/>
    </w:rPr>
  </w:style>
  <w:style w:type="paragraph" w:customStyle="1" w:styleId="BTBullet1">
    <w:name w:val="BTBullet1"/>
    <w:basedOn w:val="Normal"/>
    <w:uiPriority w:val="6"/>
    <w:qFormat/>
    <w:pPr>
      <w:spacing w:before="0" w:after="0" w:line="240" w:lineRule="atLeast"/>
      <w:jc w:val="left"/>
    </w:pPr>
    <w:rPr>
      <w:rFonts w:ascii="Arial" w:eastAsia="Calibri" w:hAnsi="Arial"/>
    </w:rPr>
  </w:style>
  <w:style w:type="paragraph" w:customStyle="1" w:styleId="BTBullet2">
    <w:name w:val="BTBullet2"/>
    <w:basedOn w:val="Normal"/>
    <w:uiPriority w:val="6"/>
    <w:qFormat/>
    <w:pPr>
      <w:numPr>
        <w:ilvl w:val="1"/>
        <w:numId w:val="56"/>
      </w:numPr>
      <w:spacing w:before="0" w:after="0" w:line="240" w:lineRule="atLeast"/>
      <w:ind w:hanging="567"/>
      <w:jc w:val="left"/>
    </w:pPr>
    <w:rPr>
      <w:rFonts w:ascii="Arial" w:eastAsia="Calibri" w:hAnsi="Arial"/>
    </w:rPr>
  </w:style>
  <w:style w:type="paragraph" w:customStyle="1" w:styleId="BTBullet3">
    <w:name w:val="BTBullet3"/>
    <w:basedOn w:val="Normal"/>
    <w:uiPriority w:val="6"/>
    <w:qFormat/>
    <w:pPr>
      <w:numPr>
        <w:ilvl w:val="2"/>
        <w:numId w:val="56"/>
      </w:numPr>
      <w:tabs>
        <w:tab w:val="num" w:pos="1417"/>
      </w:tabs>
      <w:spacing w:before="0" w:after="0" w:line="240" w:lineRule="atLeast"/>
      <w:ind w:left="1417" w:hanging="567"/>
      <w:jc w:val="left"/>
    </w:pPr>
    <w:rPr>
      <w:rFonts w:ascii="Arial" w:eastAsia="Calibri" w:hAnsi="Arial"/>
    </w:rPr>
  </w:style>
  <w:style w:type="numbering" w:customStyle="1" w:styleId="NumbLstBTBullet">
    <w:name w:val="NumbLstBTBullet"/>
    <w:uiPriority w:val="99"/>
    <w:pPr>
      <w:numPr>
        <w:numId w:val="38"/>
      </w:numPr>
    </w:pPr>
  </w:style>
  <w:style w:type="paragraph" w:customStyle="1" w:styleId="Table">
    <w:name w:val="Table"/>
    <w:basedOn w:val="Normal"/>
    <w:next w:val="BodyText"/>
    <w:uiPriority w:val="11"/>
    <w:qFormat/>
    <w:pPr>
      <w:keepNext/>
      <w:spacing w:line="240" w:lineRule="atLeast"/>
      <w:ind w:left="5040" w:hanging="360"/>
      <w:jc w:val="left"/>
    </w:pPr>
    <w:rPr>
      <w:rFonts w:ascii="Calibri" w:eastAsia="Calibri" w:hAnsi="Calibri"/>
      <w:b/>
      <w:color w:val="0067AC"/>
    </w:rPr>
  </w:style>
  <w:style w:type="paragraph" w:customStyle="1" w:styleId="TableTitle0">
    <w:name w:val="TableTitle"/>
    <w:basedOn w:val="Normal"/>
    <w:uiPriority w:val="14"/>
    <w:qFormat/>
    <w:pPr>
      <w:spacing w:before="0" w:after="0" w:line="220" w:lineRule="atLeast"/>
      <w:jc w:val="left"/>
    </w:pPr>
    <w:rPr>
      <w:rFonts w:ascii="Calibri" w:eastAsia="Calibri" w:hAnsi="Calibri"/>
      <w:b/>
      <w:color w:val="0067AC"/>
      <w:sz w:val="18"/>
    </w:rPr>
  </w:style>
  <w:style w:type="paragraph" w:customStyle="1" w:styleId="TableTextNoSpace">
    <w:name w:val="TableTextNoSpace"/>
    <w:basedOn w:val="Normal"/>
    <w:uiPriority w:val="15"/>
    <w:qFormat/>
    <w:pPr>
      <w:spacing w:before="0" w:after="0" w:line="220" w:lineRule="atLeast"/>
      <w:jc w:val="left"/>
    </w:pPr>
    <w:rPr>
      <w:rFonts w:ascii="Arial" w:eastAsia="Calibri" w:hAnsi="Arial"/>
      <w:sz w:val="18"/>
    </w:rPr>
  </w:style>
  <w:style w:type="paragraph" w:customStyle="1" w:styleId="TableSource">
    <w:name w:val="TableSource"/>
    <w:basedOn w:val="BodyText"/>
    <w:uiPriority w:val="6"/>
    <w:qFormat/>
    <w:pPr>
      <w:spacing w:before="120" w:line="200" w:lineRule="atLeast"/>
      <w:ind w:left="851"/>
      <w:jc w:val="left"/>
    </w:pPr>
    <w:rPr>
      <w:rFonts w:ascii="Arial" w:eastAsia="Calibri" w:hAnsi="Arial"/>
      <w:i/>
      <w:sz w:val="18"/>
      <w:szCs w:val="24"/>
    </w:rPr>
  </w:style>
  <w:style w:type="paragraph" w:customStyle="1" w:styleId="Bullet10">
    <w:name w:val="Bullet1"/>
    <w:basedOn w:val="Normal"/>
    <w:qFormat/>
    <w:pPr>
      <w:spacing w:before="0" w:after="0" w:line="240" w:lineRule="atLeast"/>
      <w:jc w:val="left"/>
    </w:pPr>
    <w:rPr>
      <w:rFonts w:ascii="Arial" w:eastAsia="Calibri" w:hAnsi="Arial"/>
    </w:rPr>
  </w:style>
  <w:style w:type="paragraph" w:customStyle="1" w:styleId="Heading2NoNumb">
    <w:name w:val="Heading 2NoNumb"/>
    <w:basedOn w:val="Heading2"/>
    <w:next w:val="Normal"/>
    <w:uiPriority w:val="5"/>
    <w:qFormat/>
    <w:pPr>
      <w:numPr>
        <w:ilvl w:val="0"/>
        <w:numId w:val="0"/>
      </w:numPr>
      <w:spacing w:before="240" w:line="260" w:lineRule="atLeast"/>
      <w:jc w:val="left"/>
    </w:pPr>
    <w:rPr>
      <w:rFonts w:ascii="Calibri" w:eastAsia="Times New Roman" w:hAnsi="Calibri" w:cs="Times New Roman"/>
      <w:b w:val="0"/>
      <w:iCs w:val="0"/>
      <w:color w:val="0067AC"/>
      <w:sz w:val="26"/>
    </w:rPr>
  </w:style>
  <w:style w:type="character" w:customStyle="1" w:styleId="Text1Char">
    <w:name w:val="Text 1 Char"/>
    <w:link w:val="Text1"/>
    <w:rPr>
      <w:rFonts w:ascii="Times New Roman" w:eastAsia="Times New Roman" w:hAnsi="Times New Roman"/>
      <w:sz w:val="24"/>
      <w:lang w:eastAsia="en-US"/>
    </w:rPr>
  </w:style>
  <w:style w:type="paragraph" w:customStyle="1" w:styleId="Bullet">
    <w:name w:val="Bullet"/>
    <w:basedOn w:val="Normal"/>
    <w:pPr>
      <w:numPr>
        <w:numId w:val="57"/>
      </w:numPr>
      <w:spacing w:before="0" w:line="264" w:lineRule="auto"/>
    </w:pPr>
    <w:rPr>
      <w:rFonts w:ascii="Arial" w:eastAsia="Times New Roman" w:hAnsi="Arial"/>
      <w:szCs w:val="20"/>
      <w:lang w:eastAsia="en-GB"/>
    </w:rPr>
  </w:style>
  <w:style w:type="numbering" w:customStyle="1" w:styleId="NumbLstBTBullet1">
    <w:name w:val="NumbLstBTBullet1"/>
    <w:uiPriority w:val="99"/>
    <w:pPr>
      <w:numPr>
        <w:numId w:val="62"/>
      </w:numPr>
    </w:pPr>
  </w:style>
  <w:style w:type="paragraph" w:customStyle="1" w:styleId="TableText">
    <w:name w:val="TableText"/>
    <w:basedOn w:val="Normal"/>
    <w:uiPriority w:val="15"/>
    <w:qFormat/>
    <w:pPr>
      <w:spacing w:before="0" w:line="220" w:lineRule="atLeast"/>
      <w:jc w:val="left"/>
    </w:pPr>
    <w:rPr>
      <w:rFonts w:ascii="Arial" w:eastAsia="Calibri" w:hAnsi="Arial"/>
      <w:sz w:val="18"/>
    </w:rPr>
  </w:style>
  <w:style w:type="paragraph" w:customStyle="1" w:styleId="Bullet20">
    <w:name w:val="Bullet2"/>
    <w:basedOn w:val="Normal"/>
    <w:qFormat/>
    <w:pPr>
      <w:tabs>
        <w:tab w:val="num" w:pos="926"/>
      </w:tabs>
      <w:spacing w:before="0" w:after="0" w:line="240" w:lineRule="atLeast"/>
      <w:ind w:left="926" w:hanging="360"/>
      <w:jc w:val="left"/>
    </w:pPr>
    <w:rPr>
      <w:rFonts w:ascii="Arial" w:eastAsia="Calibri" w:hAnsi="Arial"/>
    </w:rPr>
  </w:style>
  <w:style w:type="paragraph" w:customStyle="1" w:styleId="Bullet30">
    <w:name w:val="Bullet3"/>
    <w:basedOn w:val="Normal"/>
    <w:uiPriority w:val="6"/>
    <w:qFormat/>
    <w:pPr>
      <w:tabs>
        <w:tab w:val="num" w:pos="926"/>
      </w:tabs>
      <w:spacing w:before="0" w:after="0" w:line="240" w:lineRule="atLeast"/>
      <w:ind w:left="926" w:hanging="360"/>
      <w:jc w:val="left"/>
    </w:pPr>
    <w:rPr>
      <w:rFonts w:ascii="Arial" w:eastAsia="Calibri" w:hAnsi="Arial"/>
    </w:rPr>
  </w:style>
  <w:style w:type="numbering" w:customStyle="1" w:styleId="NumbLstBullet">
    <w:name w:val="NumbLstBullet"/>
    <w:uiPriority w:val="99"/>
    <w:pPr>
      <w:numPr>
        <w:numId w:val="58"/>
      </w:numPr>
    </w:pPr>
  </w:style>
  <w:style w:type="paragraph" w:customStyle="1" w:styleId="TableBullet">
    <w:name w:val="TableBullet"/>
    <w:basedOn w:val="TableText"/>
    <w:uiPriority w:val="6"/>
    <w:qFormat/>
    <w:pPr>
      <w:numPr>
        <w:numId w:val="60"/>
      </w:numPr>
      <w:spacing w:after="0"/>
      <w:ind w:right="57"/>
    </w:pPr>
  </w:style>
  <w:style w:type="numbering" w:customStyle="1" w:styleId="NumbLstTableBullet">
    <w:name w:val="NumbLstTableBullet"/>
    <w:uiPriority w:val="99"/>
    <w:pPr>
      <w:numPr>
        <w:numId w:val="59"/>
      </w:numPr>
    </w:pPr>
  </w:style>
  <w:style w:type="table" w:customStyle="1" w:styleId="TableGrid1">
    <w:name w:val="Table Grid1"/>
    <w:basedOn w:val="TableNormal"/>
    <w:next w:val="TableGrid"/>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paragraph" w:customStyle="1" w:styleId="Textbody">
    <w:name w:val="Text body"/>
    <w:basedOn w:val="Default"/>
    <w:pPr>
      <w:tabs>
        <w:tab w:val="left" w:pos="709"/>
      </w:tabs>
      <w:suppressAutoHyphens/>
      <w:autoSpaceDE/>
      <w:autoSpaceDN/>
      <w:adjustRightInd/>
      <w:spacing w:before="120" w:after="120" w:line="240" w:lineRule="atLeast"/>
      <w:ind w:left="851"/>
    </w:pPr>
    <w:rPr>
      <w:rFonts w:eastAsia="Calibri"/>
      <w:sz w:val="20"/>
      <w:lang w:eastAsia="en-US"/>
    </w:rPr>
  </w:style>
  <w:style w:type="paragraph" w:customStyle="1" w:styleId="CM1">
    <w:name w:val="CM1"/>
    <w:basedOn w:val="Default"/>
    <w:next w:val="Default"/>
    <w:uiPriority w:val="99"/>
    <w:rPr>
      <w:rFonts w:ascii="Times New Roman" w:hAnsi="Times New Roman" w:cs="Times New Roman"/>
      <w:color w:val="auto"/>
    </w:rPr>
  </w:style>
  <w:style w:type="paragraph" w:customStyle="1" w:styleId="CM3">
    <w:name w:val="CM3"/>
    <w:basedOn w:val="Default"/>
    <w:next w:val="Default"/>
    <w:uiPriority w:val="99"/>
    <w:rPr>
      <w:rFonts w:ascii="Times New Roman" w:hAnsi="Times New Roman" w:cs="Times New Roman"/>
      <w:color w:val="auto"/>
    </w:rPr>
  </w:style>
  <w:style w:type="paragraph" w:customStyle="1" w:styleId="bullet11">
    <w:name w:val="bullet1"/>
    <w:basedOn w:val="ListBullet2"/>
    <w:link w:val="bullet1Char"/>
    <w:qFormat/>
    <w:pPr>
      <w:numPr>
        <w:numId w:val="0"/>
      </w:numPr>
      <w:tabs>
        <w:tab w:val="num" w:pos="1264"/>
      </w:tabs>
      <w:spacing w:after="0"/>
      <w:ind w:left="1267" w:hanging="360"/>
    </w:pPr>
  </w:style>
  <w:style w:type="character" w:styleId="Emphasis">
    <w:name w:val="Emphasis"/>
    <w:uiPriority w:val="20"/>
    <w:qFormat/>
    <w:rPr>
      <w:i/>
      <w:iCs/>
    </w:rPr>
  </w:style>
  <w:style w:type="character" w:customStyle="1" w:styleId="Text2Char">
    <w:name w:val="Text 2 Char"/>
    <w:link w:val="Text2"/>
    <w:rPr>
      <w:rFonts w:ascii="Times New Roman" w:eastAsia="Times New Roman" w:hAnsi="Times New Roman"/>
      <w:sz w:val="24"/>
      <w:lang w:eastAsia="en-US"/>
    </w:rPr>
  </w:style>
  <w:style w:type="character" w:customStyle="1" w:styleId="ListBullet2Char">
    <w:name w:val="List Bullet 2 Char"/>
    <w:link w:val="ListBullet2"/>
    <w:uiPriority w:val="99"/>
    <w:rPr>
      <w:rFonts w:ascii="Times New Roman" w:eastAsia="Times New Roman" w:hAnsi="Times New Roman"/>
      <w:sz w:val="24"/>
      <w:lang w:eastAsia="en-US"/>
    </w:rPr>
  </w:style>
  <w:style w:type="character" w:customStyle="1" w:styleId="bullet1Char">
    <w:name w:val="bullet1 Char"/>
    <w:basedOn w:val="ListBullet2Char"/>
    <w:link w:val="bullet11"/>
    <w:rPr>
      <w:rFonts w:ascii="Times New Roman" w:eastAsia="Times New Roman" w:hAnsi="Times New Roman"/>
      <w:sz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0" w:after="0"/>
      <w:ind w:left="284" w:hanging="284"/>
    </w:pPr>
    <w:rPr>
      <w:rFonts w:ascii="Cambria" w:hAnsi="Cambria"/>
      <w:szCs w:val="20"/>
      <w:vertAlign w:val="superscript"/>
      <w:lang w:eastAsia="en-GB"/>
    </w:rPr>
  </w:style>
  <w:style w:type="table" w:styleId="TableColumns1">
    <w:name w:val="Table Columns 1"/>
    <w:basedOn w:val="TableNormal"/>
    <w:pPr>
      <w:spacing w:before="120" w:after="120"/>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pPr>
      <w:spacing w:before="120" w:after="120"/>
      <w:jc w:val="both"/>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
    <w:name w:val="Table Grid2"/>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BodyText"/>
    <w:uiPriority w:val="11"/>
    <w:qFormat/>
    <w:pPr>
      <w:keepNext/>
      <w:tabs>
        <w:tab w:val="num" w:pos="851"/>
      </w:tabs>
      <w:spacing w:line="240" w:lineRule="atLeast"/>
      <w:ind w:left="1928" w:hanging="1077"/>
      <w:jc w:val="left"/>
    </w:pPr>
    <w:rPr>
      <w:rFonts w:ascii="Calibri" w:eastAsiaTheme="minorHAnsi" w:hAnsi="Calibri"/>
      <w:b/>
      <w:color w:val="0067AC"/>
    </w:rPr>
  </w:style>
  <w:style w:type="paragraph" w:customStyle="1" w:styleId="FooterLand">
    <w:name w:val="FooterLand"/>
    <w:basedOn w:val="Footer"/>
    <w:uiPriority w:val="29"/>
    <w:semiHidden/>
    <w:qFormat/>
    <w:pPr>
      <w:tabs>
        <w:tab w:val="clear" w:pos="4513"/>
        <w:tab w:val="clear" w:pos="9026"/>
        <w:tab w:val="right" w:pos="14005"/>
      </w:tabs>
      <w:spacing w:before="0" w:after="0"/>
      <w:jc w:val="left"/>
    </w:pPr>
    <w:rPr>
      <w:rFonts w:ascii="Arial" w:eastAsiaTheme="minorHAnsi" w:hAnsi="Arial"/>
    </w:rPr>
  </w:style>
  <w:style w:type="numbering" w:customStyle="1" w:styleId="NumbLstMain">
    <w:name w:val="NumbLstMain"/>
    <w:uiPriority w:val="99"/>
    <w:pPr>
      <w:numPr>
        <w:numId w:val="63"/>
      </w:numPr>
    </w:pPr>
  </w:style>
  <w:style w:type="paragraph" w:customStyle="1" w:styleId="Box">
    <w:name w:val="Box"/>
    <w:basedOn w:val="Normal"/>
    <w:next w:val="BodyText"/>
    <w:uiPriority w:val="6"/>
    <w:qFormat/>
    <w:pPr>
      <w:spacing w:line="240" w:lineRule="atLeast"/>
      <w:ind w:left="1928" w:hanging="1077"/>
      <w:jc w:val="left"/>
    </w:pPr>
    <w:rPr>
      <w:rFonts w:ascii="Calibri" w:eastAsiaTheme="minorHAnsi" w:hAnsi="Calibri"/>
      <w:b/>
      <w:color w:val="0067AC"/>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eastAsia="Times New Roman" w:hAnsi="Times New Roman"/>
      <w:sz w:val="24"/>
      <w:szCs w:val="20"/>
    </w:rPr>
  </w:style>
  <w:style w:type="character" w:customStyle="1" w:styleId="FooterCoverPageChar">
    <w:name w:val="Footer Cover Page Char"/>
    <w:basedOn w:val="DefaultParagraphFont"/>
    <w:link w:val="FooterCoverPage"/>
    <w:rPr>
      <w:rFonts w:ascii="Times New Roman" w:eastAsia="Times New Roman" w:hAnsi="Times New Roman"/>
      <w:sz w:val="24"/>
      <w:lang w:eastAsia="en-US"/>
    </w:rPr>
  </w:style>
  <w:style w:type="paragraph" w:customStyle="1" w:styleId="HeaderCoverPage">
    <w:name w:val="Header Cover Page"/>
    <w:basedOn w:val="Normal"/>
    <w:link w:val="HeaderCoverPageChar"/>
    <w:pPr>
      <w:tabs>
        <w:tab w:val="center" w:pos="4535"/>
        <w:tab w:val="right" w:pos="9071"/>
      </w:tabs>
      <w:spacing w:before="0"/>
    </w:pPr>
    <w:rPr>
      <w:rFonts w:ascii="Times New Roman" w:eastAsia="Times New Roman" w:hAnsi="Times New Roman"/>
      <w:sz w:val="24"/>
      <w:szCs w:val="20"/>
    </w:rPr>
  </w:style>
  <w:style w:type="character" w:customStyle="1" w:styleId="HeaderCoverPageChar">
    <w:name w:val="Header Cover Page Char"/>
    <w:basedOn w:val="DefaultParagraphFont"/>
    <w:link w:val="HeaderCoverPage"/>
    <w:rPr>
      <w:rFonts w:ascii="Times New Roman" w:eastAsia="Times New Roman" w:hAnsi="Times New Roman"/>
      <w:sz w:val="24"/>
      <w:lang w:eastAsia="en-US"/>
    </w:rPr>
  </w:style>
  <w:style w:type="character" w:customStyle="1" w:styleId="ListParagraphChar">
    <w:name w:val="List Paragraph Char"/>
    <w:aliases w:val="Paragraphe de liste 2 Char,Reference list Char,Normal bullet 2 Char,Bullet list Char,Numbered List Char,List Paragraph1 Char,1st level - Bullet List Paragraph Char,Lettre d'introduction Char,Paragrafo elenco Char,Bullet EY Char"/>
    <w:basedOn w:val="DefaultParagraphFont"/>
    <w:link w:val="ListParagraph"/>
    <w:uiPriority w:val="34"/>
    <w:qFormat/>
    <w:locked/>
    <w:rPr>
      <w:rFonts w:asciiTheme="minorHAnsi" w:eastAsiaTheme="minorHAnsi" w:hAnsiTheme="minorHAnsi" w:cstheme="minorBidi"/>
      <w:sz w:val="22"/>
      <w:szCs w:val="22"/>
      <w:lang w:eastAsia="en-US"/>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uiPriority w:val="99"/>
    <w:pPr>
      <w:spacing w:before="0" w:after="160" w:line="240" w:lineRule="exact"/>
      <w:jc w:val="left"/>
    </w:pPr>
    <w:rPr>
      <w:rFonts w:asciiTheme="minorHAnsi" w:eastAsiaTheme="minorHAnsi" w:hAnsiTheme="minorHAnsi" w:cstheme="minorBidi"/>
      <w:sz w:val="22"/>
      <w:szCs w:val="22"/>
      <w:vertAlign w:val="superscript"/>
    </w:rPr>
  </w:style>
  <w:style w:type="character" w:customStyle="1" w:styleId="st">
    <w:name w:val="st"/>
    <w:basedOn w:val="DefaultParagraphFont"/>
  </w:style>
  <w:style w:type="character" w:customStyle="1" w:styleId="FootnoteTextChar1">
    <w:name w:val="Footnote Text Char1"/>
    <w:aliases w:val="Testo nota a piè di pagina_Rientro Char1,stile 1 Char1,Footnote Char1,Footnote1 Char1,Footnote2 Char1,Footnote3 Char1,Footnote4 Char1,Footnote5 Char1,Footnote6 Char1,Footnote7 Char1,Footnote8 Char1,Footnote9 Char1,Footnote10 Char1"/>
    <w:uiPriority w:val="99"/>
    <w:rPr>
      <w:lang w:eastAsia="en-US"/>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uiPriority w:val="99"/>
    <w:pPr>
      <w:spacing w:before="0" w:after="160" w:line="240" w:lineRule="exact"/>
      <w:jc w:val="left"/>
    </w:pPr>
    <w:rPr>
      <w:rFonts w:ascii="Arial" w:eastAsiaTheme="minorHAnsi" w:hAnsi="Arial" w:cstheme="minorBidi"/>
      <w:sz w:val="16"/>
      <w:szCs w:val="22"/>
      <w:vertAlign w:val="superscript"/>
    </w:rPr>
  </w:style>
  <w:style w:type="character" w:customStyle="1" w:styleId="Corpsdutexte">
    <w:name w:val="Corps du texte_"/>
    <w:basedOn w:val="DefaultParagraphFont"/>
    <w:rPr>
      <w:b w:val="0"/>
      <w:bCs w:val="0"/>
      <w:i w:val="0"/>
      <w:iCs w:val="0"/>
      <w:smallCaps w:val="0"/>
      <w:strike w:val="0"/>
      <w:sz w:val="23"/>
      <w:szCs w:val="23"/>
      <w:u w:val="none"/>
    </w:rPr>
  </w:style>
  <w:style w:type="character" w:customStyle="1" w:styleId="CaptionChar">
    <w:name w:val="Caption Char"/>
    <w:aliases w:val="Figure Caption Char, Char Char Char,Char Char Char,Figure Caption + Avant : 14 pt Char,Motif : Transparente (Gris - 15 %) Char,TF Char,Caption1 Char Char Char Char Char Char Char Char Tegn Tegn Tegn Tegn Tegn Char"/>
    <w:basedOn w:val="DefaultParagraphFont"/>
    <w:link w:val="Caption"/>
    <w:rPr>
      <w:rFonts w:asciiTheme="minorHAnsi" w:eastAsiaTheme="minorHAnsi" w:hAnsiTheme="minorHAnsi" w:cstheme="minorBidi"/>
      <w:b/>
      <w:bCs/>
      <w:color w:val="4F81BD" w:themeColor="accent1"/>
      <w:sz w:val="18"/>
      <w:szCs w:val="18"/>
      <w:lang w:val="en-US" w:eastAsia="en-US"/>
    </w:rPr>
  </w:style>
  <w:style w:type="table" w:customStyle="1" w:styleId="GridTable4-Accent11">
    <w:name w:val="Grid Table 4 - Accent 11"/>
    <w:basedOn w:val="TableNormal"/>
    <w:uiPriority w:val="49"/>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CoverTitle">
    <w:name w:val="Cover Title"/>
    <w:link w:val="CoverTitleChar"/>
    <w:autoRedefine/>
    <w:qFormat/>
    <w:rPr>
      <w:rFonts w:ascii="Arial" w:eastAsia="Times" w:hAnsi="Arial"/>
      <w:b/>
      <w:noProof/>
      <w:color w:val="002776"/>
      <w:kern w:val="28"/>
      <w:sz w:val="52"/>
      <w:szCs w:val="52"/>
      <w:lang w:eastAsia="en-US"/>
    </w:rPr>
  </w:style>
  <w:style w:type="character" w:customStyle="1" w:styleId="CoverTitleChar">
    <w:name w:val="Cover Title Char"/>
    <w:basedOn w:val="DefaultParagraphFont"/>
    <w:link w:val="CoverTitle"/>
    <w:rPr>
      <w:rFonts w:ascii="Arial" w:eastAsia="Times" w:hAnsi="Arial"/>
      <w:b/>
      <w:noProof/>
      <w:color w:val="002776"/>
      <w:kern w:val="28"/>
      <w:sz w:val="52"/>
      <w:szCs w:val="52"/>
      <w:lang w:eastAsia="en-US"/>
    </w:rPr>
  </w:style>
  <w:style w:type="paragraph" w:customStyle="1" w:styleId="AnnexSectionHeading">
    <w:name w:val="Annex Section Heading"/>
    <w:basedOn w:val="Heading2"/>
    <w:next w:val="Normal"/>
    <w:link w:val="AnnexSectionHeadingChar"/>
    <w:autoRedefine/>
    <w:qFormat/>
    <w:pPr>
      <w:keepLines w:val="0"/>
      <w:numPr>
        <w:ilvl w:val="0"/>
        <w:numId w:val="0"/>
      </w:numPr>
      <w:tabs>
        <w:tab w:val="left" w:pos="9630"/>
      </w:tabs>
      <w:spacing w:before="0"/>
      <w:ind w:left="737" w:hanging="737"/>
      <w:jc w:val="left"/>
    </w:pPr>
    <w:rPr>
      <w:rFonts w:ascii="Arial" w:eastAsia="Times" w:hAnsi="Arial" w:cs="Times New Roman"/>
      <w:bCs w:val="0"/>
      <w:iCs w:val="0"/>
      <w:color w:val="92D050"/>
      <w:sz w:val="22"/>
      <w:szCs w:val="22"/>
    </w:rPr>
  </w:style>
  <w:style w:type="character" w:customStyle="1" w:styleId="AnnexSectionHeadingChar">
    <w:name w:val="Annex Section Heading Char"/>
    <w:basedOn w:val="DefaultParagraphFont"/>
    <w:link w:val="AnnexSectionHeading"/>
    <w:rPr>
      <w:rFonts w:ascii="Arial" w:eastAsia="Times" w:hAnsi="Arial"/>
      <w:b/>
      <w:color w:val="92D050"/>
      <w:sz w:val="22"/>
      <w:szCs w:val="22"/>
      <w:lang w:eastAsia="en-US"/>
    </w:rPr>
  </w:style>
  <w:style w:type="numbering" w:customStyle="1" w:styleId="BulletEU">
    <w:name w:val="Bullet EU"/>
    <w:uiPriority w:val="99"/>
    <w:pPr>
      <w:numPr>
        <w:numId w:val="87"/>
      </w:numPr>
    </w:pPr>
  </w:style>
  <w:style w:type="character" w:customStyle="1" w:styleId="ListBulletChar">
    <w:name w:val="List Bullet Char"/>
    <w:aliases w:val="Bullet Point EU Char,Bullet Point EU 2 Char,UL Char"/>
    <w:basedOn w:val="DefaultParagraphFont"/>
    <w:link w:val="ListBullet"/>
    <w:rPr>
      <w:rFonts w:ascii="Times New Roman" w:eastAsia="Times New Roman" w:hAnsi="Times New Roman"/>
      <w:sz w:val="24"/>
      <w:lang w:eastAsia="en-US"/>
    </w:rPr>
  </w:style>
  <w:style w:type="table" w:customStyle="1" w:styleId="ListTable3-Accent111">
    <w:name w:val="List Table 3 - Accent 111"/>
    <w:basedOn w:val="TableNormal"/>
    <w:uiPriority w:val="48"/>
    <w:rPr>
      <w:rFonts w:ascii="Calibri" w:eastAsia="Calibri" w:hAnsi="Calibri"/>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entry-byline">
    <w:name w:val="entry-byline"/>
    <w:basedOn w:val="DefaultParagraphFont"/>
  </w:style>
  <w:style w:type="character" w:customStyle="1" w:styleId="apple-converted-space">
    <w:name w:val="apple-converted-space"/>
    <w:basedOn w:val="DefaultParagraphFont"/>
  </w:style>
  <w:style w:type="character" w:styleId="EndnoteReference">
    <w:name w:val="endnote reference"/>
    <w:basedOn w:val="DefaultParagraphFont"/>
    <w:uiPriority w:val="99"/>
    <w:semiHidden/>
    <w:unhideWhenUsed/>
    <w:rPr>
      <w:vertAlign w:val="superscript"/>
    </w:rPr>
  </w:style>
  <w:style w:type="paragraph" w:customStyle="1" w:styleId="AnnexChapterHeading">
    <w:name w:val="Annex Chapter Heading"/>
    <w:basedOn w:val="Heading1"/>
    <w:next w:val="Normal"/>
    <w:link w:val="AnnexChapterHeadingChar"/>
    <w:autoRedefine/>
    <w:qFormat/>
    <w:pPr>
      <w:pageBreakBefore/>
      <w:numPr>
        <w:numId w:val="107"/>
      </w:numPr>
      <w:spacing w:before="0" w:after="1600"/>
      <w:jc w:val="left"/>
    </w:pPr>
    <w:rPr>
      <w:rFonts w:ascii="Arial" w:eastAsia="Times" w:hAnsi="Arial" w:cs="Arial"/>
      <w:b w:val="0"/>
      <w:color w:val="002776"/>
      <w:kern w:val="32"/>
      <w:sz w:val="60"/>
      <w:szCs w:val="60"/>
    </w:rPr>
  </w:style>
  <w:style w:type="character" w:customStyle="1" w:styleId="AnnexChapterHeadingChar">
    <w:name w:val="Annex Chapter Heading Char"/>
    <w:basedOn w:val="DefaultParagraphFont"/>
    <w:link w:val="AnnexChapterHeading"/>
    <w:rPr>
      <w:rFonts w:ascii="Arial" w:eastAsia="Times" w:hAnsi="Arial" w:cs="Arial"/>
      <w:color w:val="002776"/>
      <w:kern w:val="32"/>
      <w:sz w:val="60"/>
      <w:szCs w:val="60"/>
      <w:lang w:eastAsia="en-US"/>
    </w:rPr>
  </w:style>
  <w:style w:type="numbering" w:customStyle="1" w:styleId="NoList2">
    <w:name w:val="No List2"/>
    <w:next w:val="NoList"/>
    <w:uiPriority w:val="99"/>
    <w:semiHidden/>
    <w:unhideWhenUsed/>
  </w:style>
  <w:style w:type="numbering" w:customStyle="1" w:styleId="NumbLstBTBullet2">
    <w:name w:val="NumbLstBTBullet2"/>
    <w:uiPriority w:val="99"/>
    <w:pPr>
      <w:numPr>
        <w:numId w:val="1"/>
      </w:numPr>
    </w:pPr>
  </w:style>
  <w:style w:type="numbering" w:customStyle="1" w:styleId="NumbLstBTBullet11">
    <w:name w:val="NumbLstBTBullet11"/>
    <w:uiPriority w:val="99"/>
    <w:pPr>
      <w:numPr>
        <w:numId w:val="21"/>
      </w:numPr>
    </w:pPr>
  </w:style>
  <w:style w:type="numbering" w:customStyle="1" w:styleId="NumbLstBullet1">
    <w:name w:val="NumbLstBullet1"/>
    <w:uiPriority w:val="99"/>
    <w:pPr>
      <w:numPr>
        <w:numId w:val="17"/>
      </w:numPr>
    </w:pPr>
  </w:style>
  <w:style w:type="numbering" w:customStyle="1" w:styleId="NumbLstTableBullet1">
    <w:name w:val="NumbLstTableBullet1"/>
    <w:uiPriority w:val="99"/>
    <w:pPr>
      <w:numPr>
        <w:numId w:val="18"/>
      </w:numPr>
    </w:pPr>
  </w:style>
  <w:style w:type="numbering" w:customStyle="1" w:styleId="NumbLstMain1">
    <w:name w:val="NumbLstMain1"/>
    <w:uiPriority w:val="99"/>
    <w:pPr>
      <w:numPr>
        <w:numId w:val="22"/>
      </w:numPr>
    </w:pPr>
  </w:style>
  <w:style w:type="numbering" w:customStyle="1" w:styleId="BulletEU1">
    <w:name w:val="Bullet EU1"/>
    <w:uiPriority w:val="99"/>
    <w:pPr>
      <w:numPr>
        <w:numId w:val="5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35" w:qFormat="1"/>
    <w:lsdException w:name="envelope address" w:uiPriority="0"/>
    <w:lsdException w:name="envelope return" w:uiPriority="0"/>
    <w:lsdException w:name="footnote reference" w:qFormat="1"/>
    <w:lsdException w:name="table of authorities" w:uiPriority="0"/>
    <w:lsdException w:name="macro" w:uiPriority="0"/>
    <w:lsdException w:name="toa heading" w:uiPriority="0"/>
    <w:lsdException w:name="List" w:uiPriority="0"/>
    <w:lsdException w:name="List Bullet" w:uiPriority="0" w:qFormat="1"/>
    <w:lsdException w:name="List Number" w:uiPriority="0"/>
    <w:lsdException w:name="List 2" w:uiPriority="0"/>
    <w:lsdException w:name="List 3" w:uiPriority="0"/>
    <w:lsdException w:name="List 4" w:uiPriority="0"/>
    <w:lsdException w:name="List Bullet 2" w:qFormat="1"/>
    <w:lsdException w:name="List Bullet 3" w:qFormat="1"/>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Columns 1" w:uiPriority="0"/>
    <w:lsdException w:name="Table Columns 2" w:uiPriority="0"/>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pPr>
      <w:spacing w:before="120" w:after="120"/>
      <w:jc w:val="both"/>
    </w:pPr>
    <w:rPr>
      <w:rFonts w:ascii="Verdana" w:hAnsi="Verdana"/>
      <w:szCs w:val="24"/>
      <w:lang w:eastAsia="en-US"/>
    </w:rPr>
  </w:style>
  <w:style w:type="paragraph" w:styleId="Heading1">
    <w:name w:val="heading 1"/>
    <w:aliases w:val="F3 Heading 1 - Section,1.,h1,ITTHEADER1,(Section),Numbered - 1,Section,Chapter Hdg,CH TITLE 1,Chapter Heading,Titre 1,1,H1,section head,al,section head1,h11,section head2,h12,section head3,h13,section head4,h14,IMPACT STUDY TITLE1,Headline 1"/>
    <w:basedOn w:val="Normal"/>
    <w:next w:val="Normal"/>
    <w:link w:val="Heading1Char"/>
    <w:autoRedefine/>
    <w:uiPriority w:val="9"/>
    <w:qFormat/>
    <w:pPr>
      <w:keepNext/>
      <w:numPr>
        <w:numId w:val="2"/>
      </w:numPr>
      <w:spacing w:before="240" w:after="60"/>
      <w:outlineLvl w:val="0"/>
    </w:pPr>
    <w:rPr>
      <w:b/>
      <w:sz w:val="26"/>
    </w:rPr>
  </w:style>
  <w:style w:type="paragraph" w:styleId="Heading2">
    <w:name w:val="heading 2"/>
    <w:aliases w:val="F4 Heading 2 - SubSection,h2,Heading 2 Char1,Heading 2 Char Char,H2 Char,heading 2 Char,(SubSection),Para Nos,Para,Main Heading,Main Headi,Numbered - 2,(Main Heading),Paragraph,Sub Heading,ignorer2,Oscar Faber 2,IMPACT STUDY TITLE2,2H,2H1,2H2"/>
    <w:basedOn w:val="Normal"/>
    <w:next w:val="Normal"/>
    <w:link w:val="Heading2Char"/>
    <w:autoRedefine/>
    <w:uiPriority w:val="9"/>
    <w:qFormat/>
    <w:pPr>
      <w:keepNext/>
      <w:keepLines/>
      <w:numPr>
        <w:ilvl w:val="1"/>
        <w:numId w:val="2"/>
      </w:numPr>
      <w:spacing w:before="200"/>
      <w:outlineLvl w:val="1"/>
    </w:pPr>
    <w:rPr>
      <w:rFonts w:eastAsiaTheme="majorEastAsia" w:cstheme="majorBidi"/>
      <w:b/>
      <w:bCs/>
      <w:iCs/>
      <w:sz w:val="24"/>
      <w:szCs w:val="26"/>
    </w:rPr>
  </w:style>
  <w:style w:type="paragraph" w:styleId="Heading3">
    <w:name w:val="heading 3"/>
    <w:aliases w:val="H31,Headline 3,h3,h31,h32,H3,Heading 3 Char Char,Heading 3 - old,heading 3,ASAPHeading 3,Mi,Minor,Headline,Punt 3,Heading 3 CFMU,Para 3,Punt 3 Char,Arial 12 Fett,1.1.1 Heading 3,Numbered 3 (SBC),Sub-Title,Heading 3 - SBC,V_Head3,Podkapitola2"/>
    <w:basedOn w:val="Normal"/>
    <w:next w:val="Normal"/>
    <w:link w:val="Heading3Char"/>
    <w:autoRedefine/>
    <w:uiPriority w:val="9"/>
    <w:unhideWhenUsed/>
    <w:qFormat/>
    <w:pPr>
      <w:keepNext/>
      <w:keepLines/>
      <w:numPr>
        <w:ilvl w:val="2"/>
        <w:numId w:val="2"/>
      </w:numPr>
      <w:spacing w:before="200" w:after="0"/>
      <w:outlineLvl w:val="2"/>
    </w:pPr>
    <w:rPr>
      <w:rFonts w:eastAsiaTheme="majorEastAsia" w:cstheme="majorBidi"/>
      <w:b/>
      <w:bCs/>
      <w:sz w:val="22"/>
    </w:rPr>
  </w:style>
  <w:style w:type="paragraph" w:styleId="Heading4">
    <w:name w:val="heading 4"/>
    <w:aliases w:val="itth4,TABLE,heading 4 Char,Numbered - 4,level 3 subhead,PA Micro Section,(Alt+4),H41,(Alt+4)1,H42,(Alt+4)2,H43,(Alt+4)3,H44,(Alt+4)4,H45,(Alt+4)5,H411,(Alt+4)11,H421,(Alt+4)21,H431,(Alt+4)31,H46,(Alt+4)6,H412,(Alt+4)12,H422,(Alt+4)22,H432,H47"/>
    <w:basedOn w:val="Normal"/>
    <w:next w:val="Normal"/>
    <w:link w:val="Heading4Char"/>
    <w:autoRedefine/>
    <w:uiPriority w:val="9"/>
    <w:unhideWhenUsed/>
    <w:qFormat/>
    <w:pPr>
      <w:keepNext/>
      <w:keepLines/>
      <w:numPr>
        <w:ilvl w:val="3"/>
        <w:numId w:val="2"/>
      </w:num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pPr>
      <w:keepNext/>
      <w:keepLines/>
      <w:numPr>
        <w:ilvl w:val="4"/>
        <w:numId w:val="2"/>
      </w:numPr>
      <w:spacing w:before="200" w:after="0"/>
      <w:outlineLvl w:val="4"/>
    </w:pPr>
    <w:rPr>
      <w:rFonts w:eastAsiaTheme="majorEastAsia" w:cstheme="majorBidi"/>
      <w:b/>
      <w:color w:val="0033CC"/>
    </w:rPr>
  </w:style>
  <w:style w:type="paragraph" w:styleId="Heading6">
    <w:name w:val="heading 6"/>
    <w:basedOn w:val="Normal"/>
    <w:next w:val="Normal"/>
    <w:link w:val="Heading6Char"/>
    <w:uiPriority w:val="9"/>
    <w:unhideWhenUsed/>
    <w:qFormat/>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sub4,Heading 8 (do not use),Heading 8 CFMU,h8,Header 8,ASAPHeading 8,8,Titolo8,action,action1,action2,action11,action3,action4,action5,action6,action7,action12,action21,action111,action31,action8,action13,action22,action112,action32"/>
    <w:basedOn w:val="Normal"/>
    <w:next w:val="Normal"/>
    <w:link w:val="Heading8Char"/>
    <w:unhideWhenUsed/>
    <w:qFormat/>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qFormat/>
    <w:pPr>
      <w:numPr>
        <w:ilvl w:val="8"/>
        <w:numId w:val="2"/>
      </w:numPr>
      <w:spacing w:before="240" w:after="60"/>
      <w:outlineLvl w:val="8"/>
    </w:pPr>
    <w:rPr>
      <w:rFonts w:ascii="Calibri" w:eastAsia="MS Gothic" w:hAnsi="Calibr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Pr>
      <w:rFonts w:ascii="Lucida Grande" w:hAnsi="Lucida Grande" w:cs="Lucida Grande"/>
      <w:sz w:val="18"/>
      <w:szCs w:val="18"/>
    </w:rPr>
  </w:style>
  <w:style w:type="character" w:customStyle="1" w:styleId="BalloonTextChar">
    <w:name w:val="Balloon Text Char"/>
    <w:link w:val="BalloonText"/>
    <w:uiPriority w:val="99"/>
    <w:rPr>
      <w:rFonts w:ascii="Lucida Grande" w:hAnsi="Lucida Grande" w:cs="Lucida Grande"/>
      <w:sz w:val="18"/>
      <w:szCs w:val="18"/>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Times-Roman" w:hAnsi="Times-Roman" w:cs="Times-Roman"/>
      <w:color w:val="000000"/>
      <w:lang w:val="fr-FR"/>
    </w:rPr>
  </w:style>
  <w:style w:type="character" w:customStyle="1" w:styleId="Heading1Char">
    <w:name w:val="Heading 1 Char"/>
    <w:aliases w:val="F3 Heading 1 - Section Char,1. Char,h1 Char,ITTHEADER1 Char,(Section) Char,Numbered - 1 Char,Section Char,Chapter Hdg Char,CH TITLE 1 Char,Chapter Heading Char,Titre 1 Char,1 Char,H1 Char,section head Char,al Char,section head1 Char"/>
    <w:link w:val="Heading1"/>
    <w:uiPriority w:val="9"/>
    <w:rPr>
      <w:rFonts w:ascii="Verdana" w:hAnsi="Verdana"/>
      <w:b/>
      <w:sz w:val="26"/>
      <w:szCs w:val="24"/>
      <w:lang w:eastAsia="en-US"/>
    </w:rPr>
  </w:style>
  <w:style w:type="character" w:customStyle="1" w:styleId="Heading2Char">
    <w:name w:val="Heading 2 Char"/>
    <w:aliases w:val="F4 Heading 2 - SubSection Char,h2 Char,Heading 2 Char1 Char,Heading 2 Char Char Char,H2 Char Char,heading 2 Char Char,(SubSection) Char,Para Nos Char,Para Char,Main Heading Char,Main Headi Char,Numbered - 2 Char,(Main Heading) Char"/>
    <w:link w:val="Heading2"/>
    <w:uiPriority w:val="9"/>
    <w:rPr>
      <w:rFonts w:ascii="Verdana" w:eastAsiaTheme="majorEastAsia" w:hAnsi="Verdana" w:cstheme="majorBidi"/>
      <w:b/>
      <w:bCs/>
      <w:iCs/>
      <w:sz w:val="24"/>
      <w:szCs w:val="26"/>
      <w:lang w:eastAsia="en-US"/>
    </w:rPr>
  </w:style>
  <w:style w:type="character" w:customStyle="1" w:styleId="Heading9Char">
    <w:name w:val="Heading 9 Char"/>
    <w:link w:val="Heading9"/>
    <w:uiPriority w:val="9"/>
    <w:rPr>
      <w:rFonts w:ascii="Calibri" w:eastAsia="MS Gothic" w:hAnsi="Calibri"/>
      <w:sz w:val="22"/>
      <w:szCs w:val="22"/>
      <w:lang w:eastAsia="en-US"/>
    </w:rPr>
  </w:style>
  <w:style w:type="character" w:customStyle="1" w:styleId="A2">
    <w:name w:val="A2"/>
    <w:rPr>
      <w:rFonts w:cs="EC Square Sans Pro Medium"/>
      <w:i/>
      <w:iCs/>
      <w:color w:val="21ADE4"/>
    </w:rPr>
  </w:style>
  <w:style w:type="character" w:customStyle="1" w:styleId="A0">
    <w:name w:val="A0"/>
    <w:rPr>
      <w:rFonts w:cs="EC Square Sans Pro Medium"/>
      <w:color w:val="21ADE4"/>
      <w:sz w:val="22"/>
      <w:szCs w:val="22"/>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4"/>
      <w:szCs w:val="24"/>
      <w:lang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4"/>
      <w:szCs w:val="24"/>
      <w:lang w:eastAsia="en-US"/>
    </w:rPr>
  </w:style>
  <w:style w:type="paragraph" w:styleId="NoSpacing">
    <w:name w:val="No Spacing"/>
    <w:link w:val="NoSpacingChar"/>
    <w:uiPriority w:val="99"/>
    <w:qFormat/>
    <w:rPr>
      <w:sz w:val="24"/>
      <w:szCs w:val="24"/>
      <w:lang w:eastAsia="en-US"/>
    </w:rPr>
  </w:style>
  <w:style w:type="paragraph" w:styleId="ListParagraph">
    <w:name w:val="List Paragraph"/>
    <w:aliases w:val="Paragraphe de liste 2,Reference list,Normal bullet 2,Bullet list,Numbered List,List Paragraph1,1st level - Bullet List Paragraph,Lettre d'introduction,Paragrafo elenco,Bullet EY,List Paragraph11,Normal bullet 21,O-1 List bullets,List1"/>
    <w:basedOn w:val="Normal"/>
    <w:link w:val="ListParagraphChar"/>
    <w:uiPriority w:val="34"/>
    <w:qFormat/>
    <w:pPr>
      <w:spacing w:after="200"/>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rFonts w:ascii="EC Square Sans Pro" w:hAnsi="EC Square Sans Pro"/>
      <w:lang w:eastAsia="en-US"/>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EC Square Sans Pro" w:hAnsi="EC Square Sans Pro"/>
      <w:b/>
      <w:bCs/>
      <w:lang w:eastAsia="en-US"/>
    </w:rPr>
  </w:style>
  <w:style w:type="character" w:customStyle="1" w:styleId="Heading3Char">
    <w:name w:val="Heading 3 Char"/>
    <w:aliases w:val="H31 Char,Headline 3 Char,h3 Char,h31 Char,h32 Char,H3 Char,Heading 3 Char Char Char,Heading 3 - old Char,heading 3 Char,ASAPHeading 3 Char,Mi Char,Minor Char,Headline Char,Punt 3 Char1,Heading 3 CFMU Char,Para 3 Char,Punt 3 Char Char"/>
    <w:basedOn w:val="DefaultParagraphFont"/>
    <w:link w:val="Heading3"/>
    <w:uiPriority w:val="9"/>
    <w:rPr>
      <w:rFonts w:ascii="Verdana" w:eastAsiaTheme="majorEastAsia" w:hAnsi="Verdana" w:cstheme="majorBidi"/>
      <w:b/>
      <w:bCs/>
      <w:sz w:val="22"/>
      <w:szCs w:val="24"/>
      <w:lang w:eastAsia="en-US"/>
    </w:rPr>
  </w:style>
  <w:style w:type="character" w:customStyle="1" w:styleId="Heading4Char">
    <w:name w:val="Heading 4 Char"/>
    <w:aliases w:val="itth4 Char,TABLE Char,heading 4 Char Char,Numbered - 4 Char,level 3 subhead Char,PA Micro Section Char,(Alt+4) Char,H41 Char,(Alt+4)1 Char,H42 Char,(Alt+4)2 Char,H43 Char,(Alt+4)3 Char,H44 Char,(Alt+4)4 Char,H45 Char,(Alt+4)5 Char"/>
    <w:basedOn w:val="DefaultParagraphFont"/>
    <w:link w:val="Heading4"/>
    <w:uiPriority w:val="9"/>
    <w:rPr>
      <w:rFonts w:ascii="Verdana" w:eastAsiaTheme="majorEastAsia" w:hAnsi="Verdana" w:cstheme="majorBidi"/>
      <w:b/>
      <w:bCs/>
      <w:iCs/>
      <w:szCs w:val="24"/>
      <w:lang w:eastAsia="en-US"/>
    </w:rPr>
  </w:style>
  <w:style w:type="character" w:customStyle="1" w:styleId="Heading5Char">
    <w:name w:val="Heading 5 Char"/>
    <w:basedOn w:val="DefaultParagraphFont"/>
    <w:link w:val="Heading5"/>
    <w:uiPriority w:val="9"/>
    <w:rPr>
      <w:rFonts w:ascii="Verdana" w:eastAsiaTheme="majorEastAsia" w:hAnsi="Verdana" w:cstheme="majorBidi"/>
      <w:b/>
      <w:color w:val="0033CC"/>
      <w:szCs w:val="24"/>
      <w:lang w:eastAsia="en-US"/>
    </w:rPr>
  </w:style>
  <w:style w:type="paragraph" w:styleId="TOCHeading">
    <w:name w:val="TOC Heading"/>
    <w:basedOn w:val="Heading1"/>
    <w:next w:val="Normal"/>
    <w:uiPriority w:val="39"/>
    <w:unhideWhenUsed/>
    <w:qFormat/>
    <w:pPr>
      <w:keepLines/>
      <w:spacing w:before="480" w:after="0"/>
      <w:jc w:val="left"/>
      <w:outlineLvl w:val="9"/>
    </w:pPr>
    <w:rPr>
      <w:rFonts w:asciiTheme="majorHAnsi" w:eastAsiaTheme="majorEastAsia" w:hAnsiTheme="majorHAnsi" w:cstheme="majorBidi"/>
      <w:caps/>
      <w:color w:val="365F91" w:themeColor="accent1" w:themeShade="BF"/>
      <w:sz w:val="28"/>
      <w:szCs w:val="28"/>
      <w:lang w:val="en-US" w:eastAsia="ja-JP"/>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00"/>
    </w:pPr>
  </w:style>
  <w:style w:type="paragraph" w:styleId="TOC3">
    <w:name w:val="toc 3"/>
    <w:basedOn w:val="Normal"/>
    <w:next w:val="Normal"/>
    <w:autoRedefine/>
    <w:uiPriority w:val="39"/>
    <w:unhideWhenUsed/>
    <w:qFormat/>
    <w:pPr>
      <w:spacing w:after="100"/>
      <w:ind w:left="400"/>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spacing w:before="100" w:beforeAutospacing="1" w:after="100" w:afterAutospacing="1"/>
      <w:jc w:val="left"/>
    </w:pPr>
    <w:rPr>
      <w:rFonts w:ascii="Times New Roman" w:eastAsia="Times New Roman" w:hAnsi="Times New Roman"/>
      <w:sz w:val="24"/>
      <w:lang w:eastAsia="en-GB"/>
    </w:rPr>
  </w:style>
  <w:style w:type="paragraph" w:styleId="TOC4">
    <w:name w:val="toc 4"/>
    <w:basedOn w:val="Normal"/>
    <w:next w:val="Normal"/>
    <w:autoRedefine/>
    <w:uiPriority w:val="39"/>
    <w:unhideWhenUsed/>
    <w:pPr>
      <w:spacing w:after="100"/>
      <w:ind w:left="600"/>
    </w:pPr>
  </w:style>
  <w:style w:type="paragraph" w:styleId="TOC5">
    <w:name w:val="toc 5"/>
    <w:basedOn w:val="Normal"/>
    <w:next w:val="Normal"/>
    <w:autoRedefine/>
    <w:uiPriority w:val="39"/>
    <w:unhideWhenUsed/>
    <w:pPr>
      <w:spacing w:after="100"/>
      <w:ind w:left="800"/>
    </w:pPr>
  </w:style>
  <w:style w:type="paragraph" w:styleId="FootnoteText">
    <w:name w:val="footnote text"/>
    <w:aliases w:val="Testo nota a piè di pagina_Rientro,stile 1,Footnote,Footnote1,Footnote2,Footnote3,Footnote4,Footnote5,Footnote6,Footnote7,Footnote8,Footnote9,Footnote10,Footnote11,Footnote21,Footnote31,Footnote41,Footnote51,Footnote61,ft,fn,Fußnotentextf"/>
    <w:basedOn w:val="Normal"/>
    <w:link w:val="FootnoteTextChar"/>
    <w:uiPriority w:val="99"/>
    <w:unhideWhenUsed/>
    <w:qFormat/>
    <w:pPr>
      <w:spacing w:before="0" w:after="0"/>
    </w:pPr>
    <w:rPr>
      <w:szCs w:val="20"/>
    </w:rPr>
  </w:style>
  <w:style w:type="character" w:customStyle="1" w:styleId="FootnoteTextChar">
    <w:name w:val="Footnote Text Char"/>
    <w:aliases w:val="Testo nota a piè di pagina_Rientro Char,stile 1 Char,Footnote Char,Footnote1 Char,Footnote2 Char,Footnote3 Char,Footnote4 Char,Footnote5 Char,Footnote6 Char,Footnote7 Char,Footnote8 Char,Footnote9 Char,Footnote10 Char,Footnote11 Char"/>
    <w:basedOn w:val="DefaultParagraphFont"/>
    <w:link w:val="FootnoteText"/>
    <w:uiPriority w:val="99"/>
    <w:rPr>
      <w:rFonts w:ascii="Verdana" w:hAnsi="Verdana"/>
      <w:lang w:eastAsia="en-US"/>
    </w:rPr>
  </w:style>
  <w:style w:type="character" w:styleId="FootnoteReference">
    <w:name w:val="footnote reference"/>
    <w:aliases w:val="Footnote Refernece,BVI fnr,callout,16 Point,Superscript 6 Point,Footnote Reference Superscript,Ref,de nota al pie,-E Fußnotenzeichen,number,SUPERS,EN Footnote Reference,-E Fuﬂnotenzeichen,-E Fuûnotenzeichen,Footnote number,F,FR,o,f,E"/>
    <w:basedOn w:val="DefaultParagraphFont"/>
    <w:link w:val="FootnotesymbolCarZchn"/>
    <w:uiPriority w:val="99"/>
    <w:unhideWhenUsed/>
    <w:qFormat/>
    <w:rPr>
      <w:vertAlign w:val="superscript"/>
    </w:rPr>
  </w:style>
  <w:style w:type="paragraph" w:customStyle="1" w:styleId="Maintitle">
    <w:name w:val="Main title"/>
    <w:basedOn w:val="Normal"/>
    <w:link w:val="MaintitleChar"/>
    <w:qFormat/>
    <w:pPr>
      <w:widowControl w:val="0"/>
      <w:spacing w:line="640" w:lineRule="exact"/>
    </w:pPr>
    <w:rPr>
      <w:sz w:val="56"/>
      <w:szCs w:val="56"/>
    </w:rPr>
  </w:style>
  <w:style w:type="paragraph" w:customStyle="1" w:styleId="MainSubtitle">
    <w:name w:val="Main Subtitle"/>
    <w:basedOn w:val="Normal"/>
    <w:link w:val="MainSubtitleChar"/>
    <w:qFormat/>
    <w:pPr>
      <w:widowControl w:val="0"/>
      <w:spacing w:line="320" w:lineRule="exact"/>
    </w:pPr>
    <w:rPr>
      <w:i/>
      <w:color w:val="646567"/>
      <w:sz w:val="32"/>
      <w:szCs w:val="32"/>
    </w:rPr>
  </w:style>
  <w:style w:type="character" w:customStyle="1" w:styleId="MaintitleChar">
    <w:name w:val="Main title Char"/>
    <w:basedOn w:val="DefaultParagraphFont"/>
    <w:link w:val="Maintitle"/>
    <w:rPr>
      <w:rFonts w:ascii="Verdana" w:hAnsi="Verdana"/>
      <w:sz w:val="56"/>
      <w:szCs w:val="56"/>
      <w:lang w:eastAsia="en-US"/>
    </w:rPr>
  </w:style>
  <w:style w:type="paragraph" w:customStyle="1" w:styleId="Datecover">
    <w:name w:val="Date cover"/>
    <w:basedOn w:val="Normal"/>
    <w:link w:val="DatecoverChar"/>
    <w:qFormat/>
    <w:rPr>
      <w:color w:val="000000" w:themeColor="text1"/>
      <w:spacing w:val="32"/>
      <w:szCs w:val="20"/>
    </w:rPr>
  </w:style>
  <w:style w:type="character" w:customStyle="1" w:styleId="MainSubtitleChar">
    <w:name w:val="Main Subtitle Char"/>
    <w:basedOn w:val="DefaultParagraphFont"/>
    <w:link w:val="MainSubtitle"/>
    <w:rPr>
      <w:rFonts w:ascii="Verdana" w:hAnsi="Verdana"/>
      <w:i/>
      <w:color w:val="646567"/>
      <w:sz w:val="32"/>
      <w:szCs w:val="32"/>
      <w:lang w:eastAsia="en-US"/>
    </w:rPr>
  </w:style>
  <w:style w:type="character" w:customStyle="1" w:styleId="DatecoverChar">
    <w:name w:val="Date cover Char"/>
    <w:basedOn w:val="DefaultParagraphFont"/>
    <w:link w:val="Datecover"/>
    <w:rPr>
      <w:rFonts w:ascii="Verdana" w:hAnsi="Verdana"/>
      <w:color w:val="000000" w:themeColor="text1"/>
      <w:spacing w:val="32"/>
      <w:lang w:eastAsia="en-US"/>
    </w:rPr>
  </w:style>
  <w:style w:type="character" w:styleId="PageNumber">
    <w:name w:val="page number"/>
    <w:basedOn w:val="DefaultParagraphFont"/>
    <w:uiPriority w:val="99"/>
    <w:semiHidden/>
    <w:unhideWhenUsed/>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Cs w:val="24"/>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szCs w:val="24"/>
      <w:lang w:eastAsia="en-US"/>
    </w:rPr>
  </w:style>
  <w:style w:type="character" w:customStyle="1" w:styleId="Heading8Char">
    <w:name w:val="Heading 8 Char"/>
    <w:aliases w:val="sub4 Char,Heading 8 (do not use) Char,Heading 8 CFMU Char,h8 Char,Header 8 Char,ASAPHeading 8 Char,8 Char,Titolo8 Char,action Char,action1 Char,action2 Char,action11 Char,action3 Char,action4 Char,action5 Char,action6 Char,action7 Char"/>
    <w:basedOn w:val="DefaultParagraphFont"/>
    <w:link w:val="Heading8"/>
    <w:rPr>
      <w:rFonts w:asciiTheme="majorHAnsi" w:eastAsiaTheme="majorEastAsia" w:hAnsiTheme="majorHAnsi" w:cstheme="majorBidi"/>
      <w:color w:val="404040" w:themeColor="text1" w:themeTint="BF"/>
      <w:lang w:eastAsia="en-US"/>
    </w:rPr>
  </w:style>
  <w:style w:type="paragraph" w:customStyle="1" w:styleId="Headingnonumber">
    <w:name w:val="Heading (no number)"/>
    <w:basedOn w:val="Heading1"/>
    <w:next w:val="Normal"/>
    <w:link w:val="HeadingnonumberChar"/>
    <w:autoRedefine/>
    <w:qFormat/>
    <w:pPr>
      <w:numPr>
        <w:numId w:val="0"/>
      </w:numPr>
      <w:jc w:val="left"/>
    </w:pPr>
    <w:rPr>
      <w:smallCaps/>
      <w:sz w:val="24"/>
    </w:rPr>
  </w:style>
  <w:style w:type="paragraph" w:customStyle="1" w:styleId="Contentsdoesnotappearintableofcontents">
    <w:name w:val="Contents (does not appear in table of contents)"/>
    <w:basedOn w:val="Normal"/>
    <w:link w:val="ContentsdoesnotappearintableofcontentsChar"/>
    <w:autoRedefine/>
    <w:qFormat/>
    <w:rPr>
      <w:b/>
      <w:sz w:val="26"/>
      <w:szCs w:val="26"/>
    </w:rPr>
  </w:style>
  <w:style w:type="character" w:customStyle="1" w:styleId="HeadingnonumberChar">
    <w:name w:val="Heading (no number) Char"/>
    <w:basedOn w:val="Heading1Char"/>
    <w:link w:val="Headingnonumber"/>
    <w:rPr>
      <w:rFonts w:ascii="Verdana" w:hAnsi="Verdana"/>
      <w:b/>
      <w:smallCaps/>
      <w:sz w:val="24"/>
      <w:szCs w:val="24"/>
      <w:lang w:eastAsia="en-US"/>
    </w:rPr>
  </w:style>
  <w:style w:type="character" w:customStyle="1" w:styleId="ContentsdoesnotappearintableofcontentsChar">
    <w:name w:val="Contents (does not appear in table of contents) Char"/>
    <w:basedOn w:val="DefaultParagraphFont"/>
    <w:link w:val="Contentsdoesnotappearintableofcontents"/>
    <w:rPr>
      <w:rFonts w:ascii="Verdana" w:hAnsi="Verdana"/>
      <w:b/>
      <w:sz w:val="26"/>
      <w:szCs w:val="26"/>
      <w:lang w:eastAsia="en-US"/>
    </w:rPr>
  </w:style>
  <w:style w:type="paragraph" w:customStyle="1" w:styleId="Text">
    <w:name w:val="Text"/>
    <w:basedOn w:val="Normal"/>
    <w:link w:val="TextChar"/>
    <w:autoRedefine/>
    <w:qFormat/>
    <w:rPr>
      <w:lang w:val="pt-PT"/>
    </w:rPr>
  </w:style>
  <w:style w:type="character" w:customStyle="1" w:styleId="TextChar">
    <w:name w:val="Text Char"/>
    <w:basedOn w:val="DefaultParagraphFont"/>
    <w:link w:val="Text"/>
    <w:rPr>
      <w:rFonts w:ascii="Verdana" w:hAnsi="Verdana"/>
      <w:szCs w:val="24"/>
      <w:lang w:val="pt-PT" w:eastAsia="en-US"/>
    </w:rPr>
  </w:style>
  <w:style w:type="table" w:styleId="TableGrid">
    <w:name w:val="Table Grid"/>
    <w:aliases w:val="HTG,TabelEcorys,Deloitte"/>
    <w:basedOn w:val="TableNormal"/>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pPr>
      <w:numPr>
        <w:ilvl w:val="1"/>
      </w:numPr>
    </w:pPr>
    <w:rPr>
      <w:rFonts w:asciiTheme="majorHAnsi" w:eastAsiaTheme="majorEastAsia" w:hAnsiTheme="majorHAnsi" w:cstheme="majorBidi"/>
      <w:i/>
      <w:iCs/>
      <w:spacing w:val="15"/>
      <w:sz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spacing w:val="15"/>
      <w:sz w:val="24"/>
      <w:szCs w:val="24"/>
      <w:lang w:eastAsia="en-US"/>
    </w:rPr>
  </w:style>
  <w:style w:type="paragraph" w:styleId="Caption">
    <w:name w:val="caption"/>
    <w:aliases w:val="Figure Caption, Char Char,Char Char,Figure Caption + Avant : 14 pt,Motif : Transparente (Gris - 15 %),TF,Caption1 Char Char Char Char Char Char Char Char Tegn Tegn Tegn Tegn Tegn,Caption1 Char Char Char Char Char Char Char Char Tegn Tegn Tegn"/>
    <w:basedOn w:val="Normal"/>
    <w:next w:val="Normal"/>
    <w:link w:val="CaptionChar"/>
    <w:uiPriority w:val="35"/>
    <w:unhideWhenUsed/>
    <w:qFormat/>
    <w:pPr>
      <w:spacing w:before="0" w:after="200"/>
      <w:jc w:val="center"/>
    </w:pPr>
    <w:rPr>
      <w:rFonts w:asciiTheme="minorHAnsi" w:eastAsiaTheme="minorHAnsi" w:hAnsiTheme="minorHAnsi" w:cstheme="minorBidi"/>
      <w:b/>
      <w:bCs/>
      <w:color w:val="4F81BD" w:themeColor="accent1"/>
      <w:sz w:val="18"/>
      <w:szCs w:val="18"/>
      <w:lang w:val="en-US"/>
    </w:rPr>
  </w:style>
  <w:style w:type="paragraph" w:styleId="Bibliography">
    <w:name w:val="Bibliography"/>
    <w:basedOn w:val="Normal"/>
    <w:next w:val="Normal"/>
    <w:uiPriority w:val="70"/>
  </w:style>
  <w:style w:type="paragraph" w:styleId="TableofFigures">
    <w:name w:val="table of figures"/>
    <w:basedOn w:val="Normal"/>
    <w:next w:val="Normal"/>
    <w:uiPriority w:val="99"/>
    <w:unhideWhenUsed/>
    <w:pPr>
      <w:spacing w:after="0"/>
    </w:pPr>
  </w:style>
  <w:style w:type="character" w:customStyle="1" w:styleId="NoSpacingChar">
    <w:name w:val="No Spacing Char"/>
    <w:basedOn w:val="DefaultParagraphFont"/>
    <w:link w:val="NoSpacing"/>
    <w:uiPriority w:val="1"/>
    <w:rPr>
      <w:sz w:val="24"/>
      <w:szCs w:val="24"/>
      <w:lang w:eastAsia="en-US"/>
    </w:rPr>
  </w:style>
  <w:style w:type="numbering" w:customStyle="1" w:styleId="NoList1">
    <w:name w:val="No List1"/>
    <w:next w:val="NoList"/>
    <w:uiPriority w:val="99"/>
    <w:semiHidden/>
    <w:unhideWhenUsed/>
  </w:style>
  <w:style w:type="paragraph" w:customStyle="1" w:styleId="Text1">
    <w:name w:val="Text 1"/>
    <w:basedOn w:val="Normal"/>
    <w:link w:val="Text1Char"/>
    <w:pPr>
      <w:spacing w:before="0" w:after="240"/>
      <w:ind w:left="482"/>
    </w:pPr>
    <w:rPr>
      <w:rFonts w:ascii="Times New Roman" w:eastAsia="Times New Roman" w:hAnsi="Times New Roman"/>
      <w:sz w:val="24"/>
      <w:szCs w:val="20"/>
    </w:rPr>
  </w:style>
  <w:style w:type="paragraph" w:customStyle="1" w:styleId="Text2">
    <w:name w:val="Text 2"/>
    <w:basedOn w:val="Normal"/>
    <w:link w:val="Text2Char"/>
    <w:pPr>
      <w:tabs>
        <w:tab w:val="left" w:pos="2302"/>
      </w:tabs>
      <w:spacing w:before="0" w:after="240"/>
      <w:ind w:left="1202"/>
    </w:pPr>
    <w:rPr>
      <w:rFonts w:ascii="Times New Roman" w:eastAsia="Times New Roman" w:hAnsi="Times New Roman"/>
      <w:sz w:val="24"/>
      <w:szCs w:val="20"/>
    </w:rPr>
  </w:style>
  <w:style w:type="paragraph" w:customStyle="1" w:styleId="Text3">
    <w:name w:val="Text 3"/>
    <w:basedOn w:val="Normal"/>
    <w:pPr>
      <w:tabs>
        <w:tab w:val="left" w:pos="2302"/>
      </w:tabs>
      <w:spacing w:before="0" w:after="240"/>
      <w:ind w:left="1202"/>
    </w:pPr>
    <w:rPr>
      <w:rFonts w:ascii="Times New Roman" w:eastAsia="Times New Roman" w:hAnsi="Times New Roman"/>
      <w:sz w:val="24"/>
      <w:szCs w:val="20"/>
    </w:rPr>
  </w:style>
  <w:style w:type="paragraph" w:customStyle="1" w:styleId="Text4">
    <w:name w:val="Text 4"/>
    <w:basedOn w:val="Normal"/>
    <w:pPr>
      <w:tabs>
        <w:tab w:val="left" w:pos="2302"/>
      </w:tabs>
      <w:spacing w:before="0" w:after="240"/>
      <w:ind w:left="1202"/>
    </w:pPr>
    <w:rPr>
      <w:rFonts w:ascii="Times New Roman" w:eastAsia="Times New Roman" w:hAnsi="Times New Roman"/>
      <w:sz w:val="24"/>
      <w:szCs w:val="20"/>
    </w:rPr>
  </w:style>
  <w:style w:type="paragraph" w:customStyle="1" w:styleId="Address">
    <w:name w:val="Address"/>
    <w:basedOn w:val="Normal"/>
    <w:pPr>
      <w:spacing w:before="0" w:after="0"/>
      <w:jc w:val="left"/>
    </w:pPr>
    <w:rPr>
      <w:rFonts w:ascii="Times New Roman" w:eastAsia="Times New Roman" w:hAnsi="Times New Roman"/>
      <w:sz w:val="24"/>
      <w:szCs w:val="20"/>
    </w:rPr>
  </w:style>
  <w:style w:type="paragraph" w:customStyle="1" w:styleId="AddressTL">
    <w:name w:val="AddressTL"/>
    <w:basedOn w:val="Normal"/>
    <w:next w:val="Normal"/>
    <w:pPr>
      <w:spacing w:before="0" w:after="720"/>
      <w:jc w:val="left"/>
    </w:pPr>
    <w:rPr>
      <w:rFonts w:ascii="Times New Roman" w:eastAsia="Times New Roman" w:hAnsi="Times New Roman"/>
      <w:sz w:val="24"/>
      <w:szCs w:val="20"/>
    </w:rPr>
  </w:style>
  <w:style w:type="paragraph" w:customStyle="1" w:styleId="AddressTR">
    <w:name w:val="AddressTR"/>
    <w:basedOn w:val="Normal"/>
    <w:next w:val="Normal"/>
    <w:pPr>
      <w:spacing w:before="0" w:after="720"/>
      <w:ind w:left="5103"/>
      <w:jc w:val="left"/>
    </w:pPr>
    <w:rPr>
      <w:rFonts w:ascii="Times New Roman" w:eastAsia="Times New Roman" w:hAnsi="Times New Roman"/>
      <w:sz w:val="24"/>
      <w:szCs w:val="20"/>
    </w:rPr>
  </w:style>
  <w:style w:type="paragraph" w:styleId="BlockText">
    <w:name w:val="Block Text"/>
    <w:basedOn w:val="Normal"/>
    <w:pPr>
      <w:spacing w:before="0"/>
      <w:ind w:left="1440" w:right="1440"/>
    </w:pPr>
    <w:rPr>
      <w:rFonts w:ascii="Times New Roman" w:eastAsia="Times New Roman" w:hAnsi="Times New Roman"/>
      <w:sz w:val="24"/>
      <w:szCs w:val="20"/>
    </w:rPr>
  </w:style>
  <w:style w:type="paragraph" w:styleId="BodyText">
    <w:name w:val="Body Text"/>
    <w:aliases w:val="F2 Body Text,F4 Main Text,Document,Doc,Body Text2,doc,Standard paragraph,1body,BodText,bt,body text,Body Txt,Body Text-10,Τίτλος Μελέτης,- TF,BodyText,(Norm),Body Text 12,gl,uvlaka 2,heading3,Body Text - Level 2,Text Char1,b...,-, (Norm)"/>
    <w:basedOn w:val="Normal"/>
    <w:link w:val="BodyTextChar"/>
    <w:qFormat/>
    <w:pPr>
      <w:spacing w:before="0"/>
    </w:pPr>
    <w:rPr>
      <w:rFonts w:ascii="Times New Roman" w:eastAsia="Times New Roman" w:hAnsi="Times New Roman"/>
      <w:sz w:val="24"/>
      <w:szCs w:val="20"/>
    </w:rPr>
  </w:style>
  <w:style w:type="character" w:customStyle="1" w:styleId="BodyTextChar">
    <w:name w:val="Body Text Char"/>
    <w:aliases w:val="F2 Body Text Char,F4 Main Text Char,Document Char,Doc Char,Body Text2 Char,doc Char,Standard paragraph Char,1body Char,BodText Char,bt Char,body text Char,Body Txt Char,Body Text-10 Char,Τίτλος Μελέτης Char,- TF Char,BodyText Char,gl Char"/>
    <w:basedOn w:val="DefaultParagraphFont"/>
    <w:link w:val="BodyText"/>
    <w:rPr>
      <w:rFonts w:ascii="Times New Roman" w:eastAsia="Times New Roman" w:hAnsi="Times New Roman"/>
      <w:sz w:val="24"/>
      <w:lang w:eastAsia="en-US"/>
    </w:rPr>
  </w:style>
  <w:style w:type="paragraph" w:styleId="BodyText2">
    <w:name w:val="Body Text 2"/>
    <w:basedOn w:val="Normal"/>
    <w:link w:val="BodyText2Char"/>
    <w:pPr>
      <w:spacing w:before="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rPr>
      <w:rFonts w:ascii="Times New Roman" w:eastAsia="Times New Roman" w:hAnsi="Times New Roman"/>
      <w:sz w:val="24"/>
      <w:lang w:eastAsia="en-US"/>
    </w:rPr>
  </w:style>
  <w:style w:type="paragraph" w:styleId="BodyText3">
    <w:name w:val="Body Text 3"/>
    <w:basedOn w:val="Normal"/>
    <w:link w:val="BodyText3Char"/>
    <w:pPr>
      <w:spacing w:before="0"/>
    </w:pPr>
    <w:rPr>
      <w:rFonts w:ascii="Times New Roman" w:eastAsia="Times New Roman" w:hAnsi="Times New Roman"/>
      <w:sz w:val="16"/>
      <w:szCs w:val="20"/>
    </w:rPr>
  </w:style>
  <w:style w:type="character" w:customStyle="1" w:styleId="BodyText3Char">
    <w:name w:val="Body Text 3 Char"/>
    <w:basedOn w:val="DefaultParagraphFont"/>
    <w:link w:val="BodyText3"/>
    <w:rPr>
      <w:rFonts w:ascii="Times New Roman" w:eastAsia="Times New Roman" w:hAnsi="Times New Roman"/>
      <w:sz w:val="16"/>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sz w:val="24"/>
      <w:lang w:eastAsia="en-US"/>
    </w:rPr>
  </w:style>
  <w:style w:type="paragraph" w:styleId="BodyTextIndent">
    <w:name w:val="Body Text Indent"/>
    <w:basedOn w:val="Normal"/>
    <w:link w:val="BodyTextIndentChar"/>
    <w:pPr>
      <w:spacing w:before="0"/>
      <w:ind w:left="283"/>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sz w:val="24"/>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sz w:val="24"/>
      <w:lang w:eastAsia="en-US"/>
    </w:rPr>
  </w:style>
  <w:style w:type="paragraph" w:styleId="BodyTextIndent2">
    <w:name w:val="Body Text Indent 2"/>
    <w:basedOn w:val="Normal"/>
    <w:link w:val="BodyTextIndent2Char"/>
    <w:pPr>
      <w:spacing w:before="0" w:line="480" w:lineRule="auto"/>
      <w:ind w:left="283"/>
    </w:pPr>
    <w:rPr>
      <w:rFonts w:ascii="Times New Roman" w:eastAsia="Times New Roman" w:hAnsi="Times New Roman"/>
      <w:sz w:val="24"/>
      <w:szCs w:val="20"/>
    </w:rPr>
  </w:style>
  <w:style w:type="character" w:customStyle="1" w:styleId="BodyTextIndent2Char">
    <w:name w:val="Body Text Indent 2 Char"/>
    <w:basedOn w:val="DefaultParagraphFont"/>
    <w:link w:val="BodyTextIndent2"/>
    <w:rPr>
      <w:rFonts w:ascii="Times New Roman" w:eastAsia="Times New Roman" w:hAnsi="Times New Roman"/>
      <w:sz w:val="24"/>
      <w:lang w:eastAsia="en-US"/>
    </w:rPr>
  </w:style>
  <w:style w:type="paragraph" w:styleId="BodyTextIndent3">
    <w:name w:val="Body Text Indent 3"/>
    <w:basedOn w:val="Normal"/>
    <w:link w:val="BodyTextIndent3Char"/>
    <w:pPr>
      <w:spacing w:before="0"/>
      <w:ind w:left="283"/>
    </w:pPr>
    <w:rPr>
      <w:rFonts w:ascii="Times New Roman" w:eastAsia="Times New Roman" w:hAnsi="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sz w:val="16"/>
      <w:lang w:eastAsia="en-US"/>
    </w:rPr>
  </w:style>
  <w:style w:type="paragraph" w:customStyle="1" w:styleId="ChapterTitle">
    <w:name w:val="ChapterTitle"/>
    <w:basedOn w:val="Normal"/>
    <w:next w:val="SectionTitle"/>
    <w:pPr>
      <w:keepNext/>
      <w:spacing w:before="0" w:after="480"/>
      <w:jc w:val="center"/>
    </w:pPr>
    <w:rPr>
      <w:rFonts w:ascii="Times New Roman" w:eastAsia="Times New Roman" w:hAnsi="Times New Roman"/>
      <w:b/>
      <w:sz w:val="32"/>
      <w:szCs w:val="20"/>
    </w:rPr>
  </w:style>
  <w:style w:type="paragraph" w:customStyle="1" w:styleId="SectionTitle">
    <w:name w:val="SectionTitle"/>
    <w:basedOn w:val="Normal"/>
    <w:next w:val="Heading1"/>
    <w:pPr>
      <w:keepNext/>
      <w:spacing w:before="0" w:after="480"/>
      <w:jc w:val="center"/>
    </w:pPr>
    <w:rPr>
      <w:rFonts w:ascii="Times New Roman" w:eastAsia="Times New Roman" w:hAnsi="Times New Roman"/>
      <w:b/>
      <w:smallCaps/>
      <w:sz w:val="28"/>
      <w:szCs w:val="20"/>
    </w:rPr>
  </w:style>
  <w:style w:type="paragraph" w:styleId="Closing">
    <w:name w:val="Closing"/>
    <w:basedOn w:val="Normal"/>
    <w:link w:val="ClosingChar"/>
    <w:pPr>
      <w:spacing w:before="0" w:after="240"/>
      <w:ind w:left="4252"/>
    </w:pPr>
    <w:rPr>
      <w:rFonts w:ascii="Times New Roman" w:eastAsia="Times New Roman" w:hAnsi="Times New Roman"/>
      <w:sz w:val="24"/>
      <w:szCs w:val="20"/>
    </w:rPr>
  </w:style>
  <w:style w:type="character" w:customStyle="1" w:styleId="ClosingChar">
    <w:name w:val="Closing Char"/>
    <w:basedOn w:val="DefaultParagraphFont"/>
    <w:link w:val="Closing"/>
    <w:rPr>
      <w:rFonts w:ascii="Times New Roman" w:eastAsia="Times New Roman" w:hAnsi="Times New Roman"/>
      <w:sz w:val="24"/>
      <w:lang w:eastAsia="en-US"/>
    </w:rPr>
  </w:style>
  <w:style w:type="paragraph" w:styleId="Date">
    <w:name w:val="Date"/>
    <w:basedOn w:val="Normal"/>
    <w:next w:val="References"/>
    <w:link w:val="DateChar"/>
    <w:pPr>
      <w:spacing w:before="0" w:after="0"/>
      <w:ind w:left="5103" w:right="-567"/>
      <w:jc w:val="left"/>
    </w:pPr>
    <w:rPr>
      <w:rFonts w:ascii="Times New Roman" w:eastAsia="Times New Roman" w:hAnsi="Times New Roman"/>
      <w:sz w:val="24"/>
      <w:szCs w:val="20"/>
    </w:rPr>
  </w:style>
  <w:style w:type="character" w:customStyle="1" w:styleId="DateChar">
    <w:name w:val="Date Char"/>
    <w:basedOn w:val="DefaultParagraphFont"/>
    <w:link w:val="Date"/>
    <w:rPr>
      <w:rFonts w:ascii="Times New Roman" w:eastAsia="Times New Roman" w:hAnsi="Times New Roman"/>
      <w:sz w:val="24"/>
      <w:lang w:eastAsia="en-US"/>
    </w:rPr>
  </w:style>
  <w:style w:type="paragraph" w:customStyle="1" w:styleId="References">
    <w:name w:val="References"/>
    <w:basedOn w:val="Normal"/>
    <w:next w:val="AddressTR"/>
    <w:pPr>
      <w:spacing w:before="0" w:after="240"/>
      <w:ind w:left="5103"/>
      <w:jc w:val="left"/>
    </w:pPr>
    <w:rPr>
      <w:rFonts w:ascii="Times New Roman" w:eastAsia="Times New Roman" w:hAnsi="Times New Roman"/>
      <w:szCs w:val="20"/>
    </w:rPr>
  </w:style>
  <w:style w:type="paragraph" w:styleId="DocumentMap">
    <w:name w:val="Document Map"/>
    <w:basedOn w:val="Normal"/>
    <w:link w:val="DocumentMapChar"/>
    <w:semiHidden/>
    <w:pPr>
      <w:shd w:val="clear" w:color="auto" w:fill="000080"/>
      <w:spacing w:before="0" w:after="240"/>
    </w:pPr>
    <w:rPr>
      <w:rFonts w:ascii="Tahoma" w:eastAsia="Times New Roman" w:hAnsi="Tahoma"/>
      <w:sz w:val="24"/>
      <w:szCs w:val="20"/>
    </w:rPr>
  </w:style>
  <w:style w:type="character" w:customStyle="1" w:styleId="DocumentMapChar">
    <w:name w:val="Document Map Char"/>
    <w:basedOn w:val="DefaultParagraphFont"/>
    <w:link w:val="DocumentMap"/>
    <w:semiHidden/>
    <w:rPr>
      <w:rFonts w:ascii="Tahoma" w:eastAsia="Times New Roman" w:hAnsi="Tahoma"/>
      <w:sz w:val="24"/>
      <w:shd w:val="clear" w:color="auto" w:fill="000080"/>
      <w:lang w:eastAsia="en-US"/>
    </w:rPr>
  </w:style>
  <w:style w:type="paragraph" w:customStyle="1" w:styleId="DoubSign">
    <w:name w:val="DoubSign"/>
    <w:basedOn w:val="Normal"/>
    <w:next w:val="Enclosures"/>
    <w:pPr>
      <w:tabs>
        <w:tab w:val="left" w:pos="5103"/>
      </w:tabs>
      <w:spacing w:before="1200" w:after="0"/>
      <w:jc w:val="left"/>
    </w:pPr>
    <w:rPr>
      <w:rFonts w:ascii="Times New Roman" w:eastAsia="Times New Roman" w:hAnsi="Times New Roman"/>
      <w:sz w:val="24"/>
      <w:szCs w:val="20"/>
    </w:rPr>
  </w:style>
  <w:style w:type="paragraph" w:customStyle="1" w:styleId="Enclosures">
    <w:name w:val="Enclosures"/>
    <w:basedOn w:val="Normal"/>
    <w:pPr>
      <w:keepNext/>
      <w:keepLines/>
      <w:tabs>
        <w:tab w:val="left" w:pos="5642"/>
      </w:tabs>
      <w:spacing w:before="480" w:after="0"/>
      <w:ind w:left="1191" w:hanging="1191"/>
      <w:jc w:val="left"/>
    </w:pPr>
    <w:rPr>
      <w:rFonts w:ascii="Times New Roman" w:eastAsia="Times New Roman" w:hAnsi="Times New Roman"/>
      <w:sz w:val="24"/>
      <w:szCs w:val="20"/>
    </w:rPr>
  </w:style>
  <w:style w:type="paragraph" w:styleId="EndnoteText">
    <w:name w:val="endnote text"/>
    <w:basedOn w:val="Normal"/>
    <w:link w:val="EndnoteTextChar1"/>
    <w:uiPriority w:val="99"/>
    <w:pPr>
      <w:spacing w:before="0" w:after="240"/>
    </w:pPr>
    <w:rPr>
      <w:rFonts w:ascii="Times New Roman" w:eastAsia="Times New Roman" w:hAnsi="Times New Roman"/>
      <w:szCs w:val="20"/>
    </w:rPr>
  </w:style>
  <w:style w:type="character" w:customStyle="1" w:styleId="EndnoteTextChar">
    <w:name w:val="Endnote Text Char"/>
    <w:basedOn w:val="DefaultParagraphFont"/>
    <w:rPr>
      <w:rFonts w:ascii="Verdana" w:hAnsi="Verdana"/>
      <w:lang w:eastAsia="en-US"/>
    </w:rPr>
  </w:style>
  <w:style w:type="paragraph" w:styleId="EnvelopeAddress">
    <w:name w:val="envelope address"/>
    <w:basedOn w:val="Normal"/>
    <w:pPr>
      <w:framePr w:w="7920" w:h="1980" w:hRule="exact" w:hSpace="180" w:wrap="auto" w:hAnchor="page" w:xAlign="center" w:yAlign="bottom"/>
      <w:spacing w:before="0" w:after="0"/>
    </w:pPr>
    <w:rPr>
      <w:rFonts w:ascii="Times New Roman" w:eastAsia="Times New Roman" w:hAnsi="Times New Roman"/>
      <w:sz w:val="24"/>
      <w:szCs w:val="20"/>
    </w:rPr>
  </w:style>
  <w:style w:type="paragraph" w:styleId="EnvelopeReturn">
    <w:name w:val="envelope return"/>
    <w:basedOn w:val="Normal"/>
    <w:pPr>
      <w:spacing w:before="0" w:after="0"/>
    </w:pPr>
    <w:rPr>
      <w:rFonts w:ascii="Times New Roman" w:eastAsia="Times New Roman" w:hAnsi="Times New Roman"/>
      <w:szCs w:val="20"/>
    </w:rPr>
  </w:style>
  <w:style w:type="paragraph" w:styleId="Index1">
    <w:name w:val="index 1"/>
    <w:basedOn w:val="Normal"/>
    <w:next w:val="Normal"/>
    <w:autoRedefine/>
    <w:semiHidden/>
    <w:pPr>
      <w:spacing w:before="0" w:after="240"/>
      <w:ind w:left="240" w:hanging="240"/>
    </w:pPr>
    <w:rPr>
      <w:rFonts w:ascii="Times New Roman" w:eastAsia="Times New Roman" w:hAnsi="Times New Roman"/>
      <w:sz w:val="24"/>
      <w:szCs w:val="20"/>
    </w:rPr>
  </w:style>
  <w:style w:type="paragraph" w:styleId="Index2">
    <w:name w:val="index 2"/>
    <w:basedOn w:val="Normal"/>
    <w:next w:val="Normal"/>
    <w:autoRedefine/>
    <w:semiHidden/>
    <w:pPr>
      <w:spacing w:before="0" w:after="240"/>
      <w:ind w:left="480" w:hanging="240"/>
    </w:pPr>
    <w:rPr>
      <w:rFonts w:ascii="Times New Roman" w:eastAsia="Times New Roman" w:hAnsi="Times New Roman"/>
      <w:sz w:val="24"/>
      <w:szCs w:val="20"/>
    </w:rPr>
  </w:style>
  <w:style w:type="paragraph" w:styleId="Index3">
    <w:name w:val="index 3"/>
    <w:basedOn w:val="Normal"/>
    <w:next w:val="Normal"/>
    <w:autoRedefine/>
    <w:semiHidden/>
    <w:pPr>
      <w:spacing w:before="0" w:after="240"/>
      <w:ind w:left="720" w:hanging="240"/>
    </w:pPr>
    <w:rPr>
      <w:rFonts w:ascii="Times New Roman" w:eastAsia="Times New Roman" w:hAnsi="Times New Roman"/>
      <w:sz w:val="24"/>
      <w:szCs w:val="20"/>
    </w:rPr>
  </w:style>
  <w:style w:type="paragraph" w:styleId="Index4">
    <w:name w:val="index 4"/>
    <w:basedOn w:val="Normal"/>
    <w:next w:val="Normal"/>
    <w:autoRedefine/>
    <w:semiHidden/>
    <w:pPr>
      <w:spacing w:before="0" w:after="240"/>
      <w:ind w:left="960" w:hanging="240"/>
    </w:pPr>
    <w:rPr>
      <w:rFonts w:ascii="Times New Roman" w:eastAsia="Times New Roman" w:hAnsi="Times New Roman"/>
      <w:sz w:val="24"/>
      <w:szCs w:val="20"/>
    </w:rPr>
  </w:style>
  <w:style w:type="paragraph" w:styleId="Index5">
    <w:name w:val="index 5"/>
    <w:basedOn w:val="Normal"/>
    <w:next w:val="Normal"/>
    <w:autoRedefine/>
    <w:semiHidden/>
    <w:pPr>
      <w:spacing w:before="0" w:after="240"/>
      <w:ind w:left="1200" w:hanging="240"/>
    </w:pPr>
    <w:rPr>
      <w:rFonts w:ascii="Times New Roman" w:eastAsia="Times New Roman" w:hAnsi="Times New Roman"/>
      <w:sz w:val="24"/>
      <w:szCs w:val="20"/>
    </w:rPr>
  </w:style>
  <w:style w:type="paragraph" w:styleId="Index6">
    <w:name w:val="index 6"/>
    <w:basedOn w:val="Normal"/>
    <w:next w:val="Normal"/>
    <w:autoRedefine/>
    <w:semiHidden/>
    <w:pPr>
      <w:spacing w:before="0" w:after="240"/>
      <w:ind w:left="1440" w:hanging="240"/>
    </w:pPr>
    <w:rPr>
      <w:rFonts w:ascii="Times New Roman" w:eastAsia="Times New Roman" w:hAnsi="Times New Roman"/>
      <w:sz w:val="24"/>
      <w:szCs w:val="20"/>
    </w:rPr>
  </w:style>
  <w:style w:type="paragraph" w:styleId="Index7">
    <w:name w:val="index 7"/>
    <w:basedOn w:val="Normal"/>
    <w:next w:val="Normal"/>
    <w:autoRedefine/>
    <w:semiHidden/>
    <w:pPr>
      <w:spacing w:before="0" w:after="240"/>
      <w:ind w:left="1680" w:hanging="240"/>
    </w:pPr>
    <w:rPr>
      <w:rFonts w:ascii="Times New Roman" w:eastAsia="Times New Roman" w:hAnsi="Times New Roman"/>
      <w:sz w:val="24"/>
      <w:szCs w:val="20"/>
    </w:rPr>
  </w:style>
  <w:style w:type="paragraph" w:styleId="Index8">
    <w:name w:val="index 8"/>
    <w:basedOn w:val="Normal"/>
    <w:next w:val="Normal"/>
    <w:autoRedefine/>
    <w:semiHidden/>
    <w:pPr>
      <w:spacing w:before="0" w:after="240"/>
      <w:ind w:left="1920" w:hanging="240"/>
    </w:pPr>
    <w:rPr>
      <w:rFonts w:ascii="Times New Roman" w:eastAsia="Times New Roman" w:hAnsi="Times New Roman"/>
      <w:sz w:val="24"/>
      <w:szCs w:val="20"/>
    </w:rPr>
  </w:style>
  <w:style w:type="paragraph" w:styleId="Index9">
    <w:name w:val="index 9"/>
    <w:basedOn w:val="Normal"/>
    <w:next w:val="Normal"/>
    <w:autoRedefine/>
    <w:semiHidden/>
    <w:pPr>
      <w:spacing w:before="0" w:after="240"/>
      <w:ind w:left="2160" w:hanging="240"/>
    </w:pPr>
    <w:rPr>
      <w:rFonts w:ascii="Times New Roman" w:eastAsia="Times New Roman" w:hAnsi="Times New Roman"/>
      <w:sz w:val="24"/>
      <w:szCs w:val="20"/>
    </w:rPr>
  </w:style>
  <w:style w:type="paragraph" w:styleId="IndexHeading">
    <w:name w:val="index heading"/>
    <w:basedOn w:val="Normal"/>
    <w:next w:val="Index1"/>
    <w:semiHidden/>
    <w:pPr>
      <w:spacing w:before="0" w:after="240"/>
    </w:pPr>
    <w:rPr>
      <w:rFonts w:ascii="Arial" w:eastAsia="Times New Roman" w:hAnsi="Arial"/>
      <w:b/>
      <w:sz w:val="24"/>
      <w:szCs w:val="20"/>
    </w:rPr>
  </w:style>
  <w:style w:type="paragraph" w:styleId="List">
    <w:name w:val="List"/>
    <w:basedOn w:val="Normal"/>
    <w:pPr>
      <w:spacing w:before="0" w:after="240"/>
      <w:ind w:left="283" w:hanging="283"/>
    </w:pPr>
    <w:rPr>
      <w:rFonts w:ascii="Times New Roman" w:eastAsia="Times New Roman" w:hAnsi="Times New Roman"/>
      <w:sz w:val="24"/>
      <w:szCs w:val="20"/>
    </w:rPr>
  </w:style>
  <w:style w:type="paragraph" w:styleId="List2">
    <w:name w:val="List 2"/>
    <w:basedOn w:val="Normal"/>
    <w:pPr>
      <w:spacing w:before="0" w:after="240"/>
      <w:ind w:left="566" w:hanging="283"/>
    </w:pPr>
    <w:rPr>
      <w:rFonts w:ascii="Times New Roman" w:eastAsia="Times New Roman" w:hAnsi="Times New Roman"/>
      <w:sz w:val="24"/>
      <w:szCs w:val="20"/>
    </w:rPr>
  </w:style>
  <w:style w:type="paragraph" w:styleId="List3">
    <w:name w:val="List 3"/>
    <w:basedOn w:val="Normal"/>
    <w:pPr>
      <w:spacing w:before="0" w:after="240"/>
      <w:ind w:left="849" w:hanging="283"/>
    </w:pPr>
    <w:rPr>
      <w:rFonts w:ascii="Times New Roman" w:eastAsia="Times New Roman" w:hAnsi="Times New Roman"/>
      <w:sz w:val="24"/>
      <w:szCs w:val="20"/>
    </w:rPr>
  </w:style>
  <w:style w:type="paragraph" w:styleId="List4">
    <w:name w:val="List 4"/>
    <w:basedOn w:val="Normal"/>
    <w:pPr>
      <w:spacing w:before="0" w:after="240"/>
      <w:ind w:left="1132" w:hanging="283"/>
    </w:pPr>
    <w:rPr>
      <w:rFonts w:ascii="Times New Roman" w:eastAsia="Times New Roman" w:hAnsi="Times New Roman"/>
      <w:sz w:val="24"/>
      <w:szCs w:val="20"/>
    </w:rPr>
  </w:style>
  <w:style w:type="paragraph" w:styleId="List5">
    <w:name w:val="List 5"/>
    <w:basedOn w:val="Normal"/>
    <w:uiPriority w:val="99"/>
    <w:pPr>
      <w:spacing w:before="0" w:after="240"/>
      <w:ind w:left="1415" w:hanging="283"/>
    </w:pPr>
    <w:rPr>
      <w:rFonts w:ascii="Times New Roman" w:eastAsia="Times New Roman" w:hAnsi="Times New Roman"/>
      <w:sz w:val="24"/>
      <w:szCs w:val="20"/>
    </w:rPr>
  </w:style>
  <w:style w:type="paragraph" w:styleId="ListBullet">
    <w:name w:val="List Bullet"/>
    <w:aliases w:val="Bullet Point EU,Bullet Point EU 2,UL"/>
    <w:basedOn w:val="Normal"/>
    <w:link w:val="ListBulletChar"/>
    <w:qFormat/>
    <w:pPr>
      <w:numPr>
        <w:numId w:val="117"/>
      </w:numPr>
      <w:tabs>
        <w:tab w:val="clear" w:pos="360"/>
        <w:tab w:val="num" w:pos="283"/>
      </w:tabs>
      <w:spacing w:before="0" w:after="240"/>
      <w:ind w:left="283" w:hanging="283"/>
    </w:pPr>
    <w:rPr>
      <w:rFonts w:ascii="Times New Roman" w:eastAsia="Times New Roman" w:hAnsi="Times New Roman"/>
      <w:sz w:val="24"/>
      <w:szCs w:val="20"/>
    </w:rPr>
  </w:style>
  <w:style w:type="paragraph" w:styleId="ListBullet2">
    <w:name w:val="List Bullet 2"/>
    <w:basedOn w:val="Text2"/>
    <w:link w:val="ListBullet2Char"/>
    <w:uiPriority w:val="99"/>
    <w:qFormat/>
    <w:pPr>
      <w:numPr>
        <w:numId w:val="30"/>
      </w:numPr>
      <w:tabs>
        <w:tab w:val="clear" w:pos="2302"/>
      </w:tabs>
    </w:pPr>
  </w:style>
  <w:style w:type="paragraph" w:styleId="ListBullet3">
    <w:name w:val="List Bullet 3"/>
    <w:basedOn w:val="Text3"/>
    <w:uiPriority w:val="99"/>
    <w:qFormat/>
    <w:pPr>
      <w:numPr>
        <w:numId w:val="31"/>
      </w:numPr>
      <w:tabs>
        <w:tab w:val="clear" w:pos="2302"/>
      </w:tabs>
    </w:pPr>
  </w:style>
  <w:style w:type="paragraph" w:styleId="ListBullet4">
    <w:name w:val="List Bullet 4"/>
    <w:basedOn w:val="Text4"/>
    <w:uiPriority w:val="99"/>
    <w:pPr>
      <w:numPr>
        <w:numId w:val="32"/>
      </w:numPr>
      <w:tabs>
        <w:tab w:val="clear" w:pos="2302"/>
      </w:tabs>
    </w:pPr>
  </w:style>
  <w:style w:type="paragraph" w:styleId="ListBullet5">
    <w:name w:val="List Bullet 5"/>
    <w:basedOn w:val="Normal"/>
    <w:autoRedefine/>
    <w:uiPriority w:val="99"/>
    <w:pPr>
      <w:numPr>
        <w:numId w:val="27"/>
      </w:numPr>
      <w:spacing w:before="0" w:after="240"/>
    </w:pPr>
    <w:rPr>
      <w:rFonts w:ascii="Times New Roman" w:eastAsia="Times New Roman" w:hAnsi="Times New Roman"/>
      <w:sz w:val="24"/>
      <w:szCs w:val="20"/>
    </w:rPr>
  </w:style>
  <w:style w:type="paragraph" w:styleId="ListContinue">
    <w:name w:val="List Continue"/>
    <w:basedOn w:val="Normal"/>
    <w:pPr>
      <w:spacing w:before="0"/>
      <w:ind w:left="283"/>
    </w:pPr>
    <w:rPr>
      <w:rFonts w:ascii="Times New Roman" w:eastAsia="Times New Roman" w:hAnsi="Times New Roman"/>
      <w:sz w:val="24"/>
      <w:szCs w:val="20"/>
    </w:rPr>
  </w:style>
  <w:style w:type="paragraph" w:styleId="ListContinue2">
    <w:name w:val="List Continue 2"/>
    <w:basedOn w:val="Normal"/>
    <w:pPr>
      <w:spacing w:before="0"/>
      <w:ind w:left="566"/>
    </w:pPr>
    <w:rPr>
      <w:rFonts w:ascii="Times New Roman" w:eastAsia="Times New Roman" w:hAnsi="Times New Roman"/>
      <w:sz w:val="24"/>
      <w:szCs w:val="20"/>
    </w:rPr>
  </w:style>
  <w:style w:type="paragraph" w:styleId="ListContinue3">
    <w:name w:val="List Continue 3"/>
    <w:basedOn w:val="Normal"/>
    <w:pPr>
      <w:spacing w:before="0"/>
      <w:ind w:left="849"/>
    </w:pPr>
    <w:rPr>
      <w:rFonts w:ascii="Times New Roman" w:eastAsia="Times New Roman" w:hAnsi="Times New Roman"/>
      <w:sz w:val="24"/>
      <w:szCs w:val="20"/>
    </w:rPr>
  </w:style>
  <w:style w:type="paragraph" w:styleId="ListContinue4">
    <w:name w:val="List Continue 4"/>
    <w:basedOn w:val="Normal"/>
    <w:pPr>
      <w:spacing w:before="0"/>
      <w:ind w:left="1132"/>
    </w:pPr>
    <w:rPr>
      <w:rFonts w:ascii="Times New Roman" w:eastAsia="Times New Roman" w:hAnsi="Times New Roman"/>
      <w:sz w:val="24"/>
      <w:szCs w:val="20"/>
    </w:rPr>
  </w:style>
  <w:style w:type="paragraph" w:styleId="ListContinue5">
    <w:name w:val="List Continue 5"/>
    <w:basedOn w:val="Normal"/>
    <w:pPr>
      <w:spacing w:before="0"/>
      <w:ind w:left="1415"/>
    </w:pPr>
    <w:rPr>
      <w:rFonts w:ascii="Times New Roman" w:eastAsia="Times New Roman" w:hAnsi="Times New Roman"/>
      <w:sz w:val="24"/>
      <w:szCs w:val="20"/>
    </w:rPr>
  </w:style>
  <w:style w:type="paragraph" w:styleId="ListNumber">
    <w:name w:val="List Number"/>
    <w:basedOn w:val="Normal"/>
    <w:pPr>
      <w:numPr>
        <w:numId w:val="38"/>
      </w:numPr>
      <w:spacing w:before="0" w:after="240"/>
    </w:pPr>
    <w:rPr>
      <w:rFonts w:ascii="Times New Roman" w:eastAsia="Times New Roman" w:hAnsi="Times New Roman"/>
      <w:sz w:val="24"/>
      <w:szCs w:val="20"/>
    </w:rPr>
  </w:style>
  <w:style w:type="paragraph" w:styleId="ListNumber2">
    <w:name w:val="List Number 2"/>
    <w:basedOn w:val="Text2"/>
    <w:pPr>
      <w:numPr>
        <w:numId w:val="40"/>
      </w:numPr>
      <w:tabs>
        <w:tab w:val="clear" w:pos="1911"/>
        <w:tab w:val="clear" w:pos="2302"/>
      </w:tabs>
      <w:ind w:left="720" w:hanging="360"/>
    </w:pPr>
  </w:style>
  <w:style w:type="paragraph" w:styleId="ListNumber3">
    <w:name w:val="List Number 3"/>
    <w:basedOn w:val="Text3"/>
    <w:pPr>
      <w:numPr>
        <w:numId w:val="41"/>
      </w:numPr>
      <w:tabs>
        <w:tab w:val="clear" w:pos="2302"/>
      </w:tabs>
    </w:pPr>
  </w:style>
  <w:style w:type="paragraph" w:styleId="ListNumber4">
    <w:name w:val="List Number 4"/>
    <w:basedOn w:val="Text4"/>
    <w:pPr>
      <w:numPr>
        <w:numId w:val="42"/>
      </w:numPr>
      <w:tabs>
        <w:tab w:val="clear" w:pos="2302"/>
      </w:tabs>
    </w:pPr>
  </w:style>
  <w:style w:type="paragraph" w:styleId="ListNumber5">
    <w:name w:val="List Number 5"/>
    <w:basedOn w:val="Normal"/>
    <w:pPr>
      <w:numPr>
        <w:numId w:val="28"/>
      </w:numPr>
      <w:spacing w:before="0" w:after="240"/>
    </w:pPr>
    <w:rPr>
      <w:rFonts w:ascii="Times New Roman" w:eastAsia="Times New Roman" w:hAnsi="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eastAsia="en-US"/>
    </w:rPr>
  </w:style>
  <w:style w:type="character" w:customStyle="1" w:styleId="MacroTextChar">
    <w:name w:val="Macro Text Char"/>
    <w:basedOn w:val="DefaultParagraphFont"/>
    <w:link w:val="MacroText"/>
    <w:semiHidden/>
    <w:rPr>
      <w:rFonts w:ascii="Courier New" w:eastAsia="Times New Roman"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before="0" w:after="240"/>
      <w:ind w:left="1134" w:hanging="1134"/>
    </w:pPr>
    <w:rPr>
      <w:rFonts w:ascii="Arial" w:eastAsia="Times New Roman" w:hAnsi="Arial"/>
      <w:sz w:val="24"/>
      <w:szCs w:val="20"/>
    </w:rPr>
  </w:style>
  <w:style w:type="character" w:customStyle="1" w:styleId="MessageHeaderChar">
    <w:name w:val="Message Header Char"/>
    <w:basedOn w:val="DefaultParagraphFont"/>
    <w:link w:val="MessageHeader"/>
    <w:rPr>
      <w:rFonts w:ascii="Arial" w:eastAsia="Times New Roman" w:hAnsi="Arial"/>
      <w:sz w:val="24"/>
      <w:shd w:val="pct20" w:color="auto" w:fill="auto"/>
      <w:lang w:eastAsia="en-US"/>
    </w:rPr>
  </w:style>
  <w:style w:type="paragraph" w:styleId="NormalIndent">
    <w:name w:val="Normal Indent"/>
    <w:basedOn w:val="Normal"/>
    <w:pPr>
      <w:spacing w:before="0" w:after="240"/>
      <w:ind w:left="720"/>
    </w:pPr>
    <w:rPr>
      <w:rFonts w:ascii="Times New Roman" w:eastAsia="Times New Roman" w:hAnsi="Times New Roman"/>
      <w:sz w:val="24"/>
      <w:szCs w:val="20"/>
    </w:rPr>
  </w:style>
  <w:style w:type="paragraph" w:styleId="NoteHeading">
    <w:name w:val="Note Heading"/>
    <w:basedOn w:val="Normal"/>
    <w:next w:val="Normal"/>
    <w:link w:val="NoteHeadingChar"/>
    <w:pPr>
      <w:spacing w:before="0" w:after="240"/>
    </w:pPr>
    <w:rPr>
      <w:rFonts w:ascii="Times New Roman" w:eastAsia="Times New Roman" w:hAnsi="Times New Roman"/>
      <w:sz w:val="24"/>
      <w:szCs w:val="20"/>
    </w:rPr>
  </w:style>
  <w:style w:type="character" w:customStyle="1" w:styleId="NoteHeadingChar">
    <w:name w:val="Note Heading Char"/>
    <w:basedOn w:val="DefaultParagraphFont"/>
    <w:link w:val="NoteHeading"/>
    <w:rPr>
      <w:rFonts w:ascii="Times New Roman" w:eastAsia="Times New Roman" w:hAnsi="Times New Roman"/>
      <w:sz w:val="24"/>
      <w:lang w:eastAsia="en-US"/>
    </w:rPr>
  </w:style>
  <w:style w:type="paragraph" w:customStyle="1" w:styleId="NoteHead">
    <w:name w:val="NoteHead"/>
    <w:basedOn w:val="Normal"/>
    <w:next w:val="Subject"/>
    <w:pPr>
      <w:spacing w:before="720" w:after="720"/>
      <w:jc w:val="center"/>
    </w:pPr>
    <w:rPr>
      <w:rFonts w:ascii="Times New Roman" w:eastAsia="Times New Roman" w:hAnsi="Times New Roman"/>
      <w:b/>
      <w:smallCaps/>
      <w:sz w:val="24"/>
      <w:szCs w:val="20"/>
    </w:rPr>
  </w:style>
  <w:style w:type="paragraph" w:customStyle="1" w:styleId="Subject">
    <w:name w:val="Subject"/>
    <w:basedOn w:val="Normal"/>
    <w:next w:val="Normal"/>
    <w:pPr>
      <w:spacing w:before="0" w:after="480"/>
      <w:ind w:left="1531" w:hanging="1531"/>
      <w:jc w:val="left"/>
    </w:pPr>
    <w:rPr>
      <w:rFonts w:ascii="Times New Roman" w:eastAsia="Times New Roman" w:hAnsi="Times New Roman"/>
      <w:b/>
      <w:sz w:val="24"/>
      <w:szCs w:val="20"/>
    </w:rPr>
  </w:style>
  <w:style w:type="paragraph" w:customStyle="1" w:styleId="NoteList">
    <w:name w:val="NoteList"/>
    <w:basedOn w:val="Normal"/>
    <w:next w:val="Subject"/>
    <w:pPr>
      <w:tabs>
        <w:tab w:val="left" w:pos="5823"/>
      </w:tabs>
      <w:spacing w:before="720" w:after="720"/>
      <w:ind w:left="5104" w:hanging="3119"/>
      <w:jc w:val="left"/>
    </w:pPr>
    <w:rPr>
      <w:rFonts w:ascii="Times New Roman" w:eastAsia="Times New Roman" w:hAnsi="Times New Roman"/>
      <w:b/>
      <w:smallCaps/>
      <w:sz w:val="24"/>
      <w:szCs w:val="20"/>
    </w:rPr>
  </w:style>
  <w:style w:type="paragraph" w:customStyle="1" w:styleId="NumPar1">
    <w:name w:val="NumPar 1"/>
    <w:basedOn w:val="Heading1"/>
    <w:next w:val="Text1"/>
    <w:pPr>
      <w:keepNext w:val="0"/>
      <w:numPr>
        <w:numId w:val="0"/>
      </w:numPr>
      <w:spacing w:before="0" w:after="240"/>
      <w:outlineLvl w:val="9"/>
    </w:pPr>
    <w:rPr>
      <w:rFonts w:ascii="Times New Roman" w:eastAsia="Times New Roman" w:hAnsi="Times New Roman"/>
      <w:b w:val="0"/>
      <w:sz w:val="24"/>
      <w:szCs w:val="20"/>
    </w:rPr>
  </w:style>
  <w:style w:type="paragraph" w:customStyle="1" w:styleId="NumPar2">
    <w:name w:val="NumPar 2"/>
    <w:basedOn w:val="Heading2"/>
    <w:next w:val="Text2"/>
    <w:pPr>
      <w:keepNext w:val="0"/>
      <w:keepLines w:val="0"/>
      <w:numPr>
        <w:ilvl w:val="0"/>
        <w:numId w:val="0"/>
      </w:numPr>
      <w:spacing w:before="0" w:after="240"/>
      <w:outlineLvl w:val="9"/>
    </w:pPr>
    <w:rPr>
      <w:rFonts w:ascii="Times New Roman" w:eastAsia="Times New Roman" w:hAnsi="Times New Roman" w:cs="Times New Roman"/>
      <w:bCs w:val="0"/>
      <w:iCs w:val="0"/>
      <w:szCs w:val="20"/>
    </w:rPr>
  </w:style>
  <w:style w:type="paragraph" w:customStyle="1" w:styleId="NumPar3">
    <w:name w:val="NumPar 3"/>
    <w:basedOn w:val="Heading3"/>
    <w:next w:val="Text3"/>
    <w:pPr>
      <w:keepNext w:val="0"/>
      <w:keepLines w:val="0"/>
      <w:numPr>
        <w:ilvl w:val="0"/>
        <w:numId w:val="0"/>
      </w:numPr>
      <w:spacing w:before="0" w:after="240"/>
      <w:outlineLvl w:val="9"/>
    </w:pPr>
    <w:rPr>
      <w:rFonts w:ascii="Times New Roman" w:eastAsia="Times New Roman" w:hAnsi="Times New Roman" w:cs="Times New Roman"/>
      <w:b w:val="0"/>
      <w:bCs w:val="0"/>
      <w:sz w:val="24"/>
      <w:szCs w:val="20"/>
    </w:rPr>
  </w:style>
  <w:style w:type="paragraph" w:customStyle="1" w:styleId="NumPar4">
    <w:name w:val="NumPar 4"/>
    <w:basedOn w:val="Heading4"/>
    <w:next w:val="Text4"/>
    <w:pPr>
      <w:keepNext w:val="0"/>
      <w:keepLines w:val="0"/>
      <w:numPr>
        <w:ilvl w:val="0"/>
        <w:numId w:val="0"/>
      </w:numPr>
      <w:spacing w:before="0" w:after="240"/>
      <w:outlineLvl w:val="9"/>
    </w:pPr>
    <w:rPr>
      <w:rFonts w:ascii="Times New Roman" w:eastAsia="Times New Roman" w:hAnsi="Times New Roman" w:cs="Times New Roman"/>
      <w:b w:val="0"/>
      <w:bCs w:val="0"/>
      <w:iCs w:val="0"/>
      <w:sz w:val="24"/>
      <w:szCs w:val="20"/>
    </w:rPr>
  </w:style>
  <w:style w:type="paragraph" w:customStyle="1" w:styleId="PartTitle">
    <w:name w:val="PartTitle"/>
    <w:basedOn w:val="Normal"/>
    <w:next w:val="ChapterTitle"/>
    <w:pPr>
      <w:keepNext/>
      <w:pageBreakBefore/>
      <w:spacing w:before="0" w:after="480"/>
      <w:jc w:val="center"/>
    </w:pPr>
    <w:rPr>
      <w:rFonts w:ascii="Times New Roman" w:eastAsia="Times New Roman" w:hAnsi="Times New Roman"/>
      <w:b/>
      <w:sz w:val="36"/>
      <w:szCs w:val="20"/>
    </w:rPr>
  </w:style>
  <w:style w:type="paragraph" w:styleId="PlainText">
    <w:name w:val="Plain Text"/>
    <w:basedOn w:val="Normal"/>
    <w:link w:val="PlainTextChar"/>
    <w:pPr>
      <w:spacing w:before="0" w:after="240"/>
    </w:pPr>
    <w:rPr>
      <w:rFonts w:ascii="Courier New" w:eastAsia="Times New Roman" w:hAnsi="Courier New"/>
      <w:szCs w:val="20"/>
    </w:rPr>
  </w:style>
  <w:style w:type="character" w:customStyle="1" w:styleId="PlainTextChar">
    <w:name w:val="Plain Text Char"/>
    <w:basedOn w:val="DefaultParagraphFont"/>
    <w:link w:val="PlainText"/>
    <w:rPr>
      <w:rFonts w:ascii="Courier New" w:eastAsia="Times New Roman" w:hAnsi="Courier New"/>
      <w:lang w:eastAsia="en-US"/>
    </w:rPr>
  </w:style>
  <w:style w:type="paragraph" w:styleId="Salutation">
    <w:name w:val="Salutation"/>
    <w:basedOn w:val="Normal"/>
    <w:next w:val="Normal"/>
    <w:link w:val="SalutationChar"/>
    <w:pPr>
      <w:spacing w:before="0" w:after="240"/>
    </w:pPr>
    <w:rPr>
      <w:rFonts w:ascii="Times New Roman" w:eastAsia="Times New Roman" w:hAnsi="Times New Roman"/>
      <w:sz w:val="24"/>
      <w:szCs w:val="20"/>
    </w:rPr>
  </w:style>
  <w:style w:type="character" w:customStyle="1" w:styleId="SalutationChar">
    <w:name w:val="Salutation Char"/>
    <w:basedOn w:val="DefaultParagraphFont"/>
    <w:link w:val="Salutation"/>
    <w:rPr>
      <w:rFonts w:ascii="Times New Roman" w:eastAsia="Times New Roman" w:hAnsi="Times New Roman"/>
      <w:sz w:val="24"/>
      <w:lang w:eastAsia="en-US"/>
    </w:rPr>
  </w:style>
  <w:style w:type="paragraph" w:styleId="Signature">
    <w:name w:val="Signature"/>
    <w:basedOn w:val="Normal"/>
    <w:next w:val="Enclosures"/>
    <w:link w:val="SignatureChar"/>
    <w:pPr>
      <w:tabs>
        <w:tab w:val="left" w:pos="5103"/>
      </w:tabs>
      <w:spacing w:before="1200" w:after="0"/>
      <w:ind w:left="5103"/>
      <w:jc w:val="center"/>
    </w:pPr>
    <w:rPr>
      <w:rFonts w:ascii="Times New Roman" w:eastAsia="Times New Roman" w:hAnsi="Times New Roman"/>
      <w:sz w:val="24"/>
      <w:szCs w:val="20"/>
    </w:rPr>
  </w:style>
  <w:style w:type="character" w:customStyle="1" w:styleId="SignatureChar">
    <w:name w:val="Signature Char"/>
    <w:basedOn w:val="DefaultParagraphFont"/>
    <w:link w:val="Signature"/>
    <w:rPr>
      <w:rFonts w:ascii="Times New Roman" w:eastAsia="Times New Roman" w:hAnsi="Times New Roman"/>
      <w:sz w:val="24"/>
      <w:lang w:eastAsia="en-US"/>
    </w:rPr>
  </w:style>
  <w:style w:type="paragraph" w:customStyle="1" w:styleId="SubTitle1">
    <w:name w:val="SubTitle 1"/>
    <w:basedOn w:val="Normal"/>
    <w:next w:val="SubTitle2"/>
    <w:pPr>
      <w:spacing w:before="0" w:after="240"/>
      <w:jc w:val="center"/>
    </w:pPr>
    <w:rPr>
      <w:rFonts w:ascii="Times New Roman" w:eastAsia="Times New Roman" w:hAnsi="Times New Roman"/>
      <w:b/>
      <w:sz w:val="40"/>
      <w:szCs w:val="20"/>
    </w:rPr>
  </w:style>
  <w:style w:type="paragraph" w:customStyle="1" w:styleId="SubTitle2">
    <w:name w:val="SubTitle 2"/>
    <w:basedOn w:val="Normal"/>
    <w:pPr>
      <w:spacing w:before="0" w:after="240"/>
      <w:jc w:val="center"/>
    </w:pPr>
    <w:rPr>
      <w:rFonts w:ascii="Times New Roman" w:eastAsia="Times New Roman" w:hAnsi="Times New Roman"/>
      <w:b/>
      <w:sz w:val="32"/>
      <w:szCs w:val="20"/>
    </w:rPr>
  </w:style>
  <w:style w:type="paragraph" w:styleId="TableofAuthorities">
    <w:name w:val="table of authorities"/>
    <w:basedOn w:val="Normal"/>
    <w:next w:val="Normal"/>
    <w:semiHidden/>
    <w:pPr>
      <w:spacing w:before="0" w:after="240"/>
      <w:ind w:left="240" w:hanging="240"/>
    </w:pPr>
    <w:rPr>
      <w:rFonts w:ascii="Times New Roman" w:eastAsia="Times New Roman" w:hAnsi="Times New Roman"/>
      <w:sz w:val="24"/>
      <w:szCs w:val="20"/>
    </w:rPr>
  </w:style>
  <w:style w:type="paragraph" w:styleId="Title">
    <w:name w:val="Title"/>
    <w:basedOn w:val="Normal"/>
    <w:next w:val="Normal"/>
    <w:link w:val="TitleChar"/>
    <w:qFormat/>
    <w:pPr>
      <w:spacing w:before="0" w:after="480"/>
      <w:jc w:val="center"/>
    </w:pPr>
    <w:rPr>
      <w:rFonts w:ascii="Times New Roman Bold" w:eastAsia="Times New Roman" w:hAnsi="Times New Roman Bold"/>
      <w:b/>
      <w:smallCaps/>
      <w:kern w:val="28"/>
      <w:sz w:val="24"/>
      <w:szCs w:val="20"/>
    </w:rPr>
  </w:style>
  <w:style w:type="character" w:customStyle="1" w:styleId="TitleChar">
    <w:name w:val="Title Char"/>
    <w:basedOn w:val="DefaultParagraphFont"/>
    <w:link w:val="Title"/>
    <w:rPr>
      <w:rFonts w:ascii="Times New Roman Bold" w:eastAsia="Times New Roman" w:hAnsi="Times New Roman Bold"/>
      <w:b/>
      <w:smallCaps/>
      <w:kern w:val="28"/>
      <w:sz w:val="24"/>
      <w:lang w:eastAsia="en-US"/>
    </w:rPr>
  </w:style>
  <w:style w:type="paragraph" w:styleId="TOAHeading">
    <w:name w:val="toa heading"/>
    <w:basedOn w:val="Normal"/>
    <w:next w:val="Normal"/>
    <w:semiHidden/>
    <w:pPr>
      <w:spacing w:after="240"/>
    </w:pPr>
    <w:rPr>
      <w:rFonts w:ascii="Arial" w:eastAsia="Times New Roman" w:hAnsi="Arial"/>
      <w:b/>
      <w:sz w:val="24"/>
      <w:szCs w:val="20"/>
    </w:rPr>
  </w:style>
  <w:style w:type="paragraph" w:styleId="TOC6">
    <w:name w:val="toc 6"/>
    <w:basedOn w:val="Normal"/>
    <w:next w:val="Normal"/>
    <w:autoRedefine/>
    <w:uiPriority w:val="39"/>
    <w:pPr>
      <w:spacing w:before="0" w:after="240"/>
      <w:ind w:left="1200"/>
    </w:pPr>
    <w:rPr>
      <w:rFonts w:ascii="Times New Roman" w:eastAsia="Times New Roman" w:hAnsi="Times New Roman"/>
      <w:sz w:val="24"/>
      <w:szCs w:val="20"/>
    </w:rPr>
  </w:style>
  <w:style w:type="paragraph" w:styleId="TOC7">
    <w:name w:val="toc 7"/>
    <w:basedOn w:val="Normal"/>
    <w:next w:val="Normal"/>
    <w:autoRedefine/>
    <w:uiPriority w:val="39"/>
    <w:pPr>
      <w:spacing w:before="0" w:after="240"/>
      <w:ind w:left="1440"/>
    </w:pPr>
    <w:rPr>
      <w:rFonts w:ascii="Times New Roman" w:eastAsia="Times New Roman" w:hAnsi="Times New Roman"/>
      <w:sz w:val="24"/>
      <w:szCs w:val="20"/>
    </w:rPr>
  </w:style>
  <w:style w:type="paragraph" w:styleId="TOC8">
    <w:name w:val="toc 8"/>
    <w:basedOn w:val="Normal"/>
    <w:next w:val="Normal"/>
    <w:autoRedefine/>
    <w:uiPriority w:val="39"/>
    <w:pPr>
      <w:spacing w:before="0" w:after="240"/>
      <w:ind w:left="1680"/>
    </w:pPr>
    <w:rPr>
      <w:rFonts w:ascii="Times New Roman" w:eastAsia="Times New Roman" w:hAnsi="Times New Roman"/>
      <w:sz w:val="24"/>
      <w:szCs w:val="20"/>
    </w:rPr>
  </w:style>
  <w:style w:type="paragraph" w:styleId="TOC9">
    <w:name w:val="toc 9"/>
    <w:basedOn w:val="Normal"/>
    <w:next w:val="Normal"/>
    <w:autoRedefine/>
    <w:uiPriority w:val="39"/>
    <w:pPr>
      <w:spacing w:before="0" w:after="240"/>
      <w:ind w:left="1920"/>
    </w:pPr>
    <w:rPr>
      <w:rFonts w:ascii="Times New Roman" w:eastAsia="Times New Roman" w:hAnsi="Times New Roman"/>
      <w:sz w:val="24"/>
      <w:szCs w:val="20"/>
    </w:rPr>
  </w:style>
  <w:style w:type="paragraph" w:customStyle="1" w:styleId="YReferences">
    <w:name w:val="YReferences"/>
    <w:basedOn w:val="Normal"/>
    <w:next w:val="Normal"/>
    <w:pPr>
      <w:spacing w:before="0" w:after="480"/>
      <w:ind w:left="1531" w:hanging="1531"/>
    </w:pPr>
    <w:rPr>
      <w:rFonts w:ascii="Times New Roman" w:eastAsia="Times New Roman" w:hAnsi="Times New Roman"/>
      <w:sz w:val="24"/>
      <w:szCs w:val="20"/>
    </w:rPr>
  </w:style>
  <w:style w:type="paragraph" w:customStyle="1" w:styleId="ListBullet1">
    <w:name w:val="List Bullet 1"/>
    <w:basedOn w:val="Text1"/>
    <w:pPr>
      <w:numPr>
        <w:numId w:val="29"/>
      </w:numPr>
      <w:tabs>
        <w:tab w:val="clear" w:pos="765"/>
      </w:tabs>
      <w:ind w:left="1080" w:hanging="360"/>
    </w:pPr>
  </w:style>
  <w:style w:type="paragraph" w:customStyle="1" w:styleId="ListDash">
    <w:name w:val="List Dash"/>
    <w:basedOn w:val="Normal"/>
    <w:pPr>
      <w:numPr>
        <w:numId w:val="33"/>
      </w:numPr>
      <w:spacing w:before="0" w:after="240"/>
    </w:pPr>
    <w:rPr>
      <w:rFonts w:ascii="Times New Roman" w:eastAsia="Times New Roman" w:hAnsi="Times New Roman"/>
      <w:sz w:val="24"/>
      <w:szCs w:val="20"/>
    </w:rPr>
  </w:style>
  <w:style w:type="paragraph" w:customStyle="1" w:styleId="ListDash1">
    <w:name w:val="List Dash 1"/>
    <w:basedOn w:val="Text1"/>
    <w:pPr>
      <w:numPr>
        <w:numId w:val="34"/>
      </w:numPr>
      <w:tabs>
        <w:tab w:val="clear" w:pos="765"/>
      </w:tabs>
      <w:ind w:left="720" w:hanging="360"/>
    </w:pPr>
  </w:style>
  <w:style w:type="paragraph" w:customStyle="1" w:styleId="ListDash2">
    <w:name w:val="List Dash 2"/>
    <w:basedOn w:val="Text2"/>
    <w:pPr>
      <w:numPr>
        <w:numId w:val="35"/>
      </w:numPr>
      <w:tabs>
        <w:tab w:val="clear" w:pos="1485"/>
        <w:tab w:val="clear" w:pos="2302"/>
      </w:tabs>
      <w:ind w:left="720" w:hanging="360"/>
    </w:pPr>
  </w:style>
  <w:style w:type="paragraph" w:customStyle="1" w:styleId="ListDash3">
    <w:name w:val="List Dash 3"/>
    <w:basedOn w:val="Text3"/>
    <w:pPr>
      <w:numPr>
        <w:numId w:val="36"/>
      </w:numPr>
      <w:tabs>
        <w:tab w:val="clear" w:pos="2302"/>
      </w:tabs>
    </w:pPr>
  </w:style>
  <w:style w:type="paragraph" w:customStyle="1" w:styleId="ListDash4">
    <w:name w:val="List Dash 4"/>
    <w:basedOn w:val="Text4"/>
    <w:pPr>
      <w:numPr>
        <w:numId w:val="37"/>
      </w:numPr>
      <w:tabs>
        <w:tab w:val="clear" w:pos="2302"/>
      </w:tabs>
    </w:pPr>
  </w:style>
  <w:style w:type="paragraph" w:customStyle="1" w:styleId="ListNumberLevel2">
    <w:name w:val="List Number (Level 2)"/>
    <w:basedOn w:val="Normal"/>
    <w:pPr>
      <w:numPr>
        <w:ilvl w:val="1"/>
        <w:numId w:val="38"/>
      </w:numPr>
      <w:spacing w:before="0" w:after="240"/>
    </w:pPr>
    <w:rPr>
      <w:rFonts w:ascii="Times New Roman" w:eastAsia="Times New Roman" w:hAnsi="Times New Roman"/>
      <w:sz w:val="24"/>
      <w:szCs w:val="20"/>
    </w:rPr>
  </w:style>
  <w:style w:type="paragraph" w:customStyle="1" w:styleId="ListNumberLevel3">
    <w:name w:val="List Number (Level 3)"/>
    <w:basedOn w:val="Normal"/>
    <w:pPr>
      <w:numPr>
        <w:ilvl w:val="2"/>
        <w:numId w:val="38"/>
      </w:numPr>
      <w:spacing w:before="0" w:after="240"/>
    </w:pPr>
    <w:rPr>
      <w:rFonts w:ascii="Times New Roman" w:eastAsia="Times New Roman" w:hAnsi="Times New Roman"/>
      <w:sz w:val="24"/>
      <w:szCs w:val="20"/>
    </w:rPr>
  </w:style>
  <w:style w:type="paragraph" w:customStyle="1" w:styleId="ListNumberLevel4">
    <w:name w:val="List Number (Level 4)"/>
    <w:basedOn w:val="Normal"/>
    <w:pPr>
      <w:numPr>
        <w:ilvl w:val="3"/>
        <w:numId w:val="38"/>
      </w:numPr>
      <w:spacing w:before="0" w:after="240"/>
    </w:pPr>
    <w:rPr>
      <w:rFonts w:ascii="Times New Roman" w:eastAsia="Times New Roman" w:hAnsi="Times New Roman"/>
      <w:sz w:val="24"/>
      <w:szCs w:val="20"/>
    </w:rPr>
  </w:style>
  <w:style w:type="paragraph" w:customStyle="1" w:styleId="ListNumber1">
    <w:name w:val="List Number 1"/>
    <w:basedOn w:val="Text1"/>
    <w:pPr>
      <w:numPr>
        <w:numId w:val="39"/>
      </w:numPr>
      <w:tabs>
        <w:tab w:val="clear" w:pos="1191"/>
      </w:tabs>
      <w:ind w:left="720" w:hanging="360"/>
    </w:pPr>
  </w:style>
  <w:style w:type="paragraph" w:customStyle="1" w:styleId="ListNumber1Level2">
    <w:name w:val="List Number 1 (Level 2)"/>
    <w:basedOn w:val="Text1"/>
    <w:pPr>
      <w:numPr>
        <w:ilvl w:val="1"/>
        <w:numId w:val="39"/>
      </w:numPr>
      <w:tabs>
        <w:tab w:val="clear" w:pos="1899"/>
      </w:tabs>
      <w:ind w:left="1440" w:hanging="360"/>
    </w:pPr>
  </w:style>
  <w:style w:type="paragraph" w:customStyle="1" w:styleId="ListNumber1Level3">
    <w:name w:val="List Number 1 (Level 3)"/>
    <w:basedOn w:val="Text1"/>
    <w:pPr>
      <w:numPr>
        <w:ilvl w:val="2"/>
        <w:numId w:val="39"/>
      </w:numPr>
      <w:tabs>
        <w:tab w:val="clear" w:pos="2608"/>
      </w:tabs>
      <w:ind w:left="2160" w:hanging="360"/>
    </w:pPr>
  </w:style>
  <w:style w:type="paragraph" w:customStyle="1" w:styleId="ListNumber1Level4">
    <w:name w:val="List Number 1 (Level 4)"/>
    <w:basedOn w:val="Text1"/>
    <w:pPr>
      <w:numPr>
        <w:ilvl w:val="3"/>
        <w:numId w:val="39"/>
      </w:numPr>
      <w:tabs>
        <w:tab w:val="clear" w:pos="3317"/>
      </w:tabs>
      <w:ind w:left="2880" w:hanging="360"/>
    </w:pPr>
  </w:style>
  <w:style w:type="paragraph" w:customStyle="1" w:styleId="ListNumber2Level2">
    <w:name w:val="List Number 2 (Level 2)"/>
    <w:basedOn w:val="Text2"/>
    <w:pPr>
      <w:numPr>
        <w:ilvl w:val="1"/>
        <w:numId w:val="40"/>
      </w:numPr>
      <w:tabs>
        <w:tab w:val="clear" w:pos="2302"/>
        <w:tab w:val="clear" w:pos="2619"/>
      </w:tabs>
      <w:ind w:left="1440" w:hanging="360"/>
    </w:pPr>
  </w:style>
  <w:style w:type="paragraph" w:customStyle="1" w:styleId="ListNumber2Level3">
    <w:name w:val="List Number 2 (Level 3)"/>
    <w:basedOn w:val="Text2"/>
    <w:pPr>
      <w:numPr>
        <w:ilvl w:val="2"/>
        <w:numId w:val="40"/>
      </w:numPr>
      <w:tabs>
        <w:tab w:val="clear" w:pos="2302"/>
        <w:tab w:val="clear" w:pos="3328"/>
      </w:tabs>
      <w:ind w:left="2160" w:hanging="360"/>
    </w:pPr>
  </w:style>
  <w:style w:type="paragraph" w:customStyle="1" w:styleId="ListNumber2Level4">
    <w:name w:val="List Number 2 (Level 4)"/>
    <w:basedOn w:val="Text2"/>
    <w:pPr>
      <w:numPr>
        <w:ilvl w:val="3"/>
        <w:numId w:val="40"/>
      </w:numPr>
      <w:tabs>
        <w:tab w:val="clear" w:pos="2302"/>
        <w:tab w:val="clear" w:pos="4037"/>
      </w:tabs>
      <w:ind w:left="2880" w:hanging="360"/>
    </w:pPr>
  </w:style>
  <w:style w:type="paragraph" w:customStyle="1" w:styleId="ListNumber3Level2">
    <w:name w:val="List Number 3 (Level 2)"/>
    <w:basedOn w:val="Text3"/>
    <w:pPr>
      <w:numPr>
        <w:ilvl w:val="1"/>
        <w:numId w:val="41"/>
      </w:numPr>
      <w:tabs>
        <w:tab w:val="clear" w:pos="2302"/>
      </w:tabs>
    </w:pPr>
  </w:style>
  <w:style w:type="paragraph" w:customStyle="1" w:styleId="ListNumber3Level3">
    <w:name w:val="List Number 3 (Level 3)"/>
    <w:basedOn w:val="Text3"/>
    <w:pPr>
      <w:numPr>
        <w:ilvl w:val="2"/>
        <w:numId w:val="41"/>
      </w:numPr>
      <w:tabs>
        <w:tab w:val="clear" w:pos="2302"/>
      </w:tabs>
    </w:pPr>
  </w:style>
  <w:style w:type="paragraph" w:customStyle="1" w:styleId="ListNumber3Level4">
    <w:name w:val="List Number 3 (Level 4)"/>
    <w:basedOn w:val="Text3"/>
    <w:pPr>
      <w:numPr>
        <w:ilvl w:val="3"/>
        <w:numId w:val="41"/>
      </w:numPr>
      <w:tabs>
        <w:tab w:val="clear" w:pos="2302"/>
      </w:tabs>
    </w:pPr>
  </w:style>
  <w:style w:type="paragraph" w:customStyle="1" w:styleId="ListNumber4Level2">
    <w:name w:val="List Number 4 (Level 2)"/>
    <w:basedOn w:val="Text4"/>
    <w:pPr>
      <w:numPr>
        <w:ilvl w:val="1"/>
        <w:numId w:val="42"/>
      </w:numPr>
      <w:tabs>
        <w:tab w:val="clear" w:pos="2302"/>
      </w:tabs>
    </w:pPr>
  </w:style>
  <w:style w:type="paragraph" w:customStyle="1" w:styleId="ListNumber4Level3">
    <w:name w:val="List Number 4 (Level 3)"/>
    <w:basedOn w:val="Text4"/>
    <w:pPr>
      <w:numPr>
        <w:ilvl w:val="2"/>
        <w:numId w:val="42"/>
      </w:numPr>
      <w:tabs>
        <w:tab w:val="clear" w:pos="2302"/>
      </w:tabs>
    </w:pPr>
  </w:style>
  <w:style w:type="paragraph" w:customStyle="1" w:styleId="ListNumber4Level4">
    <w:name w:val="List Number 4 (Level 4)"/>
    <w:basedOn w:val="Text4"/>
    <w:pPr>
      <w:numPr>
        <w:ilvl w:val="3"/>
        <w:numId w:val="42"/>
      </w:numPr>
      <w:tabs>
        <w:tab w:val="clear" w:pos="2302"/>
      </w:tabs>
    </w:pPr>
  </w:style>
  <w:style w:type="paragraph" w:customStyle="1" w:styleId="Contact">
    <w:name w:val="Contact"/>
    <w:basedOn w:val="Normal"/>
    <w:next w:val="Normal"/>
    <w:pPr>
      <w:spacing w:before="0" w:after="480"/>
      <w:ind w:left="567" w:hanging="567"/>
      <w:jc w:val="left"/>
    </w:pPr>
    <w:rPr>
      <w:rFonts w:ascii="Times New Roman" w:eastAsia="Times New Roman" w:hAnsi="Times New Roman"/>
      <w:sz w:val="24"/>
      <w:szCs w:val="20"/>
    </w:rPr>
  </w:style>
  <w:style w:type="paragraph" w:customStyle="1" w:styleId="Designator">
    <w:name w:val="Designator"/>
    <w:basedOn w:val="Normal"/>
    <w:pPr>
      <w:spacing w:before="0" w:after="0"/>
      <w:jc w:val="center"/>
    </w:pPr>
    <w:rPr>
      <w:rFonts w:ascii="Times New Roman" w:eastAsia="Times New Roman" w:hAnsi="Times New Roman"/>
      <w:b/>
      <w:caps/>
      <w:sz w:val="32"/>
      <w:szCs w:val="20"/>
    </w:rPr>
  </w:style>
  <w:style w:type="paragraph" w:customStyle="1" w:styleId="Releasable">
    <w:name w:val="Releasable"/>
    <w:basedOn w:val="Normal"/>
    <w:qFormat/>
    <w:pPr>
      <w:spacing w:before="0" w:after="0"/>
      <w:jc w:val="center"/>
    </w:pPr>
    <w:rPr>
      <w:rFonts w:ascii="Times New Roman" w:eastAsia="Times New Roman" w:hAnsi="Times New Roman"/>
      <w:b/>
      <w:caps/>
      <w:sz w:val="32"/>
      <w:szCs w:val="20"/>
      <w:lang w:val="de-DE"/>
    </w:rPr>
  </w:style>
  <w:style w:type="paragraph" w:customStyle="1" w:styleId="RUE">
    <w:name w:val="RUE"/>
    <w:basedOn w:val="Normal"/>
    <w:pPr>
      <w:spacing w:before="0" w:after="0"/>
      <w:jc w:val="center"/>
    </w:pPr>
    <w:rPr>
      <w:rFonts w:ascii="Times New Roman" w:eastAsia="Times New Roman" w:hAnsi="Times New Roman"/>
      <w:b/>
      <w:caps/>
      <w:sz w:val="32"/>
      <w:szCs w:val="20"/>
      <w:bdr w:val="single" w:sz="18" w:space="0" w:color="auto"/>
      <w:lang w:val="de-DE"/>
    </w:rPr>
  </w:style>
  <w:style w:type="paragraph" w:customStyle="1" w:styleId="ConfidentialUE">
    <w:name w:val="Confidential UE"/>
    <w:basedOn w:val="Normal"/>
    <w:pPr>
      <w:spacing w:before="0" w:after="0"/>
      <w:jc w:val="center"/>
    </w:pPr>
    <w:rPr>
      <w:rFonts w:ascii="Times New Roman" w:eastAsia="Times New Roman" w:hAnsi="Times New Roman"/>
      <w:b/>
      <w:caps/>
      <w:sz w:val="32"/>
      <w:szCs w:val="20"/>
      <w:bdr w:val="single" w:sz="18" w:space="0" w:color="auto"/>
    </w:rPr>
  </w:style>
  <w:style w:type="paragraph" w:customStyle="1" w:styleId="SecretUE">
    <w:name w:val="Secret UE"/>
    <w:basedOn w:val="Normal"/>
    <w:pPr>
      <w:spacing w:before="0" w:after="0"/>
      <w:jc w:val="center"/>
    </w:pPr>
    <w:rPr>
      <w:rFonts w:ascii="Times New Roman" w:eastAsia="Times New Roman" w:hAnsi="Times New Roman"/>
      <w:b/>
      <w:caps/>
      <w:color w:val="FF0000"/>
      <w:sz w:val="32"/>
      <w:szCs w:val="20"/>
      <w:bdr w:val="single" w:sz="18" w:space="0" w:color="FF0000"/>
    </w:rPr>
  </w:style>
  <w:style w:type="paragraph" w:customStyle="1" w:styleId="TrsSecretUE">
    <w:name w:val="Très Secret UE"/>
    <w:basedOn w:val="Normal"/>
    <w:pPr>
      <w:spacing w:before="0" w:after="0"/>
      <w:jc w:val="center"/>
    </w:pPr>
    <w:rPr>
      <w:rFonts w:ascii="Times New Roman" w:eastAsia="Times New Roman" w:hAnsi="Times New Roman"/>
      <w:b/>
      <w:caps/>
      <w:color w:val="FF0000"/>
      <w:sz w:val="32"/>
      <w:szCs w:val="20"/>
      <w:bdr w:val="single" w:sz="18" w:space="0" w:color="FF0000"/>
    </w:rPr>
  </w:style>
  <w:style w:type="paragraph" w:customStyle="1" w:styleId="LegalNumPar">
    <w:name w:val="LegalNumPar"/>
    <w:basedOn w:val="Normal"/>
    <w:pPr>
      <w:numPr>
        <w:numId w:val="43"/>
      </w:numPr>
      <w:spacing w:before="0" w:after="240"/>
    </w:pPr>
    <w:rPr>
      <w:rFonts w:ascii="Times New Roman" w:eastAsia="Times New Roman" w:hAnsi="Times New Roman"/>
      <w:sz w:val="24"/>
      <w:szCs w:val="20"/>
    </w:rPr>
  </w:style>
  <w:style w:type="paragraph" w:customStyle="1" w:styleId="ZCom">
    <w:name w:val="Z_Com"/>
    <w:basedOn w:val="Normal"/>
    <w:next w:val="ZDGName"/>
    <w:uiPriority w:val="99"/>
    <w:pPr>
      <w:widowControl w:val="0"/>
      <w:autoSpaceDE w:val="0"/>
      <w:autoSpaceDN w:val="0"/>
      <w:spacing w:before="0" w:after="0"/>
      <w:ind w:right="85"/>
    </w:pPr>
    <w:rPr>
      <w:rFonts w:ascii="Arial" w:eastAsiaTheme="minorEastAsia" w:hAnsi="Arial" w:cs="Arial"/>
      <w:sz w:val="24"/>
      <w:lang w:eastAsia="en-GB"/>
    </w:rPr>
  </w:style>
  <w:style w:type="paragraph" w:customStyle="1" w:styleId="ZDGName">
    <w:name w:val="Z_DGName"/>
    <w:basedOn w:val="Normal"/>
    <w:uiPriority w:val="99"/>
    <w:pPr>
      <w:widowControl w:val="0"/>
      <w:autoSpaceDE w:val="0"/>
      <w:autoSpaceDN w:val="0"/>
      <w:spacing w:before="0" w:after="0"/>
      <w:ind w:right="85"/>
      <w:jc w:val="left"/>
    </w:pPr>
    <w:rPr>
      <w:rFonts w:ascii="Arial" w:eastAsiaTheme="minorEastAsia" w:hAnsi="Arial" w:cs="Arial"/>
      <w:sz w:val="16"/>
      <w:szCs w:val="16"/>
      <w:lang w:eastAsia="en-GB"/>
    </w:rPr>
  </w:style>
  <w:style w:type="paragraph" w:customStyle="1" w:styleId="HeaderLandscape">
    <w:name w:val="HeaderLandscape"/>
    <w:basedOn w:val="Normal"/>
    <w:pPr>
      <w:tabs>
        <w:tab w:val="center" w:pos="7285"/>
        <w:tab w:val="right" w:pos="14003"/>
      </w:tabs>
      <w:spacing w:before="0"/>
    </w:pPr>
    <w:rPr>
      <w:rFonts w:ascii="Times New Roman" w:eastAsia="Calibri" w:hAnsi="Times New Roman"/>
      <w:sz w:val="24"/>
      <w:szCs w:val="2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ascii="Times New Roman" w:eastAsia="Times New Roman" w:hAnsi="Times New Roman"/>
      <w:sz w:val="24"/>
    </w:rPr>
  </w:style>
  <w:style w:type="paragraph" w:customStyle="1" w:styleId="NormalCentered">
    <w:name w:val="Normal Centered"/>
    <w:basedOn w:val="Normal"/>
    <w:pPr>
      <w:jc w:val="center"/>
    </w:pPr>
    <w:rPr>
      <w:rFonts w:ascii="Times New Roman" w:eastAsia="Times New Roman" w:hAnsi="Times New Roman"/>
      <w:sz w:val="24"/>
    </w:rPr>
  </w:style>
  <w:style w:type="paragraph" w:customStyle="1" w:styleId="NormalLeft">
    <w:name w:val="Normal Left"/>
    <w:basedOn w:val="Normal"/>
    <w:pPr>
      <w:jc w:val="left"/>
    </w:pPr>
    <w:rPr>
      <w:rFonts w:ascii="Times New Roman" w:eastAsia="Times New Roman" w:hAnsi="Times New Roman"/>
      <w:sz w:val="24"/>
    </w:rPr>
  </w:style>
  <w:style w:type="paragraph" w:customStyle="1" w:styleId="NormalRight">
    <w:name w:val="Normal Right"/>
    <w:basedOn w:val="Normal"/>
    <w:pPr>
      <w:jc w:val="right"/>
    </w:pPr>
    <w:rPr>
      <w:rFonts w:ascii="Times New Roman" w:eastAsia="Times New Roman" w:hAnsi="Times New Roman"/>
      <w:sz w:val="24"/>
    </w:rPr>
  </w:style>
  <w:style w:type="paragraph" w:customStyle="1" w:styleId="QuotedText">
    <w:name w:val="Quoted Text"/>
    <w:basedOn w:val="Normal"/>
    <w:pPr>
      <w:ind w:left="1417"/>
    </w:pPr>
    <w:rPr>
      <w:rFonts w:ascii="Times New Roman" w:eastAsia="Times New Roman" w:hAnsi="Times New Roman"/>
      <w:sz w:val="24"/>
    </w:rPr>
  </w:style>
  <w:style w:type="paragraph" w:customStyle="1" w:styleId="Point0">
    <w:name w:val="Point 0"/>
    <w:basedOn w:val="Normal"/>
    <w:pPr>
      <w:ind w:left="850" w:hanging="850"/>
    </w:pPr>
    <w:rPr>
      <w:rFonts w:ascii="Times New Roman" w:eastAsia="Times New Roman" w:hAnsi="Times New Roman"/>
      <w:sz w:val="24"/>
    </w:rPr>
  </w:style>
  <w:style w:type="paragraph" w:customStyle="1" w:styleId="Point1">
    <w:name w:val="Point 1"/>
    <w:basedOn w:val="Normal"/>
    <w:pPr>
      <w:ind w:left="1417" w:hanging="567"/>
    </w:pPr>
    <w:rPr>
      <w:rFonts w:ascii="Times New Roman" w:eastAsia="Times New Roman" w:hAnsi="Times New Roman"/>
      <w:sz w:val="24"/>
    </w:rPr>
  </w:style>
  <w:style w:type="paragraph" w:customStyle="1" w:styleId="Point2">
    <w:name w:val="Point 2"/>
    <w:basedOn w:val="Normal"/>
    <w:pPr>
      <w:ind w:left="1984" w:hanging="567"/>
    </w:pPr>
    <w:rPr>
      <w:rFonts w:ascii="Times New Roman" w:eastAsia="Times New Roman" w:hAnsi="Times New Roman"/>
      <w:sz w:val="24"/>
    </w:rPr>
  </w:style>
  <w:style w:type="paragraph" w:customStyle="1" w:styleId="Point3">
    <w:name w:val="Point 3"/>
    <w:basedOn w:val="Normal"/>
    <w:pPr>
      <w:ind w:left="2551" w:hanging="567"/>
    </w:pPr>
    <w:rPr>
      <w:rFonts w:ascii="Times New Roman" w:eastAsia="Times New Roman" w:hAnsi="Times New Roman"/>
      <w:sz w:val="24"/>
    </w:rPr>
  </w:style>
  <w:style w:type="paragraph" w:customStyle="1" w:styleId="Point4">
    <w:name w:val="Point 4"/>
    <w:basedOn w:val="Normal"/>
    <w:pPr>
      <w:ind w:left="3118" w:hanging="567"/>
    </w:pPr>
    <w:rPr>
      <w:rFonts w:ascii="Times New Roman" w:eastAsia="Times New Roman" w:hAnsi="Times New Roman"/>
      <w:sz w:val="24"/>
    </w:rPr>
  </w:style>
  <w:style w:type="paragraph" w:customStyle="1" w:styleId="Tiret0">
    <w:name w:val="Tiret 0"/>
    <w:basedOn w:val="Point0"/>
    <w:pPr>
      <w:numPr>
        <w:numId w:val="44"/>
      </w:numPr>
      <w:tabs>
        <w:tab w:val="clear" w:pos="850"/>
      </w:tabs>
    </w:pPr>
  </w:style>
  <w:style w:type="paragraph" w:customStyle="1" w:styleId="Tiret1">
    <w:name w:val="Tiret 1"/>
    <w:basedOn w:val="Point1"/>
    <w:pPr>
      <w:numPr>
        <w:numId w:val="45"/>
      </w:numPr>
      <w:tabs>
        <w:tab w:val="clear" w:pos="1417"/>
      </w:tabs>
    </w:pPr>
  </w:style>
  <w:style w:type="paragraph" w:customStyle="1" w:styleId="Tiret2">
    <w:name w:val="Tiret 2"/>
    <w:basedOn w:val="Point2"/>
    <w:pPr>
      <w:numPr>
        <w:numId w:val="46"/>
      </w:numPr>
      <w:tabs>
        <w:tab w:val="clear" w:pos="1984"/>
      </w:tabs>
    </w:pPr>
  </w:style>
  <w:style w:type="paragraph" w:customStyle="1" w:styleId="Tiret3">
    <w:name w:val="Tiret 3"/>
    <w:basedOn w:val="Point3"/>
    <w:pPr>
      <w:numPr>
        <w:numId w:val="47"/>
      </w:numPr>
    </w:pPr>
  </w:style>
  <w:style w:type="paragraph" w:customStyle="1" w:styleId="Tiret4">
    <w:name w:val="Tiret 4"/>
    <w:basedOn w:val="Point4"/>
    <w:pPr>
      <w:numPr>
        <w:numId w:val="48"/>
      </w:numPr>
    </w:pPr>
  </w:style>
  <w:style w:type="paragraph" w:customStyle="1" w:styleId="PointDouble0">
    <w:name w:val="PointDouble 0"/>
    <w:basedOn w:val="Normal"/>
    <w:pPr>
      <w:tabs>
        <w:tab w:val="left" w:pos="850"/>
      </w:tabs>
      <w:ind w:left="1417" w:hanging="1417"/>
    </w:pPr>
    <w:rPr>
      <w:rFonts w:ascii="Times New Roman" w:eastAsia="Times New Roman" w:hAnsi="Times New Roman"/>
      <w:sz w:val="24"/>
    </w:rPr>
  </w:style>
  <w:style w:type="paragraph" w:customStyle="1" w:styleId="PointDouble1">
    <w:name w:val="PointDouble 1"/>
    <w:basedOn w:val="Normal"/>
    <w:pPr>
      <w:tabs>
        <w:tab w:val="left" w:pos="1417"/>
      </w:tabs>
      <w:ind w:left="1984" w:hanging="1134"/>
    </w:pPr>
    <w:rPr>
      <w:rFonts w:ascii="Times New Roman" w:eastAsia="Times New Roman" w:hAnsi="Times New Roman"/>
      <w:sz w:val="24"/>
    </w:rPr>
  </w:style>
  <w:style w:type="paragraph" w:customStyle="1" w:styleId="PointDouble2">
    <w:name w:val="PointDouble 2"/>
    <w:basedOn w:val="Normal"/>
    <w:pPr>
      <w:tabs>
        <w:tab w:val="left" w:pos="1984"/>
      </w:tabs>
      <w:ind w:left="2551" w:hanging="1134"/>
    </w:pPr>
    <w:rPr>
      <w:rFonts w:ascii="Times New Roman" w:eastAsia="Times New Roman" w:hAnsi="Times New Roman"/>
      <w:sz w:val="24"/>
    </w:rPr>
  </w:style>
  <w:style w:type="paragraph" w:customStyle="1" w:styleId="PointDouble3">
    <w:name w:val="PointDouble 3"/>
    <w:basedOn w:val="Normal"/>
    <w:pPr>
      <w:tabs>
        <w:tab w:val="left" w:pos="2551"/>
      </w:tabs>
      <w:ind w:left="3118" w:hanging="1134"/>
    </w:pPr>
    <w:rPr>
      <w:rFonts w:ascii="Times New Roman" w:eastAsia="Times New Roman" w:hAnsi="Times New Roman"/>
      <w:sz w:val="24"/>
    </w:rPr>
  </w:style>
  <w:style w:type="paragraph" w:customStyle="1" w:styleId="PointDouble4">
    <w:name w:val="PointDouble 4"/>
    <w:basedOn w:val="Normal"/>
    <w:pPr>
      <w:tabs>
        <w:tab w:val="left" w:pos="3118"/>
      </w:tabs>
      <w:ind w:left="3685" w:hanging="1134"/>
    </w:pPr>
    <w:rPr>
      <w:rFonts w:ascii="Times New Roman" w:eastAsia="Times New Roman" w:hAnsi="Times New Roman"/>
      <w:sz w:val="24"/>
    </w:rPr>
  </w:style>
  <w:style w:type="paragraph" w:customStyle="1" w:styleId="PointTriple0">
    <w:name w:val="PointTriple 0"/>
    <w:basedOn w:val="Normal"/>
    <w:pPr>
      <w:tabs>
        <w:tab w:val="left" w:pos="850"/>
        <w:tab w:val="left" w:pos="1417"/>
      </w:tabs>
      <w:ind w:left="1984" w:hanging="1984"/>
    </w:pPr>
    <w:rPr>
      <w:rFonts w:ascii="Times New Roman" w:eastAsia="Times New Roman" w:hAnsi="Times New Roman"/>
      <w:sz w:val="24"/>
    </w:rPr>
  </w:style>
  <w:style w:type="paragraph" w:customStyle="1" w:styleId="PointTriple1">
    <w:name w:val="PointTriple 1"/>
    <w:basedOn w:val="Normal"/>
    <w:pPr>
      <w:tabs>
        <w:tab w:val="left" w:pos="1417"/>
        <w:tab w:val="left" w:pos="1984"/>
      </w:tabs>
      <w:ind w:left="2551" w:hanging="1701"/>
    </w:pPr>
    <w:rPr>
      <w:rFonts w:ascii="Times New Roman" w:eastAsia="Times New Roman" w:hAnsi="Times New Roman"/>
      <w:sz w:val="24"/>
    </w:rPr>
  </w:style>
  <w:style w:type="paragraph" w:customStyle="1" w:styleId="PointTriple2">
    <w:name w:val="PointTriple 2"/>
    <w:basedOn w:val="Normal"/>
    <w:pPr>
      <w:tabs>
        <w:tab w:val="left" w:pos="1984"/>
        <w:tab w:val="left" w:pos="2551"/>
      </w:tabs>
      <w:ind w:left="3118" w:hanging="1701"/>
    </w:pPr>
    <w:rPr>
      <w:rFonts w:ascii="Times New Roman" w:eastAsia="Times New Roman" w:hAnsi="Times New Roman"/>
      <w:sz w:val="24"/>
    </w:rPr>
  </w:style>
  <w:style w:type="paragraph" w:customStyle="1" w:styleId="PointTriple3">
    <w:name w:val="PointTriple 3"/>
    <w:basedOn w:val="Normal"/>
    <w:pPr>
      <w:tabs>
        <w:tab w:val="left" w:pos="2551"/>
        <w:tab w:val="left" w:pos="3118"/>
      </w:tabs>
      <w:ind w:left="3685" w:hanging="1701"/>
    </w:pPr>
    <w:rPr>
      <w:rFonts w:ascii="Times New Roman" w:eastAsia="Times New Roman" w:hAnsi="Times New Roman"/>
      <w:sz w:val="24"/>
    </w:rPr>
  </w:style>
  <w:style w:type="paragraph" w:customStyle="1" w:styleId="PointTriple4">
    <w:name w:val="PointTriple 4"/>
    <w:basedOn w:val="Normal"/>
    <w:pPr>
      <w:tabs>
        <w:tab w:val="left" w:pos="3118"/>
        <w:tab w:val="left" w:pos="3685"/>
      </w:tabs>
      <w:ind w:left="4252" w:hanging="1701"/>
    </w:pPr>
    <w:rPr>
      <w:rFonts w:ascii="Times New Roman" w:eastAsia="Times New Roman" w:hAnsi="Times New Roman"/>
      <w:sz w:val="24"/>
    </w:rPr>
  </w:style>
  <w:style w:type="paragraph" w:customStyle="1" w:styleId="ManualNumPar1">
    <w:name w:val="Manual NumPar 1"/>
    <w:basedOn w:val="Normal"/>
    <w:next w:val="Text1"/>
    <w:pPr>
      <w:ind w:left="850" w:hanging="850"/>
    </w:pPr>
    <w:rPr>
      <w:rFonts w:ascii="Times New Roman" w:eastAsia="Times New Roman" w:hAnsi="Times New Roman"/>
      <w:sz w:val="24"/>
    </w:rPr>
  </w:style>
  <w:style w:type="paragraph" w:customStyle="1" w:styleId="ManualNumPar2">
    <w:name w:val="Manual NumPar 2"/>
    <w:basedOn w:val="Normal"/>
    <w:next w:val="Text1"/>
    <w:pPr>
      <w:ind w:left="850" w:hanging="850"/>
    </w:pPr>
    <w:rPr>
      <w:rFonts w:ascii="Times New Roman" w:eastAsia="Times New Roman" w:hAnsi="Times New Roman"/>
      <w:sz w:val="24"/>
    </w:rPr>
  </w:style>
  <w:style w:type="paragraph" w:customStyle="1" w:styleId="ManualNumPar3">
    <w:name w:val="Manual NumPar 3"/>
    <w:basedOn w:val="Normal"/>
    <w:next w:val="Text1"/>
    <w:pPr>
      <w:ind w:left="850" w:hanging="850"/>
    </w:pPr>
    <w:rPr>
      <w:rFonts w:ascii="Times New Roman" w:eastAsia="Times New Roman" w:hAnsi="Times New Roman"/>
      <w:sz w:val="24"/>
    </w:rPr>
  </w:style>
  <w:style w:type="paragraph" w:customStyle="1" w:styleId="ManualNumPar4">
    <w:name w:val="Manual NumPar 4"/>
    <w:basedOn w:val="Normal"/>
    <w:next w:val="Text1"/>
    <w:pPr>
      <w:ind w:left="850" w:hanging="850"/>
    </w:pPr>
    <w:rPr>
      <w:rFonts w:ascii="Times New Roman" w:eastAsia="Times New Roman" w:hAnsi="Times New Roman"/>
      <w:sz w:val="24"/>
    </w:rPr>
  </w:style>
  <w:style w:type="paragraph" w:customStyle="1" w:styleId="QuotedNumPar">
    <w:name w:val="Quoted NumPar"/>
    <w:basedOn w:val="Normal"/>
    <w:pPr>
      <w:ind w:left="1417" w:hanging="567"/>
    </w:pPr>
    <w:rPr>
      <w:rFonts w:ascii="Times New Roman" w:eastAsia="Times New Roman" w:hAnsi="Times New Roman"/>
      <w:sz w:val="24"/>
    </w:rPr>
  </w:style>
  <w:style w:type="paragraph" w:customStyle="1" w:styleId="ManualHeading1">
    <w:name w:val="Manual Heading 1"/>
    <w:basedOn w:val="Normal"/>
    <w:next w:val="Text1"/>
    <w:pPr>
      <w:keepNext/>
      <w:pBdr>
        <w:top w:val="single" w:sz="4" w:space="1" w:color="auto"/>
        <w:left w:val="single" w:sz="4" w:space="4" w:color="auto"/>
        <w:bottom w:val="single" w:sz="4" w:space="1" w:color="auto"/>
        <w:right w:val="single" w:sz="4" w:space="4" w:color="auto"/>
      </w:pBdr>
      <w:tabs>
        <w:tab w:val="left" w:pos="850"/>
      </w:tabs>
      <w:spacing w:before="360"/>
      <w:jc w:val="center"/>
      <w:outlineLvl w:val="0"/>
    </w:pPr>
    <w:rPr>
      <w:rFonts w:ascii="Times New Roman" w:eastAsia="Times New Roman" w:hAnsi="Times New Roman"/>
      <w:b/>
      <w:bCs/>
      <w:smallCaps/>
      <w:noProof/>
      <w:sz w:val="28"/>
    </w:rPr>
  </w:style>
  <w:style w:type="paragraph" w:customStyle="1" w:styleId="ManualHeading2">
    <w:name w:val="Manual Heading 2"/>
    <w:basedOn w:val="Normal"/>
    <w:next w:val="Text1"/>
    <w:autoRedefine/>
    <w:pPr>
      <w:keepNext/>
      <w:tabs>
        <w:tab w:val="left" w:pos="850"/>
      </w:tabs>
      <w:ind w:left="850" w:hanging="850"/>
      <w:outlineLvl w:val="1"/>
    </w:pPr>
    <w:rPr>
      <w:rFonts w:ascii="Times New Roman" w:eastAsia="Times New Roman" w:hAnsi="Times New Roman"/>
      <w:b/>
      <w:sz w:val="24"/>
      <w:lang w:eastAsia="en-GB"/>
    </w:rPr>
  </w:style>
  <w:style w:type="paragraph" w:customStyle="1" w:styleId="ManualHeading3">
    <w:name w:val="Manual Heading 3"/>
    <w:basedOn w:val="Normal"/>
    <w:next w:val="Text1"/>
    <w:pPr>
      <w:keepNext/>
      <w:tabs>
        <w:tab w:val="left" w:pos="850"/>
      </w:tabs>
      <w:ind w:left="1700" w:hanging="850"/>
      <w:outlineLvl w:val="2"/>
    </w:pPr>
    <w:rPr>
      <w:rFonts w:ascii="Times New Roman" w:eastAsia="Times New Roman" w:hAnsi="Times New Roman"/>
      <w:i/>
      <w:sz w:val="24"/>
    </w:rPr>
  </w:style>
  <w:style w:type="paragraph" w:customStyle="1" w:styleId="ManualHeading4">
    <w:name w:val="Manual Heading 4"/>
    <w:basedOn w:val="Normal"/>
    <w:next w:val="Text1"/>
    <w:pPr>
      <w:keepNext/>
      <w:tabs>
        <w:tab w:val="left" w:pos="850"/>
      </w:tabs>
      <w:ind w:left="850" w:hanging="850"/>
      <w:outlineLvl w:val="3"/>
    </w:pPr>
    <w:rPr>
      <w:rFonts w:ascii="Times New Roman" w:eastAsia="Times New Roman" w:hAnsi="Times New Roman"/>
      <w:sz w:val="24"/>
    </w:rPr>
  </w:style>
  <w:style w:type="paragraph" w:customStyle="1" w:styleId="TableTitle">
    <w:name w:val="Table Title"/>
    <w:basedOn w:val="Normal"/>
    <w:next w:val="Normal"/>
    <w:pPr>
      <w:jc w:val="center"/>
    </w:pPr>
    <w:rPr>
      <w:rFonts w:ascii="Times New Roman" w:eastAsia="Times New Roman" w:hAnsi="Times New Roman"/>
      <w:b/>
      <w:sz w:val="24"/>
    </w:rPr>
  </w:style>
  <w:style w:type="character" w:customStyle="1" w:styleId="Marker">
    <w:name w:val="Marker"/>
    <w:rPr>
      <w:color w:val="0000FF"/>
      <w:shd w:val="clear" w:color="auto" w:fill="auto"/>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customStyle="1" w:styleId="Point0number">
    <w:name w:val="Point 0 (number)"/>
    <w:basedOn w:val="Normal"/>
    <w:pPr>
      <w:numPr>
        <w:numId w:val="49"/>
      </w:numPr>
    </w:pPr>
    <w:rPr>
      <w:rFonts w:ascii="Times New Roman" w:eastAsia="Times New Roman" w:hAnsi="Times New Roman"/>
      <w:sz w:val="24"/>
    </w:rPr>
  </w:style>
  <w:style w:type="paragraph" w:customStyle="1" w:styleId="Point1number">
    <w:name w:val="Point 1 (number)"/>
    <w:basedOn w:val="Normal"/>
    <w:pPr>
      <w:numPr>
        <w:ilvl w:val="2"/>
        <w:numId w:val="49"/>
      </w:numPr>
    </w:pPr>
    <w:rPr>
      <w:rFonts w:ascii="Times New Roman" w:eastAsia="Times New Roman" w:hAnsi="Times New Roman"/>
      <w:sz w:val="24"/>
    </w:rPr>
  </w:style>
  <w:style w:type="paragraph" w:customStyle="1" w:styleId="Point2number">
    <w:name w:val="Point 2 (number)"/>
    <w:basedOn w:val="Normal"/>
    <w:pPr>
      <w:numPr>
        <w:ilvl w:val="4"/>
        <w:numId w:val="49"/>
      </w:numPr>
    </w:pPr>
    <w:rPr>
      <w:rFonts w:ascii="Times New Roman" w:eastAsia="Times New Roman" w:hAnsi="Times New Roman"/>
      <w:sz w:val="24"/>
    </w:rPr>
  </w:style>
  <w:style w:type="paragraph" w:customStyle="1" w:styleId="Point3number">
    <w:name w:val="Point 3 (number)"/>
    <w:basedOn w:val="Normal"/>
    <w:pPr>
      <w:numPr>
        <w:ilvl w:val="6"/>
        <w:numId w:val="49"/>
      </w:numPr>
    </w:pPr>
    <w:rPr>
      <w:rFonts w:ascii="Times New Roman" w:eastAsia="Times New Roman" w:hAnsi="Times New Roman"/>
      <w:sz w:val="24"/>
    </w:rPr>
  </w:style>
  <w:style w:type="paragraph" w:customStyle="1" w:styleId="Point0letter">
    <w:name w:val="Point 0 (letter)"/>
    <w:basedOn w:val="Normal"/>
    <w:pPr>
      <w:numPr>
        <w:ilvl w:val="1"/>
        <w:numId w:val="49"/>
      </w:numPr>
    </w:pPr>
    <w:rPr>
      <w:rFonts w:ascii="Times New Roman" w:eastAsia="Times New Roman" w:hAnsi="Times New Roman"/>
      <w:sz w:val="24"/>
    </w:rPr>
  </w:style>
  <w:style w:type="paragraph" w:customStyle="1" w:styleId="Point1letter">
    <w:name w:val="Point 1 (letter)"/>
    <w:basedOn w:val="Normal"/>
    <w:pPr>
      <w:numPr>
        <w:ilvl w:val="3"/>
        <w:numId w:val="49"/>
      </w:numPr>
    </w:pPr>
    <w:rPr>
      <w:rFonts w:ascii="Times New Roman" w:eastAsia="Times New Roman" w:hAnsi="Times New Roman"/>
      <w:sz w:val="24"/>
    </w:rPr>
  </w:style>
  <w:style w:type="paragraph" w:customStyle="1" w:styleId="Point2letter">
    <w:name w:val="Point 2 (letter)"/>
    <w:basedOn w:val="Normal"/>
    <w:pPr>
      <w:numPr>
        <w:ilvl w:val="5"/>
        <w:numId w:val="49"/>
      </w:numPr>
    </w:pPr>
    <w:rPr>
      <w:rFonts w:ascii="Times New Roman" w:eastAsia="Times New Roman" w:hAnsi="Times New Roman"/>
      <w:sz w:val="24"/>
    </w:rPr>
  </w:style>
  <w:style w:type="paragraph" w:customStyle="1" w:styleId="Point3letter">
    <w:name w:val="Point 3 (letter)"/>
    <w:basedOn w:val="Normal"/>
    <w:pPr>
      <w:numPr>
        <w:ilvl w:val="7"/>
        <w:numId w:val="49"/>
      </w:numPr>
    </w:pPr>
    <w:rPr>
      <w:rFonts w:ascii="Times New Roman" w:eastAsia="Times New Roman" w:hAnsi="Times New Roman"/>
      <w:sz w:val="24"/>
    </w:rPr>
  </w:style>
  <w:style w:type="paragraph" w:customStyle="1" w:styleId="Point4letter">
    <w:name w:val="Point 4 (letter)"/>
    <w:basedOn w:val="Normal"/>
    <w:pPr>
      <w:numPr>
        <w:ilvl w:val="8"/>
        <w:numId w:val="49"/>
      </w:numPr>
    </w:pPr>
    <w:rPr>
      <w:rFonts w:ascii="Times New Roman" w:eastAsia="Times New Roman" w:hAnsi="Times New Roman"/>
      <w:sz w:val="24"/>
    </w:rPr>
  </w:style>
  <w:style w:type="paragraph" w:customStyle="1" w:styleId="Bullet0">
    <w:name w:val="Bullet 0"/>
    <w:basedOn w:val="Normal"/>
    <w:pPr>
      <w:numPr>
        <w:numId w:val="50"/>
      </w:numPr>
    </w:pPr>
    <w:rPr>
      <w:rFonts w:ascii="Times New Roman" w:eastAsia="Times New Roman" w:hAnsi="Times New Roman"/>
      <w:sz w:val="24"/>
    </w:rPr>
  </w:style>
  <w:style w:type="paragraph" w:customStyle="1" w:styleId="Bullet1">
    <w:name w:val="Bullet 1"/>
    <w:basedOn w:val="Normal"/>
    <w:pPr>
      <w:numPr>
        <w:numId w:val="51"/>
      </w:numPr>
    </w:pPr>
    <w:rPr>
      <w:rFonts w:ascii="Times New Roman" w:eastAsia="Times New Roman" w:hAnsi="Times New Roman"/>
      <w:sz w:val="24"/>
    </w:rPr>
  </w:style>
  <w:style w:type="paragraph" w:customStyle="1" w:styleId="Bullet2">
    <w:name w:val="Bullet 2"/>
    <w:basedOn w:val="Normal"/>
    <w:pPr>
      <w:numPr>
        <w:numId w:val="52"/>
      </w:numPr>
    </w:pPr>
    <w:rPr>
      <w:rFonts w:ascii="Times New Roman" w:eastAsia="Times New Roman" w:hAnsi="Times New Roman"/>
      <w:sz w:val="24"/>
    </w:rPr>
  </w:style>
  <w:style w:type="paragraph" w:customStyle="1" w:styleId="Bullet3">
    <w:name w:val="Bullet 3"/>
    <w:basedOn w:val="Normal"/>
    <w:pPr>
      <w:numPr>
        <w:numId w:val="53"/>
      </w:numPr>
    </w:pPr>
    <w:rPr>
      <w:rFonts w:ascii="Times New Roman" w:eastAsia="Times New Roman" w:hAnsi="Times New Roman"/>
      <w:sz w:val="24"/>
    </w:rPr>
  </w:style>
  <w:style w:type="paragraph" w:customStyle="1" w:styleId="Bullet4">
    <w:name w:val="Bullet 4"/>
    <w:basedOn w:val="Normal"/>
    <w:pPr>
      <w:numPr>
        <w:numId w:val="54"/>
      </w:numPr>
    </w:pPr>
    <w:rPr>
      <w:rFonts w:ascii="Times New Roman" w:eastAsia="Times New Roman" w:hAnsi="Times New Roman"/>
      <w:sz w:val="24"/>
    </w:rPr>
  </w:style>
  <w:style w:type="paragraph" w:customStyle="1" w:styleId="Annexetitreexpos">
    <w:name w:val="Annexe titre (exposé)"/>
    <w:basedOn w:val="Normal"/>
    <w:next w:val="Normal"/>
    <w:pPr>
      <w:jc w:val="center"/>
    </w:pPr>
    <w:rPr>
      <w:rFonts w:ascii="Times New Roman" w:eastAsia="Times New Roman" w:hAnsi="Times New Roman"/>
      <w:b/>
      <w:sz w:val="24"/>
      <w:u w:val="single"/>
    </w:rPr>
  </w:style>
  <w:style w:type="paragraph" w:customStyle="1" w:styleId="Annexetitre">
    <w:name w:val="Annexe titre"/>
    <w:basedOn w:val="Normal"/>
    <w:next w:val="Normal"/>
    <w:pPr>
      <w:jc w:val="center"/>
    </w:pPr>
    <w:rPr>
      <w:rFonts w:ascii="Times New Roman" w:eastAsia="Times New Roman" w:hAnsi="Times New Roman"/>
      <w:b/>
      <w:sz w:val="24"/>
      <w:u w:val="single"/>
    </w:rPr>
  </w:style>
  <w:style w:type="paragraph" w:customStyle="1" w:styleId="Annexetitrefichefinancire">
    <w:name w:val="Annexe titre (fiche financière)"/>
    <w:basedOn w:val="Normal"/>
    <w:next w:val="Normal"/>
    <w:pPr>
      <w:jc w:val="center"/>
    </w:pPr>
    <w:rPr>
      <w:rFonts w:ascii="Times New Roman" w:eastAsia="Times New Roman" w:hAnsi="Times New Roman"/>
      <w:b/>
      <w:sz w:val="24"/>
      <w:u w:val="single"/>
    </w:rPr>
  </w:style>
  <w:style w:type="paragraph" w:customStyle="1" w:styleId="Applicationdirecte">
    <w:name w:val="Application directe"/>
    <w:basedOn w:val="Normal"/>
    <w:next w:val="Fait"/>
    <w:pPr>
      <w:spacing w:before="480"/>
    </w:pPr>
    <w:rPr>
      <w:rFonts w:ascii="Times New Roman" w:eastAsia="Times New Roman" w:hAnsi="Times New Roman"/>
      <w:sz w:val="24"/>
    </w:rPr>
  </w:style>
  <w:style w:type="paragraph" w:customStyle="1" w:styleId="Avertissementtitre">
    <w:name w:val="Avertissement titre"/>
    <w:basedOn w:val="Normal"/>
    <w:next w:val="Normal"/>
    <w:pPr>
      <w:keepNext/>
      <w:spacing w:before="480"/>
    </w:pPr>
    <w:rPr>
      <w:rFonts w:ascii="Times New Roman" w:eastAsia="Times New Roman" w:hAnsi="Times New Roman"/>
      <w:sz w:val="24"/>
      <w:u w:val="single"/>
    </w:rPr>
  </w:style>
  <w:style w:type="paragraph" w:customStyle="1" w:styleId="Confidence">
    <w:name w:val="Confidence"/>
    <w:basedOn w:val="Normal"/>
    <w:next w:val="Normal"/>
    <w:pPr>
      <w:spacing w:before="360"/>
      <w:jc w:val="center"/>
    </w:pPr>
    <w:rPr>
      <w:rFonts w:ascii="Times New Roman" w:eastAsia="Times New Roman" w:hAnsi="Times New Roman"/>
      <w:sz w:val="24"/>
    </w:rPr>
  </w:style>
  <w:style w:type="paragraph" w:customStyle="1" w:styleId="Confidentialit">
    <w:name w:val="Confidentialité"/>
    <w:basedOn w:val="Normal"/>
    <w:next w:val="TypedudocumentPagedecouverture"/>
    <w:pPr>
      <w:spacing w:before="240" w:after="240"/>
      <w:ind w:left="5103"/>
    </w:pPr>
    <w:rPr>
      <w:rFonts w:ascii="Times New Roman" w:eastAsia="Times New Roman" w:hAnsi="Times New Roman"/>
      <w:i/>
      <w:sz w:val="32"/>
    </w:rPr>
  </w:style>
  <w:style w:type="paragraph" w:customStyle="1" w:styleId="Considrant">
    <w:name w:val="Considérant"/>
    <w:basedOn w:val="Normal"/>
    <w:pPr>
      <w:numPr>
        <w:numId w:val="55"/>
      </w:numPr>
    </w:pPr>
    <w:rPr>
      <w:rFonts w:ascii="Times New Roman" w:eastAsia="Times New Roman" w:hAnsi="Times New Roman"/>
      <w:sz w:val="24"/>
    </w:rPr>
  </w:style>
  <w:style w:type="paragraph" w:customStyle="1" w:styleId="Corrigendum">
    <w:name w:val="Corrigendum"/>
    <w:basedOn w:val="Normal"/>
    <w:next w:val="Normal"/>
    <w:pPr>
      <w:spacing w:before="0" w:after="240"/>
      <w:jc w:val="left"/>
    </w:pPr>
    <w:rPr>
      <w:rFonts w:ascii="Times New Roman" w:eastAsia="Times New Roman" w:hAnsi="Times New Roman"/>
      <w:sz w:val="24"/>
    </w:rPr>
  </w:style>
  <w:style w:type="paragraph" w:customStyle="1" w:styleId="Datedadoption">
    <w:name w:val="Date d'adoption"/>
    <w:basedOn w:val="Normal"/>
    <w:next w:val="Titreobjet"/>
    <w:pPr>
      <w:spacing w:before="360" w:after="0"/>
      <w:jc w:val="center"/>
    </w:pPr>
    <w:rPr>
      <w:rFonts w:ascii="Times New Roman" w:eastAsia="Times New Roman" w:hAnsi="Times New Roman"/>
      <w:b/>
      <w:sz w:val="24"/>
    </w:rPr>
  </w:style>
  <w:style w:type="paragraph" w:customStyle="1" w:styleId="Emission">
    <w:name w:val="Emission"/>
    <w:basedOn w:val="Normal"/>
    <w:next w:val="Rfrenceinstitutionnelle"/>
    <w:pPr>
      <w:spacing w:before="0" w:after="0"/>
      <w:ind w:left="5103"/>
      <w:jc w:val="left"/>
    </w:pPr>
    <w:rPr>
      <w:rFonts w:ascii="Times New Roman" w:eastAsia="Times New Roman" w:hAnsi="Times New Roman"/>
      <w:sz w:val="24"/>
    </w:rPr>
  </w:style>
  <w:style w:type="paragraph" w:customStyle="1" w:styleId="Exposdesmotifstitre">
    <w:name w:val="Exposé des motifs titre"/>
    <w:basedOn w:val="Normal"/>
    <w:next w:val="Normal"/>
    <w:pPr>
      <w:jc w:val="center"/>
    </w:pPr>
    <w:rPr>
      <w:rFonts w:ascii="Times New Roman" w:eastAsia="Times New Roman" w:hAnsi="Times New Roman"/>
      <w:b/>
      <w:sz w:val="24"/>
      <w:u w:val="single"/>
    </w:rPr>
  </w:style>
  <w:style w:type="paragraph" w:customStyle="1" w:styleId="Fait">
    <w:name w:val="Fait à"/>
    <w:basedOn w:val="Normal"/>
    <w:next w:val="Institutionquisigne"/>
    <w:pPr>
      <w:keepNext/>
      <w:spacing w:after="0"/>
    </w:pPr>
    <w:rPr>
      <w:rFonts w:ascii="Times New Roman" w:eastAsia="Times New Roman" w:hAnsi="Times New Roman"/>
      <w:sz w:val="24"/>
    </w:rPr>
  </w:style>
  <w:style w:type="paragraph" w:customStyle="1" w:styleId="Formuledadoption">
    <w:name w:val="Formule d'adoption"/>
    <w:basedOn w:val="Normal"/>
    <w:next w:val="Titrearticle"/>
    <w:pPr>
      <w:keepNext/>
    </w:pPr>
    <w:rPr>
      <w:rFonts w:ascii="Times New Roman" w:eastAsia="Times New Roman" w:hAnsi="Times New Roman"/>
      <w:sz w:val="24"/>
    </w:rPr>
  </w:style>
  <w:style w:type="paragraph" w:customStyle="1" w:styleId="Institutionquiagit">
    <w:name w:val="Institution qui agit"/>
    <w:basedOn w:val="Normal"/>
    <w:next w:val="Normal"/>
    <w:pPr>
      <w:keepNext/>
      <w:spacing w:before="600"/>
    </w:pPr>
    <w:rPr>
      <w:rFonts w:ascii="Times New Roman" w:eastAsia="Times New Roman" w:hAnsi="Times New Roman"/>
      <w:sz w:val="24"/>
    </w:rPr>
  </w:style>
  <w:style w:type="paragraph" w:customStyle="1" w:styleId="Institutionquisigne">
    <w:name w:val="Institution qui signe"/>
    <w:basedOn w:val="Normal"/>
    <w:next w:val="Personnequisigne"/>
    <w:pPr>
      <w:keepNext/>
      <w:tabs>
        <w:tab w:val="left" w:pos="4252"/>
      </w:tabs>
      <w:spacing w:before="720" w:after="0"/>
    </w:pPr>
    <w:rPr>
      <w:rFonts w:ascii="Times New Roman" w:eastAsia="Times New Roman" w:hAnsi="Times New Roman"/>
      <w:i/>
      <w:sz w:val="24"/>
    </w:rPr>
  </w:style>
  <w:style w:type="paragraph" w:customStyle="1" w:styleId="Langue">
    <w:name w:val="Langue"/>
    <w:basedOn w:val="Normal"/>
    <w:next w:val="Rfrenceinterne"/>
    <w:pPr>
      <w:framePr w:wrap="around" w:vAnchor="page" w:hAnchor="text" w:xAlign="center" w:y="14741"/>
      <w:spacing w:before="0" w:after="600"/>
      <w:jc w:val="center"/>
    </w:pPr>
    <w:rPr>
      <w:rFonts w:ascii="Times New Roman" w:eastAsia="Times New Roman" w:hAnsi="Times New Roman"/>
      <w:b/>
      <w:caps/>
      <w:sz w:val="24"/>
    </w:rPr>
  </w:style>
  <w:style w:type="paragraph" w:customStyle="1" w:styleId="ManualConsidrant">
    <w:name w:val="Manual Considérant"/>
    <w:basedOn w:val="Normal"/>
    <w:pPr>
      <w:ind w:left="709" w:hanging="709"/>
    </w:pPr>
    <w:rPr>
      <w:rFonts w:ascii="Times New Roman" w:eastAsia="Times New Roman" w:hAnsi="Times New Roman"/>
      <w:sz w:val="24"/>
    </w:rPr>
  </w:style>
  <w:style w:type="paragraph" w:customStyle="1" w:styleId="Nomdelinstitution">
    <w:name w:val="Nom de l'institution"/>
    <w:basedOn w:val="Normal"/>
    <w:next w:val="Emission"/>
    <w:pPr>
      <w:spacing w:before="0" w:after="0"/>
      <w:jc w:val="left"/>
    </w:pPr>
    <w:rPr>
      <w:rFonts w:ascii="Arial" w:eastAsia="Times New Roman" w:hAnsi="Arial" w:cs="Arial"/>
      <w:sz w:val="24"/>
    </w:rPr>
  </w:style>
  <w:style w:type="paragraph" w:customStyle="1" w:styleId="Personnequisigne">
    <w:name w:val="Personne qui signe"/>
    <w:basedOn w:val="Normal"/>
    <w:next w:val="Institutionquisigne"/>
    <w:pPr>
      <w:tabs>
        <w:tab w:val="left" w:pos="4252"/>
      </w:tabs>
      <w:spacing w:before="0" w:after="0"/>
      <w:jc w:val="left"/>
    </w:pPr>
    <w:rPr>
      <w:rFonts w:ascii="Times New Roman" w:eastAsia="Times New Roman" w:hAnsi="Times New Roman"/>
      <w:i/>
      <w:sz w:val="24"/>
    </w:rPr>
  </w:style>
  <w:style w:type="paragraph" w:customStyle="1" w:styleId="Rfrenceinstitutionnelle">
    <w:name w:val="Référence institutionnelle"/>
    <w:basedOn w:val="Normal"/>
    <w:next w:val="Confidentialit"/>
    <w:pPr>
      <w:spacing w:before="0" w:after="240"/>
      <w:ind w:left="5103"/>
      <w:jc w:val="left"/>
    </w:pPr>
    <w:rPr>
      <w:rFonts w:ascii="Times New Roman" w:eastAsia="Times New Roman" w:hAnsi="Times New Roman"/>
      <w:sz w:val="24"/>
    </w:rPr>
  </w:style>
  <w:style w:type="paragraph" w:customStyle="1" w:styleId="Rfrenceinterinstitutionnelle">
    <w:name w:val="Référence interinstitutionnelle"/>
    <w:basedOn w:val="Normal"/>
    <w:next w:val="Statut"/>
    <w:pPr>
      <w:spacing w:before="0" w:after="0"/>
      <w:ind w:left="5103"/>
      <w:jc w:val="left"/>
    </w:pPr>
    <w:rPr>
      <w:rFonts w:ascii="Times New Roman" w:eastAsia="Times New Roman" w:hAnsi="Times New Roman"/>
      <w:sz w:val="24"/>
    </w:rPr>
  </w:style>
  <w:style w:type="paragraph" w:customStyle="1" w:styleId="Rfrenceinterne">
    <w:name w:val="Référence interne"/>
    <w:basedOn w:val="Normal"/>
    <w:next w:val="Rfrenceinterinstitutionnelle"/>
    <w:pPr>
      <w:spacing w:before="0" w:after="0"/>
      <w:ind w:left="5103"/>
      <w:jc w:val="left"/>
    </w:pPr>
    <w:rPr>
      <w:rFonts w:ascii="Times New Roman" w:eastAsia="Times New Roman" w:hAnsi="Times New Roman"/>
      <w:sz w:val="24"/>
    </w:rPr>
  </w:style>
  <w:style w:type="paragraph" w:customStyle="1" w:styleId="Sous-titreobjet">
    <w:name w:val="Sous-titre objet"/>
    <w:basedOn w:val="Normal"/>
    <w:pPr>
      <w:spacing w:before="0" w:after="0"/>
      <w:jc w:val="center"/>
    </w:pPr>
    <w:rPr>
      <w:rFonts w:ascii="Times New Roman" w:eastAsia="Times New Roman" w:hAnsi="Times New Roman"/>
      <w:b/>
      <w:sz w:val="24"/>
    </w:rPr>
  </w:style>
  <w:style w:type="paragraph" w:customStyle="1" w:styleId="Statut">
    <w:name w:val="Statut"/>
    <w:basedOn w:val="Normal"/>
    <w:next w:val="Typedudocument"/>
    <w:pPr>
      <w:spacing w:before="360" w:after="0"/>
      <w:jc w:val="center"/>
    </w:pPr>
    <w:rPr>
      <w:rFonts w:ascii="Times New Roman" w:eastAsia="Times New Roman" w:hAnsi="Times New Roman"/>
      <w:sz w:val="24"/>
    </w:rPr>
  </w:style>
  <w:style w:type="paragraph" w:customStyle="1" w:styleId="Titrearticle">
    <w:name w:val="Titre article"/>
    <w:basedOn w:val="Normal"/>
    <w:next w:val="Normal"/>
    <w:pPr>
      <w:keepNext/>
      <w:spacing w:before="360"/>
      <w:jc w:val="center"/>
    </w:pPr>
    <w:rPr>
      <w:rFonts w:ascii="Times New Roman" w:eastAsia="Times New Roman" w:hAnsi="Times New Roman"/>
      <w:i/>
      <w:sz w:val="24"/>
    </w:rPr>
  </w:style>
  <w:style w:type="paragraph" w:customStyle="1" w:styleId="Titreobjet">
    <w:name w:val="Titre objet"/>
    <w:basedOn w:val="Normal"/>
    <w:next w:val="Sous-titreobjet"/>
    <w:pPr>
      <w:spacing w:before="360" w:after="360"/>
      <w:jc w:val="center"/>
    </w:pPr>
    <w:rPr>
      <w:rFonts w:ascii="Times New Roman" w:eastAsia="Times New Roman" w:hAnsi="Times New Roman"/>
      <w:b/>
      <w:sz w:val="24"/>
    </w:rPr>
  </w:style>
  <w:style w:type="paragraph" w:customStyle="1" w:styleId="Typedudocument">
    <w:name w:val="Type du document"/>
    <w:basedOn w:val="Normal"/>
    <w:next w:val="Titreobjet"/>
    <w:pPr>
      <w:spacing w:before="360" w:after="0"/>
      <w:jc w:val="center"/>
    </w:pPr>
    <w:rPr>
      <w:rFonts w:ascii="Times New Roman" w:eastAsia="Times New Roman" w:hAnsi="Times New Roman"/>
      <w:b/>
      <w:sz w:val="24"/>
    </w:rPr>
  </w:style>
  <w:style w:type="character" w:customStyle="1" w:styleId="Added">
    <w:name w:val="Added"/>
    <w:rPr>
      <w:b/>
      <w:u w:val="single"/>
      <w:shd w:val="clear" w:color="auto" w:fill="auto"/>
    </w:rPr>
  </w:style>
  <w:style w:type="character" w:customStyle="1" w:styleId="Deleted">
    <w:name w:val="Deleted"/>
    <w:rPr>
      <w:strike/>
      <w:shd w:val="clear" w:color="auto" w:fill="auto"/>
    </w:rPr>
  </w:style>
  <w:style w:type="paragraph" w:customStyle="1" w:styleId="Objetexterne">
    <w:name w:val="Objet externe"/>
    <w:basedOn w:val="Normal"/>
    <w:next w:val="Normal"/>
    <w:rPr>
      <w:rFonts w:ascii="Times New Roman" w:eastAsia="Times New Roman" w:hAnsi="Times New Roman"/>
      <w:i/>
      <w:caps/>
      <w:sz w:val="24"/>
    </w:rPr>
  </w:style>
  <w:style w:type="paragraph" w:customStyle="1" w:styleId="Pagedecouverture">
    <w:name w:val="Page de couverture"/>
    <w:basedOn w:val="Normal"/>
    <w:next w:val="Normal"/>
    <w:pPr>
      <w:spacing w:before="0" w:after="0"/>
    </w:pPr>
    <w:rPr>
      <w:rFonts w:ascii="Times New Roman" w:eastAsia="Times New Roman" w:hAnsi="Times New Roman"/>
      <w:sz w:val="24"/>
    </w:rPr>
  </w:style>
  <w:style w:type="paragraph" w:customStyle="1" w:styleId="Supertitre">
    <w:name w:val="Supertitre"/>
    <w:basedOn w:val="Normal"/>
    <w:next w:val="Normal"/>
    <w:pPr>
      <w:spacing w:before="0" w:after="600"/>
      <w:jc w:val="center"/>
    </w:pPr>
    <w:rPr>
      <w:rFonts w:ascii="Times New Roman" w:eastAsia="Times New Roman" w:hAnsi="Times New Roman"/>
      <w:b/>
      <w:sz w:val="24"/>
    </w:rPr>
  </w:style>
  <w:style w:type="paragraph" w:customStyle="1" w:styleId="Languesfaisantfoi">
    <w:name w:val="Langues faisant foi"/>
    <w:basedOn w:val="Normal"/>
    <w:next w:val="Normal"/>
    <w:pPr>
      <w:spacing w:before="360" w:after="0"/>
      <w:jc w:val="center"/>
    </w:pPr>
    <w:rPr>
      <w:rFonts w:ascii="Times New Roman" w:eastAsia="Times New Roman" w:hAnsi="Times New Roman"/>
      <w:sz w:val="24"/>
    </w:rPr>
  </w:style>
  <w:style w:type="paragraph" w:customStyle="1" w:styleId="Rfrencecroise">
    <w:name w:val="Référence croisée"/>
    <w:basedOn w:val="Normal"/>
    <w:pPr>
      <w:spacing w:before="0" w:after="0"/>
      <w:jc w:val="center"/>
    </w:pPr>
    <w:rPr>
      <w:rFonts w:ascii="Times New Roman" w:eastAsia="Times New Roman" w:hAnsi="Times New Roman"/>
      <w:sz w:val="24"/>
    </w:rPr>
  </w:style>
  <w:style w:type="paragraph" w:customStyle="1" w:styleId="Fichefinanciretitre">
    <w:name w:val="Fiche financière titre"/>
    <w:basedOn w:val="Normal"/>
    <w:next w:val="Normal"/>
    <w:pPr>
      <w:jc w:val="center"/>
    </w:pPr>
    <w:rPr>
      <w:rFonts w:ascii="Times New Roman" w:eastAsia="Times New Roman" w:hAnsi="Times New Roman"/>
      <w:b/>
      <w:sz w:val="24"/>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before="0" w:after="240"/>
      <w:ind w:left="5103"/>
      <w:jc w:val="left"/>
    </w:pPr>
    <w:rPr>
      <w:rFonts w:ascii="Times New Roman" w:eastAsia="Times New Roman" w:hAnsi="Times New Roman"/>
      <w:sz w:val="24"/>
    </w:rPr>
  </w:style>
  <w:style w:type="paragraph" w:customStyle="1" w:styleId="IntrtEEE">
    <w:name w:val="Intérêt EEE"/>
    <w:basedOn w:val="Languesfaisantfoi"/>
    <w:next w:val="Normal"/>
  </w:style>
  <w:style w:type="paragraph" w:customStyle="1" w:styleId="Accompagnant">
    <w:name w:val="Accompagnant"/>
    <w:basedOn w:val="Normal"/>
    <w:next w:val="Typeacteprincipal"/>
    <w:pPr>
      <w:spacing w:before="0" w:after="240"/>
      <w:jc w:val="center"/>
    </w:pPr>
    <w:rPr>
      <w:rFonts w:ascii="Times New Roman" w:eastAsia="Times New Roman" w:hAnsi="Times New Roman"/>
      <w:b/>
      <w:i/>
      <w:sz w:val="24"/>
    </w:rPr>
  </w:style>
  <w:style w:type="paragraph" w:customStyle="1" w:styleId="Typeacteprincipal">
    <w:name w:val="Type acte principal"/>
    <w:basedOn w:val="Normal"/>
    <w:next w:val="Objetacteprincipal"/>
    <w:pPr>
      <w:spacing w:before="0" w:after="240"/>
      <w:jc w:val="center"/>
    </w:pPr>
    <w:rPr>
      <w:rFonts w:ascii="Times New Roman" w:eastAsia="Times New Roman" w:hAnsi="Times New Roman"/>
      <w:b/>
      <w:sz w:val="24"/>
    </w:rPr>
  </w:style>
  <w:style w:type="paragraph" w:customStyle="1" w:styleId="Objetacteprincipal">
    <w:name w:val="Objet acte principal"/>
    <w:basedOn w:val="Normal"/>
    <w:next w:val="Titrearticle"/>
    <w:pPr>
      <w:spacing w:before="0" w:after="360"/>
      <w:jc w:val="center"/>
    </w:pPr>
    <w:rPr>
      <w:rFonts w:ascii="Times New Roman" w:eastAsia="Times New Roman" w:hAnsi="Times New Roman"/>
      <w:b/>
      <w:sz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rPr>
      <w:rFonts w:ascii="Times New Roman" w:eastAsia="Times New Roman" w:hAnsi="Times New Roman"/>
      <w:sz w:val="24"/>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paragraph" w:customStyle="1" w:styleId="astandard3520normal">
    <w:name w:val="a_standard__35__20_normal"/>
    <w:basedOn w:val="Normal"/>
    <w:pPr>
      <w:spacing w:before="0"/>
      <w:ind w:right="57"/>
    </w:pPr>
    <w:rPr>
      <w:rFonts w:ascii="Times New Roman" w:eastAsia="Times New Roman" w:hAnsi="Times New Roman"/>
      <w:b/>
      <w:bCs/>
      <w:sz w:val="24"/>
      <w:lang w:eastAsia="en-GB"/>
    </w:rPr>
  </w:style>
  <w:style w:type="character" w:customStyle="1" w:styleId="at21">
    <w:name w:val="a__t21"/>
    <w:rPr>
      <w:b w:val="0"/>
      <w:bCs w:val="0"/>
    </w:rPr>
  </w:style>
  <w:style w:type="character" w:customStyle="1" w:styleId="at12">
    <w:name w:val="a__t12"/>
    <w:rPr>
      <w:b w:val="0"/>
      <w:bCs w:val="0"/>
    </w:rPr>
  </w:style>
  <w:style w:type="character" w:customStyle="1" w:styleId="CommentTextChar1">
    <w:name w:val="Comment Text Char1"/>
    <w:basedOn w:val="DefaultParagraphFont"/>
    <w:rPr>
      <w:lang w:eastAsia="en-US"/>
    </w:rPr>
  </w:style>
  <w:style w:type="paragraph" w:customStyle="1" w:styleId="Headinsh2">
    <w:name w:val="Headinsh 2"/>
    <w:basedOn w:val="Text1"/>
    <w:pPr>
      <w:spacing w:before="120" w:after="120"/>
      <w:ind w:left="850"/>
    </w:pPr>
    <w:rPr>
      <w:szCs w:val="24"/>
    </w:rPr>
  </w:style>
  <w:style w:type="paragraph" w:styleId="Revision">
    <w:name w:val="Revision"/>
    <w:hidden/>
    <w:uiPriority w:val="99"/>
    <w:rPr>
      <w:rFonts w:ascii="Times New Roman" w:eastAsia="Times New Roman" w:hAnsi="Times New Roman"/>
      <w:sz w:val="24"/>
      <w:szCs w:val="24"/>
      <w:lang w:eastAsia="en-US"/>
    </w:rPr>
  </w:style>
  <w:style w:type="character" w:styleId="FollowedHyperlink">
    <w:name w:val="FollowedHyperlink"/>
    <w:uiPriority w:val="99"/>
    <w:rPr>
      <w:color w:val="800080"/>
      <w:u w:val="single"/>
    </w:rPr>
  </w:style>
  <w:style w:type="paragraph" w:customStyle="1" w:styleId="Headig4">
    <w:name w:val="Headig 4"/>
    <w:basedOn w:val="Normal"/>
    <w:pPr>
      <w:autoSpaceDE w:val="0"/>
      <w:autoSpaceDN w:val="0"/>
      <w:adjustRightInd w:val="0"/>
      <w:spacing w:before="0" w:after="166"/>
    </w:pPr>
    <w:rPr>
      <w:rFonts w:ascii="Times New Roman" w:eastAsia="Times New Roman" w:hAnsi="Times New Roman"/>
      <w:b/>
      <w:sz w:val="24"/>
      <w:lang w:eastAsia="en-GB"/>
    </w:rPr>
  </w:style>
  <w:style w:type="character" w:styleId="HTMLCite">
    <w:name w:val="HTML Cite"/>
    <w:uiPriority w:val="99"/>
    <w:unhideWhenUsed/>
    <w:rPr>
      <w:i/>
      <w:iCs/>
    </w:rPr>
  </w:style>
  <w:style w:type="character" w:customStyle="1" w:styleId="t-dates1">
    <w:name w:val="t-dates1"/>
    <w:rPr>
      <w:color w:val="414141"/>
    </w:rPr>
  </w:style>
  <w:style w:type="character" w:customStyle="1" w:styleId="FootnoteCharacters">
    <w:name w:val="Footnote Characters"/>
    <w:rPr>
      <w:rFonts w:cs="Times New Roman"/>
      <w:vertAlign w:val="superscript"/>
    </w:rPr>
  </w:style>
  <w:style w:type="character" w:customStyle="1" w:styleId="Odwoanieprzypisudolnego2">
    <w:name w:val="Odwołanie przypisu dolnego2"/>
    <w:rPr>
      <w:vertAlign w:val="superscript"/>
    </w:rPr>
  </w:style>
  <w:style w:type="character" w:customStyle="1" w:styleId="A7">
    <w:name w:val="A7"/>
    <w:uiPriority w:val="99"/>
    <w:rPr>
      <w:rFonts w:ascii="TradeGothic" w:hAnsi="TradeGothic" w:cs="TradeGothic" w:hint="default"/>
      <w:color w:val="000000"/>
      <w:sz w:val="17"/>
      <w:szCs w:val="17"/>
    </w:rPr>
  </w:style>
  <w:style w:type="character" w:customStyle="1" w:styleId="EndnoteTextChar1">
    <w:name w:val="Endnote Text Char1"/>
    <w:link w:val="EndnoteText"/>
    <w:uiPriority w:val="99"/>
    <w:locked/>
    <w:rPr>
      <w:rFonts w:ascii="Times New Roman" w:eastAsia="Times New Roman" w:hAnsi="Times New Roman"/>
      <w:lang w:eastAsia="en-US"/>
    </w:rPr>
  </w:style>
  <w:style w:type="paragraph" w:customStyle="1" w:styleId="Heaing2">
    <w:name w:val="Heaing 2"/>
    <w:basedOn w:val="Heading3"/>
    <w:pPr>
      <w:keepLines w:val="0"/>
      <w:numPr>
        <w:ilvl w:val="0"/>
        <w:numId w:val="0"/>
      </w:numPr>
      <w:spacing w:before="240" w:after="120"/>
      <w:ind w:left="720"/>
    </w:pPr>
    <w:rPr>
      <w:rFonts w:ascii="Times New Roman" w:eastAsia="Times New Roman" w:hAnsi="Times New Roman" w:cs="Times New Roman"/>
      <w:b w:val="0"/>
      <w:bCs w:val="0"/>
      <w:i/>
      <w:sz w:val="24"/>
      <w:szCs w:val="26"/>
      <w:lang w:val="en-US" w:eastAsia="en-GB"/>
    </w:rPr>
  </w:style>
  <w:style w:type="paragraph" w:customStyle="1" w:styleId="Headung3">
    <w:name w:val="Headung 3"/>
    <w:basedOn w:val="Normal"/>
    <w:pPr>
      <w:spacing w:before="0" w:after="200" w:line="276" w:lineRule="auto"/>
      <w:jc w:val="left"/>
    </w:pPr>
    <w:rPr>
      <w:rFonts w:ascii="Times New Roman" w:eastAsia="Calibri" w:hAnsi="Times New Roman"/>
      <w:color w:val="000000"/>
      <w:sz w:val="24"/>
    </w:rPr>
  </w:style>
  <w:style w:type="paragraph" w:customStyle="1" w:styleId="BTBullet1">
    <w:name w:val="BTBullet1"/>
    <w:basedOn w:val="Normal"/>
    <w:uiPriority w:val="6"/>
    <w:qFormat/>
    <w:pPr>
      <w:spacing w:before="0" w:after="0" w:line="240" w:lineRule="atLeast"/>
      <w:jc w:val="left"/>
    </w:pPr>
    <w:rPr>
      <w:rFonts w:ascii="Arial" w:eastAsia="Calibri" w:hAnsi="Arial"/>
    </w:rPr>
  </w:style>
  <w:style w:type="paragraph" w:customStyle="1" w:styleId="BTBullet2">
    <w:name w:val="BTBullet2"/>
    <w:basedOn w:val="Normal"/>
    <w:uiPriority w:val="6"/>
    <w:qFormat/>
    <w:pPr>
      <w:numPr>
        <w:ilvl w:val="1"/>
        <w:numId w:val="56"/>
      </w:numPr>
      <w:spacing w:before="0" w:after="0" w:line="240" w:lineRule="atLeast"/>
      <w:ind w:hanging="567"/>
      <w:jc w:val="left"/>
    </w:pPr>
    <w:rPr>
      <w:rFonts w:ascii="Arial" w:eastAsia="Calibri" w:hAnsi="Arial"/>
    </w:rPr>
  </w:style>
  <w:style w:type="paragraph" w:customStyle="1" w:styleId="BTBullet3">
    <w:name w:val="BTBullet3"/>
    <w:basedOn w:val="Normal"/>
    <w:uiPriority w:val="6"/>
    <w:qFormat/>
    <w:pPr>
      <w:numPr>
        <w:ilvl w:val="2"/>
        <w:numId w:val="56"/>
      </w:numPr>
      <w:tabs>
        <w:tab w:val="num" w:pos="1417"/>
      </w:tabs>
      <w:spacing w:before="0" w:after="0" w:line="240" w:lineRule="atLeast"/>
      <w:ind w:left="1417" w:hanging="567"/>
      <w:jc w:val="left"/>
    </w:pPr>
    <w:rPr>
      <w:rFonts w:ascii="Arial" w:eastAsia="Calibri" w:hAnsi="Arial"/>
    </w:rPr>
  </w:style>
  <w:style w:type="numbering" w:customStyle="1" w:styleId="NumbLstBTBullet">
    <w:name w:val="NumbLstBTBullet"/>
    <w:uiPriority w:val="99"/>
    <w:pPr>
      <w:numPr>
        <w:numId w:val="38"/>
      </w:numPr>
    </w:pPr>
  </w:style>
  <w:style w:type="paragraph" w:customStyle="1" w:styleId="Table">
    <w:name w:val="Table"/>
    <w:basedOn w:val="Normal"/>
    <w:next w:val="BodyText"/>
    <w:uiPriority w:val="11"/>
    <w:qFormat/>
    <w:pPr>
      <w:keepNext/>
      <w:spacing w:line="240" w:lineRule="atLeast"/>
      <w:ind w:left="5040" w:hanging="360"/>
      <w:jc w:val="left"/>
    </w:pPr>
    <w:rPr>
      <w:rFonts w:ascii="Calibri" w:eastAsia="Calibri" w:hAnsi="Calibri"/>
      <w:b/>
      <w:color w:val="0067AC"/>
    </w:rPr>
  </w:style>
  <w:style w:type="paragraph" w:customStyle="1" w:styleId="TableTitle0">
    <w:name w:val="TableTitle"/>
    <w:basedOn w:val="Normal"/>
    <w:uiPriority w:val="14"/>
    <w:qFormat/>
    <w:pPr>
      <w:spacing w:before="0" w:after="0" w:line="220" w:lineRule="atLeast"/>
      <w:jc w:val="left"/>
    </w:pPr>
    <w:rPr>
      <w:rFonts w:ascii="Calibri" w:eastAsia="Calibri" w:hAnsi="Calibri"/>
      <w:b/>
      <w:color w:val="0067AC"/>
      <w:sz w:val="18"/>
    </w:rPr>
  </w:style>
  <w:style w:type="paragraph" w:customStyle="1" w:styleId="TableTextNoSpace">
    <w:name w:val="TableTextNoSpace"/>
    <w:basedOn w:val="Normal"/>
    <w:uiPriority w:val="15"/>
    <w:qFormat/>
    <w:pPr>
      <w:spacing w:before="0" w:after="0" w:line="220" w:lineRule="atLeast"/>
      <w:jc w:val="left"/>
    </w:pPr>
    <w:rPr>
      <w:rFonts w:ascii="Arial" w:eastAsia="Calibri" w:hAnsi="Arial"/>
      <w:sz w:val="18"/>
    </w:rPr>
  </w:style>
  <w:style w:type="paragraph" w:customStyle="1" w:styleId="TableSource">
    <w:name w:val="TableSource"/>
    <w:basedOn w:val="BodyText"/>
    <w:uiPriority w:val="6"/>
    <w:qFormat/>
    <w:pPr>
      <w:spacing w:before="120" w:line="200" w:lineRule="atLeast"/>
      <w:ind w:left="851"/>
      <w:jc w:val="left"/>
    </w:pPr>
    <w:rPr>
      <w:rFonts w:ascii="Arial" w:eastAsia="Calibri" w:hAnsi="Arial"/>
      <w:i/>
      <w:sz w:val="18"/>
      <w:szCs w:val="24"/>
    </w:rPr>
  </w:style>
  <w:style w:type="paragraph" w:customStyle="1" w:styleId="Bullet10">
    <w:name w:val="Bullet1"/>
    <w:basedOn w:val="Normal"/>
    <w:qFormat/>
    <w:pPr>
      <w:spacing w:before="0" w:after="0" w:line="240" w:lineRule="atLeast"/>
      <w:jc w:val="left"/>
    </w:pPr>
    <w:rPr>
      <w:rFonts w:ascii="Arial" w:eastAsia="Calibri" w:hAnsi="Arial"/>
    </w:rPr>
  </w:style>
  <w:style w:type="paragraph" w:customStyle="1" w:styleId="Heading2NoNumb">
    <w:name w:val="Heading 2NoNumb"/>
    <w:basedOn w:val="Heading2"/>
    <w:next w:val="Normal"/>
    <w:uiPriority w:val="5"/>
    <w:qFormat/>
    <w:pPr>
      <w:numPr>
        <w:ilvl w:val="0"/>
        <w:numId w:val="0"/>
      </w:numPr>
      <w:spacing w:before="240" w:line="260" w:lineRule="atLeast"/>
      <w:jc w:val="left"/>
    </w:pPr>
    <w:rPr>
      <w:rFonts w:ascii="Calibri" w:eastAsia="Times New Roman" w:hAnsi="Calibri" w:cs="Times New Roman"/>
      <w:b w:val="0"/>
      <w:iCs w:val="0"/>
      <w:color w:val="0067AC"/>
      <w:sz w:val="26"/>
    </w:rPr>
  </w:style>
  <w:style w:type="character" w:customStyle="1" w:styleId="Text1Char">
    <w:name w:val="Text 1 Char"/>
    <w:link w:val="Text1"/>
    <w:rPr>
      <w:rFonts w:ascii="Times New Roman" w:eastAsia="Times New Roman" w:hAnsi="Times New Roman"/>
      <w:sz w:val="24"/>
      <w:lang w:eastAsia="en-US"/>
    </w:rPr>
  </w:style>
  <w:style w:type="paragraph" w:customStyle="1" w:styleId="Bullet">
    <w:name w:val="Bullet"/>
    <w:basedOn w:val="Normal"/>
    <w:pPr>
      <w:numPr>
        <w:numId w:val="57"/>
      </w:numPr>
      <w:spacing w:before="0" w:line="264" w:lineRule="auto"/>
    </w:pPr>
    <w:rPr>
      <w:rFonts w:ascii="Arial" w:eastAsia="Times New Roman" w:hAnsi="Arial"/>
      <w:szCs w:val="20"/>
      <w:lang w:eastAsia="en-GB"/>
    </w:rPr>
  </w:style>
  <w:style w:type="numbering" w:customStyle="1" w:styleId="NumbLstBTBullet1">
    <w:name w:val="NumbLstBTBullet1"/>
    <w:uiPriority w:val="99"/>
    <w:pPr>
      <w:numPr>
        <w:numId w:val="62"/>
      </w:numPr>
    </w:pPr>
  </w:style>
  <w:style w:type="paragraph" w:customStyle="1" w:styleId="TableText">
    <w:name w:val="TableText"/>
    <w:basedOn w:val="Normal"/>
    <w:uiPriority w:val="15"/>
    <w:qFormat/>
    <w:pPr>
      <w:spacing w:before="0" w:line="220" w:lineRule="atLeast"/>
      <w:jc w:val="left"/>
    </w:pPr>
    <w:rPr>
      <w:rFonts w:ascii="Arial" w:eastAsia="Calibri" w:hAnsi="Arial"/>
      <w:sz w:val="18"/>
    </w:rPr>
  </w:style>
  <w:style w:type="paragraph" w:customStyle="1" w:styleId="Bullet20">
    <w:name w:val="Bullet2"/>
    <w:basedOn w:val="Normal"/>
    <w:qFormat/>
    <w:pPr>
      <w:tabs>
        <w:tab w:val="num" w:pos="926"/>
      </w:tabs>
      <w:spacing w:before="0" w:after="0" w:line="240" w:lineRule="atLeast"/>
      <w:ind w:left="926" w:hanging="360"/>
      <w:jc w:val="left"/>
    </w:pPr>
    <w:rPr>
      <w:rFonts w:ascii="Arial" w:eastAsia="Calibri" w:hAnsi="Arial"/>
    </w:rPr>
  </w:style>
  <w:style w:type="paragraph" w:customStyle="1" w:styleId="Bullet30">
    <w:name w:val="Bullet3"/>
    <w:basedOn w:val="Normal"/>
    <w:uiPriority w:val="6"/>
    <w:qFormat/>
    <w:pPr>
      <w:tabs>
        <w:tab w:val="num" w:pos="926"/>
      </w:tabs>
      <w:spacing w:before="0" w:after="0" w:line="240" w:lineRule="atLeast"/>
      <w:ind w:left="926" w:hanging="360"/>
      <w:jc w:val="left"/>
    </w:pPr>
    <w:rPr>
      <w:rFonts w:ascii="Arial" w:eastAsia="Calibri" w:hAnsi="Arial"/>
    </w:rPr>
  </w:style>
  <w:style w:type="numbering" w:customStyle="1" w:styleId="NumbLstBullet">
    <w:name w:val="NumbLstBullet"/>
    <w:uiPriority w:val="99"/>
    <w:pPr>
      <w:numPr>
        <w:numId w:val="58"/>
      </w:numPr>
    </w:pPr>
  </w:style>
  <w:style w:type="paragraph" w:customStyle="1" w:styleId="TableBullet">
    <w:name w:val="TableBullet"/>
    <w:basedOn w:val="TableText"/>
    <w:uiPriority w:val="6"/>
    <w:qFormat/>
    <w:pPr>
      <w:numPr>
        <w:numId w:val="60"/>
      </w:numPr>
      <w:spacing w:after="0"/>
      <w:ind w:right="57"/>
    </w:pPr>
  </w:style>
  <w:style w:type="numbering" w:customStyle="1" w:styleId="NumbLstTableBullet">
    <w:name w:val="NumbLstTableBullet"/>
    <w:uiPriority w:val="99"/>
    <w:pPr>
      <w:numPr>
        <w:numId w:val="59"/>
      </w:numPr>
    </w:pPr>
  </w:style>
  <w:style w:type="table" w:customStyle="1" w:styleId="TableGrid1">
    <w:name w:val="Table Grid1"/>
    <w:basedOn w:val="TableNormal"/>
    <w:next w:val="TableGrid"/>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paragraph" w:customStyle="1" w:styleId="Textbody">
    <w:name w:val="Text body"/>
    <w:basedOn w:val="Default"/>
    <w:pPr>
      <w:tabs>
        <w:tab w:val="left" w:pos="709"/>
      </w:tabs>
      <w:suppressAutoHyphens/>
      <w:autoSpaceDE/>
      <w:autoSpaceDN/>
      <w:adjustRightInd/>
      <w:spacing w:before="120" w:after="120" w:line="240" w:lineRule="atLeast"/>
      <w:ind w:left="851"/>
    </w:pPr>
    <w:rPr>
      <w:rFonts w:eastAsia="Calibri"/>
      <w:sz w:val="20"/>
      <w:lang w:eastAsia="en-US"/>
    </w:rPr>
  </w:style>
  <w:style w:type="paragraph" w:customStyle="1" w:styleId="CM1">
    <w:name w:val="CM1"/>
    <w:basedOn w:val="Default"/>
    <w:next w:val="Default"/>
    <w:uiPriority w:val="99"/>
    <w:rPr>
      <w:rFonts w:ascii="Times New Roman" w:hAnsi="Times New Roman" w:cs="Times New Roman"/>
      <w:color w:val="auto"/>
    </w:rPr>
  </w:style>
  <w:style w:type="paragraph" w:customStyle="1" w:styleId="CM3">
    <w:name w:val="CM3"/>
    <w:basedOn w:val="Default"/>
    <w:next w:val="Default"/>
    <w:uiPriority w:val="99"/>
    <w:rPr>
      <w:rFonts w:ascii="Times New Roman" w:hAnsi="Times New Roman" w:cs="Times New Roman"/>
      <w:color w:val="auto"/>
    </w:rPr>
  </w:style>
  <w:style w:type="paragraph" w:customStyle="1" w:styleId="bullet11">
    <w:name w:val="bullet1"/>
    <w:basedOn w:val="ListBullet2"/>
    <w:link w:val="bullet1Char"/>
    <w:qFormat/>
    <w:pPr>
      <w:numPr>
        <w:numId w:val="0"/>
      </w:numPr>
      <w:tabs>
        <w:tab w:val="num" w:pos="1264"/>
      </w:tabs>
      <w:spacing w:after="0"/>
      <w:ind w:left="1267" w:hanging="360"/>
    </w:pPr>
  </w:style>
  <w:style w:type="character" w:styleId="Emphasis">
    <w:name w:val="Emphasis"/>
    <w:uiPriority w:val="20"/>
    <w:qFormat/>
    <w:rPr>
      <w:i/>
      <w:iCs/>
    </w:rPr>
  </w:style>
  <w:style w:type="character" w:customStyle="1" w:styleId="Text2Char">
    <w:name w:val="Text 2 Char"/>
    <w:link w:val="Text2"/>
    <w:rPr>
      <w:rFonts w:ascii="Times New Roman" w:eastAsia="Times New Roman" w:hAnsi="Times New Roman"/>
      <w:sz w:val="24"/>
      <w:lang w:eastAsia="en-US"/>
    </w:rPr>
  </w:style>
  <w:style w:type="character" w:customStyle="1" w:styleId="ListBullet2Char">
    <w:name w:val="List Bullet 2 Char"/>
    <w:link w:val="ListBullet2"/>
    <w:uiPriority w:val="99"/>
    <w:rPr>
      <w:rFonts w:ascii="Times New Roman" w:eastAsia="Times New Roman" w:hAnsi="Times New Roman"/>
      <w:sz w:val="24"/>
      <w:lang w:eastAsia="en-US"/>
    </w:rPr>
  </w:style>
  <w:style w:type="character" w:customStyle="1" w:styleId="bullet1Char">
    <w:name w:val="bullet1 Char"/>
    <w:basedOn w:val="ListBullet2Char"/>
    <w:link w:val="bullet11"/>
    <w:rPr>
      <w:rFonts w:ascii="Times New Roman" w:eastAsia="Times New Roman" w:hAnsi="Times New Roman"/>
      <w:sz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0" w:after="0"/>
      <w:ind w:left="284" w:hanging="284"/>
    </w:pPr>
    <w:rPr>
      <w:rFonts w:ascii="Cambria" w:hAnsi="Cambria"/>
      <w:szCs w:val="20"/>
      <w:vertAlign w:val="superscript"/>
      <w:lang w:eastAsia="en-GB"/>
    </w:rPr>
  </w:style>
  <w:style w:type="table" w:styleId="TableColumns1">
    <w:name w:val="Table Columns 1"/>
    <w:basedOn w:val="TableNormal"/>
    <w:pPr>
      <w:spacing w:before="120" w:after="120"/>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pPr>
      <w:spacing w:before="120" w:after="120"/>
      <w:jc w:val="both"/>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
    <w:name w:val="Table Grid2"/>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BodyText"/>
    <w:uiPriority w:val="11"/>
    <w:qFormat/>
    <w:pPr>
      <w:keepNext/>
      <w:tabs>
        <w:tab w:val="num" w:pos="851"/>
      </w:tabs>
      <w:spacing w:line="240" w:lineRule="atLeast"/>
      <w:ind w:left="1928" w:hanging="1077"/>
      <w:jc w:val="left"/>
    </w:pPr>
    <w:rPr>
      <w:rFonts w:ascii="Calibri" w:eastAsiaTheme="minorHAnsi" w:hAnsi="Calibri"/>
      <w:b/>
      <w:color w:val="0067AC"/>
    </w:rPr>
  </w:style>
  <w:style w:type="paragraph" w:customStyle="1" w:styleId="FooterLand">
    <w:name w:val="FooterLand"/>
    <w:basedOn w:val="Footer"/>
    <w:uiPriority w:val="29"/>
    <w:semiHidden/>
    <w:qFormat/>
    <w:pPr>
      <w:tabs>
        <w:tab w:val="clear" w:pos="4513"/>
        <w:tab w:val="clear" w:pos="9026"/>
        <w:tab w:val="right" w:pos="14005"/>
      </w:tabs>
      <w:spacing w:before="0" w:after="0"/>
      <w:jc w:val="left"/>
    </w:pPr>
    <w:rPr>
      <w:rFonts w:ascii="Arial" w:eastAsiaTheme="minorHAnsi" w:hAnsi="Arial"/>
    </w:rPr>
  </w:style>
  <w:style w:type="numbering" w:customStyle="1" w:styleId="NumbLstMain">
    <w:name w:val="NumbLstMain"/>
    <w:uiPriority w:val="99"/>
    <w:pPr>
      <w:numPr>
        <w:numId w:val="63"/>
      </w:numPr>
    </w:pPr>
  </w:style>
  <w:style w:type="paragraph" w:customStyle="1" w:styleId="Box">
    <w:name w:val="Box"/>
    <w:basedOn w:val="Normal"/>
    <w:next w:val="BodyText"/>
    <w:uiPriority w:val="6"/>
    <w:qFormat/>
    <w:pPr>
      <w:spacing w:line="240" w:lineRule="atLeast"/>
      <w:ind w:left="1928" w:hanging="1077"/>
      <w:jc w:val="left"/>
    </w:pPr>
    <w:rPr>
      <w:rFonts w:ascii="Calibri" w:eastAsiaTheme="minorHAnsi" w:hAnsi="Calibri"/>
      <w:b/>
      <w:color w:val="0067AC"/>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eastAsia="Times New Roman" w:hAnsi="Times New Roman"/>
      <w:sz w:val="24"/>
      <w:szCs w:val="20"/>
    </w:rPr>
  </w:style>
  <w:style w:type="character" w:customStyle="1" w:styleId="FooterCoverPageChar">
    <w:name w:val="Footer Cover Page Char"/>
    <w:basedOn w:val="DefaultParagraphFont"/>
    <w:link w:val="FooterCoverPage"/>
    <w:rPr>
      <w:rFonts w:ascii="Times New Roman" w:eastAsia="Times New Roman" w:hAnsi="Times New Roman"/>
      <w:sz w:val="24"/>
      <w:lang w:eastAsia="en-US"/>
    </w:rPr>
  </w:style>
  <w:style w:type="paragraph" w:customStyle="1" w:styleId="HeaderCoverPage">
    <w:name w:val="Header Cover Page"/>
    <w:basedOn w:val="Normal"/>
    <w:link w:val="HeaderCoverPageChar"/>
    <w:pPr>
      <w:tabs>
        <w:tab w:val="center" w:pos="4535"/>
        <w:tab w:val="right" w:pos="9071"/>
      </w:tabs>
      <w:spacing w:before="0"/>
    </w:pPr>
    <w:rPr>
      <w:rFonts w:ascii="Times New Roman" w:eastAsia="Times New Roman" w:hAnsi="Times New Roman"/>
      <w:sz w:val="24"/>
      <w:szCs w:val="20"/>
    </w:rPr>
  </w:style>
  <w:style w:type="character" w:customStyle="1" w:styleId="HeaderCoverPageChar">
    <w:name w:val="Header Cover Page Char"/>
    <w:basedOn w:val="DefaultParagraphFont"/>
    <w:link w:val="HeaderCoverPage"/>
    <w:rPr>
      <w:rFonts w:ascii="Times New Roman" w:eastAsia="Times New Roman" w:hAnsi="Times New Roman"/>
      <w:sz w:val="24"/>
      <w:lang w:eastAsia="en-US"/>
    </w:rPr>
  </w:style>
  <w:style w:type="character" w:customStyle="1" w:styleId="ListParagraphChar">
    <w:name w:val="List Paragraph Char"/>
    <w:aliases w:val="Paragraphe de liste 2 Char,Reference list Char,Normal bullet 2 Char,Bullet list Char,Numbered List Char,List Paragraph1 Char,1st level - Bullet List Paragraph Char,Lettre d'introduction Char,Paragrafo elenco Char,Bullet EY Char"/>
    <w:basedOn w:val="DefaultParagraphFont"/>
    <w:link w:val="ListParagraph"/>
    <w:uiPriority w:val="34"/>
    <w:qFormat/>
    <w:locked/>
    <w:rPr>
      <w:rFonts w:asciiTheme="minorHAnsi" w:eastAsiaTheme="minorHAnsi" w:hAnsiTheme="minorHAnsi" w:cstheme="minorBidi"/>
      <w:sz w:val="22"/>
      <w:szCs w:val="22"/>
      <w:lang w:eastAsia="en-US"/>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uiPriority w:val="99"/>
    <w:pPr>
      <w:spacing w:before="0" w:after="160" w:line="240" w:lineRule="exact"/>
      <w:jc w:val="left"/>
    </w:pPr>
    <w:rPr>
      <w:rFonts w:asciiTheme="minorHAnsi" w:eastAsiaTheme="minorHAnsi" w:hAnsiTheme="minorHAnsi" w:cstheme="minorBidi"/>
      <w:sz w:val="22"/>
      <w:szCs w:val="22"/>
      <w:vertAlign w:val="superscript"/>
    </w:rPr>
  </w:style>
  <w:style w:type="character" w:customStyle="1" w:styleId="st">
    <w:name w:val="st"/>
    <w:basedOn w:val="DefaultParagraphFont"/>
  </w:style>
  <w:style w:type="character" w:customStyle="1" w:styleId="FootnoteTextChar1">
    <w:name w:val="Footnote Text Char1"/>
    <w:aliases w:val="Testo nota a piè di pagina_Rientro Char1,stile 1 Char1,Footnote Char1,Footnote1 Char1,Footnote2 Char1,Footnote3 Char1,Footnote4 Char1,Footnote5 Char1,Footnote6 Char1,Footnote7 Char1,Footnote8 Char1,Footnote9 Char1,Footnote10 Char1"/>
    <w:uiPriority w:val="99"/>
    <w:rPr>
      <w:lang w:eastAsia="en-US"/>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uiPriority w:val="99"/>
    <w:pPr>
      <w:spacing w:before="0" w:after="160" w:line="240" w:lineRule="exact"/>
      <w:jc w:val="left"/>
    </w:pPr>
    <w:rPr>
      <w:rFonts w:ascii="Arial" w:eastAsiaTheme="minorHAnsi" w:hAnsi="Arial" w:cstheme="minorBidi"/>
      <w:sz w:val="16"/>
      <w:szCs w:val="22"/>
      <w:vertAlign w:val="superscript"/>
    </w:rPr>
  </w:style>
  <w:style w:type="character" w:customStyle="1" w:styleId="Corpsdutexte">
    <w:name w:val="Corps du texte_"/>
    <w:basedOn w:val="DefaultParagraphFont"/>
    <w:rPr>
      <w:b w:val="0"/>
      <w:bCs w:val="0"/>
      <w:i w:val="0"/>
      <w:iCs w:val="0"/>
      <w:smallCaps w:val="0"/>
      <w:strike w:val="0"/>
      <w:sz w:val="23"/>
      <w:szCs w:val="23"/>
      <w:u w:val="none"/>
    </w:rPr>
  </w:style>
  <w:style w:type="character" w:customStyle="1" w:styleId="CaptionChar">
    <w:name w:val="Caption Char"/>
    <w:aliases w:val="Figure Caption Char, Char Char Char,Char Char Char,Figure Caption + Avant : 14 pt Char,Motif : Transparente (Gris - 15 %) Char,TF Char,Caption1 Char Char Char Char Char Char Char Char Tegn Tegn Tegn Tegn Tegn Char"/>
    <w:basedOn w:val="DefaultParagraphFont"/>
    <w:link w:val="Caption"/>
    <w:rPr>
      <w:rFonts w:asciiTheme="minorHAnsi" w:eastAsiaTheme="minorHAnsi" w:hAnsiTheme="minorHAnsi" w:cstheme="minorBidi"/>
      <w:b/>
      <w:bCs/>
      <w:color w:val="4F81BD" w:themeColor="accent1"/>
      <w:sz w:val="18"/>
      <w:szCs w:val="18"/>
      <w:lang w:val="en-US" w:eastAsia="en-US"/>
    </w:rPr>
  </w:style>
  <w:style w:type="table" w:customStyle="1" w:styleId="GridTable4-Accent11">
    <w:name w:val="Grid Table 4 - Accent 11"/>
    <w:basedOn w:val="TableNormal"/>
    <w:uiPriority w:val="49"/>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CoverTitle">
    <w:name w:val="Cover Title"/>
    <w:link w:val="CoverTitleChar"/>
    <w:autoRedefine/>
    <w:qFormat/>
    <w:rPr>
      <w:rFonts w:ascii="Arial" w:eastAsia="Times" w:hAnsi="Arial"/>
      <w:b/>
      <w:noProof/>
      <w:color w:val="002776"/>
      <w:kern w:val="28"/>
      <w:sz w:val="52"/>
      <w:szCs w:val="52"/>
      <w:lang w:eastAsia="en-US"/>
    </w:rPr>
  </w:style>
  <w:style w:type="character" w:customStyle="1" w:styleId="CoverTitleChar">
    <w:name w:val="Cover Title Char"/>
    <w:basedOn w:val="DefaultParagraphFont"/>
    <w:link w:val="CoverTitle"/>
    <w:rPr>
      <w:rFonts w:ascii="Arial" w:eastAsia="Times" w:hAnsi="Arial"/>
      <w:b/>
      <w:noProof/>
      <w:color w:val="002776"/>
      <w:kern w:val="28"/>
      <w:sz w:val="52"/>
      <w:szCs w:val="52"/>
      <w:lang w:eastAsia="en-US"/>
    </w:rPr>
  </w:style>
  <w:style w:type="paragraph" w:customStyle="1" w:styleId="AnnexSectionHeading">
    <w:name w:val="Annex Section Heading"/>
    <w:basedOn w:val="Heading2"/>
    <w:next w:val="Normal"/>
    <w:link w:val="AnnexSectionHeadingChar"/>
    <w:autoRedefine/>
    <w:qFormat/>
    <w:pPr>
      <w:keepLines w:val="0"/>
      <w:numPr>
        <w:ilvl w:val="0"/>
        <w:numId w:val="0"/>
      </w:numPr>
      <w:tabs>
        <w:tab w:val="left" w:pos="9630"/>
      </w:tabs>
      <w:spacing w:before="0"/>
      <w:ind w:left="737" w:hanging="737"/>
      <w:jc w:val="left"/>
    </w:pPr>
    <w:rPr>
      <w:rFonts w:ascii="Arial" w:eastAsia="Times" w:hAnsi="Arial" w:cs="Times New Roman"/>
      <w:bCs w:val="0"/>
      <w:iCs w:val="0"/>
      <w:color w:val="92D050"/>
      <w:sz w:val="22"/>
      <w:szCs w:val="22"/>
    </w:rPr>
  </w:style>
  <w:style w:type="character" w:customStyle="1" w:styleId="AnnexSectionHeadingChar">
    <w:name w:val="Annex Section Heading Char"/>
    <w:basedOn w:val="DefaultParagraphFont"/>
    <w:link w:val="AnnexSectionHeading"/>
    <w:rPr>
      <w:rFonts w:ascii="Arial" w:eastAsia="Times" w:hAnsi="Arial"/>
      <w:b/>
      <w:color w:val="92D050"/>
      <w:sz w:val="22"/>
      <w:szCs w:val="22"/>
      <w:lang w:eastAsia="en-US"/>
    </w:rPr>
  </w:style>
  <w:style w:type="numbering" w:customStyle="1" w:styleId="BulletEU">
    <w:name w:val="Bullet EU"/>
    <w:uiPriority w:val="99"/>
    <w:pPr>
      <w:numPr>
        <w:numId w:val="87"/>
      </w:numPr>
    </w:pPr>
  </w:style>
  <w:style w:type="character" w:customStyle="1" w:styleId="ListBulletChar">
    <w:name w:val="List Bullet Char"/>
    <w:aliases w:val="Bullet Point EU Char,Bullet Point EU 2 Char,UL Char"/>
    <w:basedOn w:val="DefaultParagraphFont"/>
    <w:link w:val="ListBullet"/>
    <w:rPr>
      <w:rFonts w:ascii="Times New Roman" w:eastAsia="Times New Roman" w:hAnsi="Times New Roman"/>
      <w:sz w:val="24"/>
      <w:lang w:eastAsia="en-US"/>
    </w:rPr>
  </w:style>
  <w:style w:type="table" w:customStyle="1" w:styleId="ListTable3-Accent111">
    <w:name w:val="List Table 3 - Accent 111"/>
    <w:basedOn w:val="TableNormal"/>
    <w:uiPriority w:val="48"/>
    <w:rPr>
      <w:rFonts w:ascii="Calibri" w:eastAsia="Calibri" w:hAnsi="Calibri"/>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entry-byline">
    <w:name w:val="entry-byline"/>
    <w:basedOn w:val="DefaultParagraphFont"/>
  </w:style>
  <w:style w:type="character" w:customStyle="1" w:styleId="apple-converted-space">
    <w:name w:val="apple-converted-space"/>
    <w:basedOn w:val="DefaultParagraphFont"/>
  </w:style>
  <w:style w:type="character" w:styleId="EndnoteReference">
    <w:name w:val="endnote reference"/>
    <w:basedOn w:val="DefaultParagraphFont"/>
    <w:uiPriority w:val="99"/>
    <w:semiHidden/>
    <w:unhideWhenUsed/>
    <w:rPr>
      <w:vertAlign w:val="superscript"/>
    </w:rPr>
  </w:style>
  <w:style w:type="paragraph" w:customStyle="1" w:styleId="AnnexChapterHeading">
    <w:name w:val="Annex Chapter Heading"/>
    <w:basedOn w:val="Heading1"/>
    <w:next w:val="Normal"/>
    <w:link w:val="AnnexChapterHeadingChar"/>
    <w:autoRedefine/>
    <w:qFormat/>
    <w:pPr>
      <w:pageBreakBefore/>
      <w:numPr>
        <w:numId w:val="107"/>
      </w:numPr>
      <w:spacing w:before="0" w:after="1600"/>
      <w:jc w:val="left"/>
    </w:pPr>
    <w:rPr>
      <w:rFonts w:ascii="Arial" w:eastAsia="Times" w:hAnsi="Arial" w:cs="Arial"/>
      <w:b w:val="0"/>
      <w:color w:val="002776"/>
      <w:kern w:val="32"/>
      <w:sz w:val="60"/>
      <w:szCs w:val="60"/>
    </w:rPr>
  </w:style>
  <w:style w:type="character" w:customStyle="1" w:styleId="AnnexChapterHeadingChar">
    <w:name w:val="Annex Chapter Heading Char"/>
    <w:basedOn w:val="DefaultParagraphFont"/>
    <w:link w:val="AnnexChapterHeading"/>
    <w:rPr>
      <w:rFonts w:ascii="Arial" w:eastAsia="Times" w:hAnsi="Arial" w:cs="Arial"/>
      <w:color w:val="002776"/>
      <w:kern w:val="32"/>
      <w:sz w:val="60"/>
      <w:szCs w:val="60"/>
      <w:lang w:eastAsia="en-US"/>
    </w:rPr>
  </w:style>
  <w:style w:type="numbering" w:customStyle="1" w:styleId="NoList2">
    <w:name w:val="No List2"/>
    <w:next w:val="NoList"/>
    <w:uiPriority w:val="99"/>
    <w:semiHidden/>
    <w:unhideWhenUsed/>
  </w:style>
  <w:style w:type="numbering" w:customStyle="1" w:styleId="NumbLstBTBullet2">
    <w:name w:val="NumbLstBTBullet2"/>
    <w:uiPriority w:val="99"/>
    <w:pPr>
      <w:numPr>
        <w:numId w:val="1"/>
      </w:numPr>
    </w:pPr>
  </w:style>
  <w:style w:type="numbering" w:customStyle="1" w:styleId="NumbLstBTBullet11">
    <w:name w:val="NumbLstBTBullet11"/>
    <w:uiPriority w:val="99"/>
    <w:pPr>
      <w:numPr>
        <w:numId w:val="21"/>
      </w:numPr>
    </w:pPr>
  </w:style>
  <w:style w:type="numbering" w:customStyle="1" w:styleId="NumbLstBullet1">
    <w:name w:val="NumbLstBullet1"/>
    <w:uiPriority w:val="99"/>
    <w:pPr>
      <w:numPr>
        <w:numId w:val="17"/>
      </w:numPr>
    </w:pPr>
  </w:style>
  <w:style w:type="numbering" w:customStyle="1" w:styleId="NumbLstTableBullet1">
    <w:name w:val="NumbLstTableBullet1"/>
    <w:uiPriority w:val="99"/>
    <w:pPr>
      <w:numPr>
        <w:numId w:val="18"/>
      </w:numPr>
    </w:pPr>
  </w:style>
  <w:style w:type="numbering" w:customStyle="1" w:styleId="NumbLstMain1">
    <w:name w:val="NumbLstMain1"/>
    <w:uiPriority w:val="99"/>
    <w:pPr>
      <w:numPr>
        <w:numId w:val="22"/>
      </w:numPr>
    </w:pPr>
  </w:style>
  <w:style w:type="numbering" w:customStyle="1" w:styleId="BulletEU1">
    <w:name w:val="Bullet EU1"/>
    <w:uiPriority w:val="99"/>
    <w:pPr>
      <w:numPr>
        <w:numId w:val="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277796">
      <w:bodyDiv w:val="1"/>
      <w:marLeft w:val="0"/>
      <w:marRight w:val="0"/>
      <w:marTop w:val="0"/>
      <w:marBottom w:val="0"/>
      <w:divBdr>
        <w:top w:val="none" w:sz="0" w:space="0" w:color="auto"/>
        <w:left w:val="none" w:sz="0" w:space="0" w:color="auto"/>
        <w:bottom w:val="none" w:sz="0" w:space="0" w:color="auto"/>
        <w:right w:val="none" w:sz="0" w:space="0" w:color="auto"/>
      </w:divBdr>
    </w:div>
    <w:div w:id="410279126">
      <w:bodyDiv w:val="1"/>
      <w:marLeft w:val="0"/>
      <w:marRight w:val="0"/>
      <w:marTop w:val="0"/>
      <w:marBottom w:val="0"/>
      <w:divBdr>
        <w:top w:val="none" w:sz="0" w:space="0" w:color="auto"/>
        <w:left w:val="none" w:sz="0" w:space="0" w:color="auto"/>
        <w:bottom w:val="none" w:sz="0" w:space="0" w:color="auto"/>
        <w:right w:val="none" w:sz="0" w:space="0" w:color="auto"/>
      </w:divBdr>
    </w:div>
    <w:div w:id="474682750">
      <w:bodyDiv w:val="1"/>
      <w:marLeft w:val="0"/>
      <w:marRight w:val="0"/>
      <w:marTop w:val="0"/>
      <w:marBottom w:val="0"/>
      <w:divBdr>
        <w:top w:val="none" w:sz="0" w:space="0" w:color="auto"/>
        <w:left w:val="none" w:sz="0" w:space="0" w:color="auto"/>
        <w:bottom w:val="none" w:sz="0" w:space="0" w:color="auto"/>
        <w:right w:val="none" w:sz="0" w:space="0" w:color="auto"/>
      </w:divBdr>
    </w:div>
    <w:div w:id="777942985">
      <w:bodyDiv w:val="1"/>
      <w:marLeft w:val="0"/>
      <w:marRight w:val="0"/>
      <w:marTop w:val="0"/>
      <w:marBottom w:val="0"/>
      <w:divBdr>
        <w:top w:val="none" w:sz="0" w:space="0" w:color="auto"/>
        <w:left w:val="none" w:sz="0" w:space="0" w:color="auto"/>
        <w:bottom w:val="none" w:sz="0" w:space="0" w:color="auto"/>
        <w:right w:val="none" w:sz="0" w:space="0" w:color="auto"/>
      </w:divBdr>
    </w:div>
    <w:div w:id="794713283">
      <w:bodyDiv w:val="1"/>
      <w:marLeft w:val="0"/>
      <w:marRight w:val="0"/>
      <w:marTop w:val="0"/>
      <w:marBottom w:val="0"/>
      <w:divBdr>
        <w:top w:val="none" w:sz="0" w:space="0" w:color="auto"/>
        <w:left w:val="none" w:sz="0" w:space="0" w:color="auto"/>
        <w:bottom w:val="none" w:sz="0" w:space="0" w:color="auto"/>
        <w:right w:val="none" w:sz="0" w:space="0" w:color="auto"/>
      </w:divBdr>
    </w:div>
    <w:div w:id="1070884937">
      <w:bodyDiv w:val="1"/>
      <w:marLeft w:val="0"/>
      <w:marRight w:val="0"/>
      <w:marTop w:val="0"/>
      <w:marBottom w:val="0"/>
      <w:divBdr>
        <w:top w:val="none" w:sz="0" w:space="0" w:color="auto"/>
        <w:left w:val="none" w:sz="0" w:space="0" w:color="auto"/>
        <w:bottom w:val="none" w:sz="0" w:space="0" w:color="auto"/>
        <w:right w:val="none" w:sz="0" w:space="0" w:color="auto"/>
      </w:divBdr>
    </w:div>
    <w:div w:id="13472508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footer" Target="footer4.xml"/><Relationship Id="rId34" Type="http://schemas.openxmlformats.org/officeDocument/2006/relationships/image" Target="media/image12.jpeg"/><Relationship Id="rId42" Type="http://schemas.openxmlformats.org/officeDocument/2006/relationships/image" Target="media/image14.emf"/><Relationship Id="rId47" Type="http://schemas.openxmlformats.org/officeDocument/2006/relationships/oleObject" Target="embeddings/oleObject1.bin"/><Relationship Id="rId50" Type="http://schemas.openxmlformats.org/officeDocument/2006/relationships/image" Target="media/image19.jpeg"/><Relationship Id="rId55" Type="http://schemas.openxmlformats.org/officeDocument/2006/relationships/image" Target="media/image23.emf"/><Relationship Id="rId63" Type="http://schemas.openxmlformats.org/officeDocument/2006/relationships/image" Target="media/image29.png"/><Relationship Id="rId68" Type="http://schemas.openxmlformats.org/officeDocument/2006/relationships/image" Target="media/image34.png"/><Relationship Id="rId76" Type="http://schemas.openxmlformats.org/officeDocument/2006/relationships/hyperlink" Target="http://bookshop.europa.eu" TargetMode="External"/><Relationship Id="rId84" Type="http://schemas.openxmlformats.org/officeDocument/2006/relationships/footer" Target="footer18.xml"/><Relationship Id="rId89" Type="http://schemas.openxmlformats.org/officeDocument/2006/relationships/header" Target="header21.xml"/><Relationship Id="rId97"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footer" Target="footer13.xml"/><Relationship Id="rId92" Type="http://schemas.openxmlformats.org/officeDocument/2006/relationships/header" Target="header23.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7.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package" Target="embeddings/Microsoft_Visio_Drawing122222222222222222222222222.vsdx"/><Relationship Id="rId53" Type="http://schemas.openxmlformats.org/officeDocument/2006/relationships/image" Target="media/image21.png"/><Relationship Id="rId58" Type="http://schemas.openxmlformats.org/officeDocument/2006/relationships/package" Target="embeddings/Microsoft_Visio_Drawing455555555555555555555555555.vsdx"/><Relationship Id="rId66" Type="http://schemas.openxmlformats.org/officeDocument/2006/relationships/image" Target="media/image32.png"/><Relationship Id="rId74" Type="http://schemas.openxmlformats.org/officeDocument/2006/relationships/footer" Target="footer15.xml"/><Relationship Id="rId79" Type="http://schemas.openxmlformats.org/officeDocument/2006/relationships/header" Target="header16.xml"/><Relationship Id="rId87" Type="http://schemas.openxmlformats.org/officeDocument/2006/relationships/footer" Target="footer19.xml"/><Relationship Id="rId5" Type="http://schemas.openxmlformats.org/officeDocument/2006/relationships/numbering" Target="numbering.xml"/><Relationship Id="rId61" Type="http://schemas.openxmlformats.org/officeDocument/2006/relationships/image" Target="media/image27.png"/><Relationship Id="rId82" Type="http://schemas.openxmlformats.org/officeDocument/2006/relationships/footer" Target="footer17.xml"/><Relationship Id="rId90" Type="http://schemas.openxmlformats.org/officeDocument/2006/relationships/footer" Target="footer21.xml"/><Relationship Id="rId95" Type="http://schemas.openxmlformats.org/officeDocument/2006/relationships/header" Target="header24.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13.jpeg"/><Relationship Id="rId43" Type="http://schemas.openxmlformats.org/officeDocument/2006/relationships/package" Target="embeddings/Microsoft_Visio_Drawing11111111111111111111111111.vsdx"/><Relationship Id="rId48" Type="http://schemas.openxmlformats.org/officeDocument/2006/relationships/image" Target="media/image17.jpeg"/><Relationship Id="rId56" Type="http://schemas.openxmlformats.org/officeDocument/2006/relationships/package" Target="embeddings/Microsoft_Visio_Drawing344444444444444444444444444.vsdx"/><Relationship Id="rId64" Type="http://schemas.openxmlformats.org/officeDocument/2006/relationships/image" Target="media/image30.png"/><Relationship Id="rId69" Type="http://schemas.openxmlformats.org/officeDocument/2006/relationships/header" Target="header13.xml"/><Relationship Id="rId77" Type="http://schemas.openxmlformats.org/officeDocument/2006/relationships/image" Target="media/image35.jpeg"/><Relationship Id="rId8" Type="http://schemas.openxmlformats.org/officeDocument/2006/relationships/settings" Target="settings.xml"/><Relationship Id="rId51" Type="http://schemas.openxmlformats.org/officeDocument/2006/relationships/image" Target="media/image20.emf"/><Relationship Id="rId72" Type="http://schemas.openxmlformats.org/officeDocument/2006/relationships/footer" Target="footer14.xml"/><Relationship Id="rId80" Type="http://schemas.openxmlformats.org/officeDocument/2006/relationships/header" Target="header17.xml"/><Relationship Id="rId85" Type="http://schemas.openxmlformats.org/officeDocument/2006/relationships/header" Target="header19.xml"/><Relationship Id="rId93" Type="http://schemas.openxmlformats.org/officeDocument/2006/relationships/footer" Target="footer22.xm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8.emf"/><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image" Target="media/image11.jpg"/><Relationship Id="rId38" Type="http://schemas.openxmlformats.org/officeDocument/2006/relationships/footer" Target="footer10.xml"/><Relationship Id="rId46" Type="http://schemas.openxmlformats.org/officeDocument/2006/relationships/image" Target="media/image16.emf"/><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eader" Target="header5.xml"/><Relationship Id="rId41" Type="http://schemas.openxmlformats.org/officeDocument/2006/relationships/footer" Target="footer12.xml"/><Relationship Id="rId54" Type="http://schemas.openxmlformats.org/officeDocument/2006/relationships/image" Target="media/image22.png"/><Relationship Id="rId62" Type="http://schemas.openxmlformats.org/officeDocument/2006/relationships/image" Target="media/image28.png"/><Relationship Id="rId70" Type="http://schemas.openxmlformats.org/officeDocument/2006/relationships/header" Target="header14.xml"/><Relationship Id="rId75" Type="http://schemas.openxmlformats.org/officeDocument/2006/relationships/hyperlink" Target="http://bookshop.europa.eu" TargetMode="External"/><Relationship Id="rId83" Type="http://schemas.openxmlformats.org/officeDocument/2006/relationships/header" Target="header18.xml"/><Relationship Id="rId88" Type="http://schemas.openxmlformats.org/officeDocument/2006/relationships/footer" Target="footer20.xml"/><Relationship Id="rId91" Type="http://schemas.openxmlformats.org/officeDocument/2006/relationships/header" Target="header22.xml"/><Relationship Id="rId96"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eader" Target="header10.xml"/><Relationship Id="rId49" Type="http://schemas.openxmlformats.org/officeDocument/2006/relationships/image" Target="media/image18.png"/><Relationship Id="rId57" Type="http://schemas.openxmlformats.org/officeDocument/2006/relationships/image" Target="media/image24.emf"/><Relationship Id="rId10" Type="http://schemas.openxmlformats.org/officeDocument/2006/relationships/footnotes" Target="footnotes.xml"/><Relationship Id="rId31" Type="http://schemas.openxmlformats.org/officeDocument/2006/relationships/header" Target="header9.xml"/><Relationship Id="rId44" Type="http://schemas.openxmlformats.org/officeDocument/2006/relationships/image" Target="media/image15.emf"/><Relationship Id="rId52" Type="http://schemas.openxmlformats.org/officeDocument/2006/relationships/package" Target="embeddings/Microsoft_Visio_Drawing233333333333333333333333333.vsdx"/><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header" Target="header15.xml"/><Relationship Id="rId78" Type="http://schemas.openxmlformats.org/officeDocument/2006/relationships/image" Target="media/image36.png"/><Relationship Id="rId81" Type="http://schemas.openxmlformats.org/officeDocument/2006/relationships/footer" Target="footer16.xml"/><Relationship Id="rId86" Type="http://schemas.openxmlformats.org/officeDocument/2006/relationships/header" Target="header20.xml"/><Relationship Id="rId94" Type="http://schemas.openxmlformats.org/officeDocument/2006/relationships/footer" Target="footer2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1.xml"/></Relationships>
</file>

<file path=word/_rels/footnotes.xml.rels><?xml version="1.0" encoding="UTF-8" standalone="yes"?>
<Relationships xmlns="http://schemas.openxmlformats.org/package/2006/relationships"><Relationship Id="rId8" Type="http://schemas.openxmlformats.org/officeDocument/2006/relationships/hyperlink" Target="http://variety.com/2016/voices/columns/facebook-google-ad-growth-1201839746/" TargetMode="External"/><Relationship Id="rId13" Type="http://schemas.openxmlformats.org/officeDocument/2006/relationships/hyperlink" Target="https://www.brookings.edu/wp-content/uploads/2016/06/Wittes-and-Liu_Privacy-paradox_v10.pdf" TargetMode="External"/><Relationship Id="rId3" Type="http://schemas.openxmlformats.org/officeDocument/2006/relationships/hyperlink" Target="http://www.cerre.eu/sites/cerre/files/160125_CERRE_Privacy_Final.pdf" TargetMode="External"/><Relationship Id="rId7" Type="http://schemas.openxmlformats.org/officeDocument/2006/relationships/hyperlink" Target="http://www.ft.com/cms/s/0/a7b36494-5546-11e6-9664-e0bdc13c3bef.html" TargetMode="External"/><Relationship Id="rId12" Type="http://schemas.openxmlformats.org/officeDocument/2006/relationships/hyperlink" Target="https://www.eff.org/privacybadger" TargetMode="External"/><Relationship Id="rId2" Type="http://schemas.openxmlformats.org/officeDocument/2006/relationships/hyperlink" Target="http://ec.europa.eu/justice/data-protection/article-29/press-material/press-release/art29_press_material/2015/20150217__wp29_press_release_on_cookie_sweep_.pdf" TargetMode="External"/><Relationship Id="rId1" Type="http://schemas.openxmlformats.org/officeDocument/2006/relationships/hyperlink" Target="http://ec.europa.eu/eurostat/data/database?node_code=isoc_cisci_prv" TargetMode="External"/><Relationship Id="rId6" Type="http://schemas.openxmlformats.org/officeDocument/2006/relationships/hyperlink" Target="http://ec.europa.eu/eurostat/statisticsexplained/images/8/88/Key_indicators%2C_telecommunications_%28NACE_Division_61%29%2C_2012_A.png" TargetMode="External"/><Relationship Id="rId11" Type="http://schemas.openxmlformats.org/officeDocument/2006/relationships/hyperlink" Target="http://www.ghostery.com/" TargetMode="External"/><Relationship Id="rId5" Type="http://schemas.openxmlformats.org/officeDocument/2006/relationships/hyperlink" Target="https://www.datatilsynet.no/globalassets/global/english/privacy-trends-2016.pdf" TargetMode="External"/><Relationship Id="rId15" Type="http://schemas.openxmlformats.org/officeDocument/2006/relationships/hyperlink" Target="https://ec.europa.eu/digital-single-market/en/news/public-consultation-evaluation-and-review-eprivacy-directive" TargetMode="External"/><Relationship Id="rId10" Type="http://schemas.openxmlformats.org/officeDocument/2006/relationships/hyperlink" Target="https://disconnect.me/disconnect" TargetMode="External"/><Relationship Id="rId4" Type="http://schemas.openxmlformats.org/officeDocument/2006/relationships/hyperlink" Target="http://papers.ssrn.com/sol3/papers.cfm?abstract_id=2580411" TargetMode="External"/><Relationship Id="rId9" Type="http://schemas.openxmlformats.org/officeDocument/2006/relationships/hyperlink" Target="https://addons.mozilla.org/en-US/firefox/addon/lightbeam/" TargetMode="External"/><Relationship Id="rId14" Type="http://schemas.openxmlformats.org/officeDocument/2006/relationships/hyperlink" Target="http://gs.statcounter.com/"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C_Collab_Reference xmlns="69896359-b98d-4972-ac24-787626a39a52" xsi:nil="true"/>
    <EC_Collab_DocumentLanguage xmlns="69896359-b98d-4972-ac24-787626a39a52">EN</EC_Collab_DocumentLanguage>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716C6D809718154B85A00D8564272987" ma:contentTypeVersion="9" ma:contentTypeDescription="Create a new document." ma:contentTypeScope="" ma:versionID="b8fab895a707b9b21abf6adc55a51ee4">
  <xsd:schema xmlns:xsd="http://www.w3.org/2001/XMLSchema" xmlns:xs="http://www.w3.org/2001/XMLSchema" xmlns:p="http://schemas.microsoft.com/office/2006/metadata/properties" xmlns:ns3="69896359-b98d-4972-ac24-787626a39a52" targetNamespace="http://schemas.microsoft.com/office/2006/metadata/properties" ma:root="true" ma:fieldsID="99bf650b59f4a97b2cecff02f21bdea7" ns3:_="">
    <xsd:import namespace="69896359-b98d-4972-ac24-787626a39a52"/>
    <xsd:element name="properties">
      <xsd:complexType>
        <xsd:sequence>
          <xsd:element name="documentManagement">
            <xsd:complexType>
              <xsd:all>
                <xsd:element ref="ns3:EC_Collab_Reference" minOccurs="0"/>
                <xsd:element ref="ns3:EC_Collab_DocumentLangu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96359-b98d-4972-ac24-787626a39a5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nillable="true" ma:displayName="Language" ma:default="EN" ma:internalName="EC_Collab_DocumentLanguage" ma:readOnly="fals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2FC1C-9C13-4E45-9E78-BF9E95B1EEAA}">
  <ds:schemaRefs>
    <ds:schemaRef ds:uri="http://schemas.microsoft.com/sharepoint/v3/contenttype/forms"/>
  </ds:schemaRefs>
</ds:datastoreItem>
</file>

<file path=customXml/itemProps2.xml><?xml version="1.0" encoding="utf-8"?>
<ds:datastoreItem xmlns:ds="http://schemas.openxmlformats.org/officeDocument/2006/customXml" ds:itemID="{9FAE194A-BC92-4D0B-A30D-FBA830814F55}">
  <ds:schemaRefs>
    <ds:schemaRef ds:uri="http://purl.org/dc/terms/"/>
    <ds:schemaRef ds:uri="http://schemas.microsoft.com/office/2006/documentManagement/types"/>
    <ds:schemaRef ds:uri="http://purl.org/dc/dcmitype/"/>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69896359-b98d-4972-ac24-787626a39a52"/>
    <ds:schemaRef ds:uri="http://www.w3.org/XML/1998/namespace"/>
  </ds:schemaRefs>
</ds:datastoreItem>
</file>

<file path=customXml/itemProps3.xml><?xml version="1.0" encoding="utf-8"?>
<ds:datastoreItem xmlns:ds="http://schemas.openxmlformats.org/officeDocument/2006/customXml" ds:itemID="{30AE69E6-D00A-424E-8572-116CCEA2DB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896359-b98d-4972-ac24-787626a39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AC54F5-5BE6-4A10-9423-0BC7B424F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37660</Words>
  <Characters>206180</Characters>
  <Application>Microsoft Office Word</Application>
  <DocSecurity>0</DocSecurity>
  <Lines>3995</Lines>
  <Paragraphs>1088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243074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European Union, 2012</dc:description>
  <cp:lastModifiedBy>PAREDES ECHAURI Cristina (CAB-ALMUNIA)</cp:lastModifiedBy>
  <cp:revision>18</cp:revision>
  <cp:lastPrinted>2017-01-06T14:06:00Z</cp:lastPrinted>
  <dcterms:created xsi:type="dcterms:W3CDTF">2017-01-06T14:06:00Z</dcterms:created>
  <dcterms:modified xsi:type="dcterms:W3CDTF">2017-01-10T10:36:00Z</dcterms:modified>
  <cp:category>JRC Scientific and Policiy Reports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ive_LatestUserAccountName">
    <vt:lpwstr>naifoig</vt:lpwstr>
  </property>
  <property fmtid="{D5CDD505-2E9C-101B-9397-08002B2CF9AE}" pid="3" name="Offisync_ProviderInitializationData">
    <vt:lpwstr>https://connected.cnect.cec.eu.int</vt:lpwstr>
  </property>
  <property fmtid="{D5CDD505-2E9C-101B-9397-08002B2CF9AE}" pid="4" name="Jive_VersionGuid">
    <vt:lpwstr>9165aa37-3f4c-481d-9b55-192cbb8cbe28</vt:lpwstr>
  </property>
  <property fmtid="{D5CDD505-2E9C-101B-9397-08002B2CF9AE}" pid="5" name="Offisync_ServerID">
    <vt:lpwstr>0d3b22a6-6203-4efc-8e8e-b5279256493b</vt:lpwstr>
  </property>
  <property fmtid="{D5CDD505-2E9C-101B-9397-08002B2CF9AE}" pid="6" name="Offisync_UniqueId">
    <vt:lpwstr>69593</vt:lpwstr>
  </property>
  <property fmtid="{D5CDD505-2E9C-101B-9397-08002B2CF9AE}" pid="7" name="Offisync_UpdateToken">
    <vt:lpwstr>7</vt:lpwstr>
  </property>
  <property fmtid="{D5CDD505-2E9C-101B-9397-08002B2CF9AE}" pid="8" name="Part">
    <vt:lpwstr>2</vt:lpwstr>
  </property>
  <property fmtid="{D5CDD505-2E9C-101B-9397-08002B2CF9AE}" pid="9" name="Total parts">
    <vt:lpwstr>3</vt:lpwstr>
  </property>
  <property fmtid="{D5CDD505-2E9C-101B-9397-08002B2CF9AE}" pid="10" name="Classification">
    <vt:lpwstr> </vt:lpwstr>
  </property>
  <property fmtid="{D5CDD505-2E9C-101B-9397-08002B2CF9AE}" pid="11" name="DocStatus">
    <vt:lpwstr>Green</vt:lpwstr>
  </property>
  <property fmtid="{D5CDD505-2E9C-101B-9397-08002B2CF9AE}" pid="12" name="ContentTypeId">
    <vt:lpwstr>0x010100258AA79CEB83498886A3A0868112325000716C6D809718154B85A00D8564272987</vt:lpwstr>
  </property>
</Properties>
</file>