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C91" w:rsidRDefault="00632184" w:rsidP="00632184">
      <w:pPr>
        <w:pStyle w:val="Pagedecouverture"/>
        <w:rPr>
          <w:noProof/>
        </w:rPr>
      </w:pPr>
      <w:bookmarkStart w:id="0" w:name="_Toc430097550"/>
      <w:bookmarkStart w:id="1" w:name="_Toc450056788"/>
      <w:bookmarkStart w:id="2" w:name="_Toc468455374"/>
      <w:bookmarkStart w:id="3" w:name="_Toc468795231"/>
      <w:bookmarkStart w:id="4" w:name="LW_BM_COVERPAGE"/>
      <w:r>
        <w:rPr>
          <w:noProof/>
        </w:rPr>
        <w:pict>
          <v:shape id="_x0000_i1040" type="#_x0000_t75" alt="A30A0390FF3F4847A2C336CFD485138F" style="width:451.4pt;height:488.65pt">
            <v:imagedata r:id="rId12" o:title=""/>
          </v:shape>
        </w:pict>
      </w:r>
    </w:p>
    <w:bookmarkEnd w:id="4"/>
    <w:p w:rsidR="00035C91" w:rsidRDefault="00035C91">
      <w:pPr>
        <w:rPr>
          <w:noProof/>
        </w:rPr>
        <w:sectPr w:rsidR="00035C91" w:rsidSect="00632184">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10"/>
          <w:cols w:space="720"/>
          <w:docGrid w:linePitch="360"/>
        </w:sectPr>
      </w:pPr>
    </w:p>
    <w:p w:rsidR="00035C91" w:rsidRDefault="00632184">
      <w:pPr>
        <w:pStyle w:val="ManualHeading1"/>
        <w:pBdr>
          <w:top w:val="single" w:sz="4" w:space="0" w:color="auto"/>
        </w:pBdr>
      </w:pPr>
      <w:bookmarkStart w:id="5" w:name="_GoBack"/>
      <w:bookmarkEnd w:id="5"/>
      <w:r>
        <w:lastRenderedPageBreak/>
        <w:t xml:space="preserve">Annex 8: </w:t>
      </w:r>
      <w:bookmarkEnd w:id="0"/>
      <w:bookmarkEnd w:id="1"/>
      <w:r>
        <w:t xml:space="preserve">Draft Economic Analysis Report by Deloitte </w:t>
      </w:r>
      <w:r>
        <w:br/>
        <w:t>(smart 2016/0080)</w:t>
      </w:r>
      <w:bookmarkEnd w:id="2"/>
      <w:bookmarkEnd w:id="3"/>
    </w:p>
    <w:p w:rsidR="00035C91" w:rsidRDefault="00035C91">
      <w:pPr>
        <w:spacing w:before="0" w:after="240"/>
        <w:rPr>
          <w:rFonts w:ascii="Times New Roman" w:eastAsia="Times New Roman" w:hAnsi="Times New Roman"/>
          <w:noProof/>
          <w:sz w:val="24"/>
          <w:szCs w:val="20"/>
        </w:rPr>
      </w:pPr>
    </w:p>
    <w:p w:rsidR="00035C91" w:rsidRDefault="00632184">
      <w:pPr>
        <w:keepNext/>
        <w:pageBreakBefore/>
        <w:spacing w:before="0" w:after="1600"/>
        <w:ind w:left="720" w:hanging="360"/>
        <w:jc w:val="left"/>
        <w:outlineLvl w:val="0"/>
        <w:rPr>
          <w:rFonts w:ascii="Arial" w:eastAsia="Times" w:hAnsi="Arial" w:cs="Arial"/>
          <w:noProof/>
          <w:color w:val="002776"/>
          <w:kern w:val="32"/>
          <w:sz w:val="60"/>
          <w:szCs w:val="60"/>
        </w:rPr>
      </w:pPr>
      <w:bookmarkStart w:id="6" w:name="_Toc462410748"/>
      <w:bookmarkStart w:id="7" w:name="_Toc462075945"/>
      <w:bookmarkStart w:id="8" w:name="_Toc464765269"/>
      <w:bookmarkStart w:id="9" w:name="_Toc468453475"/>
      <w:bookmarkStart w:id="10" w:name="_Toc468455375"/>
      <w:bookmarkStart w:id="11" w:name="_Toc468794924"/>
      <w:bookmarkStart w:id="12" w:name="_Toc468795232"/>
      <w:r>
        <w:rPr>
          <w:rFonts w:ascii="Arial" w:eastAsia="Times" w:hAnsi="Arial" w:cs="Arial"/>
          <w:noProof/>
          <w:color w:val="002776"/>
          <w:kern w:val="32"/>
          <w:sz w:val="60"/>
          <w:szCs w:val="60"/>
        </w:rPr>
        <w:lastRenderedPageBreak/>
        <w:t xml:space="preserve">Economic </w:t>
      </w:r>
      <w:r>
        <w:rPr>
          <w:rFonts w:ascii="Arial" w:eastAsia="Times" w:hAnsi="Arial" w:cs="Arial"/>
          <w:noProof/>
          <w:color w:val="002776"/>
          <w:kern w:val="32"/>
          <w:sz w:val="60"/>
          <w:szCs w:val="60"/>
        </w:rPr>
        <w:t>Analysis</w:t>
      </w:r>
      <w:bookmarkEnd w:id="6"/>
      <w:bookmarkEnd w:id="7"/>
      <w:bookmarkEnd w:id="8"/>
      <w:bookmarkEnd w:id="9"/>
      <w:bookmarkEnd w:id="10"/>
      <w:bookmarkEnd w:id="11"/>
      <w:bookmarkEnd w:id="12"/>
    </w:p>
    <w:p w:rsidR="00035C91" w:rsidRDefault="00632184">
      <w:pPr>
        <w:keepNext/>
        <w:keepLines/>
        <w:spacing w:before="40" w:after="0" w:line="259" w:lineRule="auto"/>
        <w:jc w:val="left"/>
        <w:outlineLvl w:val="1"/>
        <w:rPr>
          <w:rFonts w:ascii="Arial" w:eastAsia="Times" w:hAnsi="Arial"/>
          <w:b/>
          <w:noProof/>
          <w:color w:val="4F81BD" w:themeColor="accent1"/>
          <w:sz w:val="24"/>
        </w:rPr>
      </w:pPr>
      <w:bookmarkStart w:id="13" w:name="_Toc461035185"/>
      <w:bookmarkStart w:id="14" w:name="_Toc460785496"/>
      <w:bookmarkStart w:id="15" w:name="_Toc462410749"/>
      <w:bookmarkStart w:id="16" w:name="_Toc462075946"/>
      <w:bookmarkStart w:id="17" w:name="_Toc464765270"/>
      <w:bookmarkStart w:id="18" w:name="_Toc468453476"/>
      <w:bookmarkStart w:id="19" w:name="_Toc468455376"/>
      <w:bookmarkStart w:id="20" w:name="_Toc468794925"/>
      <w:bookmarkStart w:id="21" w:name="_Toc468795233"/>
      <w:r>
        <w:rPr>
          <w:rFonts w:ascii="Arial" w:eastAsia="Times" w:hAnsi="Arial"/>
          <w:b/>
          <w:noProof/>
          <w:color w:val="4F81BD" w:themeColor="accent1"/>
          <w:sz w:val="24"/>
        </w:rPr>
        <w:t>Introduction</w:t>
      </w:r>
      <w:bookmarkEnd w:id="13"/>
      <w:bookmarkEnd w:id="14"/>
      <w:bookmarkEnd w:id="15"/>
      <w:bookmarkEnd w:id="16"/>
      <w:bookmarkEnd w:id="17"/>
      <w:bookmarkEnd w:id="18"/>
      <w:bookmarkEnd w:id="19"/>
      <w:bookmarkEnd w:id="20"/>
      <w:bookmarkEnd w:id="21"/>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This Annex, provided by the Commission's contractor of the external study supporting the impact assessment (Deloitte)</w:t>
      </w:r>
      <w:r>
        <w:rPr>
          <w:rFonts w:ascii="Times New Roman" w:eastAsia="Times New Roman" w:hAnsi="Times New Roman"/>
          <w:noProof/>
          <w:sz w:val="24"/>
          <w:szCs w:val="20"/>
          <w:vertAlign w:val="superscript"/>
        </w:rPr>
        <w:footnoteReference w:id="1"/>
      </w:r>
      <w:r>
        <w:rPr>
          <w:rFonts w:ascii="Times New Roman" w:eastAsia="Times New Roman" w:hAnsi="Times New Roman"/>
          <w:noProof/>
          <w:sz w:val="24"/>
          <w:szCs w:val="20"/>
        </w:rPr>
        <w:t>, serves to achieve two objectives:</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 xml:space="preserve">To outline the overall model used for the projections, incl. a transparent </w:t>
      </w:r>
      <w:r>
        <w:rPr>
          <w:rFonts w:ascii="Times New Roman" w:eastAsia="Times New Roman" w:hAnsi="Times New Roman"/>
          <w:noProof/>
          <w:sz w:val="24"/>
        </w:rPr>
        <w:t>discussion of its strengths and areas of further improvement ideally necessary</w:t>
      </w:r>
      <w:r>
        <w:rPr>
          <w:rFonts w:ascii="Times New Roman" w:eastAsia="Times New Roman" w:hAnsi="Times New Roman"/>
          <w:noProof/>
          <w:sz w:val="24"/>
          <w:vertAlign w:val="superscript"/>
        </w:rPr>
        <w:footnoteReference w:id="2"/>
      </w:r>
      <w:r>
        <w:rPr>
          <w:rFonts w:ascii="Times New Roman" w:eastAsia="Times New Roman" w:hAnsi="Times New Roman"/>
          <w:noProof/>
          <w:sz w:val="24"/>
        </w:rPr>
        <w:t>;</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To present and explain the qualitative and quantitative data and assumptions used for the projections (incl. the specific approach used to translate qualitative reasoning conc</w:t>
      </w:r>
      <w:r>
        <w:rPr>
          <w:rFonts w:ascii="Times New Roman" w:eastAsia="Times New Roman" w:hAnsi="Times New Roman"/>
          <w:noProof/>
          <w:sz w:val="24"/>
        </w:rPr>
        <w:t>erning the assessment of the impacts of the policy options into tangible, quantitative assumptions).</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A separate section is devoted to each of these objectives. </w:t>
      </w:r>
    </w:p>
    <w:p w:rsidR="00035C91" w:rsidRDefault="00632184">
      <w:pPr>
        <w:keepNext/>
        <w:keepLines/>
        <w:spacing w:before="40" w:after="0" w:line="259" w:lineRule="auto"/>
        <w:jc w:val="left"/>
        <w:outlineLvl w:val="1"/>
        <w:rPr>
          <w:rFonts w:ascii="Arial" w:eastAsia="Times" w:hAnsi="Arial"/>
          <w:b/>
          <w:noProof/>
          <w:color w:val="4F81BD" w:themeColor="accent1"/>
          <w:sz w:val="24"/>
        </w:rPr>
      </w:pPr>
      <w:bookmarkStart w:id="22" w:name="_Toc461035190"/>
      <w:bookmarkStart w:id="23" w:name="_Toc460785500"/>
      <w:bookmarkStart w:id="24" w:name="_Toc462410750"/>
      <w:bookmarkStart w:id="25" w:name="_Toc462075947"/>
      <w:bookmarkStart w:id="26" w:name="_Toc464765271"/>
      <w:bookmarkStart w:id="27" w:name="_Toc468453477"/>
      <w:bookmarkStart w:id="28" w:name="_Toc468455377"/>
      <w:bookmarkStart w:id="29" w:name="_Toc468794926"/>
      <w:bookmarkStart w:id="30" w:name="_Toc468795234"/>
      <w:bookmarkStart w:id="31" w:name="_Toc461035193"/>
      <w:bookmarkStart w:id="32" w:name="_Toc460785503"/>
      <w:bookmarkStart w:id="33" w:name="_Toc462410751"/>
      <w:bookmarkStart w:id="34" w:name="_Toc462075948"/>
      <w:bookmarkStart w:id="35" w:name="_Toc464765272"/>
      <w:r>
        <w:rPr>
          <w:rFonts w:ascii="Arial" w:eastAsia="Times" w:hAnsi="Arial"/>
          <w:b/>
          <w:noProof/>
          <w:color w:val="4F81BD" w:themeColor="accent1"/>
          <w:sz w:val="24"/>
        </w:rPr>
        <w:t>The overall model used for the projections</w:t>
      </w:r>
      <w:bookmarkEnd w:id="22"/>
      <w:bookmarkEnd w:id="23"/>
      <w:bookmarkEnd w:id="24"/>
      <w:bookmarkEnd w:id="25"/>
      <w:bookmarkEnd w:id="26"/>
      <w:bookmarkEnd w:id="27"/>
      <w:bookmarkEnd w:id="28"/>
      <w:bookmarkEnd w:id="29"/>
      <w:bookmarkEnd w:id="30"/>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This section outlines the key procedural / analytica</w:t>
      </w:r>
      <w:r>
        <w:rPr>
          <w:rFonts w:ascii="Times New Roman" w:eastAsia="Times New Roman" w:hAnsi="Times New Roman"/>
          <w:noProof/>
          <w:sz w:val="24"/>
          <w:szCs w:val="20"/>
        </w:rPr>
        <w:t>l steps of the model developed for the assessment of the problem assessment, the establishment of the baseline scenario, as well as the assessment of the policy options and their comparison with the baseline scenario.</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In addition, the section identifies ke</w:t>
      </w:r>
      <w:r>
        <w:rPr>
          <w:rFonts w:ascii="Times New Roman" w:eastAsia="Times New Roman" w:hAnsi="Times New Roman"/>
          <w:noProof/>
          <w:sz w:val="24"/>
          <w:szCs w:val="20"/>
        </w:rPr>
        <w:t>y strengths and weaknesses of the model.</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Overall, the model serves to provide quantitative projections as of 2002 until today. This can both be used for the REFIT exercise, as well as for the assessment of the problems. In addition, the model serves to pro</w:t>
      </w:r>
      <w:r>
        <w:rPr>
          <w:rFonts w:ascii="Times New Roman" w:eastAsia="Times New Roman" w:hAnsi="Times New Roman"/>
          <w:noProof/>
          <w:sz w:val="24"/>
          <w:szCs w:val="20"/>
        </w:rPr>
        <w:t>vide quantitative projections for the expected development until 2030. These projections inform the establishment of the baseline scenario, and the quantitative assessment of the impacts of the options compared to the baseline scenario (status quo).</w:t>
      </w:r>
    </w:p>
    <w:p w:rsidR="00035C91" w:rsidRDefault="00632184">
      <w:pPr>
        <w:keepNext/>
        <w:pBdr>
          <w:bottom w:val="single" w:sz="6" w:space="1" w:color="C0504D" w:themeColor="accent2"/>
        </w:pBdr>
        <w:spacing w:before="300" w:after="240" w:line="360" w:lineRule="auto"/>
        <w:ind w:left="720"/>
        <w:outlineLvl w:val="2"/>
        <w:rPr>
          <w:rFonts w:ascii="Arial" w:eastAsia="Times" w:hAnsi="Arial"/>
          <w:b/>
          <w:noProof/>
          <w:color w:val="C0504D" w:themeColor="accent2"/>
          <w:sz w:val="24"/>
        </w:rPr>
      </w:pPr>
      <w:bookmarkStart w:id="36" w:name="_Toc461035191"/>
      <w:bookmarkStart w:id="37" w:name="_Toc460785501"/>
      <w:bookmarkStart w:id="38" w:name="_Toc468453478"/>
      <w:bookmarkStart w:id="39" w:name="_Toc468455378"/>
      <w:bookmarkStart w:id="40" w:name="_Toc468794927"/>
      <w:bookmarkStart w:id="41" w:name="_Toc468795235"/>
      <w:r>
        <w:rPr>
          <w:rFonts w:ascii="Arial" w:eastAsia="Times" w:hAnsi="Arial"/>
          <w:b/>
          <w:noProof/>
          <w:color w:val="C0504D" w:themeColor="accent2"/>
          <w:sz w:val="24"/>
        </w:rPr>
        <w:t>Key pr</w:t>
      </w:r>
      <w:r>
        <w:rPr>
          <w:rFonts w:ascii="Arial" w:eastAsia="Times" w:hAnsi="Arial"/>
          <w:b/>
          <w:noProof/>
          <w:color w:val="C0504D" w:themeColor="accent2"/>
          <w:sz w:val="24"/>
        </w:rPr>
        <w:t>ocedural / analytical steps of the model</w:t>
      </w:r>
      <w:bookmarkEnd w:id="36"/>
      <w:bookmarkEnd w:id="37"/>
      <w:bookmarkEnd w:id="38"/>
      <w:bookmarkEnd w:id="39"/>
      <w:bookmarkEnd w:id="40"/>
      <w:bookmarkEnd w:id="41"/>
      <w:r>
        <w:rPr>
          <w:rFonts w:ascii="Arial" w:eastAsia="Times" w:hAnsi="Arial"/>
          <w:b/>
          <w:noProof/>
          <w:color w:val="C0504D" w:themeColor="accent2"/>
          <w:sz w:val="24"/>
        </w:rPr>
        <w:t xml:space="preserve"> </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Based on a number of assumptions that are further elaborated below (section 4), the model is used to project:</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The number of citizens affected by the ePD in the EU and per Member State between 2002 and 2030;</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The num</w:t>
      </w:r>
      <w:r>
        <w:rPr>
          <w:rFonts w:ascii="Times New Roman" w:eastAsia="Times New Roman" w:hAnsi="Times New Roman"/>
          <w:noProof/>
          <w:sz w:val="24"/>
        </w:rPr>
        <w:t>ber of businesses (per size class) affected by the ePD in the EU and per Member State between 2002 and 2030;</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lastRenderedPageBreak/>
        <w:t>The magnitude of compliance costs for these businesses per year and Member State, as well as per size class; and</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The magnitude of costs stemming fr</w:t>
      </w:r>
      <w:r>
        <w:rPr>
          <w:rFonts w:ascii="Times New Roman" w:eastAsia="Times New Roman" w:hAnsi="Times New Roman"/>
          <w:noProof/>
          <w:sz w:val="24"/>
        </w:rPr>
        <w:t>om administrative burden for businesses per year and Member State, as well as per size class.</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Within the model, each of the above is projected based on distinct steps. These steps are presented in the table below.</w:t>
      </w:r>
    </w:p>
    <w:p w:rsidR="00035C91" w:rsidRDefault="00632184">
      <w:pPr>
        <w:keepNext/>
        <w:spacing w:before="240" w:after="0" w:line="312" w:lineRule="auto"/>
        <w:ind w:left="720"/>
        <w:jc w:val="center"/>
        <w:rPr>
          <w:rFonts w:ascii="Times New Roman" w:eastAsia="Times New Roman" w:hAnsi="Times New Roman" w:cs="Arial"/>
          <w:bCs/>
          <w:i/>
          <w:noProof/>
          <w:color w:val="00A3E0"/>
          <w:sz w:val="24"/>
          <w:szCs w:val="20"/>
        </w:rPr>
      </w:pPr>
      <w:bookmarkStart w:id="42" w:name="_Toc462410872"/>
      <w:bookmarkStart w:id="43" w:name="_Toc462075504"/>
      <w:bookmarkStart w:id="44" w:name="_Toc464765527"/>
      <w:r>
        <w:rPr>
          <w:rFonts w:ascii="Times New Roman" w:eastAsia="Times New Roman" w:hAnsi="Times New Roman" w:cs="Arial"/>
          <w:bCs/>
          <w:i/>
          <w:noProof/>
          <w:color w:val="00A3E0"/>
          <w:sz w:val="24"/>
          <w:szCs w:val="20"/>
        </w:rPr>
        <w:t xml:space="preserve">Table </w:t>
      </w:r>
      <w:r>
        <w:rPr>
          <w:rFonts w:ascii="Times New Roman" w:eastAsia="Times New Roman" w:hAnsi="Times New Roman" w:cs="Arial"/>
          <w:bCs/>
          <w:i/>
          <w:noProof/>
          <w:color w:val="00A3E0"/>
          <w:sz w:val="24"/>
          <w:szCs w:val="20"/>
        </w:rPr>
        <w:fldChar w:fldCharType="begin"/>
      </w:r>
      <w:r>
        <w:rPr>
          <w:rFonts w:ascii="Times New Roman" w:eastAsia="Times New Roman" w:hAnsi="Times New Roman" w:cs="Arial"/>
          <w:bCs/>
          <w:i/>
          <w:noProof/>
          <w:color w:val="00A3E0"/>
          <w:sz w:val="24"/>
          <w:szCs w:val="20"/>
        </w:rPr>
        <w:instrText xml:space="preserve"> SEQ Table \* ARABIC </w:instrText>
      </w:r>
      <w:r>
        <w:rPr>
          <w:rFonts w:ascii="Times New Roman" w:eastAsia="Times New Roman" w:hAnsi="Times New Roman" w:cs="Arial"/>
          <w:bCs/>
          <w:i/>
          <w:noProof/>
          <w:color w:val="00A3E0"/>
          <w:sz w:val="24"/>
          <w:szCs w:val="20"/>
        </w:rPr>
        <w:fldChar w:fldCharType="separate"/>
      </w:r>
      <w:r>
        <w:rPr>
          <w:rFonts w:ascii="Times New Roman" w:eastAsia="Times New Roman" w:hAnsi="Times New Roman" w:cs="Arial"/>
          <w:bCs/>
          <w:i/>
          <w:noProof/>
          <w:color w:val="00A3E0"/>
          <w:sz w:val="24"/>
          <w:szCs w:val="20"/>
        </w:rPr>
        <w:t>1</w:t>
      </w:r>
      <w:r>
        <w:rPr>
          <w:rFonts w:ascii="Times New Roman" w:eastAsia="Times New Roman" w:hAnsi="Times New Roman" w:cs="Arial"/>
          <w:bCs/>
          <w:i/>
          <w:noProof/>
          <w:color w:val="00A3E0"/>
          <w:sz w:val="24"/>
          <w:szCs w:val="20"/>
        </w:rPr>
        <w:fldChar w:fldCharType="end"/>
      </w:r>
      <w:r>
        <w:rPr>
          <w:rFonts w:ascii="Times New Roman" w:eastAsia="Times New Roman" w:hAnsi="Times New Roman" w:cs="Arial"/>
          <w:bCs/>
          <w:i/>
          <w:noProof/>
          <w:color w:val="00A3E0"/>
          <w:sz w:val="24"/>
          <w:szCs w:val="20"/>
        </w:rPr>
        <w:t xml:space="preserve"> – Quantitative assumptions used for the projections</w:t>
      </w:r>
      <w:bookmarkEnd w:id="42"/>
      <w:bookmarkEnd w:id="43"/>
      <w:bookmarkEnd w:id="44"/>
      <w:r>
        <w:rPr>
          <w:rFonts w:ascii="Times New Roman" w:eastAsia="Times New Roman" w:hAnsi="Times New Roman" w:cs="Arial"/>
          <w:bCs/>
          <w:i/>
          <w:noProof/>
          <w:color w:val="00A3E0"/>
          <w:sz w:val="24"/>
          <w:szCs w:val="20"/>
        </w:rPr>
        <w:t xml:space="preserve"> </w:t>
      </w:r>
    </w:p>
    <w:tbl>
      <w:tblPr>
        <w:tblW w:w="108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2600"/>
        <w:gridCol w:w="2364"/>
        <w:gridCol w:w="2392"/>
        <w:gridCol w:w="2393"/>
      </w:tblGrid>
      <w:tr w:rsidR="00035C91">
        <w:trPr>
          <w:trHeight w:val="119"/>
          <w:tblHeader/>
        </w:trPr>
        <w:tc>
          <w:tcPr>
            <w:tcW w:w="1119" w:type="dxa"/>
            <w:shd w:val="clear" w:color="auto" w:fill="4F81BD" w:themeFill="accent1"/>
          </w:tcPr>
          <w:p w:rsidR="00035C91" w:rsidRDefault="00035C91">
            <w:pPr>
              <w:spacing w:before="60" w:after="60"/>
              <w:rPr>
                <w:rFonts w:ascii="Times New Roman" w:eastAsia="Times New Roman" w:hAnsi="Times New Roman" w:cs="Arial"/>
                <w:b/>
                <w:noProof/>
                <w:color w:val="FFFFFF" w:themeColor="background1"/>
                <w:sz w:val="16"/>
                <w:szCs w:val="16"/>
              </w:rPr>
            </w:pPr>
          </w:p>
        </w:tc>
        <w:tc>
          <w:tcPr>
            <w:tcW w:w="2600" w:type="dxa"/>
            <w:shd w:val="clear" w:color="auto" w:fill="4F81BD" w:themeFill="accent1"/>
          </w:tcPr>
          <w:p w:rsidR="00035C91" w:rsidRDefault="00632184">
            <w:pPr>
              <w:spacing w:before="60" w:after="60"/>
              <w:rPr>
                <w:rFonts w:ascii="Times New Roman" w:eastAsia="Times New Roman" w:hAnsi="Times New Roman" w:cs="Arial"/>
                <w:b/>
                <w:noProof/>
                <w:color w:val="FFFFFF" w:themeColor="background1"/>
                <w:sz w:val="16"/>
                <w:szCs w:val="16"/>
              </w:rPr>
            </w:pPr>
            <w:r>
              <w:rPr>
                <w:rFonts w:ascii="Times New Roman" w:eastAsia="Times New Roman" w:hAnsi="Times New Roman" w:cs="Arial"/>
                <w:b/>
                <w:noProof/>
                <w:color w:val="FFFFFF" w:themeColor="background1"/>
                <w:sz w:val="16"/>
                <w:szCs w:val="16"/>
              </w:rPr>
              <w:t>Number of citizens affected</w:t>
            </w:r>
          </w:p>
        </w:tc>
        <w:tc>
          <w:tcPr>
            <w:tcW w:w="2364" w:type="dxa"/>
            <w:shd w:val="clear" w:color="auto" w:fill="4F81BD" w:themeFill="accent1"/>
          </w:tcPr>
          <w:p w:rsidR="00035C91" w:rsidRDefault="00632184">
            <w:pPr>
              <w:spacing w:before="60" w:after="60"/>
              <w:rPr>
                <w:rFonts w:ascii="Times New Roman" w:eastAsia="Times New Roman" w:hAnsi="Times New Roman" w:cs="Arial"/>
                <w:b/>
                <w:noProof/>
                <w:color w:val="FFFFFF" w:themeColor="background1"/>
                <w:sz w:val="16"/>
                <w:szCs w:val="16"/>
              </w:rPr>
            </w:pPr>
            <w:r>
              <w:rPr>
                <w:rFonts w:ascii="Times New Roman" w:eastAsia="Times New Roman" w:hAnsi="Times New Roman" w:cs="Arial"/>
                <w:b/>
                <w:noProof/>
                <w:color w:val="FFFFFF" w:themeColor="background1"/>
                <w:sz w:val="16"/>
                <w:szCs w:val="16"/>
              </w:rPr>
              <w:t>Number of businesses affected</w:t>
            </w:r>
          </w:p>
        </w:tc>
        <w:tc>
          <w:tcPr>
            <w:tcW w:w="2392" w:type="dxa"/>
            <w:shd w:val="clear" w:color="auto" w:fill="4F81BD" w:themeFill="accent1"/>
          </w:tcPr>
          <w:p w:rsidR="00035C91" w:rsidRDefault="00632184">
            <w:pPr>
              <w:spacing w:before="60" w:after="60"/>
              <w:rPr>
                <w:rFonts w:ascii="Times New Roman" w:eastAsia="Times New Roman" w:hAnsi="Times New Roman" w:cs="Arial"/>
                <w:b/>
                <w:noProof/>
                <w:color w:val="FFFFFF" w:themeColor="background1"/>
                <w:sz w:val="16"/>
                <w:szCs w:val="16"/>
              </w:rPr>
            </w:pPr>
            <w:r>
              <w:rPr>
                <w:rFonts w:ascii="Times New Roman" w:eastAsia="Times New Roman" w:hAnsi="Times New Roman" w:cs="Arial"/>
                <w:b/>
                <w:noProof/>
                <w:color w:val="FFFFFF" w:themeColor="background1"/>
                <w:sz w:val="16"/>
                <w:szCs w:val="16"/>
              </w:rPr>
              <w:t>Magnitude of compliance costs</w:t>
            </w:r>
          </w:p>
        </w:tc>
        <w:tc>
          <w:tcPr>
            <w:tcW w:w="2393" w:type="dxa"/>
            <w:shd w:val="clear" w:color="auto" w:fill="4F81BD" w:themeFill="accent1"/>
          </w:tcPr>
          <w:p w:rsidR="00035C91" w:rsidRDefault="00632184">
            <w:pPr>
              <w:spacing w:before="60" w:after="60"/>
              <w:rPr>
                <w:rFonts w:ascii="Times New Roman" w:eastAsia="Times New Roman" w:hAnsi="Times New Roman" w:cs="Arial"/>
                <w:b/>
                <w:noProof/>
                <w:color w:val="FFFFFF" w:themeColor="background1"/>
                <w:sz w:val="16"/>
                <w:szCs w:val="16"/>
              </w:rPr>
            </w:pPr>
            <w:r>
              <w:rPr>
                <w:rFonts w:ascii="Times New Roman" w:eastAsia="Times New Roman" w:hAnsi="Times New Roman" w:cs="Arial"/>
                <w:b/>
                <w:noProof/>
                <w:color w:val="FFFFFF" w:themeColor="background1"/>
                <w:sz w:val="16"/>
                <w:szCs w:val="16"/>
              </w:rPr>
              <w:t>Magnitude of costs from admin. burden</w:t>
            </w:r>
          </w:p>
        </w:tc>
      </w:tr>
      <w:tr w:rsidR="00035C91">
        <w:tc>
          <w:tcPr>
            <w:tcW w:w="10868" w:type="dxa"/>
            <w:gridSpan w:val="5"/>
            <w:shd w:val="clear" w:color="auto" w:fill="9BBB59" w:themeFill="accent3"/>
          </w:tcPr>
          <w:p w:rsidR="00035C91" w:rsidRDefault="00632184">
            <w:pPr>
              <w:spacing w:before="60" w:after="60"/>
              <w:rPr>
                <w:rFonts w:ascii="Times New Roman" w:eastAsia="Times New Roman" w:hAnsi="Times New Roman" w:cs="Arial"/>
                <w:b/>
                <w:i/>
                <w:noProof/>
                <w:sz w:val="16"/>
                <w:szCs w:val="16"/>
              </w:rPr>
            </w:pPr>
            <w:r>
              <w:rPr>
                <w:rFonts w:ascii="Times New Roman" w:eastAsia="Times New Roman" w:hAnsi="Times New Roman" w:cs="Arial"/>
                <w:b/>
                <w:noProof/>
                <w:color w:val="FFFFFF" w:themeColor="background1"/>
                <w:sz w:val="16"/>
                <w:szCs w:val="16"/>
              </w:rPr>
              <w:t>Preparatory tasks</w:t>
            </w:r>
          </w:p>
        </w:tc>
      </w:tr>
      <w:tr w:rsidR="00035C91">
        <w:tc>
          <w:tcPr>
            <w:tcW w:w="1119"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Step 1</w:t>
            </w:r>
          </w:p>
        </w:tc>
        <w:tc>
          <w:tcPr>
            <w:tcW w:w="2600"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Identification of relevant Eurostat data and </w:t>
            </w:r>
            <w:r>
              <w:rPr>
                <w:rFonts w:ascii="Times New Roman" w:eastAsia="Times New Roman" w:hAnsi="Times New Roman" w:cs="Arial"/>
                <w:noProof/>
                <w:sz w:val="16"/>
                <w:szCs w:val="16"/>
              </w:rPr>
              <w:t>evidence concerning the current usage rate of the services covered.</w:t>
            </w:r>
          </w:p>
        </w:tc>
        <w:tc>
          <w:tcPr>
            <w:tcW w:w="2364"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Identification of relevant Eurostat data</w:t>
            </w:r>
          </w:p>
        </w:tc>
        <w:tc>
          <w:tcPr>
            <w:tcW w:w="4785" w:type="dxa"/>
            <w:gridSpan w:val="2"/>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Identification of relevant quantitative economic data needed for the projections (see “basic assumptions” above).</w:t>
            </w:r>
          </w:p>
          <w:p w:rsidR="00035C91" w:rsidRDefault="00632184">
            <w:pPr>
              <w:spacing w:before="60" w:after="60"/>
              <w:rPr>
                <w:rFonts w:ascii="Times New Roman" w:eastAsia="Times New Roman" w:hAnsi="Times New Roman" w:cs="Arial"/>
                <w:i/>
                <w:noProof/>
                <w:sz w:val="16"/>
                <w:szCs w:val="16"/>
              </w:rPr>
            </w:pPr>
            <w:r>
              <w:rPr>
                <w:rFonts w:ascii="Times New Roman" w:eastAsia="Times New Roman" w:hAnsi="Times New Roman" w:cs="Arial"/>
                <w:i/>
                <w:noProof/>
                <w:sz w:val="16"/>
                <w:szCs w:val="16"/>
              </w:rPr>
              <w:t xml:space="preserve">[Eurostat data on the number of </w:t>
            </w:r>
            <w:r>
              <w:rPr>
                <w:rFonts w:ascii="Times New Roman" w:eastAsia="Times New Roman" w:hAnsi="Times New Roman" w:cs="Arial"/>
                <w:i/>
                <w:noProof/>
                <w:sz w:val="16"/>
                <w:szCs w:val="16"/>
              </w:rPr>
              <w:t>businesses is re-used]</w:t>
            </w:r>
          </w:p>
        </w:tc>
      </w:tr>
      <w:tr w:rsidR="00035C91">
        <w:tc>
          <w:tcPr>
            <w:tcW w:w="1119"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Step 2</w:t>
            </w:r>
          </w:p>
        </w:tc>
        <w:tc>
          <w:tcPr>
            <w:tcW w:w="2600"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Projection of Eurostat data back to 2002 and until 2030 based on the CAGR of the identified data set (incl. completion of gaps in the initial Eurostat data set).</w:t>
            </w:r>
          </w:p>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Projection of the available evidence on usage rates of services</w:t>
            </w:r>
            <w:r>
              <w:rPr>
                <w:rFonts w:ascii="Times New Roman" w:eastAsia="Times New Roman" w:hAnsi="Times New Roman" w:cs="Arial"/>
                <w:noProof/>
                <w:sz w:val="16"/>
                <w:szCs w:val="16"/>
              </w:rPr>
              <w:t xml:space="preserve"> back to 2002 and until 2030 based on the respective CAGRs</w:t>
            </w:r>
          </w:p>
        </w:tc>
        <w:tc>
          <w:tcPr>
            <w:tcW w:w="7149" w:type="dxa"/>
            <w:gridSpan w:val="3"/>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Projection of Eurostat available data back to 2002 and until 2030 based on the CAGR of the identified data set (incl. completion of gaps in the initial Eurostat data set).</w:t>
            </w:r>
          </w:p>
        </w:tc>
      </w:tr>
      <w:tr w:rsidR="00035C91">
        <w:tc>
          <w:tcPr>
            <w:tcW w:w="1119"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Step 3</w:t>
            </w:r>
          </w:p>
        </w:tc>
        <w:tc>
          <w:tcPr>
            <w:tcW w:w="9749" w:type="dxa"/>
            <w:gridSpan w:val="4"/>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Definition of </w:t>
            </w:r>
            <w:r>
              <w:rPr>
                <w:rFonts w:ascii="Times New Roman" w:eastAsia="Times New Roman" w:hAnsi="Times New Roman" w:cs="Arial"/>
                <w:noProof/>
                <w:sz w:val="16"/>
                <w:szCs w:val="16"/>
              </w:rPr>
              <w:t>qualitative assumptions regarding the development of the number of citizens and businesses affected, as well as compliance costs and costs related to administrative burden under the policy options and translation of these assumptions into quantitative prox</w:t>
            </w:r>
            <w:r>
              <w:rPr>
                <w:rFonts w:ascii="Times New Roman" w:eastAsia="Times New Roman" w:hAnsi="Times New Roman" w:cs="Arial"/>
                <w:noProof/>
                <w:sz w:val="16"/>
                <w:szCs w:val="16"/>
              </w:rPr>
              <w:t>ies concerning the increase / decrease in the figures (in % per Article of the ePD) in the baseline scenario under each policy option.</w:t>
            </w:r>
          </w:p>
        </w:tc>
      </w:tr>
      <w:tr w:rsidR="00035C91">
        <w:tc>
          <w:tcPr>
            <w:tcW w:w="10868" w:type="dxa"/>
            <w:gridSpan w:val="5"/>
            <w:shd w:val="clear" w:color="auto" w:fill="BFBFBF" w:themeFill="background1" w:themeFillShade="BF"/>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i/>
                <w:noProof/>
                <w:sz w:val="16"/>
                <w:szCs w:val="16"/>
              </w:rPr>
              <w:t>Milestone 1:</w:t>
            </w:r>
            <w:r>
              <w:rPr>
                <w:rFonts w:ascii="Times New Roman" w:eastAsia="Times New Roman" w:hAnsi="Times New Roman" w:cs="Arial"/>
                <w:noProof/>
                <w:sz w:val="16"/>
                <w:szCs w:val="16"/>
              </w:rPr>
              <w:t xml:space="preserve"> Preparatory tasks are completed</w:t>
            </w:r>
          </w:p>
        </w:tc>
      </w:tr>
      <w:tr w:rsidR="00035C91">
        <w:tc>
          <w:tcPr>
            <w:tcW w:w="10868" w:type="dxa"/>
            <w:gridSpan w:val="5"/>
            <w:shd w:val="clear" w:color="auto" w:fill="9BBB59" w:themeFill="accent3"/>
          </w:tcPr>
          <w:p w:rsidR="00035C91" w:rsidRDefault="00632184">
            <w:pPr>
              <w:keepNext/>
              <w:spacing w:before="60" w:after="60"/>
              <w:rPr>
                <w:rFonts w:ascii="Times New Roman" w:eastAsia="Times New Roman" w:hAnsi="Times New Roman" w:cs="Arial"/>
                <w:b/>
                <w:noProof/>
                <w:sz w:val="16"/>
                <w:szCs w:val="16"/>
              </w:rPr>
            </w:pPr>
            <w:r>
              <w:rPr>
                <w:rFonts w:ascii="Times New Roman" w:eastAsia="Times New Roman" w:hAnsi="Times New Roman" w:cs="Arial"/>
                <w:b/>
                <w:noProof/>
                <w:color w:val="FFFFFF" w:themeColor="background1"/>
                <w:sz w:val="16"/>
                <w:szCs w:val="16"/>
              </w:rPr>
              <w:t xml:space="preserve">Assessment of the problem and establishment of the baseline scenario </w:t>
            </w:r>
          </w:p>
        </w:tc>
      </w:tr>
      <w:tr w:rsidR="00035C91">
        <w:tc>
          <w:tcPr>
            <w:tcW w:w="1119"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Step 3</w:t>
            </w:r>
          </w:p>
        </w:tc>
        <w:tc>
          <w:tcPr>
            <w:tcW w:w="2600"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Multiplication of Eurostat data concerning the number of citizens per year and Member State with the projected usage rates for each type of service.</w:t>
            </w:r>
          </w:p>
        </w:tc>
        <w:tc>
          <w:tcPr>
            <w:tcW w:w="2364"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Multiplication of the number of businesses per year, Member State, and size class with the share of </w:t>
            </w:r>
            <w:r>
              <w:rPr>
                <w:rFonts w:ascii="Times New Roman" w:eastAsia="Times New Roman" w:hAnsi="Times New Roman" w:cs="Arial"/>
                <w:noProof/>
                <w:sz w:val="16"/>
                <w:szCs w:val="16"/>
              </w:rPr>
              <w:t xml:space="preserve">businesses that have a website per size class. </w:t>
            </w:r>
          </w:p>
        </w:tc>
        <w:tc>
          <w:tcPr>
            <w:tcW w:w="2392" w:type="dxa"/>
          </w:tcPr>
          <w:p w:rsidR="00035C91" w:rsidRDefault="00632184">
            <w:pPr>
              <w:spacing w:before="60" w:after="60"/>
              <w:rPr>
                <w:rFonts w:ascii="Times New Roman" w:eastAsia="Times New Roman" w:hAnsi="Times New Roman" w:cs="Arial"/>
                <w:i/>
                <w:noProof/>
                <w:sz w:val="16"/>
                <w:szCs w:val="16"/>
              </w:rPr>
            </w:pPr>
            <w:r>
              <w:rPr>
                <w:rFonts w:ascii="Times New Roman" w:eastAsia="Times New Roman" w:hAnsi="Times New Roman" w:cs="Arial"/>
                <w:i/>
                <w:noProof/>
                <w:sz w:val="16"/>
                <w:szCs w:val="16"/>
              </w:rPr>
              <w:t>Cannot start before Step 4 concerning the number of businesses is completed because this is used as the relevant statistical basis.</w:t>
            </w:r>
          </w:p>
          <w:p w:rsidR="00035C91" w:rsidRDefault="00632184">
            <w:pPr>
              <w:spacing w:before="60" w:after="60"/>
              <w:rPr>
                <w:rFonts w:ascii="Times New Roman" w:eastAsia="Times New Roman" w:hAnsi="Times New Roman" w:cs="Arial"/>
                <w:i/>
                <w:noProof/>
                <w:sz w:val="16"/>
                <w:szCs w:val="16"/>
              </w:rPr>
            </w:pPr>
            <w:r>
              <w:rPr>
                <w:rFonts w:ascii="Times New Roman" w:eastAsia="Times New Roman" w:hAnsi="Times New Roman" w:cs="Arial"/>
                <w:noProof/>
                <w:sz w:val="16"/>
                <w:szCs w:val="16"/>
              </w:rPr>
              <w:t xml:space="preserve">Multiplication of the number of affected businesses per year, Member State, </w:t>
            </w:r>
            <w:r>
              <w:rPr>
                <w:rFonts w:ascii="Times New Roman" w:eastAsia="Times New Roman" w:hAnsi="Times New Roman" w:cs="Arial"/>
                <w:noProof/>
                <w:sz w:val="16"/>
                <w:szCs w:val="16"/>
              </w:rPr>
              <w:t>and size class with the share of websites that use cookies and that comply with legislation (e.g. because the websites are not inactive). Projection of a minimum, medium, and maximum scenario.</w:t>
            </w:r>
          </w:p>
        </w:tc>
        <w:tc>
          <w:tcPr>
            <w:tcW w:w="2393" w:type="dxa"/>
          </w:tcPr>
          <w:p w:rsidR="00035C91" w:rsidRDefault="00632184">
            <w:pPr>
              <w:spacing w:before="60" w:after="60"/>
              <w:rPr>
                <w:rFonts w:ascii="Times New Roman" w:eastAsia="Times New Roman" w:hAnsi="Times New Roman" w:cs="Arial"/>
                <w:i/>
                <w:noProof/>
                <w:sz w:val="16"/>
                <w:szCs w:val="16"/>
              </w:rPr>
            </w:pPr>
            <w:r>
              <w:rPr>
                <w:rFonts w:ascii="Times New Roman" w:eastAsia="Times New Roman" w:hAnsi="Times New Roman" w:cs="Arial"/>
                <w:i/>
                <w:noProof/>
                <w:sz w:val="16"/>
                <w:szCs w:val="16"/>
              </w:rPr>
              <w:t xml:space="preserve">Cannot start before Step 4 concerning the number of businesses </w:t>
            </w:r>
            <w:r>
              <w:rPr>
                <w:rFonts w:ascii="Times New Roman" w:eastAsia="Times New Roman" w:hAnsi="Times New Roman" w:cs="Arial"/>
                <w:i/>
                <w:noProof/>
                <w:sz w:val="16"/>
                <w:szCs w:val="16"/>
              </w:rPr>
              <w:t>is completed because this is used as the relevant statistical basis.</w:t>
            </w:r>
          </w:p>
          <w:p w:rsidR="00035C91" w:rsidRDefault="00632184">
            <w:pPr>
              <w:spacing w:before="60" w:after="60"/>
              <w:rPr>
                <w:rFonts w:ascii="Times New Roman" w:eastAsia="Times New Roman" w:hAnsi="Times New Roman" w:cs="Arial"/>
                <w:i/>
                <w:noProof/>
                <w:sz w:val="16"/>
                <w:szCs w:val="16"/>
              </w:rPr>
            </w:pPr>
            <w:r>
              <w:rPr>
                <w:rFonts w:ascii="Times New Roman" w:eastAsia="Times New Roman" w:hAnsi="Times New Roman" w:cs="Arial"/>
                <w:noProof/>
                <w:sz w:val="16"/>
                <w:szCs w:val="16"/>
              </w:rPr>
              <w:t xml:space="preserve">Multiplication of the number of affected businesses per year, Member State, and size class with the frequency of information obligations per year and with the hours of work of respective </w:t>
            </w:r>
            <w:r>
              <w:rPr>
                <w:rFonts w:ascii="Times New Roman" w:eastAsia="Times New Roman" w:hAnsi="Times New Roman" w:cs="Arial"/>
                <w:noProof/>
                <w:sz w:val="16"/>
                <w:szCs w:val="16"/>
              </w:rPr>
              <w:t>tasks.</w:t>
            </w:r>
          </w:p>
        </w:tc>
      </w:tr>
      <w:tr w:rsidR="00035C91">
        <w:tc>
          <w:tcPr>
            <w:tcW w:w="1119"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Step 4</w:t>
            </w:r>
          </w:p>
        </w:tc>
        <w:tc>
          <w:tcPr>
            <w:tcW w:w="2600"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2364"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Multiplication of the number of businesses per year, Member State, and size class with the share of businesses that use cookies. </w:t>
            </w:r>
          </w:p>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Projection of a minimum, medium, and maximum scenario.</w:t>
            </w:r>
          </w:p>
        </w:tc>
        <w:tc>
          <w:tcPr>
            <w:tcW w:w="2392"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Multiplication of the number of websites that comply per year, Member State, and size class of business with the costs for websites to be compliant in EUR. </w:t>
            </w:r>
          </w:p>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The costs for websites to be compliant include costs related to Art. 5(3) and Art. 13.</w:t>
            </w:r>
          </w:p>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Costs relate</w:t>
            </w:r>
            <w:r>
              <w:rPr>
                <w:rFonts w:ascii="Times New Roman" w:eastAsia="Times New Roman" w:hAnsi="Times New Roman" w:cs="Arial"/>
                <w:noProof/>
                <w:sz w:val="16"/>
                <w:szCs w:val="16"/>
              </w:rPr>
              <w:t>d to Art. 4, as well as Arts. 5(1) and 5(2) have also been / are / will be incurred but cannot be estimated due to a lack of data.</w:t>
            </w:r>
            <w:r>
              <w:rPr>
                <w:rFonts w:ascii="Times New Roman" w:eastAsia="Times New Roman" w:hAnsi="Times New Roman" w:cs="Arial"/>
                <w:noProof/>
                <w:sz w:val="24"/>
                <w:szCs w:val="16"/>
                <w:vertAlign w:val="superscript"/>
              </w:rPr>
              <w:footnoteReference w:id="3"/>
            </w:r>
          </w:p>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Therefore, the estimates are very likely to underestimate the actual value of compliance costs.</w:t>
            </w:r>
          </w:p>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i/>
                <w:noProof/>
                <w:sz w:val="16"/>
                <w:szCs w:val="16"/>
              </w:rPr>
              <w:t>Simultaneously:</w:t>
            </w:r>
            <w:r>
              <w:rPr>
                <w:rFonts w:ascii="Times New Roman" w:eastAsia="Times New Roman" w:hAnsi="Times New Roman" w:cs="Arial"/>
                <w:noProof/>
                <w:sz w:val="16"/>
                <w:szCs w:val="16"/>
              </w:rPr>
              <w:t xml:space="preserve"> Calculation of the Present Value of these costs in 2016.</w:t>
            </w:r>
          </w:p>
        </w:tc>
        <w:tc>
          <w:tcPr>
            <w:tcW w:w="2393"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Multiplication of the number of hours per year, Member State, and size class of business with the average salary in the EU in EUR.</w:t>
            </w:r>
          </w:p>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i/>
                <w:noProof/>
                <w:sz w:val="16"/>
                <w:szCs w:val="16"/>
              </w:rPr>
              <w:t>Simultaneously:</w:t>
            </w:r>
            <w:r>
              <w:rPr>
                <w:rFonts w:ascii="Times New Roman" w:eastAsia="Times New Roman" w:hAnsi="Times New Roman" w:cs="Arial"/>
                <w:noProof/>
                <w:sz w:val="16"/>
                <w:szCs w:val="16"/>
              </w:rPr>
              <w:t xml:space="preserve"> Calculation of the Present Value of these costs in </w:t>
            </w:r>
            <w:r>
              <w:rPr>
                <w:rFonts w:ascii="Times New Roman" w:eastAsia="Times New Roman" w:hAnsi="Times New Roman" w:cs="Arial"/>
                <w:noProof/>
                <w:sz w:val="16"/>
                <w:szCs w:val="16"/>
              </w:rPr>
              <w:t>2016.</w:t>
            </w:r>
          </w:p>
        </w:tc>
      </w:tr>
      <w:tr w:rsidR="00035C91">
        <w:tc>
          <w:tcPr>
            <w:tcW w:w="10868" w:type="dxa"/>
            <w:gridSpan w:val="5"/>
            <w:shd w:val="clear" w:color="auto" w:fill="BFBFBF" w:themeFill="background1" w:themeFillShade="BF"/>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i/>
                <w:noProof/>
                <w:sz w:val="16"/>
                <w:szCs w:val="16"/>
              </w:rPr>
              <w:t>Milestone 2:</w:t>
            </w:r>
            <w:r>
              <w:rPr>
                <w:rFonts w:ascii="Times New Roman" w:eastAsia="Times New Roman" w:hAnsi="Times New Roman" w:cs="Arial"/>
                <w:noProof/>
                <w:sz w:val="16"/>
                <w:szCs w:val="16"/>
              </w:rPr>
              <w:t xml:space="preserve"> Both the problem assessment (2002-2015) and the baseline scenario (2016-2030) are established.</w:t>
            </w:r>
          </w:p>
        </w:tc>
      </w:tr>
      <w:tr w:rsidR="00035C91">
        <w:tc>
          <w:tcPr>
            <w:tcW w:w="10868" w:type="dxa"/>
            <w:gridSpan w:val="5"/>
            <w:shd w:val="clear" w:color="auto" w:fill="9BBB59" w:themeFill="accent3"/>
          </w:tcPr>
          <w:p w:rsidR="00035C91" w:rsidRDefault="00632184">
            <w:pPr>
              <w:spacing w:before="60" w:after="60"/>
              <w:rPr>
                <w:rFonts w:ascii="Times New Roman" w:eastAsia="Times New Roman" w:hAnsi="Times New Roman" w:cs="Arial"/>
                <w:b/>
                <w:noProof/>
                <w:color w:val="FFFFFF" w:themeColor="background1"/>
                <w:sz w:val="16"/>
                <w:szCs w:val="16"/>
              </w:rPr>
            </w:pPr>
            <w:r>
              <w:rPr>
                <w:rFonts w:ascii="Times New Roman" w:eastAsia="Times New Roman" w:hAnsi="Times New Roman" w:cs="Arial"/>
                <w:b/>
                <w:noProof/>
                <w:color w:val="FFFFFF" w:themeColor="background1"/>
                <w:sz w:val="16"/>
                <w:szCs w:val="16"/>
              </w:rPr>
              <w:t>Projection of figures under the policy options and quantitative assessment of policy options</w:t>
            </w:r>
          </w:p>
        </w:tc>
      </w:tr>
      <w:tr w:rsidR="00035C91">
        <w:tc>
          <w:tcPr>
            <w:tcW w:w="1119"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Step 7</w:t>
            </w:r>
          </w:p>
        </w:tc>
        <w:tc>
          <w:tcPr>
            <w:tcW w:w="2600"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Multiplication of the baseline scenario</w:t>
            </w:r>
            <w:r>
              <w:rPr>
                <w:rFonts w:ascii="Times New Roman" w:eastAsia="Times New Roman" w:hAnsi="Times New Roman" w:cs="Arial"/>
                <w:noProof/>
                <w:sz w:val="16"/>
                <w:szCs w:val="16"/>
              </w:rPr>
              <w:t xml:space="preserve"> figures per year and Member State with the expected increase / decrease of the number of affected citizens in % in relation to provision of the ePD, and each type of service per policy option.</w:t>
            </w:r>
          </w:p>
        </w:tc>
        <w:tc>
          <w:tcPr>
            <w:tcW w:w="2364"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Multiplication of the baseline scenario figures per year, Memb</w:t>
            </w:r>
            <w:r>
              <w:rPr>
                <w:rFonts w:ascii="Times New Roman" w:eastAsia="Times New Roman" w:hAnsi="Times New Roman" w:cs="Arial"/>
                <w:noProof/>
                <w:sz w:val="16"/>
                <w:szCs w:val="16"/>
              </w:rPr>
              <w:t>er State, and size class of business with the expected increase / decrease of the number of affected businesses in % in relation to each provision of the ePD per policy option.</w:t>
            </w:r>
          </w:p>
        </w:tc>
        <w:tc>
          <w:tcPr>
            <w:tcW w:w="4785" w:type="dxa"/>
            <w:gridSpan w:val="2"/>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Multiplication of the costs per year, Member State, and size class of business </w:t>
            </w:r>
            <w:r>
              <w:rPr>
                <w:rFonts w:ascii="Times New Roman" w:eastAsia="Times New Roman" w:hAnsi="Times New Roman" w:cs="Arial"/>
                <w:noProof/>
                <w:sz w:val="16"/>
                <w:szCs w:val="16"/>
              </w:rPr>
              <w:t>in the baseline scenario with the expected increase / decrease in % under the policy options based on a qualitative assessment of the impacts of each element of the policy options (see above).</w:t>
            </w:r>
          </w:p>
        </w:tc>
      </w:tr>
      <w:tr w:rsidR="00035C91">
        <w:tc>
          <w:tcPr>
            <w:tcW w:w="1119" w:type="dxa"/>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Step 8</w:t>
            </w:r>
          </w:p>
        </w:tc>
        <w:tc>
          <w:tcPr>
            <w:tcW w:w="9749" w:type="dxa"/>
            <w:gridSpan w:val="4"/>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Comparison of the policy options with the baseline </w:t>
            </w:r>
            <w:r>
              <w:rPr>
                <w:rFonts w:ascii="Times New Roman" w:eastAsia="Times New Roman" w:hAnsi="Times New Roman" w:cs="Arial"/>
                <w:noProof/>
                <w:sz w:val="16"/>
                <w:szCs w:val="16"/>
              </w:rPr>
              <w:t>scenario to identify a preferred policy option.</w:t>
            </w:r>
          </w:p>
        </w:tc>
      </w:tr>
      <w:tr w:rsidR="00035C91">
        <w:tc>
          <w:tcPr>
            <w:tcW w:w="10868" w:type="dxa"/>
            <w:gridSpan w:val="5"/>
            <w:shd w:val="clear" w:color="auto" w:fill="BFBFBF" w:themeFill="background1" w:themeFillShade="BF"/>
          </w:tcPr>
          <w:p w:rsidR="00035C91" w:rsidRDefault="00632184">
            <w:pPr>
              <w:spacing w:before="60" w:after="60"/>
              <w:rPr>
                <w:rFonts w:ascii="Times New Roman" w:eastAsia="Times New Roman" w:hAnsi="Times New Roman" w:cs="Arial"/>
                <w:noProof/>
                <w:sz w:val="16"/>
                <w:szCs w:val="16"/>
              </w:rPr>
            </w:pPr>
            <w:r>
              <w:rPr>
                <w:rFonts w:ascii="Times New Roman" w:eastAsia="Times New Roman" w:hAnsi="Times New Roman" w:cs="Arial"/>
                <w:i/>
                <w:noProof/>
                <w:sz w:val="16"/>
                <w:szCs w:val="16"/>
              </w:rPr>
              <w:t>Milestone 3:</w:t>
            </w:r>
            <w:r>
              <w:rPr>
                <w:rFonts w:ascii="Times New Roman" w:eastAsia="Times New Roman" w:hAnsi="Times New Roman" w:cs="Arial"/>
                <w:noProof/>
                <w:sz w:val="16"/>
                <w:szCs w:val="16"/>
              </w:rPr>
              <w:t xml:space="preserve"> The quantitative assessment of the policy options and their comparison with the baseline scenario is completed. </w:t>
            </w:r>
          </w:p>
        </w:tc>
      </w:tr>
    </w:tbl>
    <w:p w:rsidR="00035C91" w:rsidRDefault="00632184">
      <w:pPr>
        <w:spacing w:before="0" w:after="240"/>
        <w:rPr>
          <w:rFonts w:ascii="Times New Roman" w:eastAsia="Times New Roman" w:hAnsi="Times New Roman"/>
          <w:i/>
          <w:noProof/>
          <w:sz w:val="16"/>
          <w:szCs w:val="20"/>
        </w:rPr>
      </w:pPr>
      <w:r>
        <w:rPr>
          <w:rFonts w:ascii="Times New Roman" w:eastAsia="Times New Roman" w:hAnsi="Times New Roman"/>
          <w:i/>
          <w:noProof/>
          <w:sz w:val="16"/>
          <w:szCs w:val="20"/>
        </w:rPr>
        <w:t>Source: Deloitte</w:t>
      </w:r>
    </w:p>
    <w:p w:rsidR="00035C91" w:rsidRDefault="00632184">
      <w:pPr>
        <w:keepNext/>
        <w:pBdr>
          <w:bottom w:val="single" w:sz="6" w:space="1" w:color="C0504D" w:themeColor="accent2"/>
        </w:pBdr>
        <w:spacing w:before="300" w:after="240" w:line="360" w:lineRule="auto"/>
        <w:ind w:left="720"/>
        <w:outlineLvl w:val="2"/>
        <w:rPr>
          <w:rFonts w:ascii="Arial" w:eastAsia="Times" w:hAnsi="Arial"/>
          <w:b/>
          <w:noProof/>
          <w:color w:val="C0504D" w:themeColor="accent2"/>
          <w:sz w:val="24"/>
        </w:rPr>
      </w:pPr>
      <w:bookmarkStart w:id="45" w:name="_Toc461035192"/>
      <w:bookmarkStart w:id="46" w:name="_Toc460785502"/>
      <w:bookmarkStart w:id="47" w:name="_Toc468453479"/>
      <w:bookmarkStart w:id="48" w:name="_Toc468455379"/>
      <w:bookmarkStart w:id="49" w:name="_Toc468794928"/>
      <w:bookmarkStart w:id="50" w:name="_Toc468795236"/>
      <w:r>
        <w:rPr>
          <w:rFonts w:ascii="Arial" w:eastAsia="Times" w:hAnsi="Arial"/>
          <w:b/>
          <w:noProof/>
          <w:color w:val="C0504D" w:themeColor="accent2"/>
          <w:sz w:val="24"/>
        </w:rPr>
        <w:t>Strengths and areas for improvement of the model</w:t>
      </w:r>
      <w:bookmarkEnd w:id="45"/>
      <w:bookmarkEnd w:id="46"/>
      <w:bookmarkEnd w:id="47"/>
      <w:bookmarkEnd w:id="48"/>
      <w:bookmarkEnd w:id="49"/>
      <w:bookmarkEnd w:id="50"/>
      <w:r>
        <w:rPr>
          <w:rFonts w:ascii="Arial" w:eastAsia="Times" w:hAnsi="Arial"/>
          <w:b/>
          <w:noProof/>
          <w:color w:val="C0504D" w:themeColor="accent2"/>
          <w:sz w:val="24"/>
        </w:rPr>
        <w:t xml:space="preserve"> </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As part of </w:t>
      </w:r>
      <w:r>
        <w:rPr>
          <w:rFonts w:ascii="Times New Roman" w:eastAsia="Times New Roman" w:hAnsi="Times New Roman"/>
          <w:noProof/>
          <w:sz w:val="24"/>
          <w:szCs w:val="20"/>
        </w:rPr>
        <w:t xml:space="preserve">this study, a pragmatic approach based on a model has been taken, compared to, for example, a regression analysis. The purpose of this section is to outline why this decision has been taken by addressing – in an open and transparent manner – strengths and </w:t>
      </w:r>
      <w:r>
        <w:rPr>
          <w:rFonts w:ascii="Times New Roman" w:eastAsia="Times New Roman" w:hAnsi="Times New Roman"/>
          <w:noProof/>
          <w:sz w:val="24"/>
          <w:szCs w:val="20"/>
        </w:rPr>
        <w:t>areas that could be improved in case better data would be available.</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Overall, the development and application of a certain type of economic model always depends on the types, granularity, and usefulness of the data available. Hence, economic modelling is a</w:t>
      </w:r>
      <w:r>
        <w:rPr>
          <w:rFonts w:ascii="Times New Roman" w:eastAsia="Times New Roman" w:hAnsi="Times New Roman"/>
          <w:noProof/>
          <w:sz w:val="24"/>
          <w:szCs w:val="20"/>
        </w:rPr>
        <w:t>lways a trade-off between three factors: (1) The level of detail and accurateness of the model; (2) The accessibility of the model for outsiders and non-experts; and (3) The proportionality of the efforts to gather the relevant data, and to develop and imp</w:t>
      </w:r>
      <w:r>
        <w:rPr>
          <w:rFonts w:ascii="Times New Roman" w:eastAsia="Times New Roman" w:hAnsi="Times New Roman"/>
          <w:noProof/>
          <w:sz w:val="24"/>
          <w:szCs w:val="20"/>
        </w:rPr>
        <w:t>lement the model in view of its usefulness for the analysis.</w:t>
      </w:r>
      <w:r>
        <w:rPr>
          <w:rFonts w:ascii="Times New Roman" w:eastAsia="Times New Roman" w:hAnsi="Times New Roman"/>
          <w:noProof/>
          <w:sz w:val="24"/>
          <w:szCs w:val="20"/>
          <w:vertAlign w:val="superscript"/>
        </w:rPr>
        <w:footnoteReference w:id="4"/>
      </w:r>
      <w:r>
        <w:rPr>
          <w:rFonts w:ascii="Times New Roman" w:eastAsia="Times New Roman" w:hAnsi="Times New Roman"/>
          <w:noProof/>
          <w:sz w:val="24"/>
          <w:szCs w:val="20"/>
        </w:rPr>
        <w:t xml:space="preserve"> This means that modelling is always about striking the right balance between these factors.</w:t>
      </w:r>
    </w:p>
    <w:p w:rsidR="00035C91" w:rsidRDefault="00632184">
      <w:pPr>
        <w:keepNext/>
        <w:spacing w:before="0" w:after="240"/>
        <w:rPr>
          <w:rFonts w:ascii="Times New Roman" w:eastAsia="Times New Roman" w:hAnsi="Times New Roman"/>
          <w:b/>
          <w:i/>
          <w:noProof/>
          <w:sz w:val="24"/>
          <w:szCs w:val="20"/>
          <w:u w:val="single"/>
        </w:rPr>
      </w:pPr>
      <w:r>
        <w:rPr>
          <w:rFonts w:ascii="Times New Roman" w:eastAsia="Times New Roman" w:hAnsi="Times New Roman"/>
          <w:b/>
          <w:i/>
          <w:noProof/>
          <w:sz w:val="24"/>
          <w:szCs w:val="20"/>
          <w:u w:val="single"/>
        </w:rPr>
        <w:t>Strengths of the model:</w:t>
      </w:r>
    </w:p>
    <w:p w:rsidR="00035C91" w:rsidRDefault="00632184">
      <w:pPr>
        <w:numPr>
          <w:ilvl w:val="0"/>
          <w:numId w:val="111"/>
        </w:numPr>
        <w:spacing w:before="60" w:after="60"/>
        <w:ind w:left="714" w:hanging="357"/>
        <w:rPr>
          <w:rFonts w:ascii="Times New Roman" w:eastAsia="Times New Roman" w:hAnsi="Times New Roman"/>
          <w:noProof/>
          <w:sz w:val="24"/>
        </w:rPr>
      </w:pPr>
      <w:r>
        <w:rPr>
          <w:rFonts w:ascii="Times New Roman" w:eastAsia="Times New Roman" w:hAnsi="Times New Roman"/>
          <w:noProof/>
          <w:sz w:val="24"/>
        </w:rPr>
        <w:t xml:space="preserve">The model is constructed in such a way that projections are “reasonable based </w:t>
      </w:r>
      <w:r>
        <w:rPr>
          <w:rFonts w:ascii="Times New Roman" w:eastAsia="Times New Roman" w:hAnsi="Times New Roman"/>
          <w:noProof/>
          <w:sz w:val="24"/>
        </w:rPr>
        <w:t xml:space="preserve">on the information available and the assumptions made” – even though it has not been possible to gather comprehensive quantitative data (e.g. relating to </w:t>
      </w:r>
      <w:r>
        <w:rPr>
          <w:rFonts w:ascii="Times New Roman" w:eastAsia="Times New Roman" w:hAnsi="Times New Roman"/>
          <w:i/>
          <w:noProof/>
          <w:sz w:val="24"/>
        </w:rPr>
        <w:t>all</w:t>
      </w:r>
      <w:r>
        <w:rPr>
          <w:rFonts w:ascii="Times New Roman" w:eastAsia="Times New Roman" w:hAnsi="Times New Roman"/>
          <w:noProof/>
          <w:sz w:val="24"/>
        </w:rPr>
        <w:t xml:space="preserve"> provisions), in particular with regard to any types of micro- and macro-economic costs.</w:t>
      </w:r>
    </w:p>
    <w:p w:rsidR="00035C91" w:rsidRDefault="00632184">
      <w:pPr>
        <w:numPr>
          <w:ilvl w:val="0"/>
          <w:numId w:val="111"/>
        </w:numPr>
        <w:spacing w:before="60" w:after="60"/>
        <w:ind w:left="714" w:hanging="357"/>
        <w:rPr>
          <w:rFonts w:ascii="Times New Roman" w:eastAsia="Times New Roman" w:hAnsi="Times New Roman"/>
          <w:noProof/>
          <w:sz w:val="24"/>
        </w:rPr>
      </w:pPr>
      <w:r>
        <w:rPr>
          <w:rFonts w:ascii="Times New Roman" w:eastAsia="Times New Roman" w:hAnsi="Times New Roman"/>
          <w:noProof/>
          <w:sz w:val="24"/>
        </w:rPr>
        <w:t xml:space="preserve">The model </w:t>
      </w:r>
      <w:r>
        <w:rPr>
          <w:rFonts w:ascii="Times New Roman" w:eastAsia="Times New Roman" w:hAnsi="Times New Roman"/>
          <w:noProof/>
          <w:sz w:val="24"/>
        </w:rPr>
        <w:t>provides a pragmatic approach of projecting quantitative (economic) data that would otherwise not be available into both past and future.</w:t>
      </w:r>
    </w:p>
    <w:p w:rsidR="00035C91" w:rsidRDefault="00632184">
      <w:pPr>
        <w:numPr>
          <w:ilvl w:val="0"/>
          <w:numId w:val="111"/>
        </w:numPr>
        <w:spacing w:before="60" w:after="60"/>
        <w:ind w:left="714" w:hanging="357"/>
        <w:rPr>
          <w:rFonts w:ascii="Times New Roman" w:eastAsia="Times New Roman" w:hAnsi="Times New Roman"/>
          <w:noProof/>
          <w:sz w:val="24"/>
        </w:rPr>
      </w:pPr>
      <w:r>
        <w:rPr>
          <w:rFonts w:ascii="Times New Roman" w:eastAsia="Times New Roman" w:hAnsi="Times New Roman"/>
          <w:noProof/>
          <w:sz w:val="24"/>
        </w:rPr>
        <w:t xml:space="preserve">The model uses only a limited number of clearly defined assumptions, which makes it easy to adjust the projections in </w:t>
      </w:r>
      <w:r>
        <w:rPr>
          <w:rFonts w:ascii="Times New Roman" w:eastAsia="Times New Roman" w:hAnsi="Times New Roman"/>
          <w:noProof/>
          <w:sz w:val="24"/>
        </w:rPr>
        <w:t>case better data becomes available. Given the lack of quantitative data, the assumptions made are considered to be fairly robust, given that minimum, medium, and maximum scenarios have been used to project ranges where appropriate.</w:t>
      </w:r>
    </w:p>
    <w:p w:rsidR="00035C91" w:rsidRDefault="00632184">
      <w:pPr>
        <w:numPr>
          <w:ilvl w:val="0"/>
          <w:numId w:val="111"/>
        </w:numPr>
        <w:spacing w:before="60" w:after="60"/>
        <w:ind w:left="714" w:hanging="357"/>
        <w:rPr>
          <w:rFonts w:ascii="Times New Roman" w:eastAsia="Times New Roman" w:hAnsi="Times New Roman"/>
          <w:noProof/>
          <w:sz w:val="24"/>
        </w:rPr>
      </w:pPr>
      <w:r>
        <w:rPr>
          <w:rFonts w:ascii="Times New Roman" w:eastAsia="Times New Roman" w:hAnsi="Times New Roman"/>
          <w:noProof/>
          <w:sz w:val="24"/>
        </w:rPr>
        <w:t>The limited number of as</w:t>
      </w:r>
      <w:r>
        <w:rPr>
          <w:rFonts w:ascii="Times New Roman" w:eastAsia="Times New Roman" w:hAnsi="Times New Roman"/>
          <w:noProof/>
          <w:sz w:val="24"/>
        </w:rPr>
        <w:t>sumptions also makes the model more understandable to outsiders. This makes the model’s results traceable also for non-experts.</w:t>
      </w:r>
    </w:p>
    <w:p w:rsidR="00035C91" w:rsidRDefault="00632184">
      <w:pPr>
        <w:numPr>
          <w:ilvl w:val="0"/>
          <w:numId w:val="111"/>
        </w:numPr>
        <w:spacing w:before="60" w:after="60"/>
        <w:ind w:left="714" w:hanging="357"/>
        <w:rPr>
          <w:rFonts w:ascii="Times New Roman" w:eastAsia="Times New Roman" w:hAnsi="Times New Roman"/>
          <w:noProof/>
          <w:sz w:val="24"/>
        </w:rPr>
      </w:pPr>
      <w:r>
        <w:rPr>
          <w:rFonts w:ascii="Times New Roman" w:eastAsia="Times New Roman" w:hAnsi="Times New Roman"/>
          <w:noProof/>
          <w:sz w:val="24"/>
        </w:rPr>
        <w:t>The model allows for a quantitative comparison of the policy options with the baseline scenario based on clear and traceable ass</w:t>
      </w:r>
      <w:r>
        <w:rPr>
          <w:rFonts w:ascii="Times New Roman" w:eastAsia="Times New Roman" w:hAnsi="Times New Roman"/>
          <w:noProof/>
          <w:sz w:val="24"/>
        </w:rPr>
        <w:t>umptions on how the policy options have an impact on the quantitative data.</w:t>
      </w:r>
    </w:p>
    <w:p w:rsidR="00035C91" w:rsidRDefault="00632184">
      <w:pPr>
        <w:keepNext/>
        <w:spacing w:before="0" w:after="240"/>
        <w:rPr>
          <w:rFonts w:ascii="Times New Roman" w:eastAsia="Times New Roman" w:hAnsi="Times New Roman"/>
          <w:b/>
          <w:i/>
          <w:noProof/>
          <w:sz w:val="24"/>
          <w:szCs w:val="20"/>
          <w:u w:val="single"/>
        </w:rPr>
      </w:pPr>
      <w:r>
        <w:rPr>
          <w:rFonts w:ascii="Times New Roman" w:eastAsia="Times New Roman" w:hAnsi="Times New Roman"/>
          <w:b/>
          <w:i/>
          <w:noProof/>
          <w:sz w:val="24"/>
          <w:szCs w:val="20"/>
          <w:u w:val="single"/>
        </w:rPr>
        <w:t>Areas in which improvements could be made in case better data was available:</w:t>
      </w:r>
    </w:p>
    <w:p w:rsidR="00035C91" w:rsidRDefault="00632184">
      <w:pPr>
        <w:numPr>
          <w:ilvl w:val="0"/>
          <w:numId w:val="111"/>
        </w:numPr>
        <w:spacing w:before="60" w:after="60"/>
        <w:ind w:hanging="357"/>
        <w:rPr>
          <w:rFonts w:ascii="Times New Roman" w:eastAsia="Times New Roman" w:hAnsi="Times New Roman"/>
          <w:noProof/>
          <w:sz w:val="24"/>
        </w:rPr>
      </w:pPr>
      <w:r>
        <w:rPr>
          <w:rFonts w:ascii="Times New Roman" w:eastAsia="Times New Roman" w:hAnsi="Times New Roman"/>
          <w:noProof/>
          <w:sz w:val="24"/>
        </w:rPr>
        <w:t>In relation to costs for businesses, the model only projects the available data on compliance costs and</w:t>
      </w:r>
      <w:r>
        <w:rPr>
          <w:rFonts w:ascii="Times New Roman" w:eastAsia="Times New Roman" w:hAnsi="Times New Roman"/>
          <w:noProof/>
          <w:sz w:val="24"/>
        </w:rPr>
        <w:t xml:space="preserve"> costs stemming from administrative burden”: (1) This means that, although efforts have been undertaken to obtain more and better data from businesses and business associations, the data used in the model is the best data available. (2) This means that opp</w:t>
      </w:r>
      <w:r>
        <w:rPr>
          <w:rFonts w:ascii="Times New Roman" w:eastAsia="Times New Roman" w:hAnsi="Times New Roman"/>
          <w:noProof/>
          <w:sz w:val="24"/>
        </w:rPr>
        <w:t>ortunity costs (e.g. from lost business opportunities) are not in scope of the model, although they are assessed qualitatively. This has two reasons: (1) Only illustrative quantitative evidence is available; and (2) A sound quantification of future opportu</w:t>
      </w:r>
      <w:r>
        <w:rPr>
          <w:rFonts w:ascii="Times New Roman" w:eastAsia="Times New Roman" w:hAnsi="Times New Roman"/>
          <w:noProof/>
          <w:sz w:val="24"/>
        </w:rPr>
        <w:t>nity costs (e.g. until 2030) is hardly feasible because they depend on the market success of future technologies and business models that are not yet developed (or even conceived) today. What is possible, however, is the qualitative illustration of current</w:t>
      </w:r>
      <w:r>
        <w:rPr>
          <w:rFonts w:ascii="Times New Roman" w:eastAsia="Times New Roman" w:hAnsi="Times New Roman"/>
          <w:noProof/>
          <w:sz w:val="24"/>
        </w:rPr>
        <w:t xml:space="preserve"> opportunity costs.</w:t>
      </w:r>
      <w:r>
        <w:rPr>
          <w:rFonts w:ascii="Times New Roman" w:eastAsia="Times New Roman" w:hAnsi="Times New Roman"/>
          <w:noProof/>
          <w:sz w:val="24"/>
          <w:vertAlign w:val="superscript"/>
        </w:rPr>
        <w:footnoteReference w:id="5"/>
      </w:r>
    </w:p>
    <w:p w:rsidR="00035C91" w:rsidRDefault="00632184">
      <w:pPr>
        <w:numPr>
          <w:ilvl w:val="0"/>
          <w:numId w:val="111"/>
        </w:numPr>
        <w:spacing w:before="60" w:after="60"/>
        <w:ind w:hanging="357"/>
        <w:rPr>
          <w:rFonts w:ascii="Times New Roman" w:eastAsia="Times New Roman" w:hAnsi="Times New Roman"/>
          <w:noProof/>
          <w:sz w:val="24"/>
        </w:rPr>
      </w:pPr>
      <w:r>
        <w:rPr>
          <w:rFonts w:ascii="Times New Roman" w:eastAsia="Times New Roman" w:hAnsi="Times New Roman"/>
          <w:noProof/>
          <w:sz w:val="24"/>
        </w:rPr>
        <w:t>Feedback received from businesses shows that after the adoption of the ePD, businesses incurred significant capital expenditure (CAPEX) to develop and implement the technical measures needed to comply with the legislation. The model im</w:t>
      </w:r>
      <w:r>
        <w:rPr>
          <w:rFonts w:ascii="Times New Roman" w:eastAsia="Times New Roman" w:hAnsi="Times New Roman"/>
          <w:noProof/>
          <w:sz w:val="24"/>
        </w:rPr>
        <w:t>plicitly assumes that such historical capital expenditures to comply with the ePD (CAPEX) in particular for technologies and services outdated today have been written off already by the businesses and have amortised themselves over the years. This concerns</w:t>
      </w:r>
      <w:r>
        <w:rPr>
          <w:rFonts w:ascii="Times New Roman" w:eastAsia="Times New Roman" w:hAnsi="Times New Roman"/>
          <w:noProof/>
          <w:sz w:val="24"/>
        </w:rPr>
        <w:t>, for instance, costs regarding the presentation and restriction of calling line identification which is already built-in by design in modern devices today. Recurring operating expenditures (OPEX) are assumed to have decreased over time with only insignifi</w:t>
      </w:r>
      <w:r>
        <w:rPr>
          <w:rFonts w:ascii="Times New Roman" w:eastAsia="Times New Roman" w:hAnsi="Times New Roman"/>
          <w:noProof/>
          <w:sz w:val="24"/>
        </w:rPr>
        <w:t>cant recurring costs occurring today. Due to the lack of data on such historical costs, however, they cannot be projected. The result is that the compliance costs for businesses projected for the time period directly after the adoption of the ePD are likel</w:t>
      </w:r>
      <w:r>
        <w:rPr>
          <w:rFonts w:ascii="Times New Roman" w:eastAsia="Times New Roman" w:hAnsi="Times New Roman"/>
          <w:noProof/>
          <w:sz w:val="24"/>
        </w:rPr>
        <w:t>y to be underestimated.</w:t>
      </w:r>
    </w:p>
    <w:p w:rsidR="00035C91" w:rsidRDefault="00632184">
      <w:pPr>
        <w:numPr>
          <w:ilvl w:val="0"/>
          <w:numId w:val="111"/>
        </w:numPr>
        <w:spacing w:before="60" w:after="60"/>
        <w:ind w:hanging="357"/>
        <w:rPr>
          <w:rFonts w:ascii="Times New Roman" w:eastAsia="Times New Roman" w:hAnsi="Times New Roman"/>
          <w:noProof/>
          <w:sz w:val="24"/>
        </w:rPr>
      </w:pPr>
      <w:r>
        <w:rPr>
          <w:rFonts w:ascii="Times New Roman" w:eastAsia="Times New Roman" w:hAnsi="Times New Roman"/>
          <w:noProof/>
          <w:sz w:val="24"/>
        </w:rPr>
        <w:t xml:space="preserve">With regard to some of its elements, the model does not apply dynamically, i.e. accounting for evolving variables over time, but rather static assumptions regarding the quantitative value of the variables. This means that, due to a </w:t>
      </w:r>
      <w:r>
        <w:rPr>
          <w:rFonts w:ascii="Times New Roman" w:eastAsia="Times New Roman" w:hAnsi="Times New Roman"/>
          <w:noProof/>
          <w:sz w:val="24"/>
        </w:rPr>
        <w:t>lack of data, the model assumes that the following variables included in the model are stable over time (2002-2030):</w:t>
      </w:r>
    </w:p>
    <w:p w:rsidR="00035C91" w:rsidRDefault="00632184">
      <w:pPr>
        <w:numPr>
          <w:ilvl w:val="1"/>
          <w:numId w:val="108"/>
        </w:numPr>
        <w:spacing w:before="60" w:after="60"/>
        <w:ind w:hanging="357"/>
        <w:rPr>
          <w:rFonts w:ascii="Times New Roman" w:eastAsia="Times New Roman" w:hAnsi="Times New Roman"/>
          <w:noProof/>
          <w:sz w:val="24"/>
        </w:rPr>
      </w:pPr>
      <w:r>
        <w:rPr>
          <w:rFonts w:ascii="Times New Roman" w:eastAsia="Times New Roman" w:hAnsi="Times New Roman"/>
          <w:noProof/>
          <w:sz w:val="24"/>
        </w:rPr>
        <w:t>The share of businesses that have a website;</w:t>
      </w:r>
    </w:p>
    <w:p w:rsidR="00035C91" w:rsidRDefault="00632184">
      <w:pPr>
        <w:numPr>
          <w:ilvl w:val="1"/>
          <w:numId w:val="108"/>
        </w:numPr>
        <w:spacing w:before="60" w:after="60"/>
        <w:ind w:hanging="357"/>
        <w:rPr>
          <w:rFonts w:ascii="Times New Roman" w:eastAsia="Times New Roman" w:hAnsi="Times New Roman"/>
          <w:noProof/>
          <w:sz w:val="24"/>
        </w:rPr>
      </w:pPr>
      <w:r>
        <w:rPr>
          <w:rFonts w:ascii="Times New Roman" w:eastAsia="Times New Roman" w:hAnsi="Times New Roman"/>
          <w:noProof/>
          <w:sz w:val="24"/>
        </w:rPr>
        <w:t>The share of websites that use cookies;</w:t>
      </w:r>
    </w:p>
    <w:p w:rsidR="00035C91" w:rsidRDefault="00632184">
      <w:pPr>
        <w:numPr>
          <w:ilvl w:val="1"/>
          <w:numId w:val="108"/>
        </w:numPr>
        <w:spacing w:before="60" w:after="60"/>
        <w:ind w:hanging="357"/>
        <w:rPr>
          <w:rFonts w:ascii="Times New Roman" w:eastAsia="Times New Roman" w:hAnsi="Times New Roman"/>
          <w:noProof/>
          <w:sz w:val="24"/>
        </w:rPr>
      </w:pPr>
      <w:r>
        <w:rPr>
          <w:rFonts w:ascii="Times New Roman" w:eastAsia="Times New Roman" w:hAnsi="Times New Roman"/>
          <w:noProof/>
          <w:sz w:val="24"/>
        </w:rPr>
        <w:t xml:space="preserve">Similar average wages across the EU in relation to </w:t>
      </w:r>
      <w:r>
        <w:rPr>
          <w:rFonts w:ascii="Times New Roman" w:eastAsia="Times New Roman" w:hAnsi="Times New Roman"/>
          <w:noProof/>
          <w:sz w:val="24"/>
        </w:rPr>
        <w:t>information obligations; and</w:t>
      </w:r>
    </w:p>
    <w:p w:rsidR="00035C91" w:rsidRDefault="00632184">
      <w:pPr>
        <w:numPr>
          <w:ilvl w:val="1"/>
          <w:numId w:val="108"/>
        </w:numPr>
        <w:spacing w:before="60" w:after="60"/>
        <w:ind w:hanging="357"/>
        <w:rPr>
          <w:rFonts w:ascii="Times New Roman" w:eastAsia="Times New Roman" w:hAnsi="Times New Roman"/>
          <w:noProof/>
          <w:sz w:val="24"/>
        </w:rPr>
      </w:pPr>
      <w:r>
        <w:rPr>
          <w:rFonts w:ascii="Times New Roman" w:eastAsia="Times New Roman" w:hAnsi="Times New Roman"/>
          <w:noProof/>
          <w:sz w:val="24"/>
        </w:rPr>
        <w:t>The number of working hours per task in relation to information obligations, as well as the frequency of obligations.</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Ideally, the model should apply dynamic quantitative figures (i.e. evolving over time) for all these elements</w:t>
      </w:r>
      <w:r>
        <w:rPr>
          <w:rFonts w:ascii="Times New Roman" w:eastAsia="Times New Roman" w:hAnsi="Times New Roman"/>
          <w:noProof/>
          <w:sz w:val="24"/>
          <w:szCs w:val="20"/>
        </w:rPr>
        <w:t xml:space="preserve"> and, in addition, account for inflation in relation to pricing developments. With the Net Present Value, we have however used a measure that allows to project values in 2002 (e.g. the costs related to administrative burden) based on constant prices of 201</w:t>
      </w:r>
      <w:r>
        <w:rPr>
          <w:rFonts w:ascii="Times New Roman" w:eastAsia="Times New Roman" w:hAnsi="Times New Roman"/>
          <w:noProof/>
          <w:sz w:val="24"/>
          <w:szCs w:val="20"/>
        </w:rPr>
        <w:t xml:space="preserve">6. </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A similar point is valid for the assessment of the policy options. The model assumes consistent impacts of the policy options over time (i.e. percentages of increases / decreases of the number of citizens and businesses affected, as well as the costs f</w:t>
      </w:r>
      <w:r>
        <w:rPr>
          <w:rFonts w:ascii="Times New Roman" w:eastAsia="Times New Roman" w:hAnsi="Times New Roman"/>
          <w:noProof/>
          <w:sz w:val="24"/>
          <w:szCs w:val="20"/>
        </w:rPr>
        <w:t>or businesses).</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Overall, the use of such a </w:t>
      </w:r>
      <w:r>
        <w:rPr>
          <w:rFonts w:ascii="Times New Roman" w:eastAsia="Times New Roman" w:hAnsi="Times New Roman"/>
          <w:i/>
          <w:noProof/>
          <w:sz w:val="24"/>
          <w:szCs w:val="20"/>
        </w:rPr>
        <w:t>pragmatic</w:t>
      </w:r>
      <w:r>
        <w:rPr>
          <w:rFonts w:ascii="Times New Roman" w:eastAsia="Times New Roman" w:hAnsi="Times New Roman"/>
          <w:noProof/>
          <w:sz w:val="24"/>
          <w:szCs w:val="20"/>
        </w:rPr>
        <w:t xml:space="preserve"> model is reasonable both in view of the given data limitations and the focus of the analysis as such. Finally, the based on the model it is possible to project at least some quantitative data and thus ad</w:t>
      </w:r>
      <w:r>
        <w:rPr>
          <w:rFonts w:ascii="Times New Roman" w:eastAsia="Times New Roman" w:hAnsi="Times New Roman"/>
          <w:noProof/>
          <w:sz w:val="24"/>
          <w:szCs w:val="20"/>
        </w:rPr>
        <w:t xml:space="preserve">d value to the overall analysis. </w:t>
      </w:r>
    </w:p>
    <w:p w:rsidR="00035C91" w:rsidRDefault="00632184">
      <w:pPr>
        <w:keepNext/>
        <w:keepLines/>
        <w:spacing w:before="40" w:after="0" w:line="259" w:lineRule="auto"/>
        <w:jc w:val="left"/>
        <w:outlineLvl w:val="1"/>
        <w:rPr>
          <w:rFonts w:ascii="Arial" w:eastAsia="Times" w:hAnsi="Arial"/>
          <w:b/>
          <w:noProof/>
          <w:color w:val="4F81BD" w:themeColor="accent1"/>
          <w:sz w:val="24"/>
        </w:rPr>
      </w:pPr>
      <w:bookmarkStart w:id="51" w:name="_Toc468453480"/>
      <w:bookmarkStart w:id="52" w:name="_Toc468455380"/>
      <w:bookmarkStart w:id="53" w:name="_Toc468794929"/>
      <w:bookmarkStart w:id="54" w:name="_Toc468795237"/>
      <w:r>
        <w:rPr>
          <w:rFonts w:ascii="Arial" w:eastAsia="Times" w:hAnsi="Arial"/>
          <w:b/>
          <w:noProof/>
          <w:color w:val="4F81BD" w:themeColor="accent1"/>
          <w:sz w:val="24"/>
        </w:rPr>
        <w:t>The qualitative and quantitative data and assumptions used for the projections</w:t>
      </w:r>
      <w:bookmarkEnd w:id="31"/>
      <w:bookmarkEnd w:id="32"/>
      <w:bookmarkEnd w:id="33"/>
      <w:bookmarkEnd w:id="34"/>
      <w:bookmarkEnd w:id="35"/>
      <w:bookmarkEnd w:id="51"/>
      <w:bookmarkEnd w:id="52"/>
      <w:bookmarkEnd w:id="53"/>
      <w:bookmarkEnd w:id="54"/>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This section presents the available quantitative data, as well as the underlying quantitative and qualitative assumptions with regard to the RE</w:t>
      </w:r>
      <w:r>
        <w:rPr>
          <w:rFonts w:ascii="Times New Roman" w:eastAsia="Times New Roman" w:hAnsi="Times New Roman"/>
          <w:noProof/>
          <w:sz w:val="24"/>
          <w:szCs w:val="20"/>
        </w:rPr>
        <w:t>FIT exercise, the assessment of the problem and the establishment of the baseline scenario. The assumptions concerning their impact of the policy options on the quantitative elements identified in the bullet points above are presented in a separate table b</w:t>
      </w:r>
      <w:r>
        <w:rPr>
          <w:rFonts w:ascii="Times New Roman" w:eastAsia="Times New Roman" w:hAnsi="Times New Roman"/>
          <w:noProof/>
          <w:sz w:val="24"/>
          <w:szCs w:val="20"/>
        </w:rPr>
        <w:t>elow.</w:t>
      </w:r>
    </w:p>
    <w:p w:rsidR="00035C91" w:rsidRDefault="00632184">
      <w:pPr>
        <w:keepNext/>
        <w:pBdr>
          <w:bottom w:val="single" w:sz="6" w:space="1" w:color="C0504D" w:themeColor="accent2"/>
        </w:pBdr>
        <w:spacing w:before="300" w:after="240" w:line="360" w:lineRule="auto"/>
        <w:ind w:left="720"/>
        <w:outlineLvl w:val="2"/>
        <w:rPr>
          <w:rFonts w:ascii="Arial" w:eastAsia="Times" w:hAnsi="Arial"/>
          <w:b/>
          <w:noProof/>
          <w:color w:val="C0504D" w:themeColor="accent2"/>
          <w:sz w:val="24"/>
        </w:rPr>
      </w:pPr>
      <w:bookmarkStart w:id="55" w:name="_Toc461035194"/>
      <w:bookmarkStart w:id="56" w:name="_Toc460785504"/>
      <w:bookmarkStart w:id="57" w:name="_Toc468453481"/>
      <w:bookmarkStart w:id="58" w:name="_Toc468455381"/>
      <w:bookmarkStart w:id="59" w:name="_Toc468794930"/>
      <w:bookmarkStart w:id="60" w:name="_Toc468795238"/>
      <w:r>
        <w:rPr>
          <w:rFonts w:ascii="Arial" w:eastAsia="Times" w:hAnsi="Arial"/>
          <w:b/>
          <w:noProof/>
          <w:color w:val="C0504D" w:themeColor="accent2"/>
          <w:sz w:val="24"/>
        </w:rPr>
        <w:t>Basic assumptions for the problem assessment and the establishment of the baseline scenario</w:t>
      </w:r>
      <w:bookmarkEnd w:id="55"/>
      <w:bookmarkEnd w:id="56"/>
      <w:bookmarkEnd w:id="57"/>
      <w:bookmarkEnd w:id="58"/>
      <w:bookmarkEnd w:id="59"/>
      <w:bookmarkEnd w:id="60"/>
      <w:r>
        <w:rPr>
          <w:rFonts w:ascii="Arial" w:eastAsia="Times" w:hAnsi="Arial"/>
          <w:b/>
          <w:noProof/>
          <w:color w:val="C0504D" w:themeColor="accent2"/>
          <w:sz w:val="24"/>
        </w:rPr>
        <w:t xml:space="preserve"> </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In general terms, quantitative economic data as concerns most aspects surrounding the ePrivacy Directive are scarce. Feedback from businesses received as par</w:t>
      </w:r>
      <w:r>
        <w:rPr>
          <w:rFonts w:ascii="Times New Roman" w:eastAsia="Times New Roman" w:hAnsi="Times New Roman"/>
          <w:noProof/>
          <w:sz w:val="24"/>
          <w:szCs w:val="20"/>
        </w:rPr>
        <w:t>t of the online survey and the interviews carried out shows that:</w:t>
      </w:r>
    </w:p>
    <w:p w:rsidR="00035C91" w:rsidRDefault="00632184">
      <w:pPr>
        <w:numPr>
          <w:ilvl w:val="0"/>
          <w:numId w:val="111"/>
        </w:numPr>
        <w:spacing w:before="60" w:after="60"/>
        <w:ind w:hanging="357"/>
        <w:rPr>
          <w:rFonts w:ascii="Times New Roman" w:eastAsia="Times New Roman" w:hAnsi="Times New Roman"/>
          <w:noProof/>
          <w:sz w:val="24"/>
        </w:rPr>
      </w:pPr>
      <w:r>
        <w:rPr>
          <w:rFonts w:ascii="Times New Roman" w:eastAsia="Times New Roman" w:hAnsi="Times New Roman"/>
          <w:noProof/>
          <w:sz w:val="24"/>
        </w:rPr>
        <w:t xml:space="preserve">The vast majority of the organisations consulted do not hold quantitative information concerning the impacts of the ePD, e.g. as concerns the relevant costs (meaning compliance costs, costs </w:t>
      </w:r>
      <w:r>
        <w:rPr>
          <w:rFonts w:ascii="Times New Roman" w:eastAsia="Times New Roman" w:hAnsi="Times New Roman"/>
          <w:noProof/>
          <w:sz w:val="24"/>
        </w:rPr>
        <w:t xml:space="preserve">stemming from administrative burden, and opportunity costs); and </w:t>
      </w:r>
    </w:p>
    <w:p w:rsidR="00035C91" w:rsidRDefault="00632184">
      <w:pPr>
        <w:numPr>
          <w:ilvl w:val="0"/>
          <w:numId w:val="111"/>
        </w:numPr>
        <w:spacing w:before="60" w:after="60"/>
        <w:ind w:hanging="357"/>
        <w:rPr>
          <w:rFonts w:ascii="Times New Roman" w:eastAsia="Times New Roman" w:hAnsi="Times New Roman"/>
          <w:noProof/>
          <w:sz w:val="24"/>
        </w:rPr>
      </w:pPr>
      <w:r>
        <w:rPr>
          <w:rFonts w:ascii="Times New Roman" w:eastAsia="Times New Roman" w:hAnsi="Times New Roman"/>
          <w:noProof/>
          <w:sz w:val="24"/>
        </w:rPr>
        <w:t>In case quantitative information is available, it is patchy, mostly anecdotal (i.e. not available in a structured sense), inconsistent, inhomogeneous, and inconclusive (meaning that informat</w:t>
      </w:r>
      <w:r>
        <w:rPr>
          <w:rFonts w:ascii="Times New Roman" w:eastAsia="Times New Roman" w:hAnsi="Times New Roman"/>
          <w:noProof/>
          <w:sz w:val="24"/>
        </w:rPr>
        <w:t>ion from one stakeholder can be contradictory to information from another stakeholder).</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In order to mitigate this challenge, a pragmatic, quantitative model that is based on a limited set of quantitative building blocks has been developed. More specificall</w:t>
      </w:r>
      <w:r>
        <w:rPr>
          <w:rFonts w:ascii="Times New Roman" w:eastAsia="Times New Roman" w:hAnsi="Times New Roman"/>
          <w:noProof/>
          <w:sz w:val="24"/>
          <w:szCs w:val="20"/>
        </w:rPr>
        <w:t xml:space="preserve">y, the model is based on two types of data: </w:t>
      </w:r>
    </w:p>
    <w:p w:rsidR="00035C91" w:rsidRDefault="00632184">
      <w:pPr>
        <w:numPr>
          <w:ilvl w:val="0"/>
          <w:numId w:val="111"/>
        </w:numPr>
        <w:spacing w:before="60" w:after="60"/>
        <w:ind w:hanging="357"/>
        <w:rPr>
          <w:rFonts w:ascii="Times New Roman" w:eastAsia="Times New Roman" w:hAnsi="Times New Roman"/>
          <w:noProof/>
          <w:sz w:val="24"/>
        </w:rPr>
      </w:pPr>
      <w:r>
        <w:rPr>
          <w:rFonts w:ascii="Times New Roman" w:eastAsia="Times New Roman" w:hAnsi="Times New Roman"/>
          <w:noProof/>
          <w:sz w:val="24"/>
        </w:rPr>
        <w:t xml:space="preserve">Publicly available Eurostat statistics on the number of citizens (2002-2015) and businesses (mostly 2010-2014) per year and Member State; and </w:t>
      </w:r>
    </w:p>
    <w:p w:rsidR="00035C91" w:rsidRDefault="00632184">
      <w:pPr>
        <w:numPr>
          <w:ilvl w:val="0"/>
          <w:numId w:val="111"/>
        </w:numPr>
        <w:spacing w:before="60" w:after="60"/>
        <w:ind w:hanging="357"/>
        <w:rPr>
          <w:rFonts w:ascii="Times New Roman" w:eastAsia="Times New Roman" w:hAnsi="Times New Roman"/>
          <w:noProof/>
          <w:sz w:val="24"/>
        </w:rPr>
      </w:pPr>
      <w:r>
        <w:rPr>
          <w:rFonts w:ascii="Times New Roman" w:eastAsia="Times New Roman" w:hAnsi="Times New Roman"/>
          <w:noProof/>
          <w:sz w:val="24"/>
        </w:rPr>
        <w:t>Quantitative data obtained by means of desk research, the online sur</w:t>
      </w:r>
      <w:r>
        <w:rPr>
          <w:rFonts w:ascii="Times New Roman" w:eastAsia="Times New Roman" w:hAnsi="Times New Roman"/>
          <w:noProof/>
          <w:sz w:val="24"/>
        </w:rPr>
        <w:t>vey, and the interviews carried out. As indicated above, the available data is scarce.</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While the Eurostat statistics have been used as the primary building block for the projections, the data gathered as part of the desk research, the online survey, and th</w:t>
      </w:r>
      <w:r>
        <w:rPr>
          <w:rFonts w:ascii="Times New Roman" w:eastAsia="Times New Roman" w:hAnsi="Times New Roman"/>
          <w:noProof/>
          <w:sz w:val="24"/>
          <w:szCs w:val="20"/>
        </w:rPr>
        <w:t>e interviews have been used to develop the assumptions on which the projections have been carried out.</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fldChar w:fldCharType="begin"/>
      </w:r>
      <w:r>
        <w:rPr>
          <w:rFonts w:ascii="Times New Roman" w:eastAsia="Times New Roman" w:hAnsi="Times New Roman"/>
          <w:noProof/>
          <w:sz w:val="24"/>
          <w:szCs w:val="20"/>
        </w:rPr>
        <w:instrText xml:space="preserve"> REF _Ref459580562 \h  \* MERGEFORMAT </w:instrText>
      </w:r>
      <w:r>
        <w:rPr>
          <w:rFonts w:ascii="Times New Roman" w:eastAsia="Times New Roman" w:hAnsi="Times New Roman"/>
          <w:noProof/>
          <w:sz w:val="24"/>
          <w:szCs w:val="20"/>
        </w:rPr>
      </w:r>
      <w:r>
        <w:rPr>
          <w:rFonts w:ascii="Times New Roman" w:eastAsia="Times New Roman" w:hAnsi="Times New Roman"/>
          <w:noProof/>
          <w:sz w:val="24"/>
          <w:szCs w:val="20"/>
        </w:rPr>
        <w:fldChar w:fldCharType="separate"/>
      </w:r>
      <w:r>
        <w:rPr>
          <w:rFonts w:ascii="Times New Roman" w:eastAsia="Times New Roman" w:hAnsi="Times New Roman"/>
          <w:noProof/>
          <w:sz w:val="24"/>
          <w:szCs w:val="20"/>
        </w:rPr>
        <w:t>Table 2</w:t>
      </w:r>
      <w:r>
        <w:rPr>
          <w:rFonts w:ascii="Times New Roman" w:eastAsia="Times New Roman" w:hAnsi="Times New Roman"/>
          <w:noProof/>
          <w:sz w:val="24"/>
          <w:szCs w:val="20"/>
        </w:rPr>
        <w:fldChar w:fldCharType="end"/>
      </w:r>
      <w:r>
        <w:rPr>
          <w:rFonts w:ascii="Times New Roman" w:eastAsia="Times New Roman" w:hAnsi="Times New Roman"/>
          <w:noProof/>
          <w:sz w:val="24"/>
          <w:szCs w:val="20"/>
        </w:rPr>
        <w:t xml:space="preserve"> provides an overview of the quantitative assumptions used for the projections. </w:t>
      </w:r>
      <w:r>
        <w:rPr>
          <w:rFonts w:ascii="Times New Roman" w:eastAsia="Times New Roman" w:hAnsi="Times New Roman"/>
          <w:noProof/>
          <w:sz w:val="24"/>
          <w:szCs w:val="20"/>
        </w:rPr>
        <w:fldChar w:fldCharType="begin"/>
      </w:r>
      <w:r>
        <w:rPr>
          <w:rFonts w:ascii="Times New Roman" w:eastAsia="Times New Roman" w:hAnsi="Times New Roman"/>
          <w:noProof/>
          <w:sz w:val="24"/>
          <w:szCs w:val="20"/>
        </w:rPr>
        <w:instrText xml:space="preserve"> REF _Ref459580578 \h  \* MERGEFORMAT </w:instrText>
      </w:r>
      <w:r>
        <w:rPr>
          <w:rFonts w:ascii="Times New Roman" w:eastAsia="Times New Roman" w:hAnsi="Times New Roman"/>
          <w:noProof/>
          <w:sz w:val="24"/>
          <w:szCs w:val="20"/>
        </w:rPr>
      </w:r>
      <w:r>
        <w:rPr>
          <w:rFonts w:ascii="Times New Roman" w:eastAsia="Times New Roman" w:hAnsi="Times New Roman"/>
          <w:noProof/>
          <w:sz w:val="24"/>
          <w:szCs w:val="20"/>
        </w:rPr>
        <w:fldChar w:fldCharType="separate"/>
      </w:r>
      <w:r>
        <w:rPr>
          <w:rFonts w:ascii="Times New Roman" w:eastAsia="Times New Roman" w:hAnsi="Times New Roman"/>
          <w:noProof/>
          <w:sz w:val="24"/>
          <w:szCs w:val="20"/>
        </w:rPr>
        <w:t>Table 4</w:t>
      </w:r>
      <w:r>
        <w:rPr>
          <w:rFonts w:ascii="Times New Roman" w:eastAsia="Times New Roman" w:hAnsi="Times New Roman"/>
          <w:noProof/>
          <w:sz w:val="24"/>
          <w:szCs w:val="20"/>
        </w:rPr>
        <w:fldChar w:fldCharType="end"/>
      </w:r>
      <w:r>
        <w:rPr>
          <w:rFonts w:ascii="Times New Roman" w:eastAsia="Times New Roman" w:hAnsi="Times New Roman"/>
          <w:noProof/>
          <w:sz w:val="24"/>
          <w:szCs w:val="20"/>
        </w:rPr>
        <w:t xml:space="preserve"> provides more detailed explanations of these assumptions, as we</w:t>
      </w:r>
      <w:r>
        <w:rPr>
          <w:rFonts w:ascii="Times New Roman" w:eastAsia="Times New Roman" w:hAnsi="Times New Roman"/>
          <w:noProof/>
          <w:sz w:val="24"/>
          <w:szCs w:val="20"/>
        </w:rPr>
        <w:t>ll as qualitative reasoning.</w:t>
      </w:r>
    </w:p>
    <w:p w:rsidR="00035C91" w:rsidRDefault="00632184">
      <w:pPr>
        <w:keepNext/>
        <w:spacing w:before="240" w:after="0" w:line="312" w:lineRule="auto"/>
        <w:ind w:left="720"/>
        <w:jc w:val="center"/>
        <w:rPr>
          <w:rFonts w:ascii="Times New Roman" w:eastAsia="Times New Roman" w:hAnsi="Times New Roman" w:cs="Arial"/>
          <w:bCs/>
          <w:i/>
          <w:noProof/>
          <w:color w:val="00A3E0"/>
          <w:sz w:val="24"/>
          <w:szCs w:val="20"/>
        </w:rPr>
      </w:pPr>
      <w:bookmarkStart w:id="61" w:name="_Ref459580562"/>
      <w:bookmarkStart w:id="62" w:name="_Toc462410873"/>
      <w:bookmarkStart w:id="63" w:name="_Toc462075505"/>
      <w:bookmarkStart w:id="64" w:name="_Toc464765528"/>
      <w:r>
        <w:rPr>
          <w:rFonts w:ascii="Times New Roman" w:eastAsia="Times New Roman" w:hAnsi="Times New Roman" w:cs="Arial"/>
          <w:bCs/>
          <w:i/>
          <w:noProof/>
          <w:color w:val="00A3E0"/>
          <w:sz w:val="24"/>
          <w:szCs w:val="20"/>
        </w:rPr>
        <w:t xml:space="preserve">Table </w:t>
      </w:r>
      <w:r>
        <w:rPr>
          <w:rFonts w:ascii="Times New Roman" w:eastAsia="Times New Roman" w:hAnsi="Times New Roman" w:cs="Arial"/>
          <w:bCs/>
          <w:i/>
          <w:noProof/>
          <w:color w:val="00A3E0"/>
          <w:sz w:val="24"/>
          <w:szCs w:val="20"/>
        </w:rPr>
        <w:fldChar w:fldCharType="begin"/>
      </w:r>
      <w:r>
        <w:rPr>
          <w:rFonts w:ascii="Times New Roman" w:eastAsia="Times New Roman" w:hAnsi="Times New Roman" w:cs="Arial"/>
          <w:bCs/>
          <w:i/>
          <w:noProof/>
          <w:color w:val="00A3E0"/>
          <w:sz w:val="24"/>
          <w:szCs w:val="20"/>
        </w:rPr>
        <w:instrText xml:space="preserve"> SEQ Table \* ARABIC </w:instrText>
      </w:r>
      <w:r>
        <w:rPr>
          <w:rFonts w:ascii="Times New Roman" w:eastAsia="Times New Roman" w:hAnsi="Times New Roman" w:cs="Arial"/>
          <w:bCs/>
          <w:i/>
          <w:noProof/>
          <w:color w:val="00A3E0"/>
          <w:sz w:val="24"/>
          <w:szCs w:val="20"/>
        </w:rPr>
        <w:fldChar w:fldCharType="separate"/>
      </w:r>
      <w:r>
        <w:rPr>
          <w:rFonts w:ascii="Times New Roman" w:eastAsia="Times New Roman" w:hAnsi="Times New Roman" w:cs="Arial"/>
          <w:bCs/>
          <w:i/>
          <w:noProof/>
          <w:color w:val="00A3E0"/>
          <w:sz w:val="24"/>
          <w:szCs w:val="20"/>
        </w:rPr>
        <w:t>2</w:t>
      </w:r>
      <w:r>
        <w:rPr>
          <w:rFonts w:ascii="Times New Roman" w:eastAsia="Times New Roman" w:hAnsi="Times New Roman" w:cs="Arial"/>
          <w:bCs/>
          <w:i/>
          <w:noProof/>
          <w:color w:val="00A3E0"/>
          <w:sz w:val="24"/>
          <w:szCs w:val="20"/>
        </w:rPr>
        <w:fldChar w:fldCharType="end"/>
      </w:r>
      <w:bookmarkEnd w:id="61"/>
      <w:r>
        <w:rPr>
          <w:rFonts w:ascii="Times New Roman" w:eastAsia="Times New Roman" w:hAnsi="Times New Roman" w:cs="Arial"/>
          <w:bCs/>
          <w:i/>
          <w:noProof/>
          <w:color w:val="00A3E0"/>
          <w:sz w:val="24"/>
          <w:szCs w:val="20"/>
        </w:rPr>
        <w:t xml:space="preserve"> – Quantitative assumptions used for the projections</w:t>
      </w:r>
      <w:bookmarkEnd w:id="62"/>
      <w:bookmarkEnd w:id="63"/>
      <w:bookmarkEnd w:id="64"/>
      <w:r>
        <w:rPr>
          <w:rFonts w:ascii="Times New Roman" w:eastAsia="Times New Roman" w:hAnsi="Times New Roman" w:cs="Arial"/>
          <w:bCs/>
          <w:i/>
          <w:noProof/>
          <w:color w:val="00A3E0"/>
          <w:sz w:val="24"/>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4"/>
      </w:tblGrid>
      <w:tr w:rsidR="00035C91">
        <w:trPr>
          <w:tblHeader/>
        </w:trPr>
        <w:tc>
          <w:tcPr>
            <w:tcW w:w="6516" w:type="dxa"/>
            <w:shd w:val="clear" w:color="auto" w:fill="4F81BD" w:themeFill="accent1"/>
          </w:tcPr>
          <w:p w:rsidR="00035C91" w:rsidRDefault="00632184">
            <w:pPr>
              <w:spacing w:before="60" w:after="60"/>
              <w:rPr>
                <w:rFonts w:eastAsia="Times New Roman"/>
                <w:b/>
                <w:noProof/>
                <w:color w:val="FFFFFF" w:themeColor="background1"/>
                <w:sz w:val="16"/>
                <w:szCs w:val="16"/>
              </w:rPr>
            </w:pPr>
            <w:r>
              <w:rPr>
                <w:rFonts w:eastAsia="Times New Roman"/>
                <w:b/>
                <w:noProof/>
                <w:color w:val="FFFFFF" w:themeColor="background1"/>
                <w:sz w:val="16"/>
                <w:szCs w:val="16"/>
              </w:rPr>
              <w:t>Information need for which a quantitative assumption has been made</w:t>
            </w:r>
          </w:p>
        </w:tc>
        <w:tc>
          <w:tcPr>
            <w:tcW w:w="2544" w:type="dxa"/>
            <w:shd w:val="clear" w:color="auto" w:fill="4F81BD" w:themeFill="accent1"/>
          </w:tcPr>
          <w:p w:rsidR="00035C91" w:rsidRDefault="00632184">
            <w:pPr>
              <w:spacing w:before="60" w:after="60"/>
              <w:rPr>
                <w:rFonts w:eastAsia="Times New Roman"/>
                <w:b/>
                <w:noProof/>
                <w:color w:val="FFFFFF" w:themeColor="background1"/>
                <w:sz w:val="16"/>
                <w:szCs w:val="16"/>
              </w:rPr>
            </w:pPr>
            <w:r>
              <w:rPr>
                <w:rFonts w:eastAsia="Times New Roman"/>
                <w:b/>
                <w:noProof/>
                <w:color w:val="FFFFFF" w:themeColor="background1"/>
                <w:sz w:val="16"/>
                <w:szCs w:val="16"/>
              </w:rPr>
              <w:t>Quantification</w:t>
            </w:r>
          </w:p>
        </w:tc>
      </w:tr>
      <w:tr w:rsidR="00035C91">
        <w:tc>
          <w:tcPr>
            <w:tcW w:w="6516" w:type="dxa"/>
            <w:shd w:val="clear" w:color="auto" w:fill="9BBB59" w:themeFill="accent3"/>
          </w:tcPr>
          <w:p w:rsidR="00035C91" w:rsidRDefault="00632184">
            <w:pPr>
              <w:spacing w:before="60" w:after="60"/>
              <w:rPr>
                <w:rFonts w:eastAsia="Times New Roman"/>
                <w:b/>
                <w:noProof/>
                <w:color w:val="FFFFFF" w:themeColor="background1"/>
                <w:sz w:val="16"/>
                <w:szCs w:val="16"/>
              </w:rPr>
            </w:pPr>
            <w:r>
              <w:rPr>
                <w:rFonts w:eastAsia="Times New Roman"/>
                <w:b/>
                <w:noProof/>
                <w:color w:val="FFFFFF" w:themeColor="background1"/>
                <w:sz w:val="16"/>
                <w:szCs w:val="16"/>
              </w:rPr>
              <w:t>Number of citizens affected</w:t>
            </w:r>
          </w:p>
        </w:tc>
        <w:tc>
          <w:tcPr>
            <w:tcW w:w="2544" w:type="dxa"/>
            <w:shd w:val="clear" w:color="auto" w:fill="9BBB59" w:themeFill="accent3"/>
          </w:tcPr>
          <w:p w:rsidR="00035C91" w:rsidRDefault="00035C91">
            <w:pPr>
              <w:spacing w:before="60" w:after="60"/>
              <w:rPr>
                <w:rFonts w:eastAsia="Times New Roman"/>
                <w:noProof/>
                <w:color w:val="FFFFFF" w:themeColor="background1"/>
                <w:sz w:val="16"/>
                <w:szCs w:val="16"/>
              </w:rPr>
            </w:pPr>
          </w:p>
        </w:tc>
      </w:tr>
      <w:tr w:rsidR="00035C91">
        <w:tc>
          <w:tcPr>
            <w:tcW w:w="6516" w:type="dxa"/>
            <w:shd w:val="clear" w:color="auto" w:fill="BFBFBF" w:themeFill="background1" w:themeFillShade="BF"/>
          </w:tcPr>
          <w:p w:rsidR="00035C91" w:rsidRDefault="00632184">
            <w:pPr>
              <w:spacing w:before="60" w:after="60"/>
              <w:rPr>
                <w:rFonts w:eastAsia="Times New Roman"/>
                <w:noProof/>
                <w:sz w:val="16"/>
                <w:szCs w:val="16"/>
              </w:rPr>
            </w:pPr>
            <w:r>
              <w:rPr>
                <w:rFonts w:eastAsia="Times New Roman" w:cs="Arial"/>
                <w:noProof/>
                <w:sz w:val="16"/>
                <w:szCs w:val="16"/>
                <w:lang w:eastAsia="de-DE"/>
              </w:rPr>
              <w:t xml:space="preserve">Compound Annual Growth Rate </w:t>
            </w:r>
            <w:r>
              <w:rPr>
                <w:rFonts w:eastAsia="Times New Roman" w:cs="Arial"/>
                <w:noProof/>
                <w:sz w:val="16"/>
                <w:szCs w:val="16"/>
                <w:lang w:eastAsia="de-DE"/>
              </w:rPr>
              <w:t>(CAGR) for services (2016-2030)</w:t>
            </w:r>
          </w:p>
        </w:tc>
        <w:tc>
          <w:tcPr>
            <w:tcW w:w="2544" w:type="dxa"/>
            <w:shd w:val="clear" w:color="auto" w:fill="BFBFBF" w:themeFill="background1" w:themeFillShade="BF"/>
          </w:tcPr>
          <w:p w:rsidR="00035C91" w:rsidRDefault="00632184">
            <w:pPr>
              <w:spacing w:before="60" w:after="60"/>
              <w:rPr>
                <w:rFonts w:eastAsia="Times New Roman"/>
                <w:noProof/>
                <w:sz w:val="16"/>
                <w:szCs w:val="16"/>
              </w:rPr>
            </w:pPr>
            <w:r>
              <w:rPr>
                <w:rFonts w:eastAsia="Times New Roman"/>
                <w:noProof/>
                <w:sz w:val="16"/>
                <w:szCs w:val="16"/>
              </w:rPr>
              <w:t>%</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Internet to browse online</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3.4%</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Online social networks</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3.4%</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E-Mail</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4.0%</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Instant messaging</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7.9%</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VoIP</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9.7%</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Mobile phone to make calls or send texts</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3%</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Fixed phone line</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-4%</w:t>
            </w:r>
          </w:p>
        </w:tc>
      </w:tr>
      <w:tr w:rsidR="00035C91">
        <w:tc>
          <w:tcPr>
            <w:tcW w:w="6516" w:type="dxa"/>
            <w:shd w:val="clear" w:color="auto" w:fill="9BBB59" w:themeFill="accent3"/>
          </w:tcPr>
          <w:p w:rsidR="00035C91" w:rsidRDefault="00632184">
            <w:pPr>
              <w:spacing w:before="60" w:after="60"/>
              <w:rPr>
                <w:rFonts w:eastAsia="Times New Roman" w:cs="Arial"/>
                <w:b/>
                <w:noProof/>
                <w:color w:val="FFFFFF" w:themeColor="background1"/>
                <w:sz w:val="16"/>
                <w:szCs w:val="16"/>
                <w:lang w:eastAsia="de-DE"/>
              </w:rPr>
            </w:pPr>
            <w:r>
              <w:rPr>
                <w:rFonts w:eastAsia="Times New Roman" w:cs="Arial"/>
                <w:b/>
                <w:noProof/>
                <w:color w:val="FFFFFF" w:themeColor="background1"/>
                <w:sz w:val="16"/>
                <w:szCs w:val="16"/>
                <w:lang w:eastAsia="de-DE"/>
              </w:rPr>
              <w:t>Number of businesses affected</w:t>
            </w:r>
          </w:p>
        </w:tc>
        <w:tc>
          <w:tcPr>
            <w:tcW w:w="2544" w:type="dxa"/>
            <w:shd w:val="clear" w:color="auto" w:fill="9BBB59" w:themeFill="accent3"/>
          </w:tcPr>
          <w:p w:rsidR="00035C91" w:rsidRDefault="00035C91">
            <w:pPr>
              <w:spacing w:before="60" w:after="60"/>
              <w:rPr>
                <w:rFonts w:eastAsia="Times New Roman"/>
                <w:noProof/>
                <w:color w:val="FFFFFF" w:themeColor="background1"/>
                <w:sz w:val="16"/>
                <w:szCs w:val="16"/>
              </w:rPr>
            </w:pPr>
          </w:p>
        </w:tc>
      </w:tr>
      <w:tr w:rsidR="00035C91">
        <w:tc>
          <w:tcPr>
            <w:tcW w:w="6516" w:type="dxa"/>
            <w:shd w:val="clear" w:color="auto" w:fill="BFBFBF" w:themeFill="background1" w:themeFillShade="BF"/>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 xml:space="preserve">Constant </w:t>
            </w:r>
            <w:r>
              <w:rPr>
                <w:rFonts w:eastAsia="Times New Roman" w:cs="Arial"/>
                <w:noProof/>
                <w:sz w:val="16"/>
                <w:szCs w:val="16"/>
                <w:lang w:eastAsia="de-DE"/>
              </w:rPr>
              <w:t>shares of businesses that have a website by size over time</w:t>
            </w:r>
          </w:p>
        </w:tc>
        <w:tc>
          <w:tcPr>
            <w:tcW w:w="2544" w:type="dxa"/>
            <w:shd w:val="clear" w:color="auto" w:fill="BFBFBF" w:themeFill="background1" w:themeFillShade="BF"/>
          </w:tcPr>
          <w:p w:rsidR="00035C91" w:rsidRDefault="00035C91">
            <w:pPr>
              <w:spacing w:before="60" w:after="60"/>
              <w:rPr>
                <w:rFonts w:eastAsia="Times New Roman"/>
                <w:noProof/>
                <w:sz w:val="16"/>
                <w:szCs w:val="16"/>
              </w:rPr>
            </w:pP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0 to 9 persons employed (micro-enterprises)</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60%</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10 to 19 persons employed (SMEs)</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75%</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20 to 49 persons employed (SMEs)</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75%</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50 to 249 persons employed (SMEs)</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85%</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 xml:space="preserve">250 persons employed or more </w:t>
            </w:r>
            <w:r>
              <w:rPr>
                <w:rFonts w:eastAsia="Times New Roman" w:cs="Arial"/>
                <w:noProof/>
                <w:sz w:val="16"/>
                <w:szCs w:val="16"/>
                <w:lang w:eastAsia="de-DE"/>
              </w:rPr>
              <w:t>(large enterprises)</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95%</w:t>
            </w:r>
          </w:p>
        </w:tc>
      </w:tr>
      <w:tr w:rsidR="00035C91">
        <w:tc>
          <w:tcPr>
            <w:tcW w:w="6516" w:type="dxa"/>
            <w:shd w:val="clear" w:color="auto" w:fill="auto"/>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Share of non-EU businesses that have a website</w:t>
            </w:r>
            <w:r>
              <w:rPr>
                <w:rFonts w:eastAsia="Times New Roman" w:cs="Arial"/>
                <w:noProof/>
                <w:sz w:val="24"/>
                <w:szCs w:val="16"/>
                <w:vertAlign w:val="superscript"/>
                <w:lang w:eastAsia="de-DE"/>
              </w:rPr>
              <w:footnoteReference w:id="6"/>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99%</w:t>
            </w:r>
          </w:p>
        </w:tc>
      </w:tr>
      <w:tr w:rsidR="00035C91">
        <w:tc>
          <w:tcPr>
            <w:tcW w:w="6516" w:type="dxa"/>
            <w:shd w:val="clear" w:color="auto" w:fill="BFBFBF" w:themeFill="background1" w:themeFillShade="BF"/>
          </w:tcPr>
          <w:p w:rsidR="00035C91" w:rsidRDefault="00632184">
            <w:pPr>
              <w:keepNext/>
              <w:spacing w:before="60" w:after="60"/>
              <w:rPr>
                <w:rFonts w:eastAsia="Times New Roman" w:cs="Arial"/>
                <w:noProof/>
                <w:sz w:val="16"/>
                <w:szCs w:val="16"/>
                <w:lang w:eastAsia="de-DE"/>
              </w:rPr>
            </w:pPr>
            <w:r>
              <w:rPr>
                <w:rFonts w:eastAsia="Times New Roman" w:cs="Arial"/>
                <w:noProof/>
                <w:sz w:val="16"/>
                <w:szCs w:val="16"/>
                <w:lang w:eastAsia="de-DE"/>
              </w:rPr>
              <w:t>Share of websites using cookies</w:t>
            </w:r>
          </w:p>
        </w:tc>
        <w:tc>
          <w:tcPr>
            <w:tcW w:w="2544" w:type="dxa"/>
            <w:shd w:val="clear" w:color="auto" w:fill="BFBFBF" w:themeFill="background1" w:themeFillShade="BF"/>
          </w:tcPr>
          <w:p w:rsidR="00035C91" w:rsidRDefault="00035C91">
            <w:pPr>
              <w:spacing w:before="60" w:after="60"/>
              <w:rPr>
                <w:rFonts w:eastAsia="Times New Roman"/>
                <w:noProof/>
                <w:sz w:val="16"/>
                <w:szCs w:val="16"/>
              </w:rPr>
            </w:pPr>
          </w:p>
        </w:tc>
      </w:tr>
      <w:tr w:rsidR="00035C91">
        <w:tc>
          <w:tcPr>
            <w:tcW w:w="6516" w:type="dxa"/>
            <w:shd w:val="clear" w:color="auto" w:fill="auto"/>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Maximum scenario</w:t>
            </w:r>
          </w:p>
        </w:tc>
        <w:tc>
          <w:tcPr>
            <w:tcW w:w="2544" w:type="dxa"/>
            <w:vAlign w:val="center"/>
          </w:tcPr>
          <w:p w:rsidR="00035C91" w:rsidRDefault="00632184">
            <w:pPr>
              <w:spacing w:before="60" w:after="60"/>
              <w:rPr>
                <w:rFonts w:eastAsia="Times New Roman"/>
                <w:noProof/>
                <w:sz w:val="16"/>
                <w:szCs w:val="16"/>
              </w:rPr>
            </w:pPr>
            <w:r>
              <w:rPr>
                <w:rFonts w:eastAsia="Times New Roman" w:cs="Arial"/>
                <w:noProof/>
                <w:sz w:val="16"/>
                <w:szCs w:val="16"/>
              </w:rPr>
              <w:t>55%</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Medium scenario</w:t>
            </w:r>
          </w:p>
        </w:tc>
        <w:tc>
          <w:tcPr>
            <w:tcW w:w="2544" w:type="dxa"/>
            <w:vAlign w:val="center"/>
          </w:tcPr>
          <w:p w:rsidR="00035C91" w:rsidRDefault="00632184">
            <w:pPr>
              <w:spacing w:before="60" w:after="60"/>
              <w:rPr>
                <w:rFonts w:eastAsia="Times New Roman"/>
                <w:noProof/>
                <w:sz w:val="16"/>
                <w:szCs w:val="16"/>
              </w:rPr>
            </w:pPr>
            <w:r>
              <w:rPr>
                <w:rFonts w:eastAsia="Times New Roman" w:cs="Arial"/>
                <w:noProof/>
                <w:sz w:val="16"/>
                <w:szCs w:val="16"/>
              </w:rPr>
              <w:t>50%</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Minimum scenario</w:t>
            </w:r>
          </w:p>
        </w:tc>
        <w:tc>
          <w:tcPr>
            <w:tcW w:w="2544" w:type="dxa"/>
            <w:vAlign w:val="center"/>
          </w:tcPr>
          <w:p w:rsidR="00035C91" w:rsidRDefault="00632184">
            <w:pPr>
              <w:spacing w:before="60" w:after="60"/>
              <w:rPr>
                <w:rFonts w:eastAsia="Times New Roman"/>
                <w:noProof/>
                <w:sz w:val="16"/>
                <w:szCs w:val="16"/>
              </w:rPr>
            </w:pPr>
            <w:r>
              <w:rPr>
                <w:rFonts w:eastAsia="Times New Roman" w:cs="Arial"/>
                <w:noProof/>
                <w:sz w:val="16"/>
                <w:szCs w:val="16"/>
              </w:rPr>
              <w:t>45%</w:t>
            </w:r>
          </w:p>
        </w:tc>
      </w:tr>
      <w:tr w:rsidR="00035C91">
        <w:tc>
          <w:tcPr>
            <w:tcW w:w="6516" w:type="dxa"/>
            <w:shd w:val="clear" w:color="auto" w:fill="9BBB59" w:themeFill="accent3"/>
          </w:tcPr>
          <w:p w:rsidR="00035C91" w:rsidRDefault="00632184">
            <w:pPr>
              <w:keepNext/>
              <w:spacing w:before="60" w:after="60"/>
              <w:rPr>
                <w:rFonts w:eastAsia="Times New Roman" w:cs="Arial"/>
                <w:b/>
                <w:noProof/>
                <w:color w:val="FFFFFF" w:themeColor="background1"/>
                <w:sz w:val="16"/>
                <w:szCs w:val="16"/>
                <w:lang w:eastAsia="de-DE"/>
              </w:rPr>
            </w:pPr>
            <w:r>
              <w:rPr>
                <w:rFonts w:eastAsia="Times New Roman" w:cs="Arial"/>
                <w:b/>
                <w:noProof/>
                <w:color w:val="FFFFFF" w:themeColor="background1"/>
                <w:sz w:val="16"/>
                <w:szCs w:val="16"/>
                <w:lang w:eastAsia="de-DE"/>
              </w:rPr>
              <w:t>Compliance costs</w:t>
            </w:r>
          </w:p>
        </w:tc>
        <w:tc>
          <w:tcPr>
            <w:tcW w:w="2544" w:type="dxa"/>
            <w:shd w:val="clear" w:color="auto" w:fill="9BBB59" w:themeFill="accent3"/>
          </w:tcPr>
          <w:p w:rsidR="00035C91" w:rsidRDefault="00035C91">
            <w:pPr>
              <w:spacing w:before="60" w:after="60"/>
              <w:rPr>
                <w:rFonts w:eastAsia="Times New Roman"/>
                <w:noProof/>
                <w:color w:val="FFFFFF" w:themeColor="background1"/>
                <w:sz w:val="16"/>
                <w:szCs w:val="16"/>
              </w:rPr>
            </w:pPr>
          </w:p>
        </w:tc>
      </w:tr>
      <w:tr w:rsidR="00035C91">
        <w:tc>
          <w:tcPr>
            <w:tcW w:w="6516" w:type="dxa"/>
            <w:shd w:val="clear" w:color="auto" w:fill="BFBFBF" w:themeFill="background1" w:themeFillShade="BF"/>
          </w:tcPr>
          <w:p w:rsidR="00035C91" w:rsidRDefault="00632184">
            <w:pPr>
              <w:keepNext/>
              <w:spacing w:before="60" w:after="60"/>
              <w:rPr>
                <w:rFonts w:eastAsia="Times New Roman" w:cs="Arial"/>
                <w:noProof/>
                <w:sz w:val="16"/>
                <w:szCs w:val="16"/>
                <w:lang w:eastAsia="de-DE"/>
              </w:rPr>
            </w:pPr>
            <w:r>
              <w:rPr>
                <w:rFonts w:eastAsia="Times New Roman" w:cs="Arial"/>
                <w:noProof/>
                <w:sz w:val="16"/>
                <w:szCs w:val="16"/>
                <w:lang w:eastAsia="de-DE"/>
              </w:rPr>
              <w:t>Share of websites that would need to comply</w:t>
            </w:r>
          </w:p>
        </w:tc>
        <w:tc>
          <w:tcPr>
            <w:tcW w:w="2544" w:type="dxa"/>
            <w:shd w:val="clear" w:color="auto" w:fill="BFBFBF" w:themeFill="background1" w:themeFillShade="BF"/>
          </w:tcPr>
          <w:p w:rsidR="00035C91" w:rsidRDefault="00035C91">
            <w:pPr>
              <w:spacing w:before="60" w:after="60"/>
              <w:rPr>
                <w:rFonts w:eastAsia="Times New Roman"/>
                <w:noProof/>
                <w:sz w:val="16"/>
                <w:szCs w:val="16"/>
              </w:rPr>
            </w:pP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 xml:space="preserve">Maximum </w:t>
            </w:r>
            <w:r>
              <w:rPr>
                <w:rFonts w:eastAsia="Times New Roman" w:cs="Arial"/>
                <w:noProof/>
                <w:sz w:val="16"/>
                <w:szCs w:val="16"/>
                <w:lang w:eastAsia="de-DE"/>
              </w:rPr>
              <w:t>scenario</w:t>
            </w:r>
          </w:p>
        </w:tc>
        <w:tc>
          <w:tcPr>
            <w:tcW w:w="2544" w:type="dxa"/>
            <w:vAlign w:val="center"/>
          </w:tcPr>
          <w:p w:rsidR="00035C91" w:rsidRDefault="00632184">
            <w:pPr>
              <w:spacing w:before="60" w:after="60"/>
              <w:rPr>
                <w:rFonts w:eastAsia="Times New Roman"/>
                <w:noProof/>
                <w:sz w:val="16"/>
                <w:szCs w:val="16"/>
              </w:rPr>
            </w:pPr>
            <w:r>
              <w:rPr>
                <w:rFonts w:eastAsia="Times New Roman" w:cs="Arial"/>
                <w:noProof/>
                <w:sz w:val="16"/>
                <w:szCs w:val="16"/>
              </w:rPr>
              <w:t>47%</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Medium scenario</w:t>
            </w:r>
          </w:p>
        </w:tc>
        <w:tc>
          <w:tcPr>
            <w:tcW w:w="2544" w:type="dxa"/>
            <w:vAlign w:val="center"/>
          </w:tcPr>
          <w:p w:rsidR="00035C91" w:rsidRDefault="00632184">
            <w:pPr>
              <w:spacing w:before="60" w:after="60"/>
              <w:rPr>
                <w:rFonts w:eastAsia="Times New Roman"/>
                <w:noProof/>
                <w:sz w:val="16"/>
                <w:szCs w:val="16"/>
              </w:rPr>
            </w:pPr>
            <w:r>
              <w:rPr>
                <w:rFonts w:eastAsia="Times New Roman" w:cs="Arial"/>
                <w:noProof/>
                <w:sz w:val="16"/>
                <w:szCs w:val="16"/>
              </w:rPr>
              <w:t>42%</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Minimum scenario</w:t>
            </w:r>
          </w:p>
        </w:tc>
        <w:tc>
          <w:tcPr>
            <w:tcW w:w="2544" w:type="dxa"/>
            <w:vAlign w:val="center"/>
          </w:tcPr>
          <w:p w:rsidR="00035C91" w:rsidRDefault="00632184">
            <w:pPr>
              <w:spacing w:before="60" w:after="60"/>
              <w:rPr>
                <w:rFonts w:eastAsia="Times New Roman"/>
                <w:noProof/>
                <w:sz w:val="16"/>
                <w:szCs w:val="16"/>
              </w:rPr>
            </w:pPr>
            <w:r>
              <w:rPr>
                <w:rFonts w:eastAsia="Times New Roman" w:cs="Arial"/>
                <w:noProof/>
                <w:sz w:val="16"/>
                <w:szCs w:val="16"/>
              </w:rPr>
              <w:t>37%</w:t>
            </w:r>
          </w:p>
        </w:tc>
      </w:tr>
      <w:tr w:rsidR="00035C91">
        <w:tc>
          <w:tcPr>
            <w:tcW w:w="6516" w:type="dxa"/>
            <w:vAlign w:val="center"/>
          </w:tcPr>
          <w:p w:rsidR="00035C91" w:rsidRDefault="00632184">
            <w:pPr>
              <w:spacing w:before="60" w:after="60"/>
              <w:rPr>
                <w:rFonts w:eastAsia="Times New Roman" w:cs="Arial"/>
                <w:noProof/>
                <w:sz w:val="16"/>
                <w:szCs w:val="16"/>
                <w:lang w:eastAsia="de-DE"/>
              </w:rPr>
            </w:pPr>
            <w:r>
              <w:rPr>
                <w:rFonts w:eastAsia="Times New Roman" w:cs="Arial"/>
                <w:noProof/>
                <w:sz w:val="16"/>
                <w:szCs w:val="16"/>
              </w:rPr>
              <w:t>Costs for websites to be compliant</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900 EUR</w:t>
            </w:r>
          </w:p>
        </w:tc>
      </w:tr>
      <w:tr w:rsidR="00035C91">
        <w:tc>
          <w:tcPr>
            <w:tcW w:w="6516" w:type="dxa"/>
            <w:vAlign w:val="center"/>
          </w:tcPr>
          <w:p w:rsidR="00035C91" w:rsidRDefault="00632184">
            <w:pPr>
              <w:spacing w:before="60" w:after="60"/>
              <w:rPr>
                <w:rFonts w:eastAsia="Times New Roman" w:cs="Arial"/>
                <w:noProof/>
                <w:sz w:val="16"/>
                <w:szCs w:val="16"/>
                <w:lang w:eastAsia="de-DE"/>
              </w:rPr>
            </w:pPr>
            <w:r>
              <w:rPr>
                <w:rFonts w:eastAsia="Times New Roman" w:cs="Arial"/>
                <w:noProof/>
                <w:sz w:val="16"/>
                <w:szCs w:val="16"/>
              </w:rPr>
              <w:t>Average useful life time of a website in years</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3 years</w:t>
            </w:r>
          </w:p>
        </w:tc>
      </w:tr>
      <w:tr w:rsidR="00035C91">
        <w:tc>
          <w:tcPr>
            <w:tcW w:w="6516" w:type="dxa"/>
          </w:tcPr>
          <w:p w:rsidR="00035C91" w:rsidRDefault="00632184">
            <w:pPr>
              <w:spacing w:before="60" w:after="60"/>
              <w:rPr>
                <w:rFonts w:eastAsia="Times New Roman"/>
                <w:noProof/>
                <w:sz w:val="16"/>
                <w:szCs w:val="16"/>
              </w:rPr>
            </w:pPr>
            <w:r>
              <w:rPr>
                <w:rFonts w:eastAsia="Times New Roman"/>
                <w:noProof/>
                <w:sz w:val="16"/>
                <w:szCs w:val="16"/>
              </w:rPr>
              <w:t>Costs (EUR) per website to be compliant (one-off)</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300 EUR</w:t>
            </w:r>
          </w:p>
        </w:tc>
      </w:tr>
      <w:tr w:rsidR="00035C91">
        <w:tc>
          <w:tcPr>
            <w:tcW w:w="6516" w:type="dxa"/>
            <w:shd w:val="clear" w:color="auto" w:fill="auto"/>
            <w:vAlign w:val="center"/>
          </w:tcPr>
          <w:p w:rsidR="00035C91" w:rsidRDefault="00632184">
            <w:pPr>
              <w:spacing w:before="60" w:after="60"/>
              <w:rPr>
                <w:rFonts w:eastAsia="Times New Roman"/>
                <w:noProof/>
                <w:sz w:val="16"/>
                <w:szCs w:val="16"/>
              </w:rPr>
            </w:pPr>
            <w:r>
              <w:rPr>
                <w:rFonts w:eastAsia="Times New Roman"/>
                <w:noProof/>
                <w:sz w:val="16"/>
                <w:szCs w:val="16"/>
              </w:rPr>
              <w:t xml:space="preserve">Share of businesses that have a website </w:t>
            </w:r>
            <w:r>
              <w:rPr>
                <w:rFonts w:eastAsia="Times New Roman"/>
                <w:noProof/>
                <w:sz w:val="16"/>
                <w:szCs w:val="16"/>
              </w:rPr>
              <w:t>and use cookies and potentially provide for unsolicited communication using publicly available electronic communications services in public communications networks</w:t>
            </w:r>
          </w:p>
        </w:tc>
        <w:tc>
          <w:tcPr>
            <w:tcW w:w="2544" w:type="dxa"/>
            <w:shd w:val="clear" w:color="auto" w:fill="auto"/>
            <w:vAlign w:val="center"/>
          </w:tcPr>
          <w:p w:rsidR="00035C91" w:rsidRDefault="00632184">
            <w:pPr>
              <w:spacing w:before="60" w:after="60"/>
              <w:rPr>
                <w:rFonts w:eastAsia="Times New Roman"/>
                <w:noProof/>
                <w:sz w:val="16"/>
                <w:szCs w:val="16"/>
              </w:rPr>
            </w:pPr>
            <w:r>
              <w:rPr>
                <w:rFonts w:eastAsia="Times New Roman"/>
                <w:noProof/>
                <w:sz w:val="16"/>
                <w:szCs w:val="16"/>
              </w:rPr>
              <w:t>90.0%</w:t>
            </w:r>
          </w:p>
        </w:tc>
      </w:tr>
      <w:tr w:rsidR="00035C91">
        <w:tc>
          <w:tcPr>
            <w:tcW w:w="6516" w:type="dxa"/>
            <w:vAlign w:val="center"/>
          </w:tcPr>
          <w:p w:rsidR="00035C91" w:rsidRDefault="00632184">
            <w:pPr>
              <w:spacing w:before="60" w:after="60"/>
              <w:rPr>
                <w:rFonts w:eastAsia="Times New Roman"/>
                <w:noProof/>
                <w:sz w:val="16"/>
                <w:szCs w:val="16"/>
              </w:rPr>
            </w:pPr>
            <w:r>
              <w:rPr>
                <w:rFonts w:eastAsia="Times New Roman"/>
                <w:noProof/>
                <w:sz w:val="16"/>
                <w:szCs w:val="16"/>
              </w:rPr>
              <w:t>Additional share of annual costs for websites to be compliant</w:t>
            </w:r>
          </w:p>
        </w:tc>
        <w:tc>
          <w:tcPr>
            <w:tcW w:w="2544" w:type="dxa"/>
            <w:vAlign w:val="center"/>
          </w:tcPr>
          <w:p w:rsidR="00035C91" w:rsidRDefault="00632184">
            <w:pPr>
              <w:spacing w:before="60" w:after="60"/>
              <w:rPr>
                <w:rFonts w:eastAsia="Times New Roman"/>
                <w:noProof/>
                <w:sz w:val="16"/>
                <w:szCs w:val="16"/>
              </w:rPr>
            </w:pPr>
            <w:r>
              <w:rPr>
                <w:rFonts w:eastAsia="Times New Roman"/>
                <w:noProof/>
                <w:sz w:val="16"/>
                <w:szCs w:val="16"/>
              </w:rPr>
              <w:t>25.0%</w:t>
            </w:r>
          </w:p>
        </w:tc>
      </w:tr>
      <w:tr w:rsidR="00035C91">
        <w:tc>
          <w:tcPr>
            <w:tcW w:w="6516" w:type="dxa"/>
            <w:vAlign w:val="center"/>
          </w:tcPr>
          <w:p w:rsidR="00035C91" w:rsidRDefault="00632184">
            <w:pPr>
              <w:spacing w:before="60" w:after="60"/>
              <w:rPr>
                <w:rFonts w:eastAsia="Times New Roman"/>
                <w:noProof/>
                <w:sz w:val="16"/>
                <w:szCs w:val="16"/>
              </w:rPr>
            </w:pPr>
            <w:r>
              <w:rPr>
                <w:rFonts w:eastAsia="Times New Roman"/>
                <w:noProof/>
                <w:sz w:val="16"/>
                <w:szCs w:val="16"/>
              </w:rPr>
              <w:t xml:space="preserve">Additional </w:t>
            </w:r>
            <w:r>
              <w:rPr>
                <w:rFonts w:eastAsia="Times New Roman"/>
                <w:noProof/>
                <w:sz w:val="16"/>
                <w:szCs w:val="16"/>
              </w:rPr>
              <w:t>annual costs for websites to be compliant</w:t>
            </w:r>
          </w:p>
        </w:tc>
        <w:tc>
          <w:tcPr>
            <w:tcW w:w="2544" w:type="dxa"/>
            <w:vAlign w:val="center"/>
          </w:tcPr>
          <w:p w:rsidR="00035C91" w:rsidRDefault="00632184">
            <w:pPr>
              <w:spacing w:before="60" w:after="60"/>
              <w:rPr>
                <w:rFonts w:eastAsia="Times New Roman"/>
                <w:noProof/>
                <w:sz w:val="16"/>
                <w:szCs w:val="16"/>
              </w:rPr>
            </w:pPr>
            <w:r>
              <w:rPr>
                <w:rFonts w:eastAsia="Times New Roman"/>
                <w:noProof/>
                <w:sz w:val="16"/>
                <w:szCs w:val="16"/>
              </w:rPr>
              <w:t>75 €</w:t>
            </w:r>
          </w:p>
        </w:tc>
      </w:tr>
      <w:tr w:rsidR="00035C91">
        <w:tc>
          <w:tcPr>
            <w:tcW w:w="6516" w:type="dxa"/>
            <w:vAlign w:val="center"/>
          </w:tcPr>
          <w:p w:rsidR="00035C91" w:rsidRDefault="00632184">
            <w:pPr>
              <w:spacing w:before="60" w:after="60"/>
              <w:rPr>
                <w:rFonts w:eastAsia="Times New Roman"/>
                <w:noProof/>
                <w:sz w:val="16"/>
                <w:szCs w:val="16"/>
              </w:rPr>
            </w:pPr>
            <w:r>
              <w:rPr>
                <w:rFonts w:eastAsia="Times New Roman"/>
                <w:noProof/>
                <w:sz w:val="16"/>
                <w:szCs w:val="16"/>
              </w:rPr>
              <w:t>Frequency of checking the Robinson list (per year)</w:t>
            </w:r>
          </w:p>
        </w:tc>
        <w:tc>
          <w:tcPr>
            <w:tcW w:w="2544" w:type="dxa"/>
            <w:vAlign w:val="center"/>
          </w:tcPr>
          <w:p w:rsidR="00035C91" w:rsidRDefault="00632184">
            <w:pPr>
              <w:spacing w:before="60" w:after="60"/>
              <w:rPr>
                <w:rFonts w:eastAsia="Times New Roman"/>
                <w:noProof/>
                <w:sz w:val="16"/>
                <w:szCs w:val="16"/>
              </w:rPr>
            </w:pPr>
            <w:r>
              <w:rPr>
                <w:rFonts w:eastAsia="Times New Roman"/>
                <w:noProof/>
                <w:sz w:val="16"/>
                <w:szCs w:val="16"/>
              </w:rPr>
              <w:t>26.0</w:t>
            </w:r>
          </w:p>
        </w:tc>
      </w:tr>
      <w:tr w:rsidR="00035C91">
        <w:tc>
          <w:tcPr>
            <w:tcW w:w="6516" w:type="dxa"/>
            <w:vAlign w:val="center"/>
          </w:tcPr>
          <w:p w:rsidR="00035C91" w:rsidRDefault="00632184">
            <w:pPr>
              <w:spacing w:before="60" w:after="60"/>
              <w:rPr>
                <w:rFonts w:eastAsia="Times New Roman"/>
                <w:noProof/>
                <w:sz w:val="16"/>
                <w:szCs w:val="16"/>
              </w:rPr>
            </w:pPr>
            <w:r>
              <w:rPr>
                <w:rFonts w:eastAsia="Times New Roman"/>
                <w:noProof/>
                <w:sz w:val="16"/>
                <w:szCs w:val="16"/>
              </w:rPr>
              <w:t>Duration of checking Robinson list</w:t>
            </w:r>
          </w:p>
        </w:tc>
        <w:tc>
          <w:tcPr>
            <w:tcW w:w="2544" w:type="dxa"/>
            <w:vAlign w:val="center"/>
          </w:tcPr>
          <w:p w:rsidR="00035C91" w:rsidRDefault="00632184">
            <w:pPr>
              <w:spacing w:before="60" w:after="60"/>
              <w:rPr>
                <w:rFonts w:eastAsia="Times New Roman"/>
                <w:noProof/>
                <w:sz w:val="16"/>
                <w:szCs w:val="16"/>
              </w:rPr>
            </w:pPr>
            <w:r>
              <w:rPr>
                <w:rFonts w:eastAsia="Times New Roman"/>
                <w:noProof/>
                <w:sz w:val="16"/>
                <w:szCs w:val="16"/>
              </w:rPr>
              <w:t>15 minutes</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Social discount rate for Net Present Value</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4%</w:t>
            </w:r>
          </w:p>
        </w:tc>
      </w:tr>
      <w:tr w:rsidR="00035C91">
        <w:tc>
          <w:tcPr>
            <w:tcW w:w="6516" w:type="dxa"/>
            <w:shd w:val="clear" w:color="auto" w:fill="9BBB59" w:themeFill="accent3"/>
          </w:tcPr>
          <w:p w:rsidR="00035C91" w:rsidRDefault="00632184">
            <w:pPr>
              <w:spacing w:before="60" w:after="60"/>
              <w:rPr>
                <w:rFonts w:eastAsia="Times New Roman" w:cs="Arial"/>
                <w:b/>
                <w:noProof/>
                <w:color w:val="FFFFFF" w:themeColor="background1"/>
                <w:sz w:val="16"/>
                <w:szCs w:val="16"/>
                <w:lang w:eastAsia="de-DE"/>
              </w:rPr>
            </w:pPr>
            <w:r>
              <w:rPr>
                <w:rFonts w:eastAsia="Times New Roman" w:cs="Arial"/>
                <w:b/>
                <w:noProof/>
                <w:color w:val="FFFFFF" w:themeColor="background1"/>
                <w:sz w:val="16"/>
                <w:szCs w:val="16"/>
                <w:lang w:eastAsia="de-DE"/>
              </w:rPr>
              <w:t>Administrative burden</w:t>
            </w:r>
          </w:p>
        </w:tc>
        <w:tc>
          <w:tcPr>
            <w:tcW w:w="2544" w:type="dxa"/>
            <w:shd w:val="clear" w:color="auto" w:fill="9BBB59" w:themeFill="accent3"/>
          </w:tcPr>
          <w:p w:rsidR="00035C91" w:rsidRDefault="00035C91">
            <w:pPr>
              <w:spacing w:before="60" w:after="60"/>
              <w:rPr>
                <w:rFonts w:eastAsia="Times New Roman"/>
                <w:noProof/>
                <w:color w:val="FFFFFF" w:themeColor="background1"/>
                <w:sz w:val="16"/>
                <w:szCs w:val="16"/>
              </w:rPr>
            </w:pP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Average salary per hour</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18 EUR</w:t>
            </w:r>
          </w:p>
        </w:tc>
      </w:tr>
      <w:tr w:rsidR="00035C91">
        <w:tc>
          <w:tcPr>
            <w:tcW w:w="6516" w:type="dxa"/>
            <w:shd w:val="clear" w:color="auto" w:fill="BFBFBF" w:themeFill="background1" w:themeFillShade="BF"/>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Number of hours consumed with an information obligation</w:t>
            </w:r>
          </w:p>
        </w:tc>
        <w:tc>
          <w:tcPr>
            <w:tcW w:w="2544" w:type="dxa"/>
            <w:shd w:val="clear" w:color="auto" w:fill="BFBFBF" w:themeFill="background1" w:themeFillShade="BF"/>
          </w:tcPr>
          <w:p w:rsidR="00035C91" w:rsidRDefault="00035C91">
            <w:pPr>
              <w:spacing w:before="60" w:after="60"/>
              <w:rPr>
                <w:rFonts w:eastAsia="Times New Roman"/>
                <w:noProof/>
                <w:sz w:val="16"/>
                <w:szCs w:val="16"/>
              </w:rPr>
            </w:pPr>
          </w:p>
        </w:tc>
      </w:tr>
      <w:tr w:rsidR="00035C91">
        <w:tc>
          <w:tcPr>
            <w:tcW w:w="6516" w:type="dxa"/>
          </w:tcPr>
          <w:p w:rsidR="00035C91" w:rsidRDefault="00632184">
            <w:pPr>
              <w:keepNext/>
              <w:spacing w:before="60" w:after="60"/>
              <w:rPr>
                <w:rFonts w:eastAsia="Times New Roman" w:cs="Arial"/>
                <w:noProof/>
                <w:sz w:val="16"/>
                <w:szCs w:val="16"/>
                <w:lang w:eastAsia="de-DE"/>
              </w:rPr>
            </w:pPr>
            <w:r>
              <w:rPr>
                <w:rFonts w:eastAsia="Times New Roman" w:cs="Arial"/>
                <w:noProof/>
                <w:sz w:val="16"/>
                <w:szCs w:val="16"/>
                <w:lang w:eastAsia="de-DE"/>
              </w:rPr>
              <w:t>Maximum scenario</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16 hours</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Medium scenario</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8 hours</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Minimum scenario</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4 hours</w:t>
            </w:r>
          </w:p>
        </w:tc>
      </w:tr>
      <w:tr w:rsidR="00035C91">
        <w:tc>
          <w:tcPr>
            <w:tcW w:w="6516" w:type="dxa"/>
            <w:shd w:val="clear" w:color="auto" w:fill="BFBFBF" w:themeFill="background1" w:themeFillShade="BF"/>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Frequency of information obligations per annum</w:t>
            </w:r>
          </w:p>
        </w:tc>
        <w:tc>
          <w:tcPr>
            <w:tcW w:w="2544" w:type="dxa"/>
            <w:shd w:val="clear" w:color="auto" w:fill="BFBFBF" w:themeFill="background1" w:themeFillShade="BF"/>
          </w:tcPr>
          <w:p w:rsidR="00035C91" w:rsidRDefault="00035C91">
            <w:pPr>
              <w:spacing w:before="60" w:after="60"/>
              <w:rPr>
                <w:rFonts w:eastAsia="Times New Roman"/>
                <w:noProof/>
                <w:sz w:val="16"/>
                <w:szCs w:val="16"/>
              </w:rPr>
            </w:pP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Maximum scenario</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Once every two years</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Medium scenario</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 xml:space="preserve">Once every four </w:t>
            </w:r>
            <w:r>
              <w:rPr>
                <w:rFonts w:eastAsia="Times New Roman"/>
                <w:noProof/>
                <w:sz w:val="16"/>
                <w:szCs w:val="16"/>
              </w:rPr>
              <w:t>years</w:t>
            </w:r>
          </w:p>
        </w:tc>
      </w:tr>
      <w:tr w:rsidR="00035C91">
        <w:tc>
          <w:tcPr>
            <w:tcW w:w="6516" w:type="dxa"/>
          </w:tcPr>
          <w:p w:rsidR="00035C91" w:rsidRDefault="00632184">
            <w:pPr>
              <w:spacing w:before="60" w:after="60"/>
              <w:rPr>
                <w:rFonts w:eastAsia="Times New Roman" w:cs="Arial"/>
                <w:noProof/>
                <w:sz w:val="16"/>
                <w:szCs w:val="16"/>
                <w:lang w:eastAsia="de-DE"/>
              </w:rPr>
            </w:pPr>
            <w:r>
              <w:rPr>
                <w:rFonts w:eastAsia="Times New Roman" w:cs="Arial"/>
                <w:noProof/>
                <w:sz w:val="16"/>
                <w:szCs w:val="16"/>
                <w:lang w:eastAsia="de-DE"/>
              </w:rPr>
              <w:t>Minimum scenario</w:t>
            </w:r>
          </w:p>
        </w:tc>
        <w:tc>
          <w:tcPr>
            <w:tcW w:w="2544" w:type="dxa"/>
          </w:tcPr>
          <w:p w:rsidR="00035C91" w:rsidRDefault="00632184">
            <w:pPr>
              <w:spacing w:before="60" w:after="60"/>
              <w:rPr>
                <w:rFonts w:eastAsia="Times New Roman"/>
                <w:noProof/>
                <w:sz w:val="16"/>
                <w:szCs w:val="16"/>
              </w:rPr>
            </w:pPr>
            <w:r>
              <w:rPr>
                <w:rFonts w:eastAsia="Times New Roman"/>
                <w:noProof/>
                <w:sz w:val="16"/>
                <w:szCs w:val="16"/>
              </w:rPr>
              <w:t>Once every eight years</w:t>
            </w:r>
          </w:p>
        </w:tc>
      </w:tr>
    </w:tbl>
    <w:p w:rsidR="00035C91" w:rsidRDefault="00632184">
      <w:pPr>
        <w:spacing w:before="0" w:after="240"/>
        <w:rPr>
          <w:rFonts w:ascii="Times New Roman" w:eastAsia="Times New Roman" w:hAnsi="Times New Roman"/>
          <w:i/>
          <w:noProof/>
          <w:sz w:val="16"/>
          <w:szCs w:val="20"/>
        </w:rPr>
      </w:pPr>
      <w:r>
        <w:rPr>
          <w:rFonts w:ascii="Times New Roman" w:eastAsia="Times New Roman" w:hAnsi="Times New Roman"/>
          <w:i/>
          <w:noProof/>
          <w:sz w:val="16"/>
          <w:szCs w:val="20"/>
        </w:rPr>
        <w:t>Source: Deloitte</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In addition, below a mapping is provided in relation to the types of businesses (i.e. only businesses active in the telecommunications sector or potentially businesses in all sector) covered </w:t>
      </w:r>
      <w:r>
        <w:rPr>
          <w:rFonts w:ascii="Times New Roman" w:eastAsia="Times New Roman" w:hAnsi="Times New Roman"/>
          <w:noProof/>
          <w:sz w:val="24"/>
          <w:szCs w:val="20"/>
        </w:rPr>
        <w:t>by the analysis in relation to each of the ePD’s provisions as part of the REFIT exercise, the problem assessment and establishment of the baseline scenario, as well as the assessment of the impacts of the policy options compared to the baseline scenario.</w:t>
      </w:r>
    </w:p>
    <w:p w:rsidR="00035C91" w:rsidRDefault="00632184">
      <w:pPr>
        <w:keepNext/>
        <w:spacing w:before="240" w:after="0" w:line="312" w:lineRule="auto"/>
        <w:ind w:left="720"/>
        <w:jc w:val="center"/>
        <w:rPr>
          <w:rFonts w:ascii="Times New Roman" w:eastAsia="Times New Roman" w:hAnsi="Times New Roman" w:cs="Arial"/>
          <w:bCs/>
          <w:i/>
          <w:noProof/>
          <w:color w:val="00A3E0"/>
          <w:sz w:val="24"/>
          <w:szCs w:val="20"/>
        </w:rPr>
      </w:pPr>
      <w:bookmarkStart w:id="65" w:name="_Toc462410874"/>
      <w:bookmarkStart w:id="66" w:name="_Toc462075506"/>
      <w:bookmarkStart w:id="67" w:name="_Toc464765529"/>
      <w:r>
        <w:rPr>
          <w:rFonts w:ascii="Times New Roman" w:eastAsia="Times New Roman" w:hAnsi="Times New Roman" w:cs="Arial"/>
          <w:bCs/>
          <w:i/>
          <w:noProof/>
          <w:color w:val="00A3E0"/>
          <w:sz w:val="24"/>
          <w:szCs w:val="20"/>
        </w:rPr>
        <w:t xml:space="preserve">Table </w:t>
      </w:r>
      <w:r>
        <w:rPr>
          <w:rFonts w:ascii="Times New Roman" w:eastAsia="Times New Roman" w:hAnsi="Times New Roman" w:cs="Arial"/>
          <w:bCs/>
          <w:i/>
          <w:noProof/>
          <w:color w:val="00A3E0"/>
          <w:sz w:val="24"/>
          <w:szCs w:val="20"/>
        </w:rPr>
        <w:fldChar w:fldCharType="begin"/>
      </w:r>
      <w:r>
        <w:rPr>
          <w:rFonts w:ascii="Times New Roman" w:eastAsia="Times New Roman" w:hAnsi="Times New Roman" w:cs="Arial"/>
          <w:bCs/>
          <w:i/>
          <w:noProof/>
          <w:color w:val="00A3E0"/>
          <w:sz w:val="24"/>
          <w:szCs w:val="20"/>
        </w:rPr>
        <w:instrText xml:space="preserve"> SEQ Table \* ARABIC </w:instrText>
      </w:r>
      <w:r>
        <w:rPr>
          <w:rFonts w:ascii="Times New Roman" w:eastAsia="Times New Roman" w:hAnsi="Times New Roman" w:cs="Arial"/>
          <w:bCs/>
          <w:i/>
          <w:noProof/>
          <w:color w:val="00A3E0"/>
          <w:sz w:val="24"/>
          <w:szCs w:val="20"/>
        </w:rPr>
        <w:fldChar w:fldCharType="separate"/>
      </w:r>
      <w:r>
        <w:rPr>
          <w:rFonts w:ascii="Times New Roman" w:eastAsia="Times New Roman" w:hAnsi="Times New Roman" w:cs="Arial"/>
          <w:bCs/>
          <w:i/>
          <w:noProof/>
          <w:color w:val="00A3E0"/>
          <w:sz w:val="24"/>
          <w:szCs w:val="20"/>
        </w:rPr>
        <w:t>3</w:t>
      </w:r>
      <w:r>
        <w:rPr>
          <w:rFonts w:ascii="Times New Roman" w:eastAsia="Times New Roman" w:hAnsi="Times New Roman" w:cs="Arial"/>
          <w:bCs/>
          <w:i/>
          <w:noProof/>
          <w:color w:val="00A3E0"/>
          <w:sz w:val="24"/>
          <w:szCs w:val="20"/>
        </w:rPr>
        <w:fldChar w:fldCharType="end"/>
      </w:r>
      <w:r>
        <w:rPr>
          <w:rFonts w:ascii="Times New Roman" w:eastAsia="Times New Roman" w:hAnsi="Times New Roman" w:cs="Arial"/>
          <w:bCs/>
          <w:i/>
          <w:noProof/>
          <w:color w:val="00A3E0"/>
          <w:sz w:val="24"/>
          <w:szCs w:val="20"/>
        </w:rPr>
        <w:t xml:space="preserve"> – Mapping of types of businesses covered by each provision of the ePD</w:t>
      </w:r>
      <w:bookmarkEnd w:id="65"/>
      <w:bookmarkEnd w:id="66"/>
      <w:bookmarkEnd w:id="67"/>
      <w:r>
        <w:rPr>
          <w:rFonts w:ascii="Times New Roman" w:eastAsia="Times New Roman" w:hAnsi="Times New Roman" w:cs="Arial"/>
          <w:bCs/>
          <w:i/>
          <w:noProof/>
          <w:color w:val="00A3E0"/>
          <w:sz w:val="24"/>
          <w:szCs w:val="20"/>
        </w:rPr>
        <w:t xml:space="preserve"> </w:t>
      </w:r>
    </w:p>
    <w:tbl>
      <w:tblPr>
        <w:tblW w:w="10348" w:type="dxa"/>
        <w:tblInd w:w="-714" w:type="dxa"/>
        <w:tblLayout w:type="fixed"/>
        <w:tblCellMar>
          <w:left w:w="70" w:type="dxa"/>
          <w:right w:w="70" w:type="dxa"/>
        </w:tblCellMar>
        <w:tblLook w:val="04A0" w:firstRow="1" w:lastRow="0" w:firstColumn="1" w:lastColumn="0" w:noHBand="0" w:noVBand="1"/>
      </w:tblPr>
      <w:tblGrid>
        <w:gridCol w:w="877"/>
        <w:gridCol w:w="2367"/>
        <w:gridCol w:w="2368"/>
        <w:gridCol w:w="2368"/>
        <w:gridCol w:w="2368"/>
      </w:tblGrid>
      <w:tr w:rsidR="00035C91">
        <w:trPr>
          <w:trHeight w:val="570"/>
          <w:tblHeader/>
        </w:trPr>
        <w:tc>
          <w:tcPr>
            <w:tcW w:w="877" w:type="dxa"/>
            <w:tcBorders>
              <w:top w:val="single" w:sz="4" w:space="0" w:color="auto"/>
              <w:left w:val="single" w:sz="4" w:space="0" w:color="auto"/>
              <w:bottom w:val="single" w:sz="4" w:space="0" w:color="auto"/>
              <w:right w:val="single" w:sz="4" w:space="0" w:color="000000"/>
            </w:tcBorders>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Article</w:t>
            </w:r>
          </w:p>
        </w:tc>
        <w:tc>
          <w:tcPr>
            <w:tcW w:w="2367"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REFIT exercise</w:t>
            </w:r>
          </w:p>
        </w:tc>
        <w:tc>
          <w:tcPr>
            <w:tcW w:w="2368"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Problem Assessment</w:t>
            </w:r>
          </w:p>
        </w:tc>
        <w:tc>
          <w:tcPr>
            <w:tcW w:w="2368"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Baseline scenario</w:t>
            </w:r>
          </w:p>
        </w:tc>
        <w:tc>
          <w:tcPr>
            <w:tcW w:w="2368"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Assessment of policy options</w:t>
            </w:r>
          </w:p>
        </w:tc>
      </w:tr>
      <w:tr w:rsidR="00035C91">
        <w:trPr>
          <w:trHeight w:val="475"/>
        </w:trPr>
        <w:tc>
          <w:tcPr>
            <w:tcW w:w="877" w:type="dxa"/>
            <w:tcBorders>
              <w:top w:val="nil"/>
              <w:left w:val="single" w:sz="4" w:space="0" w:color="auto"/>
              <w:bottom w:val="single" w:sz="4" w:space="0" w:color="auto"/>
              <w:right w:val="single" w:sz="4" w:space="0" w:color="auto"/>
            </w:tcBorders>
            <w:shd w:val="clear" w:color="auto" w:fill="auto"/>
            <w:noWrap/>
            <w:hideMark/>
          </w:tcPr>
          <w:p w:rsidR="00035C91" w:rsidRDefault="00632184">
            <w:pPr>
              <w:spacing w:before="60" w:after="60"/>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4.1 &amp; 4.2</w:t>
            </w:r>
          </w:p>
        </w:tc>
        <w:tc>
          <w:tcPr>
            <w:tcW w:w="2367"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Businesses in the </w:t>
            </w:r>
            <w:r>
              <w:rPr>
                <w:rFonts w:ascii="Times New Roman" w:eastAsia="Times New Roman" w:hAnsi="Times New Roman" w:cs="Arial"/>
                <w:noProof/>
                <w:sz w:val="16"/>
                <w:szCs w:val="16"/>
                <w:lang w:eastAsia="de-DE"/>
              </w:rPr>
              <w:t>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 with emphasis on additional OTTs</w:t>
            </w:r>
          </w:p>
        </w:tc>
      </w:tr>
      <w:tr w:rsidR="00035C91">
        <w:trPr>
          <w:trHeight w:val="133"/>
        </w:trPr>
        <w:tc>
          <w:tcPr>
            <w:tcW w:w="877" w:type="dxa"/>
            <w:tcBorders>
              <w:top w:val="nil"/>
              <w:left w:val="single" w:sz="4" w:space="0" w:color="auto"/>
              <w:bottom w:val="single" w:sz="4" w:space="0" w:color="auto"/>
              <w:right w:val="single" w:sz="4" w:space="0" w:color="auto"/>
            </w:tcBorders>
            <w:shd w:val="clear" w:color="auto" w:fill="auto"/>
            <w:noWrap/>
            <w:hideMark/>
          </w:tcPr>
          <w:p w:rsidR="00035C91" w:rsidRDefault="00632184">
            <w:pPr>
              <w:spacing w:before="60" w:after="60"/>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4.3 &amp; 4.4</w:t>
            </w:r>
          </w:p>
        </w:tc>
        <w:tc>
          <w:tcPr>
            <w:tcW w:w="2367"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Businesses in the telecom sector </w:t>
            </w:r>
          </w:p>
        </w:tc>
      </w:tr>
      <w:tr w:rsidR="00035C91">
        <w:trPr>
          <w:trHeight w:val="325"/>
        </w:trPr>
        <w:tc>
          <w:tcPr>
            <w:tcW w:w="877" w:type="dxa"/>
            <w:tcBorders>
              <w:top w:val="nil"/>
              <w:left w:val="single" w:sz="4" w:space="0" w:color="auto"/>
              <w:bottom w:val="single" w:sz="4" w:space="0" w:color="auto"/>
              <w:right w:val="single" w:sz="4" w:space="0" w:color="auto"/>
            </w:tcBorders>
            <w:shd w:val="clear" w:color="auto" w:fill="auto"/>
            <w:noWrap/>
            <w:hideMark/>
          </w:tcPr>
          <w:p w:rsidR="00035C91" w:rsidRDefault="00632184">
            <w:pPr>
              <w:spacing w:before="60" w:after="60"/>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5.1 &amp; 5.2</w:t>
            </w:r>
          </w:p>
        </w:tc>
        <w:tc>
          <w:tcPr>
            <w:tcW w:w="2367"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 with emphasis on additional OTTs</w:t>
            </w:r>
          </w:p>
        </w:tc>
      </w:tr>
      <w:tr w:rsidR="00035C91">
        <w:trPr>
          <w:trHeight w:val="550"/>
        </w:trPr>
        <w:tc>
          <w:tcPr>
            <w:tcW w:w="877" w:type="dxa"/>
            <w:tcBorders>
              <w:top w:val="nil"/>
              <w:left w:val="single" w:sz="4" w:space="0" w:color="auto"/>
              <w:bottom w:val="single" w:sz="4" w:space="0" w:color="auto"/>
              <w:right w:val="single" w:sz="4" w:space="0" w:color="auto"/>
            </w:tcBorders>
            <w:shd w:val="clear" w:color="auto" w:fill="auto"/>
            <w:noWrap/>
            <w:hideMark/>
          </w:tcPr>
          <w:p w:rsidR="00035C91" w:rsidRDefault="00632184">
            <w:pPr>
              <w:spacing w:before="60" w:after="60"/>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5.3</w:t>
            </w:r>
          </w:p>
        </w:tc>
        <w:tc>
          <w:tcPr>
            <w:tcW w:w="2367"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All businesses that store or access </w:t>
            </w:r>
            <w:r>
              <w:rPr>
                <w:rFonts w:ascii="Times New Roman" w:eastAsia="Times New Roman" w:hAnsi="Times New Roman" w:cs="Arial"/>
                <w:noProof/>
                <w:sz w:val="16"/>
                <w:szCs w:val="16"/>
                <w:lang w:eastAsia="de-DE"/>
              </w:rPr>
              <w:t>information in the users' terminal equipment (e.g. based on cookies)</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All businesses that store or access information in the users' terminal equipment (e.g. based on cookies)</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All businesses that store or access information in the users' terminal equipment (</w:t>
            </w:r>
            <w:r>
              <w:rPr>
                <w:rFonts w:ascii="Times New Roman" w:eastAsia="Times New Roman" w:hAnsi="Times New Roman" w:cs="Arial"/>
                <w:noProof/>
                <w:sz w:val="16"/>
                <w:szCs w:val="16"/>
                <w:lang w:eastAsia="de-DE"/>
              </w:rPr>
              <w:t>e.g. based on cookies)</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All businesses as above with emphasis on additional browser providers, app store providers, and operating system providers</w:t>
            </w:r>
          </w:p>
        </w:tc>
      </w:tr>
      <w:tr w:rsidR="00035C91">
        <w:trPr>
          <w:trHeight w:val="384"/>
        </w:trPr>
        <w:tc>
          <w:tcPr>
            <w:tcW w:w="877"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6 &amp; 9</w:t>
            </w:r>
          </w:p>
        </w:tc>
        <w:tc>
          <w:tcPr>
            <w:tcW w:w="2367"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 with emphasis on additional OTTs</w:t>
            </w:r>
          </w:p>
        </w:tc>
      </w:tr>
      <w:tr w:rsidR="00035C91">
        <w:trPr>
          <w:trHeight w:val="185"/>
        </w:trPr>
        <w:tc>
          <w:tcPr>
            <w:tcW w:w="877"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7</w:t>
            </w:r>
          </w:p>
        </w:tc>
        <w:tc>
          <w:tcPr>
            <w:tcW w:w="2367"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r>
      <w:tr w:rsidR="00035C91">
        <w:trPr>
          <w:trHeight w:val="187"/>
        </w:trPr>
        <w:tc>
          <w:tcPr>
            <w:tcW w:w="877"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8 &amp; 10</w:t>
            </w:r>
          </w:p>
        </w:tc>
        <w:tc>
          <w:tcPr>
            <w:tcW w:w="2367"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Businesses in </w:t>
            </w:r>
            <w:r>
              <w:rPr>
                <w:rFonts w:ascii="Times New Roman" w:eastAsia="Times New Roman" w:hAnsi="Times New Roman" w:cs="Arial"/>
                <w:noProof/>
                <w:sz w:val="16"/>
                <w:szCs w:val="16"/>
                <w:lang w:eastAsia="de-DE"/>
              </w:rPr>
              <w:t>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r>
      <w:tr w:rsidR="00035C91">
        <w:trPr>
          <w:trHeight w:val="285"/>
        </w:trPr>
        <w:tc>
          <w:tcPr>
            <w:tcW w:w="877"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11</w:t>
            </w:r>
          </w:p>
        </w:tc>
        <w:tc>
          <w:tcPr>
            <w:tcW w:w="2367"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r>
      <w:tr w:rsidR="00035C91">
        <w:trPr>
          <w:trHeight w:val="335"/>
        </w:trPr>
        <w:tc>
          <w:tcPr>
            <w:tcW w:w="877"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12</w:t>
            </w:r>
          </w:p>
        </w:tc>
        <w:tc>
          <w:tcPr>
            <w:tcW w:w="2367"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Businesses in the telecom </w:t>
            </w:r>
            <w:r>
              <w:rPr>
                <w:rFonts w:ascii="Times New Roman" w:eastAsia="Times New Roman" w:hAnsi="Times New Roman" w:cs="Arial"/>
                <w:noProof/>
                <w:sz w:val="16"/>
                <w:szCs w:val="16"/>
                <w:lang w:eastAsia="de-DE"/>
              </w:rPr>
              <w:t>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Businesses in the telecom sector</w:t>
            </w:r>
          </w:p>
        </w:tc>
      </w:tr>
      <w:tr w:rsidR="00035C91">
        <w:trPr>
          <w:trHeight w:val="513"/>
        </w:trPr>
        <w:tc>
          <w:tcPr>
            <w:tcW w:w="877"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13</w:t>
            </w:r>
          </w:p>
        </w:tc>
        <w:tc>
          <w:tcPr>
            <w:tcW w:w="2367"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All businesses that provide for unsolicited communications by means of electronic communications </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All businesses that provide for unsolicited communications by using </w:t>
            </w:r>
            <w:r>
              <w:rPr>
                <w:rFonts w:ascii="Times New Roman" w:eastAsia="Times New Roman" w:hAnsi="Times New Roman" w:cs="Arial"/>
                <w:noProof/>
                <w:color w:val="444444"/>
                <w:sz w:val="16"/>
                <w:szCs w:val="16"/>
              </w:rPr>
              <w:t xml:space="preserve">publicly available electronic communications services in public communications networks </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All businesses that provide for unsolicited communications by means of electronic communications </w:t>
            </w:r>
          </w:p>
        </w:tc>
        <w:tc>
          <w:tcPr>
            <w:tcW w:w="2368" w:type="dxa"/>
            <w:tcBorders>
              <w:top w:val="nil"/>
              <w:left w:val="nil"/>
              <w:bottom w:val="single" w:sz="4" w:space="0" w:color="auto"/>
              <w:right w:val="single" w:sz="4" w:space="0" w:color="auto"/>
            </w:tcBorders>
            <w:shd w:val="clear" w:color="auto" w:fill="auto"/>
            <w:hideMark/>
          </w:tcPr>
          <w:p w:rsidR="00035C91" w:rsidRDefault="00632184">
            <w:pPr>
              <w:spacing w:before="60" w:after="6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A</w:t>
            </w:r>
            <w:r>
              <w:rPr>
                <w:rFonts w:ascii="Times New Roman" w:eastAsia="Times New Roman" w:hAnsi="Times New Roman" w:cs="Arial"/>
                <w:noProof/>
                <w:sz w:val="16"/>
                <w:szCs w:val="16"/>
                <w:lang w:eastAsia="de-DE"/>
              </w:rPr>
              <w:t>ll businesses that provide for unsolicited communications by means of electronic communications</w:t>
            </w:r>
          </w:p>
        </w:tc>
      </w:tr>
    </w:tbl>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i/>
          <w:noProof/>
          <w:sz w:val="16"/>
          <w:szCs w:val="20"/>
        </w:rPr>
        <w:t>Source: Deloitte</w:t>
      </w:r>
    </w:p>
    <w:p w:rsidR="00035C91" w:rsidRDefault="00035C91">
      <w:pPr>
        <w:spacing w:before="0" w:after="240"/>
        <w:rPr>
          <w:rFonts w:ascii="Times New Roman" w:eastAsia="Times New Roman" w:hAnsi="Times New Roman"/>
          <w:noProof/>
          <w:sz w:val="24"/>
          <w:szCs w:val="20"/>
        </w:rPr>
        <w:sectPr w:rsidR="00035C91">
          <w:headerReference w:type="even" r:id="rId19"/>
          <w:headerReference w:type="default" r:id="rId20"/>
          <w:footerReference w:type="even" r:id="rId21"/>
          <w:footerReference w:type="default" r:id="rId22"/>
          <w:headerReference w:type="first" r:id="rId23"/>
          <w:footerReference w:type="first" r:id="rId24"/>
          <w:footnotePr>
            <w:numStart w:val="117"/>
          </w:footnotePr>
          <w:pgSz w:w="11906" w:h="16838"/>
          <w:pgMar w:top="1418" w:right="1418" w:bottom="1134" w:left="1418" w:header="709" w:footer="709" w:gutter="0"/>
          <w:pgNumType w:start="107"/>
          <w:cols w:space="720"/>
          <w:docGrid w:linePitch="360"/>
        </w:sectPr>
      </w:pPr>
    </w:p>
    <w:p w:rsidR="00035C91" w:rsidRDefault="00632184">
      <w:pPr>
        <w:keepNext/>
        <w:spacing w:before="240" w:after="0" w:line="312" w:lineRule="auto"/>
        <w:ind w:left="720"/>
        <w:jc w:val="center"/>
        <w:rPr>
          <w:rFonts w:ascii="Times New Roman" w:eastAsia="Times New Roman" w:hAnsi="Times New Roman" w:cs="Arial"/>
          <w:bCs/>
          <w:i/>
          <w:noProof/>
          <w:color w:val="00A3E0"/>
          <w:sz w:val="24"/>
          <w:szCs w:val="20"/>
        </w:rPr>
      </w:pPr>
      <w:bookmarkStart w:id="68" w:name="_Ref459580578"/>
      <w:bookmarkStart w:id="69" w:name="_Toc462410875"/>
      <w:bookmarkStart w:id="70" w:name="_Toc462075507"/>
      <w:bookmarkStart w:id="71" w:name="_Toc464765530"/>
      <w:r>
        <w:rPr>
          <w:rFonts w:ascii="Times New Roman" w:eastAsia="Times New Roman" w:hAnsi="Times New Roman" w:cs="Arial"/>
          <w:bCs/>
          <w:i/>
          <w:noProof/>
          <w:color w:val="00A3E0"/>
          <w:sz w:val="24"/>
          <w:szCs w:val="20"/>
        </w:rPr>
        <w:t xml:space="preserve">Table </w:t>
      </w:r>
      <w:r>
        <w:rPr>
          <w:rFonts w:ascii="Times New Roman" w:eastAsia="Times New Roman" w:hAnsi="Times New Roman" w:cs="Arial"/>
          <w:bCs/>
          <w:i/>
          <w:noProof/>
          <w:color w:val="00A3E0"/>
          <w:sz w:val="24"/>
          <w:szCs w:val="20"/>
        </w:rPr>
        <w:fldChar w:fldCharType="begin"/>
      </w:r>
      <w:r>
        <w:rPr>
          <w:rFonts w:ascii="Times New Roman" w:eastAsia="Times New Roman" w:hAnsi="Times New Roman" w:cs="Arial"/>
          <w:bCs/>
          <w:i/>
          <w:noProof/>
          <w:color w:val="00A3E0"/>
          <w:sz w:val="24"/>
          <w:szCs w:val="20"/>
        </w:rPr>
        <w:instrText xml:space="preserve"> SEQ Table \* ARABIC </w:instrText>
      </w:r>
      <w:r>
        <w:rPr>
          <w:rFonts w:ascii="Times New Roman" w:eastAsia="Times New Roman" w:hAnsi="Times New Roman" w:cs="Arial"/>
          <w:bCs/>
          <w:i/>
          <w:noProof/>
          <w:color w:val="00A3E0"/>
          <w:sz w:val="24"/>
          <w:szCs w:val="20"/>
        </w:rPr>
        <w:fldChar w:fldCharType="separate"/>
      </w:r>
      <w:r>
        <w:rPr>
          <w:rFonts w:ascii="Times New Roman" w:eastAsia="Times New Roman" w:hAnsi="Times New Roman" w:cs="Arial"/>
          <w:bCs/>
          <w:i/>
          <w:noProof/>
          <w:color w:val="00A3E0"/>
          <w:sz w:val="24"/>
          <w:szCs w:val="20"/>
        </w:rPr>
        <w:t>4</w:t>
      </w:r>
      <w:r>
        <w:rPr>
          <w:rFonts w:ascii="Times New Roman" w:eastAsia="Times New Roman" w:hAnsi="Times New Roman" w:cs="Arial"/>
          <w:bCs/>
          <w:i/>
          <w:noProof/>
          <w:color w:val="00A3E0"/>
          <w:sz w:val="24"/>
          <w:szCs w:val="20"/>
        </w:rPr>
        <w:fldChar w:fldCharType="end"/>
      </w:r>
      <w:bookmarkEnd w:id="68"/>
      <w:r>
        <w:rPr>
          <w:rFonts w:ascii="Times New Roman" w:eastAsia="Times New Roman" w:hAnsi="Times New Roman" w:cs="Arial"/>
          <w:bCs/>
          <w:i/>
          <w:noProof/>
          <w:color w:val="00A3E0"/>
          <w:sz w:val="24"/>
          <w:szCs w:val="20"/>
        </w:rPr>
        <w:t xml:space="preserve"> – Qualitative and quantitative assumptions used for the projections</w:t>
      </w:r>
      <w:bookmarkEnd w:id="69"/>
      <w:bookmarkEnd w:id="70"/>
      <w:bookmarkEnd w:id="71"/>
      <w:r>
        <w:rPr>
          <w:rFonts w:ascii="Times New Roman" w:eastAsia="Times New Roman" w:hAnsi="Times New Roman" w:cs="Arial"/>
          <w:bCs/>
          <w:i/>
          <w:noProof/>
          <w:color w:val="00A3E0"/>
          <w:sz w:val="24"/>
          <w:szCs w:val="20"/>
        </w:rPr>
        <w:t xml:space="preserve"> </w:t>
      </w:r>
    </w:p>
    <w:tbl>
      <w:tblPr>
        <w:tblW w:w="15207" w:type="dxa"/>
        <w:tblCellMar>
          <w:left w:w="70" w:type="dxa"/>
          <w:right w:w="70" w:type="dxa"/>
        </w:tblCellMar>
        <w:tblLook w:val="04A0" w:firstRow="1" w:lastRow="0" w:firstColumn="1" w:lastColumn="0" w:noHBand="0" w:noVBand="1"/>
      </w:tblPr>
      <w:tblGrid>
        <w:gridCol w:w="2875"/>
        <w:gridCol w:w="12332"/>
      </w:tblGrid>
      <w:tr w:rsidR="00035C91">
        <w:trPr>
          <w:trHeight w:val="225"/>
          <w:tblHeader/>
        </w:trPr>
        <w:tc>
          <w:tcPr>
            <w:tcW w:w="2875" w:type="dxa"/>
            <w:tcBorders>
              <w:top w:val="single" w:sz="4" w:space="0" w:color="auto"/>
              <w:left w:val="single" w:sz="4" w:space="0" w:color="auto"/>
              <w:bottom w:val="single" w:sz="4" w:space="0" w:color="auto"/>
              <w:right w:val="single" w:sz="4" w:space="0" w:color="auto"/>
            </w:tcBorders>
            <w:shd w:val="clear" w:color="000000" w:fill="81BC00"/>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Broad area of assumption</w:t>
            </w:r>
          </w:p>
        </w:tc>
        <w:tc>
          <w:tcPr>
            <w:tcW w:w="12332" w:type="dxa"/>
            <w:tcBorders>
              <w:top w:val="single" w:sz="4" w:space="0" w:color="auto"/>
              <w:left w:val="nil"/>
              <w:bottom w:val="single" w:sz="4" w:space="0" w:color="auto"/>
              <w:right w:val="single" w:sz="4" w:space="0" w:color="auto"/>
            </w:tcBorders>
            <w:shd w:val="clear" w:color="000000" w:fill="81BC00"/>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Assumption and brief explanation</w:t>
            </w:r>
          </w:p>
        </w:tc>
      </w:tr>
      <w:tr w:rsidR="00035C91">
        <w:trPr>
          <w:trHeight w:val="225"/>
        </w:trPr>
        <w:tc>
          <w:tcPr>
            <w:tcW w:w="15207" w:type="dxa"/>
            <w:gridSpan w:val="2"/>
            <w:tcBorders>
              <w:top w:val="nil"/>
              <w:left w:val="single" w:sz="4" w:space="0" w:color="auto"/>
              <w:bottom w:val="single" w:sz="4" w:space="0" w:color="auto"/>
              <w:right w:val="single" w:sz="4" w:space="0" w:color="auto"/>
            </w:tcBorders>
            <w:shd w:val="clear" w:color="000000" w:fill="00A1DE"/>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Number of citizens affected</w:t>
            </w:r>
          </w:p>
        </w:tc>
      </w:tr>
      <w:tr w:rsidR="00035C91">
        <w:trPr>
          <w:trHeight w:val="900"/>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General assumption on the future growth of the population </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The past and future growth of the </w:t>
            </w:r>
            <w:r>
              <w:rPr>
                <w:rFonts w:ascii="Times New Roman" w:eastAsia="Times New Roman" w:hAnsi="Times New Roman" w:cs="Arial"/>
                <w:noProof/>
                <w:sz w:val="18"/>
                <w:szCs w:val="18"/>
                <w:lang w:eastAsia="de-DE"/>
              </w:rPr>
              <w:t>population follows the growth rate of the years for which data is available, e.g. 2002 to 2015 (per Member State, based on Eurostat data).</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This is a common assumption for models projecting future scenarios. However, it is a rather static assumption that do</w:t>
            </w:r>
            <w:r>
              <w:rPr>
                <w:rFonts w:ascii="Times New Roman" w:eastAsia="Times New Roman" w:hAnsi="Times New Roman" w:cs="Arial"/>
                <w:noProof/>
                <w:sz w:val="18"/>
                <w:szCs w:val="18"/>
                <w:lang w:eastAsia="de-DE"/>
              </w:rPr>
              <w:t xml:space="preserve">es not take account of e.g. national population policies (in particular regarding fertility and ageing). It should be kept in mind that, under certain conditions such as no </w:t>
            </w:r>
            <w:r>
              <w:rPr>
                <w:rFonts w:ascii="Times New Roman" w:eastAsia="Times New Roman" w:hAnsi="Times New Roman" w:cs="Arial"/>
                <w:i/>
                <w:noProof/>
                <w:sz w:val="18"/>
                <w:szCs w:val="18"/>
                <w:lang w:eastAsia="de-DE"/>
              </w:rPr>
              <w:t>jump</w:t>
            </w:r>
            <w:r>
              <w:rPr>
                <w:rFonts w:ascii="Times New Roman" w:eastAsia="Times New Roman" w:hAnsi="Times New Roman" w:cs="Arial"/>
                <w:noProof/>
                <w:sz w:val="18"/>
                <w:szCs w:val="18"/>
                <w:lang w:eastAsia="de-DE"/>
              </w:rPr>
              <w:t xml:space="preserve"> in fertility rates occurs in the future, the population growth might not only </w:t>
            </w:r>
            <w:r>
              <w:rPr>
                <w:rFonts w:ascii="Times New Roman" w:eastAsia="Times New Roman" w:hAnsi="Times New Roman" w:cs="Arial"/>
                <w:noProof/>
                <w:sz w:val="18"/>
                <w:szCs w:val="18"/>
                <w:lang w:eastAsia="de-DE"/>
              </w:rPr>
              <w:t>be slowing down, but also turn into a decline at some point. Similarly, past population growth could have also been different from in the years for which data is available. However, as no specific data is available, this assumption seems most pragmatic.</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We</w:t>
            </w:r>
            <w:r>
              <w:rPr>
                <w:rFonts w:ascii="Times New Roman" w:eastAsia="Times New Roman" w:hAnsi="Times New Roman" w:cs="Arial"/>
                <w:noProof/>
                <w:sz w:val="18"/>
                <w:szCs w:val="18"/>
                <w:lang w:eastAsia="de-DE"/>
              </w:rPr>
              <w:t xml:space="preserve"> have used Compound Annual Growth Rates (CAGR) to project the development of the population into the future. </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The CAGR represents the year-over-year growth rate (in %) for a specific type of statistics and is used as a multiplicative factor in order to pro</w:t>
            </w:r>
            <w:r>
              <w:rPr>
                <w:rFonts w:ascii="Times New Roman" w:eastAsia="Times New Roman" w:hAnsi="Times New Roman" w:cs="Arial"/>
                <w:noProof/>
                <w:sz w:val="18"/>
                <w:szCs w:val="18"/>
              </w:rPr>
              <w:t>ject the figures identified in the problem assessment until 2030 as a cumulative figure, or in 2030 as an annual figure. In order to project a figure in 2030 the following formula has been applied:</w:t>
            </w:r>
          </w:p>
          <w:p w:rsidR="00035C91" w:rsidRDefault="00632184">
            <w:pPr>
              <w:spacing w:before="60" w:after="60"/>
              <w:rPr>
                <w:rFonts w:ascii="Times New Roman" w:eastAsiaTheme="minorEastAsia" w:hAnsi="Times New Roman" w:cs="Arial"/>
                <w:noProof/>
                <w:sz w:val="18"/>
                <w:szCs w:val="18"/>
              </w:rPr>
            </w:pPr>
            <m:oMathPara>
              <m:oMathParaPr>
                <m:jc m:val="left"/>
              </m:oMathParaPr>
              <m:oMath>
                <m:sSub>
                  <m:sSubPr>
                    <m:ctrlPr>
                      <w:rPr>
                        <w:rFonts w:ascii="Cambria Math" w:eastAsia="Times New Roman" w:hAnsi="Cambria Math" w:cs="Arial"/>
                        <w:noProof/>
                        <w:sz w:val="18"/>
                        <w:szCs w:val="18"/>
                      </w:rPr>
                    </m:ctrlPr>
                  </m:sSubPr>
                  <m:e>
                    <m:r>
                      <m:rPr>
                        <m:sty m:val="p"/>
                      </m:rPr>
                      <w:rPr>
                        <w:rFonts w:ascii="Cambria Math" w:eastAsia="Times New Roman" w:hAnsi="Cambria Math" w:cs="Arial"/>
                        <w:noProof/>
                        <w:sz w:val="18"/>
                        <w:szCs w:val="18"/>
                      </w:rPr>
                      <m:t>y</m:t>
                    </m:r>
                  </m:e>
                  <m:sub>
                    <m:r>
                      <m:rPr>
                        <m:sty m:val="p"/>
                      </m:rPr>
                      <w:rPr>
                        <w:rFonts w:ascii="Cambria Math" w:eastAsia="Times New Roman" w:hAnsi="Cambria Math" w:cs="Arial"/>
                        <w:noProof/>
                        <w:sz w:val="18"/>
                        <w:szCs w:val="18"/>
                      </w:rPr>
                      <m:t>t</m:t>
                    </m:r>
                  </m:sub>
                </m:sSub>
                <m:r>
                  <w:rPr>
                    <w:rFonts w:ascii="Cambria Math" w:eastAsia="Cambria Math" w:hAnsi="Cambria Math" w:cs="Arial"/>
                    <w:noProof/>
                    <w:sz w:val="18"/>
                    <w:szCs w:val="18"/>
                  </w:rPr>
                  <m:t>=</m:t>
                </m:r>
                <m:sSub>
                  <m:sSubPr>
                    <m:ctrlPr>
                      <w:rPr>
                        <w:rFonts w:ascii="Cambria Math" w:eastAsia="Times New Roman" w:hAnsi="Cambria Math" w:cs="Arial"/>
                        <w:noProof/>
                        <w:sz w:val="18"/>
                        <w:szCs w:val="18"/>
                      </w:rPr>
                    </m:ctrlPr>
                  </m:sSubPr>
                  <m:e>
                    <m:r>
                      <m:rPr>
                        <m:sty m:val="p"/>
                      </m:rPr>
                      <w:rPr>
                        <w:rFonts w:ascii="Cambria Math" w:eastAsia="Times New Roman" w:hAnsi="Cambria Math" w:cs="Arial"/>
                        <w:noProof/>
                        <w:sz w:val="18"/>
                        <w:szCs w:val="18"/>
                      </w:rPr>
                      <m:t>y</m:t>
                    </m:r>
                  </m:e>
                  <m:sub>
                    <m:r>
                      <m:rPr>
                        <m:sty m:val="p"/>
                      </m:rPr>
                      <w:rPr>
                        <w:rFonts w:ascii="Cambria Math" w:eastAsia="Times New Roman" w:hAnsi="Cambria Math" w:cs="Arial"/>
                        <w:noProof/>
                        <w:sz w:val="18"/>
                        <w:szCs w:val="18"/>
                      </w:rPr>
                      <m:t>2016</m:t>
                    </m:r>
                  </m:sub>
                </m:sSub>
                <m:r>
                  <w:rPr>
                    <w:rFonts w:ascii="Cambria Math" w:eastAsia="Times New Roman" w:hAnsi="Cambria Math" w:cs="Arial"/>
                    <w:noProof/>
                    <w:sz w:val="18"/>
                    <w:szCs w:val="18"/>
                  </w:rPr>
                  <m:t>×</m:t>
                </m:r>
                <m:sSup>
                  <m:sSupPr>
                    <m:ctrlPr>
                      <w:rPr>
                        <w:rFonts w:ascii="Cambria Math" w:eastAsia="Times New Roman" w:hAnsi="Cambria Math" w:cs="Arial"/>
                        <w:noProof/>
                        <w:sz w:val="18"/>
                        <w:szCs w:val="18"/>
                      </w:rPr>
                    </m:ctrlPr>
                  </m:sSupPr>
                  <m:e>
                    <m:d>
                      <m:dPr>
                        <m:ctrlPr>
                          <w:rPr>
                            <w:rFonts w:ascii="Cambria Math" w:eastAsia="Times New Roman" w:hAnsi="Cambria Math" w:cs="Arial"/>
                            <w:noProof/>
                            <w:sz w:val="18"/>
                            <w:szCs w:val="18"/>
                          </w:rPr>
                        </m:ctrlPr>
                      </m:dPr>
                      <m:e>
                        <m:r>
                          <w:rPr>
                            <w:rFonts w:ascii="Cambria Math" w:eastAsia="Times New Roman" w:hAnsi="Cambria Math" w:cs="Arial"/>
                            <w:noProof/>
                            <w:sz w:val="18"/>
                            <w:szCs w:val="18"/>
                          </w:rPr>
                          <m:t>1+</m:t>
                        </m:r>
                        <m:r>
                          <w:rPr>
                            <w:rFonts w:ascii="Cambria Math" w:eastAsia="Times New Roman" w:hAnsi="Cambria Math" w:cs="Arial"/>
                            <w:noProof/>
                            <w:sz w:val="18"/>
                            <w:szCs w:val="18"/>
                          </w:rPr>
                          <m:t>CAGR</m:t>
                        </m:r>
                      </m:e>
                    </m:d>
                  </m:e>
                  <m:sup>
                    <m:r>
                      <w:rPr>
                        <w:rFonts w:ascii="Cambria Math" w:eastAsia="Times New Roman" w:hAnsi="Cambria Math" w:cs="Arial"/>
                        <w:noProof/>
                        <w:sz w:val="18"/>
                        <w:szCs w:val="18"/>
                      </w:rPr>
                      <m:t>(</m:t>
                    </m:r>
                    <m:r>
                      <w:rPr>
                        <w:rFonts w:ascii="Cambria Math" w:eastAsia="Times New Roman" w:hAnsi="Cambria Math" w:cs="Arial"/>
                        <w:noProof/>
                        <w:sz w:val="18"/>
                        <w:szCs w:val="18"/>
                      </w:rPr>
                      <m:t>t</m:t>
                    </m:r>
                    <m:r>
                      <w:rPr>
                        <w:rFonts w:ascii="Cambria Math" w:eastAsia="Times New Roman" w:hAnsi="Cambria Math" w:cs="Arial"/>
                        <w:noProof/>
                        <w:sz w:val="18"/>
                        <w:szCs w:val="18"/>
                      </w:rPr>
                      <m:t>-2016)</m:t>
                    </m:r>
                  </m:sup>
                </m:sSup>
              </m:oMath>
            </m:oMathPara>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Whereas y</w:t>
            </w:r>
            <w:r>
              <w:rPr>
                <w:rFonts w:ascii="Times New Roman" w:eastAsia="Times New Roman" w:hAnsi="Times New Roman" w:cs="Arial"/>
                <w:noProof/>
                <w:sz w:val="18"/>
                <w:szCs w:val="18"/>
                <w:vertAlign w:val="subscript"/>
              </w:rPr>
              <w:t>t</w:t>
            </w:r>
            <w:r>
              <w:rPr>
                <w:rFonts w:ascii="Times New Roman" w:eastAsia="Times New Roman" w:hAnsi="Times New Roman" w:cs="Arial"/>
                <w:noProof/>
                <w:sz w:val="18"/>
                <w:szCs w:val="18"/>
              </w:rPr>
              <w:t xml:space="preserve"> is the value of the number of citizens affected in year t,</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rPr>
              <w:t>The CAGR can be used to project figures both into the future, as well as into the past in case no relevant public statistics from Eurostat are available.</w:t>
            </w:r>
          </w:p>
        </w:tc>
      </w:tr>
      <w:tr w:rsidR="00035C91">
        <w:trPr>
          <w:trHeight w:val="85"/>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General assumption concerning the number </w:t>
            </w:r>
            <w:r>
              <w:rPr>
                <w:rFonts w:ascii="Times New Roman" w:eastAsia="Times New Roman" w:hAnsi="Times New Roman" w:cs="Arial"/>
                <w:noProof/>
                <w:sz w:val="18"/>
                <w:szCs w:val="18"/>
                <w:lang w:eastAsia="de-DE"/>
              </w:rPr>
              <w:t>of citizens affected based on usage rates of services</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The number of citizens affected is linked to the (projected) usage rates for each service covered by the ePD. The projections are based on Eurobarometer data</w:t>
            </w:r>
            <w:r>
              <w:rPr>
                <w:rFonts w:ascii="Times New Roman" w:eastAsia="Times New Roman" w:hAnsi="Times New Roman" w:cs="Arial"/>
                <w:noProof/>
                <w:sz w:val="18"/>
                <w:szCs w:val="18"/>
                <w:vertAlign w:val="superscript"/>
                <w:lang w:eastAsia="de-DE"/>
              </w:rPr>
              <w:footnoteReference w:id="7"/>
            </w:r>
            <w:r>
              <w:rPr>
                <w:rFonts w:ascii="Times New Roman" w:eastAsia="Times New Roman" w:hAnsi="Times New Roman" w:cs="Arial"/>
                <w:noProof/>
                <w:sz w:val="18"/>
                <w:szCs w:val="18"/>
                <w:lang w:eastAsia="de-DE"/>
              </w:rPr>
              <w:t xml:space="preserve"> regarding the share of citizens that make u</w:t>
            </w:r>
            <w:r>
              <w:rPr>
                <w:rFonts w:ascii="Times New Roman" w:eastAsia="Times New Roman" w:hAnsi="Times New Roman" w:cs="Arial"/>
                <w:noProof/>
                <w:sz w:val="18"/>
                <w:szCs w:val="18"/>
                <w:lang w:eastAsia="de-DE"/>
              </w:rPr>
              <w:t>se of a service “at least a few times per month”.</w:t>
            </w:r>
            <w:r>
              <w:rPr>
                <w:rFonts w:ascii="Times New Roman" w:eastAsia="Times New Roman" w:hAnsi="Times New Roman" w:cs="Arial"/>
                <w:noProof/>
                <w:sz w:val="18"/>
                <w:szCs w:val="18"/>
                <w:vertAlign w:val="superscript"/>
                <w:lang w:eastAsia="de-DE"/>
              </w:rPr>
              <w:footnoteReference w:id="8"/>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This means that only citizens that make use of a specific service are affected – </w:t>
            </w:r>
            <w:r>
              <w:rPr>
                <w:rFonts w:ascii="Times New Roman" w:eastAsia="Times New Roman" w:hAnsi="Times New Roman" w:cs="Arial"/>
                <w:noProof/>
                <w:sz w:val="18"/>
                <w:szCs w:val="18"/>
              </w:rPr>
              <w:t>either positively (e.g. benefitting from higher privacy standards) or negatively (e.g. if companies are not compliant)</w:t>
            </w:r>
            <w:r>
              <w:rPr>
                <w:rFonts w:ascii="Times New Roman" w:eastAsia="Times New Roman" w:hAnsi="Times New Roman" w:cs="Arial"/>
                <w:noProof/>
                <w:sz w:val="18"/>
                <w:szCs w:val="18"/>
                <w:lang w:eastAsia="de-DE"/>
              </w:rPr>
              <w:t>, whil</w:t>
            </w:r>
            <w:r>
              <w:rPr>
                <w:rFonts w:ascii="Times New Roman" w:eastAsia="Times New Roman" w:hAnsi="Times New Roman" w:cs="Arial"/>
                <w:noProof/>
                <w:sz w:val="18"/>
                <w:szCs w:val="18"/>
                <w:lang w:eastAsia="de-DE"/>
              </w:rPr>
              <w:t>e others not making use of a service are not affected.</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In practice, however, it could be argued that also citizens that do not make use of a service could be affected. This argument has two components. On the one hand, citizens could use services on behalf</w:t>
            </w:r>
            <w:r>
              <w:rPr>
                <w:rFonts w:ascii="Times New Roman" w:eastAsia="Times New Roman" w:hAnsi="Times New Roman" w:cs="Arial"/>
                <w:noProof/>
                <w:sz w:val="18"/>
                <w:szCs w:val="18"/>
                <w:lang w:eastAsia="de-DE"/>
              </w:rPr>
              <w:t xml:space="preserve"> of others, e.g. buying products online for elderly, transferring cash online to a regular bank account for which data could be hacked, communication not </w:t>
            </w:r>
            <w:r>
              <w:rPr>
                <w:rFonts w:ascii="Times New Roman" w:eastAsia="Times New Roman" w:hAnsi="Times New Roman" w:cs="Arial"/>
                <w:i/>
                <w:noProof/>
                <w:sz w:val="18"/>
                <w:szCs w:val="18"/>
                <w:lang w:eastAsia="de-DE"/>
              </w:rPr>
              <w:t>with</w:t>
            </w:r>
            <w:r>
              <w:rPr>
                <w:rFonts w:ascii="Times New Roman" w:eastAsia="Times New Roman" w:hAnsi="Times New Roman" w:cs="Arial"/>
                <w:noProof/>
                <w:sz w:val="18"/>
                <w:szCs w:val="18"/>
                <w:lang w:eastAsia="de-DE"/>
              </w:rPr>
              <w:t xml:space="preserve"> but </w:t>
            </w:r>
            <w:r>
              <w:rPr>
                <w:rFonts w:ascii="Times New Roman" w:eastAsia="Times New Roman" w:hAnsi="Times New Roman" w:cs="Arial"/>
                <w:i/>
                <w:noProof/>
                <w:sz w:val="18"/>
                <w:szCs w:val="18"/>
                <w:lang w:eastAsia="de-DE"/>
              </w:rPr>
              <w:t>concerning</w:t>
            </w:r>
            <w:r>
              <w:rPr>
                <w:rFonts w:ascii="Times New Roman" w:eastAsia="Times New Roman" w:hAnsi="Times New Roman" w:cs="Arial"/>
                <w:noProof/>
                <w:sz w:val="18"/>
                <w:szCs w:val="18"/>
                <w:lang w:eastAsia="de-DE"/>
              </w:rPr>
              <w:t xml:space="preserve"> a third person etc.</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On the other hand, there is also a societal component, in that</w:t>
            </w:r>
            <w:r>
              <w:rPr>
                <w:rFonts w:ascii="Times New Roman" w:eastAsia="Times New Roman" w:hAnsi="Times New Roman" w:cs="Arial"/>
                <w:noProof/>
                <w:sz w:val="18"/>
                <w:szCs w:val="18"/>
                <w:lang w:eastAsia="de-DE"/>
              </w:rPr>
              <w:t xml:space="preserve"> e.g. in case of a security breach or data hack, not only the person who has been subject to the security breach or being hacked is affected, but quite naturally also the citizens in the social environment of this person.</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Such argumentation is, however, no</w:t>
            </w:r>
            <w:r>
              <w:rPr>
                <w:rFonts w:ascii="Times New Roman" w:eastAsia="Times New Roman" w:hAnsi="Times New Roman" w:cs="Arial"/>
                <w:noProof/>
                <w:sz w:val="18"/>
                <w:szCs w:val="18"/>
                <w:lang w:eastAsia="de-DE"/>
              </w:rPr>
              <w:t>t reflected in our projections.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We have used Compound Annual Growth Rates (CAGR) to project the development of the usage rates in the future (see also below).</w:t>
            </w:r>
          </w:p>
        </w:tc>
      </w:tr>
      <w:tr w:rsidR="00035C91">
        <w:trPr>
          <w:trHeight w:val="225"/>
        </w:trPr>
        <w:tc>
          <w:tcPr>
            <w:tcW w:w="15207" w:type="dxa"/>
            <w:gridSpan w:val="2"/>
            <w:tcBorders>
              <w:top w:val="single" w:sz="4" w:space="0" w:color="auto"/>
              <w:left w:val="single" w:sz="4" w:space="0" w:color="auto"/>
              <w:bottom w:val="single" w:sz="4" w:space="0" w:color="auto"/>
              <w:right w:val="single" w:sz="4" w:space="0" w:color="auto"/>
            </w:tcBorders>
            <w:shd w:val="clear" w:color="000000" w:fill="BFBFBF"/>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Compound Annual Growth Rate for services reflected in Flash Eurobarometer 443</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Internet to </w:t>
            </w:r>
            <w:r>
              <w:rPr>
                <w:rFonts w:ascii="Times New Roman" w:eastAsia="Times New Roman" w:hAnsi="Times New Roman" w:cs="Arial"/>
                <w:noProof/>
                <w:sz w:val="18"/>
                <w:szCs w:val="18"/>
                <w:lang w:eastAsia="de-DE"/>
              </w:rPr>
              <w:t>browse online</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We have used a </w:t>
            </w:r>
            <w:r>
              <w:rPr>
                <w:rFonts w:ascii="Times New Roman" w:eastAsia="Times New Roman" w:hAnsi="Times New Roman" w:cs="Arial"/>
                <w:b/>
                <w:noProof/>
                <w:sz w:val="18"/>
                <w:szCs w:val="18"/>
                <w:lang w:eastAsia="de-DE"/>
              </w:rPr>
              <w:t>CAGR of 3.36%</w:t>
            </w:r>
            <w:r>
              <w:rPr>
                <w:rFonts w:ascii="Times New Roman" w:eastAsia="Times New Roman" w:hAnsi="Times New Roman" w:cs="Arial"/>
                <w:noProof/>
                <w:sz w:val="18"/>
                <w:szCs w:val="18"/>
                <w:lang w:eastAsia="de-DE"/>
              </w:rPr>
              <w:t xml:space="preserve"> for this service.</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This assumption is based on evidence regarding the increase of global consumer Internet traffic (2015 to 2020), which is estimated to be 18%.</w:t>
            </w:r>
            <w:r>
              <w:rPr>
                <w:rFonts w:ascii="Times New Roman" w:eastAsia="Times New Roman" w:hAnsi="Times New Roman" w:cs="Arial"/>
                <w:noProof/>
                <w:sz w:val="18"/>
                <w:szCs w:val="18"/>
                <w:vertAlign w:val="superscript"/>
                <w:lang w:eastAsia="de-DE"/>
              </w:rPr>
              <w:footnoteReference w:id="9"/>
            </w:r>
            <w:r>
              <w:rPr>
                <w:rFonts w:ascii="Times New Roman" w:eastAsia="Times New Roman" w:hAnsi="Times New Roman" w:cs="Arial"/>
                <w:noProof/>
                <w:sz w:val="18"/>
                <w:szCs w:val="18"/>
                <w:lang w:eastAsia="de-DE"/>
              </w:rPr>
              <w:t xml:space="preserve"> Assuming an unchanged growth rate for the time frame</w:t>
            </w:r>
            <w:r>
              <w:rPr>
                <w:rFonts w:ascii="Times New Roman" w:eastAsia="Times New Roman" w:hAnsi="Times New Roman" w:cs="Arial"/>
                <w:noProof/>
                <w:sz w:val="18"/>
                <w:szCs w:val="18"/>
                <w:lang w:eastAsia="de-DE"/>
              </w:rPr>
              <w:t xml:space="preserve"> of 2020 to 2030, the respective CAGR can be calculated.</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Online social networks</w:t>
            </w:r>
          </w:p>
        </w:tc>
        <w:tc>
          <w:tcPr>
            <w:tcW w:w="12332" w:type="dxa"/>
            <w:tcBorders>
              <w:top w:val="nil"/>
              <w:left w:val="nil"/>
              <w:bottom w:val="single" w:sz="4" w:space="0" w:color="auto"/>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See </w:t>
            </w:r>
            <w:r>
              <w:rPr>
                <w:rFonts w:ascii="Times New Roman" w:eastAsia="Times New Roman" w:hAnsi="Times New Roman" w:cs="Arial"/>
                <w:i/>
                <w:noProof/>
                <w:sz w:val="18"/>
                <w:szCs w:val="18"/>
                <w:lang w:eastAsia="de-DE"/>
              </w:rPr>
              <w:t>Internet to browse online</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Email</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We have used a </w:t>
            </w:r>
            <w:r>
              <w:rPr>
                <w:rFonts w:ascii="Times New Roman" w:eastAsia="Times New Roman" w:hAnsi="Times New Roman" w:cs="Arial"/>
                <w:b/>
                <w:noProof/>
                <w:sz w:val="18"/>
                <w:szCs w:val="18"/>
                <w:lang w:eastAsia="de-DE"/>
              </w:rPr>
              <w:t>CAGR of 4%</w:t>
            </w:r>
            <w:r>
              <w:rPr>
                <w:rFonts w:ascii="Times New Roman" w:eastAsia="Times New Roman" w:hAnsi="Times New Roman" w:cs="Arial"/>
                <w:noProof/>
                <w:sz w:val="18"/>
                <w:szCs w:val="18"/>
                <w:lang w:eastAsia="de-DE"/>
              </w:rPr>
              <w:t xml:space="preserve"> for this service.</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This assumption is based on evidence regarding the increase in mobile email traffic by 32.8% </w:t>
            </w:r>
            <w:r>
              <w:rPr>
                <w:rFonts w:ascii="Times New Roman" w:eastAsia="Times New Roman" w:hAnsi="Times New Roman" w:cs="Arial"/>
                <w:noProof/>
                <w:sz w:val="18"/>
                <w:szCs w:val="18"/>
                <w:lang w:eastAsia="de-DE"/>
              </w:rPr>
              <w:t>from 2010 to 2015.</w:t>
            </w:r>
            <w:r>
              <w:rPr>
                <w:rFonts w:ascii="Times New Roman" w:eastAsia="Times New Roman" w:hAnsi="Times New Roman" w:cs="Arial"/>
                <w:noProof/>
                <w:sz w:val="18"/>
                <w:szCs w:val="18"/>
                <w:vertAlign w:val="superscript"/>
                <w:lang w:eastAsia="de-DE"/>
              </w:rPr>
              <w:footnoteReference w:id="10"/>
            </w:r>
            <w:r>
              <w:rPr>
                <w:rFonts w:ascii="Times New Roman" w:eastAsia="Times New Roman" w:hAnsi="Times New Roman" w:cs="Arial"/>
                <w:noProof/>
                <w:sz w:val="18"/>
                <w:szCs w:val="18"/>
                <w:lang w:eastAsia="de-DE"/>
              </w:rPr>
              <w:t xml:space="preserve"> As this is the best data available, it is assumed that this forecast also applies to the timeframe of 2015 to 2030. However, it is assumed that the actual CAGR is likely to be lower. The reason for this is that emails are expected to be</w:t>
            </w:r>
            <w:r>
              <w:rPr>
                <w:rFonts w:ascii="Times New Roman" w:eastAsia="Times New Roman" w:hAnsi="Times New Roman" w:cs="Arial"/>
                <w:noProof/>
                <w:sz w:val="18"/>
                <w:szCs w:val="18"/>
                <w:lang w:eastAsia="de-DE"/>
              </w:rPr>
              <w:t xml:space="preserve"> gradually replaced / complemented by other forms of communication such as instant messaging – in particular in the private sphere but also more and more in a business environment. Therefore, the projected development can be considered as a maximum project</w:t>
            </w:r>
            <w:r>
              <w:rPr>
                <w:rFonts w:ascii="Times New Roman" w:eastAsia="Times New Roman" w:hAnsi="Times New Roman" w:cs="Arial"/>
                <w:noProof/>
                <w:sz w:val="18"/>
                <w:szCs w:val="18"/>
                <w:lang w:eastAsia="de-DE"/>
              </w:rPr>
              <w:t xml:space="preserve">ion. </w:t>
            </w:r>
          </w:p>
        </w:tc>
      </w:tr>
      <w:tr w:rsidR="00035C91">
        <w:trPr>
          <w:trHeight w:val="31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Instant messaging</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We have used a </w:t>
            </w:r>
            <w:r>
              <w:rPr>
                <w:rFonts w:ascii="Times New Roman" w:eastAsia="Times New Roman" w:hAnsi="Times New Roman" w:cs="Arial"/>
                <w:b/>
                <w:noProof/>
                <w:sz w:val="18"/>
                <w:szCs w:val="18"/>
                <w:lang w:eastAsia="de-DE"/>
              </w:rPr>
              <w:t>CAGR of 7.92%</w:t>
            </w:r>
            <w:r>
              <w:rPr>
                <w:rFonts w:ascii="Times New Roman" w:eastAsia="Times New Roman" w:hAnsi="Times New Roman" w:cs="Arial"/>
                <w:noProof/>
                <w:sz w:val="18"/>
                <w:szCs w:val="18"/>
                <w:lang w:eastAsia="de-DE"/>
              </w:rPr>
              <w:t xml:space="preserve"> for this service.</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This assumption is based on evidence regarding the increase in mobile IM traffic by 46.3% from 2010 to 2015.</w:t>
            </w:r>
            <w:r>
              <w:rPr>
                <w:rFonts w:ascii="Times New Roman" w:eastAsia="Times New Roman" w:hAnsi="Times New Roman" w:cs="Arial"/>
                <w:noProof/>
                <w:sz w:val="18"/>
                <w:szCs w:val="18"/>
                <w:vertAlign w:val="superscript"/>
                <w:lang w:eastAsia="de-DE"/>
              </w:rPr>
              <w:footnoteReference w:id="11"/>
            </w:r>
            <w:r>
              <w:rPr>
                <w:rFonts w:ascii="Times New Roman" w:eastAsia="Times New Roman" w:hAnsi="Times New Roman" w:cs="Arial"/>
                <w:noProof/>
                <w:sz w:val="18"/>
                <w:szCs w:val="18"/>
                <w:lang w:eastAsia="de-DE"/>
              </w:rPr>
              <w:t xml:space="preserve"> As this is the best data available, it is assumed that this forecast also applies to the timeframe of 2015 to 2030. However, it is assumed that the actual CAGR is likely to be lower because of new future market developments that might evolve further from </w:t>
            </w:r>
            <w:r>
              <w:rPr>
                <w:rFonts w:ascii="Times New Roman" w:eastAsia="Times New Roman" w:hAnsi="Times New Roman" w:cs="Arial"/>
                <w:noProof/>
                <w:sz w:val="18"/>
                <w:szCs w:val="18"/>
                <w:lang w:eastAsia="de-DE"/>
              </w:rPr>
              <w:t xml:space="preserve">instant messaging. Therefore, the projected development can be considered as a maximum projection. </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VoIP</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The global VoIP volume is expected to </w:t>
            </w:r>
            <w:r>
              <w:rPr>
                <w:rFonts w:ascii="Times New Roman" w:eastAsia="Times New Roman" w:hAnsi="Times New Roman" w:cs="Arial"/>
                <w:b/>
                <w:noProof/>
                <w:sz w:val="18"/>
                <w:szCs w:val="18"/>
                <w:lang w:eastAsia="de-DE"/>
              </w:rPr>
              <w:t>grow by 9.7%</w:t>
            </w:r>
            <w:r>
              <w:rPr>
                <w:rFonts w:ascii="Times New Roman" w:eastAsia="Times New Roman" w:hAnsi="Times New Roman" w:cs="Arial"/>
                <w:noProof/>
                <w:sz w:val="18"/>
                <w:szCs w:val="18"/>
                <w:lang w:eastAsia="de-DE"/>
              </w:rPr>
              <w:t xml:space="preserve"> between 2014 and 2020 by Transparency Market Research.</w:t>
            </w:r>
            <w:r>
              <w:rPr>
                <w:rFonts w:ascii="Times New Roman" w:eastAsia="Times New Roman" w:hAnsi="Times New Roman" w:cs="Arial"/>
                <w:noProof/>
                <w:sz w:val="18"/>
                <w:szCs w:val="18"/>
                <w:vertAlign w:val="superscript"/>
                <w:lang w:eastAsia="de-DE"/>
              </w:rPr>
              <w:footnoteReference w:id="12"/>
            </w:r>
            <w:r>
              <w:rPr>
                <w:rFonts w:ascii="Times New Roman" w:eastAsia="Times New Roman" w:hAnsi="Times New Roman" w:cs="Arial"/>
                <w:noProof/>
                <w:sz w:val="18"/>
                <w:szCs w:val="18"/>
                <w:lang w:eastAsia="de-DE"/>
              </w:rPr>
              <w:t xml:space="preserve"> It is assumed that this estimate to be appl</w:t>
            </w:r>
            <w:r>
              <w:rPr>
                <w:rFonts w:ascii="Times New Roman" w:eastAsia="Times New Roman" w:hAnsi="Times New Roman" w:cs="Arial"/>
                <w:noProof/>
                <w:sz w:val="18"/>
                <w:szCs w:val="18"/>
                <w:lang w:eastAsia="de-DE"/>
              </w:rPr>
              <w:t>icable as a CAGR for the number of VoIP users.</w:t>
            </w:r>
          </w:p>
        </w:tc>
      </w:tr>
      <w:tr w:rsidR="00035C91">
        <w:trPr>
          <w:trHeight w:val="240"/>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Mobile phone to make calls or send texts</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No evidence could be found on the CAGR in relation to this service. However, it is assumed that, in line with general market trends such as the increased use of mobile devices and mobile internet, the use of mobile phones to make calls or send texts will i</w:t>
            </w:r>
            <w:r>
              <w:rPr>
                <w:rFonts w:ascii="Times New Roman" w:eastAsia="Times New Roman" w:hAnsi="Times New Roman" w:cs="Arial"/>
                <w:noProof/>
                <w:sz w:val="18"/>
                <w:szCs w:val="18"/>
                <w:lang w:eastAsia="de-DE"/>
              </w:rPr>
              <w:t xml:space="preserve">ncrease by a </w:t>
            </w:r>
            <w:r>
              <w:rPr>
                <w:rFonts w:ascii="Times New Roman" w:eastAsia="Times New Roman" w:hAnsi="Times New Roman" w:cs="Arial"/>
                <w:b/>
                <w:noProof/>
                <w:sz w:val="18"/>
                <w:szCs w:val="18"/>
                <w:lang w:eastAsia="de-DE"/>
              </w:rPr>
              <w:t>CAGR of 3%.</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Fixed phone line</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In 2010, IBM calculated a voice traffic </w:t>
            </w:r>
            <w:r>
              <w:rPr>
                <w:rFonts w:ascii="Times New Roman" w:eastAsia="Times New Roman" w:hAnsi="Times New Roman" w:cs="Arial"/>
                <w:b/>
                <w:noProof/>
                <w:sz w:val="18"/>
                <w:szCs w:val="18"/>
                <w:lang w:eastAsia="de-DE"/>
              </w:rPr>
              <w:t>decline in minutes by 4%</w:t>
            </w:r>
            <w:r>
              <w:rPr>
                <w:rFonts w:ascii="Times New Roman" w:eastAsia="Times New Roman" w:hAnsi="Times New Roman" w:cs="Arial"/>
                <w:noProof/>
                <w:sz w:val="18"/>
                <w:szCs w:val="18"/>
                <w:lang w:eastAsia="de-DE"/>
              </w:rPr>
              <w:t xml:space="preserve"> between 2003 and 2008. This information is used to project the development until 2030, keeping in mind that the decline could be even stronger based</w:t>
            </w:r>
            <w:r>
              <w:rPr>
                <w:rFonts w:ascii="Times New Roman" w:eastAsia="Times New Roman" w:hAnsi="Times New Roman" w:cs="Arial"/>
                <w:noProof/>
                <w:sz w:val="18"/>
                <w:szCs w:val="18"/>
                <w:lang w:eastAsia="de-DE"/>
              </w:rPr>
              <w:t xml:space="preserve"> on the take-up and development of other services.</w:t>
            </w:r>
          </w:p>
        </w:tc>
      </w:tr>
      <w:tr w:rsidR="00035C91">
        <w:trPr>
          <w:trHeight w:val="225"/>
        </w:trPr>
        <w:tc>
          <w:tcPr>
            <w:tcW w:w="15207" w:type="dxa"/>
            <w:gridSpan w:val="2"/>
            <w:tcBorders>
              <w:top w:val="nil"/>
              <w:left w:val="single" w:sz="4" w:space="0" w:color="auto"/>
              <w:bottom w:val="single" w:sz="4" w:space="0" w:color="auto"/>
              <w:right w:val="single" w:sz="4" w:space="0" w:color="auto"/>
            </w:tcBorders>
            <w:shd w:val="clear" w:color="000000" w:fill="00A1DE"/>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Number of affected businesses</w:t>
            </w:r>
          </w:p>
        </w:tc>
      </w:tr>
      <w:tr w:rsidR="00035C91">
        <w:trPr>
          <w:trHeight w:val="700"/>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General assumption on the future growth of the number of businesses</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Similar to the number of citizens, the past and future growth of the number of businesses (micro, SMEs, </w:t>
            </w:r>
            <w:r>
              <w:rPr>
                <w:rFonts w:ascii="Times New Roman" w:eastAsia="Times New Roman" w:hAnsi="Times New Roman" w:cs="Arial"/>
                <w:noProof/>
                <w:sz w:val="18"/>
                <w:szCs w:val="18"/>
                <w:lang w:eastAsia="de-DE"/>
              </w:rPr>
              <w:t>large, and foreign enterprises) is expected to follow the growth rate (overall) of the previous years (per Member State, based on Eurostat data).</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We have also used Compound Annual Growth Rates (CAGR) to project the development of the number of businesses i</w:t>
            </w:r>
            <w:r>
              <w:rPr>
                <w:rFonts w:ascii="Times New Roman" w:eastAsia="Times New Roman" w:hAnsi="Times New Roman" w:cs="Arial"/>
                <w:noProof/>
                <w:sz w:val="18"/>
                <w:szCs w:val="18"/>
                <w:lang w:eastAsia="de-DE"/>
              </w:rPr>
              <w:t>n the future based on available public data from Eurostat.</w:t>
            </w:r>
          </w:p>
        </w:tc>
      </w:tr>
      <w:tr w:rsidR="00035C91">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General assumption concerning the number of businesses affected by the ePD</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For the calculation of the compliance costs of the ePD, it is assumed that the ePD potentially affects all businesses tha</w:t>
            </w:r>
            <w:r>
              <w:rPr>
                <w:rFonts w:ascii="Times New Roman" w:eastAsia="Times New Roman" w:hAnsi="Times New Roman" w:cs="Arial"/>
                <w:noProof/>
                <w:sz w:val="18"/>
                <w:szCs w:val="18"/>
                <w:lang w:eastAsia="de-DE"/>
              </w:rPr>
              <w:t>t run a website and use cookies based on Article 5(3). The number of businesses affected by other provisions of the ePD is expected to be significantly lower as they refer to the telecom market only (e.g. Art. 4, 5(1), 5(2)) or only to a sub-group of busin</w:t>
            </w:r>
            <w:r>
              <w:rPr>
                <w:rFonts w:ascii="Times New Roman" w:eastAsia="Times New Roman" w:hAnsi="Times New Roman" w:cs="Arial"/>
                <w:noProof/>
                <w:sz w:val="18"/>
                <w:szCs w:val="18"/>
                <w:lang w:eastAsia="de-DE"/>
              </w:rPr>
              <w:t xml:space="preserve">esses (i.e. those providing for unsolicited communication using </w:t>
            </w:r>
            <w:r>
              <w:rPr>
                <w:rFonts w:ascii="Times New Roman" w:eastAsia="Times New Roman" w:hAnsi="Times New Roman" w:cs="Arial"/>
                <w:noProof/>
                <w:sz w:val="18"/>
                <w:szCs w:val="18"/>
              </w:rPr>
              <w:t xml:space="preserve">publicly available electronic communications services in public communications networks </w:t>
            </w:r>
            <w:r>
              <w:rPr>
                <w:rFonts w:ascii="Times New Roman" w:eastAsia="Times New Roman" w:hAnsi="Times New Roman" w:cs="Arial"/>
                <w:noProof/>
                <w:sz w:val="18"/>
                <w:szCs w:val="18"/>
                <w:lang w:eastAsia="de-DE"/>
              </w:rPr>
              <w:t xml:space="preserve">under Art. 13 – this means that not all businesses that you “some sort of communication B2B or B2C” are </w:t>
            </w:r>
            <w:r>
              <w:rPr>
                <w:rFonts w:ascii="Times New Roman" w:eastAsia="Times New Roman" w:hAnsi="Times New Roman" w:cs="Arial"/>
                <w:noProof/>
                <w:sz w:val="18"/>
                <w:szCs w:val="18"/>
                <w:lang w:eastAsia="de-DE"/>
              </w:rPr>
              <w:t>covered but only those that make actual use of “unsolicited communication”.)</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w:t>
            </w:r>
            <w:r>
              <w:rPr>
                <w:rFonts w:ascii="Times New Roman" w:eastAsia="Times New Roman" w:hAnsi="Times New Roman" w:cs="Arial"/>
                <w:noProof/>
                <w:sz w:val="18"/>
                <w:szCs w:val="18"/>
                <w:vertAlign w:val="superscript"/>
                <w:lang w:eastAsia="de-DE"/>
              </w:rPr>
              <w:footnoteReference w:id="13"/>
            </w:r>
            <w:r>
              <w:rPr>
                <w:rFonts w:ascii="Times New Roman" w:eastAsia="Times New Roman" w:hAnsi="Times New Roman" w:cs="Arial"/>
                <w:noProof/>
                <w:sz w:val="18"/>
                <w:szCs w:val="18"/>
                <w:lang w:eastAsia="de-DE"/>
              </w:rPr>
              <w:t xml:space="preserve"> Overall Article 5(3) extends the scope of the ePD also to businesses active in other industries than the telecom sector.</w:t>
            </w:r>
            <w:r>
              <w:rPr>
                <w:rFonts w:ascii="Times New Roman" w:eastAsia="Times New Roman" w:hAnsi="Times New Roman" w:cs="Arial"/>
                <w:noProof/>
                <w:sz w:val="18"/>
                <w:szCs w:val="18"/>
                <w:vertAlign w:val="superscript"/>
                <w:lang w:eastAsia="de-DE"/>
              </w:rPr>
              <w:footnoteReference w:id="14"/>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Keeping this in mind, alternative projections have be</w:t>
            </w:r>
            <w:r>
              <w:rPr>
                <w:rFonts w:ascii="Times New Roman" w:eastAsia="Times New Roman" w:hAnsi="Times New Roman" w:cs="Arial"/>
                <w:noProof/>
                <w:sz w:val="18"/>
                <w:szCs w:val="18"/>
                <w:lang w:eastAsia="de-DE"/>
              </w:rPr>
              <w:t>en carried out for businesses that Eurostat strictly defines as being part of the “Telecommunications sector”, i.e. businesses providing telecommunications and related service activities, such as transmitting voice, data, text, sound and video.</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 xml:space="preserve">While the </w:t>
            </w:r>
            <w:r>
              <w:rPr>
                <w:rFonts w:ascii="Times New Roman" w:eastAsia="Times New Roman" w:hAnsi="Times New Roman" w:cs="Arial"/>
                <w:noProof/>
                <w:sz w:val="18"/>
                <w:szCs w:val="18"/>
              </w:rPr>
              <w:t>former projections concerning “businesses overall” can be regarded as projections of the absolute maximum values, projections referring to the “telecommunications sector only” should be seen as minimum projections.</w:t>
            </w:r>
          </w:p>
        </w:tc>
      </w:tr>
      <w:tr w:rsidR="00035C91">
        <w:trPr>
          <w:trHeight w:val="1575"/>
        </w:trPr>
        <w:tc>
          <w:tcPr>
            <w:tcW w:w="2875" w:type="dxa"/>
            <w:tcBorders>
              <w:top w:val="single" w:sz="4" w:space="0" w:color="auto"/>
              <w:left w:val="single" w:sz="4" w:space="0" w:color="auto"/>
              <w:bottom w:val="single" w:sz="4" w:space="0" w:color="auto"/>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General assumption concerning the </w:t>
            </w:r>
            <w:r>
              <w:rPr>
                <w:rFonts w:ascii="Times New Roman" w:eastAsia="Times New Roman" w:hAnsi="Times New Roman" w:cs="Arial"/>
                <w:noProof/>
                <w:sz w:val="18"/>
                <w:szCs w:val="18"/>
                <w:lang w:eastAsia="de-DE"/>
              </w:rPr>
              <w:t>application of Art.5(3) to potentially all businesses</w:t>
            </w:r>
          </w:p>
        </w:tc>
        <w:tc>
          <w:tcPr>
            <w:tcW w:w="12332" w:type="dxa"/>
            <w:tcBorders>
              <w:top w:val="nil"/>
              <w:left w:val="nil"/>
              <w:bottom w:val="single" w:sz="4" w:space="0" w:color="auto"/>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lang w:eastAsia="en-GB"/>
              </w:rPr>
            </w:pPr>
            <w:r>
              <w:rPr>
                <w:rFonts w:ascii="Times New Roman" w:eastAsia="Times New Roman" w:hAnsi="Times New Roman" w:cs="Arial"/>
                <w:noProof/>
                <w:sz w:val="18"/>
                <w:szCs w:val="18"/>
                <w:lang w:eastAsia="de-DE"/>
              </w:rPr>
              <w:t xml:space="preserve">We assume that Article 5(3) </w:t>
            </w:r>
            <w:r>
              <w:rPr>
                <w:rFonts w:ascii="Times New Roman" w:eastAsia="Times New Roman" w:hAnsi="Times New Roman" w:cs="Arial"/>
                <w:noProof/>
                <w:sz w:val="18"/>
                <w:szCs w:val="18"/>
              </w:rPr>
              <w:t>generally applies to all businesses that operate a company website, as cookies can be stored and information can, in principle, be tracked on every website. However, there ar</w:t>
            </w:r>
            <w:r>
              <w:rPr>
                <w:rFonts w:ascii="Times New Roman" w:eastAsia="Times New Roman" w:hAnsi="Times New Roman" w:cs="Arial"/>
                <w:noProof/>
                <w:sz w:val="18"/>
                <w:szCs w:val="18"/>
              </w:rPr>
              <w:t xml:space="preserve">e </w:t>
            </w:r>
            <w:r>
              <w:rPr>
                <w:rFonts w:ascii="Times New Roman" w:eastAsia="Times New Roman" w:hAnsi="Times New Roman" w:cs="Arial"/>
                <w:noProof/>
                <w:sz w:val="18"/>
                <w:szCs w:val="18"/>
                <w:lang w:eastAsia="en-GB"/>
              </w:rPr>
              <w:t>two important restrictions to this assumption: (1) Not all businesses run a website; and (2) Not all company websites use cookies (i.e. “no cookies” vs. “some sort of cookie”; If a website does not use any cookies, they do not need to comply. If they are</w:t>
            </w:r>
            <w:r>
              <w:rPr>
                <w:rFonts w:ascii="Times New Roman" w:eastAsia="Times New Roman" w:hAnsi="Times New Roman" w:cs="Arial"/>
                <w:noProof/>
                <w:sz w:val="18"/>
                <w:szCs w:val="18"/>
                <w:lang w:eastAsia="en-GB"/>
              </w:rPr>
              <w:t xml:space="preserve"> using any sort of cookies, they indeed need to comply).</w:t>
            </w:r>
            <w:r>
              <w:rPr>
                <w:rFonts w:ascii="Times New Roman" w:eastAsia="Times New Roman" w:hAnsi="Times New Roman"/>
                <w:noProof/>
                <w:sz w:val="24"/>
                <w:szCs w:val="20"/>
                <w:lang w:eastAsia="en-GB"/>
              </w:rPr>
              <w:t xml:space="preserve"> </w:t>
            </w:r>
            <w:r>
              <w:rPr>
                <w:rFonts w:ascii="Times New Roman" w:eastAsia="Times New Roman" w:hAnsi="Times New Roman" w:cs="Arial"/>
                <w:noProof/>
                <w:sz w:val="18"/>
                <w:szCs w:val="18"/>
                <w:lang w:eastAsia="en-GB"/>
              </w:rPr>
              <w:t>Hence, it can reasonably be assumed that the maximum number of businesses in the EU affected by the ePD has a strong correlation to the number of company websites operated by: (1) Businesses that hav</w:t>
            </w:r>
            <w:r>
              <w:rPr>
                <w:rFonts w:ascii="Times New Roman" w:eastAsia="Times New Roman" w:hAnsi="Times New Roman" w:cs="Arial"/>
                <w:noProof/>
                <w:sz w:val="18"/>
                <w:szCs w:val="18"/>
                <w:lang w:eastAsia="en-GB"/>
              </w:rPr>
              <w:t>e their primary place of establishment within the 28 EU Member States; and (2) Third-country businesses that operate within the EU (i.e., by means of their own website(s)).</w:t>
            </w:r>
          </w:p>
          <w:p w:rsidR="00035C91" w:rsidRDefault="00632184">
            <w:pPr>
              <w:spacing w:before="60" w:after="60"/>
              <w:rPr>
                <w:rFonts w:ascii="Times New Roman" w:eastAsia="Times New Roman" w:hAnsi="Times New Roman" w:cs="Arial"/>
                <w:noProof/>
                <w:sz w:val="18"/>
                <w:szCs w:val="18"/>
                <w:lang w:eastAsia="en-GB"/>
              </w:rPr>
            </w:pPr>
            <w:r>
              <w:rPr>
                <w:rFonts w:ascii="Times New Roman" w:eastAsia="Times New Roman" w:hAnsi="Times New Roman" w:cs="Arial"/>
                <w:noProof/>
                <w:sz w:val="18"/>
                <w:szCs w:val="18"/>
                <w:lang w:eastAsia="en-GB"/>
              </w:rPr>
              <w:t>With regard to the share of websites using cookies, projections have</w:t>
            </w:r>
            <w:r>
              <w:rPr>
                <w:rFonts w:ascii="Times New Roman" w:eastAsia="Times New Roman" w:hAnsi="Times New Roman" w:cs="Arial"/>
                <w:noProof/>
                <w:sz w:val="18"/>
                <w:szCs w:val="18"/>
                <w:lang w:eastAsia="de-DE"/>
              </w:rPr>
              <w:t xml:space="preserve"> been carried o</w:t>
            </w:r>
            <w:r>
              <w:rPr>
                <w:rFonts w:ascii="Times New Roman" w:eastAsia="Times New Roman" w:hAnsi="Times New Roman" w:cs="Arial"/>
                <w:noProof/>
                <w:sz w:val="18"/>
                <w:szCs w:val="18"/>
                <w:lang w:eastAsia="de-DE"/>
              </w:rPr>
              <w:t xml:space="preserve">ut in relation to three scenarios (minimum, medium, maximum). In general, the available evidence has been used to project the medium scenario, but have also run projections for a higher and lower scenario in order to account for uncertainty factors around </w:t>
            </w:r>
            <w:r>
              <w:rPr>
                <w:rFonts w:ascii="Times New Roman" w:eastAsia="Times New Roman" w:hAnsi="Times New Roman" w:cs="Arial"/>
                <w:noProof/>
                <w:sz w:val="18"/>
                <w:szCs w:val="18"/>
                <w:lang w:eastAsia="de-DE"/>
              </w:rPr>
              <w:t>the share of websites using cookies.</w:t>
            </w:r>
          </w:p>
        </w:tc>
      </w:tr>
      <w:tr w:rsidR="00035C91">
        <w:trPr>
          <w:trHeight w:val="225"/>
        </w:trPr>
        <w:tc>
          <w:tcPr>
            <w:tcW w:w="15207"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Art. 5(3): Shares of businesses that have a website</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noWrap/>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0 to 9 persons employed (micro-enterprises)</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rPr>
              <w:t>The share of micro-enterprises that have a website is not available, but it can be assumed that it is below 75% (as for SMEs), since micro-enterprises may be less active online in order to concentrate better on their core business. This does not say that t</w:t>
            </w:r>
            <w:r>
              <w:rPr>
                <w:rFonts w:ascii="Times New Roman" w:eastAsia="Times New Roman" w:hAnsi="Times New Roman" w:cs="Arial"/>
                <w:noProof/>
                <w:sz w:val="18"/>
                <w:szCs w:val="18"/>
              </w:rPr>
              <w:t xml:space="preserve">he core business of micro-enterprises cannot be online-based. However, the overwhelming majority of micro-enterprises consists of local shops, small/medium restaurants, and other types of shops that do not necessarily have to have a website in order to be </w:t>
            </w:r>
            <w:r>
              <w:rPr>
                <w:rFonts w:ascii="Times New Roman" w:eastAsia="Times New Roman" w:hAnsi="Times New Roman" w:cs="Arial"/>
                <w:noProof/>
                <w:sz w:val="18"/>
                <w:szCs w:val="18"/>
              </w:rPr>
              <w:t xml:space="preserve">able to provide their products or services. Moreover, the use of general platforms or social networks like Facebook, Youtube, Resto.be, etc. as an alternative to fully-fledged websites is has become widespread Thus, it is assumed that the </w:t>
            </w:r>
            <w:r>
              <w:rPr>
                <w:rFonts w:ascii="Times New Roman" w:eastAsia="Times New Roman" w:hAnsi="Times New Roman" w:cs="Arial"/>
                <w:b/>
                <w:noProof/>
                <w:sz w:val="18"/>
                <w:szCs w:val="18"/>
              </w:rPr>
              <w:t>share of micro-en</w:t>
            </w:r>
            <w:r>
              <w:rPr>
                <w:rFonts w:ascii="Times New Roman" w:eastAsia="Times New Roman" w:hAnsi="Times New Roman" w:cs="Arial"/>
                <w:b/>
                <w:noProof/>
                <w:sz w:val="18"/>
                <w:szCs w:val="18"/>
              </w:rPr>
              <w:t>terprises that have a website is 60%.</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noWrap/>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10 to 19 persons employed (SMEs)</w:t>
            </w:r>
          </w:p>
        </w:tc>
        <w:tc>
          <w:tcPr>
            <w:tcW w:w="12332" w:type="dxa"/>
            <w:vMerge w:val="restart"/>
            <w:tcBorders>
              <w:top w:val="nil"/>
              <w:left w:val="nil"/>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rPr>
              <w:t xml:space="preserve">According to Eurostat’s latest available data, in 2013, </w:t>
            </w:r>
            <w:r>
              <w:rPr>
                <w:rFonts w:ascii="Times New Roman" w:eastAsia="Times New Roman" w:hAnsi="Times New Roman" w:cs="Arial"/>
                <w:b/>
                <w:noProof/>
                <w:sz w:val="18"/>
                <w:szCs w:val="18"/>
              </w:rPr>
              <w:t xml:space="preserve">75% of all enterprises </w:t>
            </w:r>
            <w:r>
              <w:rPr>
                <w:rFonts w:ascii="Times New Roman" w:eastAsia="Times New Roman" w:hAnsi="Times New Roman" w:cs="Arial"/>
                <w:noProof/>
                <w:sz w:val="18"/>
                <w:szCs w:val="18"/>
              </w:rPr>
              <w:t>employing 10 or more persons in the 28 EU Member States had a website.</w:t>
            </w:r>
            <w:r>
              <w:rPr>
                <w:rFonts w:ascii="Times New Roman" w:eastAsia="Times New Roman" w:hAnsi="Times New Roman" w:cs="Arial"/>
                <w:noProof/>
                <w:sz w:val="18"/>
                <w:szCs w:val="18"/>
                <w:vertAlign w:val="superscript"/>
              </w:rPr>
              <w:footnoteReference w:id="15"/>
            </w:r>
            <w:r>
              <w:rPr>
                <w:rFonts w:ascii="Times New Roman" w:eastAsia="Times New Roman" w:hAnsi="Times New Roman" w:cs="Arial"/>
                <w:noProof/>
                <w:sz w:val="18"/>
                <w:szCs w:val="18"/>
                <w:lang w:eastAsia="de-DE"/>
              </w:rPr>
              <w:t> </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noWrap/>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20 to 49 persons employed </w:t>
            </w:r>
            <w:r>
              <w:rPr>
                <w:rFonts w:ascii="Times New Roman" w:eastAsia="Times New Roman" w:hAnsi="Times New Roman" w:cs="Arial"/>
                <w:noProof/>
                <w:sz w:val="18"/>
                <w:szCs w:val="18"/>
                <w:lang w:eastAsia="de-DE"/>
              </w:rPr>
              <w:t>(SMEs)</w:t>
            </w:r>
          </w:p>
        </w:tc>
        <w:tc>
          <w:tcPr>
            <w:tcW w:w="12332" w:type="dxa"/>
            <w:vMerge/>
            <w:tcBorders>
              <w:left w:val="nil"/>
              <w:bottom w:val="single" w:sz="4" w:space="0" w:color="auto"/>
              <w:right w:val="single" w:sz="4" w:space="0" w:color="auto"/>
            </w:tcBorders>
            <w:shd w:val="clear" w:color="auto" w:fill="auto"/>
            <w:hideMark/>
          </w:tcPr>
          <w:p w:rsidR="00035C91" w:rsidRDefault="00035C91">
            <w:pPr>
              <w:spacing w:before="60" w:after="60"/>
              <w:rPr>
                <w:rFonts w:ascii="Times New Roman" w:eastAsia="Times New Roman" w:hAnsi="Times New Roman" w:cs="Arial"/>
                <w:noProof/>
                <w:sz w:val="18"/>
                <w:szCs w:val="18"/>
                <w:lang w:eastAsia="de-DE"/>
              </w:rPr>
            </w:pP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noWrap/>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50 to 249 persons employed (SMEs)</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We assume that the share of businesses of this size class that operate a website is higher than 75%. However, no quantitative data is available. Nevertheless, it has been </w:t>
            </w:r>
            <w:r>
              <w:rPr>
                <w:rFonts w:ascii="Times New Roman" w:eastAsia="Times New Roman" w:hAnsi="Times New Roman" w:cs="Arial"/>
                <w:b/>
                <w:noProof/>
                <w:sz w:val="18"/>
                <w:szCs w:val="18"/>
                <w:lang w:eastAsia="de-DE"/>
              </w:rPr>
              <w:t>assumed that the share is 85%.</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noWrap/>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250 </w:t>
            </w:r>
            <w:r>
              <w:rPr>
                <w:rFonts w:ascii="Times New Roman" w:eastAsia="Times New Roman" w:hAnsi="Times New Roman" w:cs="Arial"/>
                <w:noProof/>
                <w:sz w:val="18"/>
                <w:szCs w:val="18"/>
                <w:lang w:eastAsia="de-DE"/>
              </w:rPr>
              <w:t>persons employed or more (large enterprises)</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We assume that the share of businesses of this size class that operate a business is higher than 75%. However, no quantitative data is available. Due to the size of such businesses, it has been </w:t>
            </w:r>
            <w:r>
              <w:rPr>
                <w:rFonts w:ascii="Times New Roman" w:eastAsia="Times New Roman" w:hAnsi="Times New Roman" w:cs="Arial"/>
                <w:b/>
                <w:noProof/>
                <w:sz w:val="18"/>
                <w:szCs w:val="18"/>
                <w:lang w:eastAsia="de-DE"/>
              </w:rPr>
              <w:t xml:space="preserve">assumed that the </w:t>
            </w:r>
            <w:r>
              <w:rPr>
                <w:rFonts w:ascii="Times New Roman" w:eastAsia="Times New Roman" w:hAnsi="Times New Roman" w:cs="Arial"/>
                <w:b/>
                <w:noProof/>
                <w:sz w:val="18"/>
                <w:szCs w:val="18"/>
                <w:lang w:eastAsia="de-DE"/>
              </w:rPr>
              <w:t>share is 95%.</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noWrap/>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Share of non-EU businesses that have a website</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Non-EU businesses are by definition active across borders and therefore do not only provide domestic services. Therefore, they are very likely to run a website.it is assumed</w:t>
            </w:r>
            <w:r>
              <w:rPr>
                <w:rFonts w:ascii="Times New Roman" w:eastAsia="Times New Roman" w:hAnsi="Times New Roman" w:cs="Arial"/>
                <w:b/>
                <w:noProof/>
                <w:sz w:val="18"/>
                <w:szCs w:val="18"/>
                <w:lang w:eastAsia="de-DE"/>
              </w:rPr>
              <w:t xml:space="preserve"> that the share is 10</w:t>
            </w:r>
            <w:r>
              <w:rPr>
                <w:rFonts w:ascii="Times New Roman" w:eastAsia="Times New Roman" w:hAnsi="Times New Roman" w:cs="Arial"/>
                <w:b/>
                <w:noProof/>
                <w:sz w:val="18"/>
                <w:szCs w:val="18"/>
                <w:lang w:eastAsia="de-DE"/>
              </w:rPr>
              <w:t>0%</w:t>
            </w:r>
            <w:r>
              <w:rPr>
                <w:rFonts w:ascii="Times New Roman" w:eastAsia="Times New Roman" w:hAnsi="Times New Roman" w:cs="Arial"/>
                <w:noProof/>
                <w:sz w:val="18"/>
                <w:szCs w:val="18"/>
                <w:lang w:eastAsia="de-DE"/>
              </w:rPr>
              <w:t xml:space="preserve"> </w:t>
            </w:r>
          </w:p>
        </w:tc>
      </w:tr>
      <w:tr w:rsidR="00035C91">
        <w:trPr>
          <w:trHeight w:val="225"/>
        </w:trPr>
        <w:tc>
          <w:tcPr>
            <w:tcW w:w="15207" w:type="dxa"/>
            <w:gridSpan w:val="2"/>
            <w:tcBorders>
              <w:top w:val="nil"/>
              <w:left w:val="single" w:sz="4" w:space="0" w:color="auto"/>
              <w:bottom w:val="single" w:sz="4" w:space="0" w:color="auto"/>
              <w:right w:val="single" w:sz="4" w:space="0" w:color="auto"/>
            </w:tcBorders>
            <w:shd w:val="clear" w:color="000000" w:fill="BFBFBF"/>
            <w:noWrap/>
            <w:hideMark/>
          </w:tcPr>
          <w:p w:rsidR="00035C91" w:rsidRDefault="00632184">
            <w:pPr>
              <w:keepNext/>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Art. 5(3): Share of websites using cookies</w:t>
            </w:r>
          </w:p>
        </w:tc>
      </w:tr>
      <w:tr w:rsidR="00035C91">
        <w:trPr>
          <w:trHeight w:val="300"/>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Maximum scenario</w:t>
            </w:r>
          </w:p>
        </w:tc>
        <w:tc>
          <w:tcPr>
            <w:tcW w:w="12332" w:type="dxa"/>
            <w:vMerge w:val="restart"/>
            <w:tcBorders>
              <w:top w:val="nil"/>
              <w:left w:val="nil"/>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As indicated above, minimum, medium, and maximum projections have been carried out based on the share of websites using cookies.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b/>
                <w:noProof/>
                <w:sz w:val="18"/>
                <w:szCs w:val="18"/>
                <w:lang w:eastAsia="de-DE"/>
              </w:rPr>
              <w:t>The medium value, for which evidence is available, is 50.2%</w:t>
            </w:r>
            <w:r>
              <w:rPr>
                <w:rFonts w:ascii="Times New Roman" w:eastAsia="Times New Roman" w:hAnsi="Times New Roman" w:cs="Arial"/>
                <w:noProof/>
                <w:sz w:val="18"/>
                <w:szCs w:val="18"/>
                <w:lang w:eastAsia="de-DE"/>
              </w:rPr>
              <w:t xml:space="preserve"> based on information by W</w:t>
            </w:r>
            <w:r>
              <w:rPr>
                <w:rFonts w:ascii="Times New Roman" w:eastAsia="Times New Roman" w:hAnsi="Times New Roman" w:cs="Arial"/>
                <w:noProof/>
                <w:sz w:val="18"/>
                <w:szCs w:val="18"/>
                <w:vertAlign w:val="superscript"/>
                <w:lang w:eastAsia="de-DE"/>
              </w:rPr>
              <w:t>3</w:t>
            </w:r>
            <w:r>
              <w:rPr>
                <w:rFonts w:ascii="Times New Roman" w:eastAsia="Times New Roman" w:hAnsi="Times New Roman" w:cs="Arial"/>
                <w:noProof/>
                <w:sz w:val="18"/>
                <w:szCs w:val="18"/>
                <w:lang w:eastAsia="de-DE"/>
              </w:rPr>
              <w:t>Techs who run web technology surveys</w:t>
            </w:r>
            <w:r>
              <w:rPr>
                <w:rFonts w:ascii="Times New Roman" w:eastAsia="Times New Roman" w:hAnsi="Times New Roman" w:cs="Arial"/>
                <w:noProof/>
                <w:sz w:val="18"/>
                <w:szCs w:val="18"/>
                <w:vertAlign w:val="superscript"/>
                <w:lang w:eastAsia="de-DE"/>
              </w:rPr>
              <w:footnoteReference w:id="16"/>
            </w:r>
            <w:r>
              <w:rPr>
                <w:rFonts w:ascii="Times New Roman" w:eastAsia="Times New Roman" w:hAnsi="Times New Roman" w:cs="Arial"/>
                <w:noProof/>
                <w:sz w:val="18"/>
                <w:szCs w:val="18"/>
                <w:lang w:eastAsia="de-DE"/>
              </w:rPr>
              <w:t xml:space="preserve"> (“50.2% of all websites use cookies”).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In addition, the European Commission’s 2015</w:t>
            </w:r>
            <w:r>
              <w:rPr>
                <w:rFonts w:ascii="Times New Roman" w:eastAsia="Times New Roman" w:hAnsi="Times New Roman" w:cs="Arial"/>
                <w:noProof/>
                <w:sz w:val="18"/>
                <w:szCs w:val="18"/>
              </w:rPr>
              <w:t xml:space="preserve"> Article 29 cookie sweep action</w:t>
            </w:r>
            <w:r>
              <w:rPr>
                <w:rFonts w:ascii="Times New Roman" w:eastAsia="Times New Roman" w:hAnsi="Times New Roman" w:cs="Arial"/>
                <w:noProof/>
                <w:sz w:val="18"/>
                <w:szCs w:val="18"/>
                <w:vertAlign w:val="superscript"/>
              </w:rPr>
              <w:footnoteReference w:id="17"/>
            </w:r>
            <w:r>
              <w:rPr>
                <w:rFonts w:ascii="Times New Roman" w:eastAsia="Times New Roman" w:hAnsi="Times New Roman" w:cs="Arial"/>
                <w:noProof/>
                <w:sz w:val="18"/>
                <w:szCs w:val="18"/>
              </w:rPr>
              <w:t xml:space="preserve"> </w:t>
            </w:r>
            <w:r>
              <w:rPr>
                <w:rFonts w:ascii="Times New Roman" w:eastAsia="Times New Roman" w:hAnsi="Times New Roman" w:cs="Arial"/>
                <w:noProof/>
                <w:sz w:val="18"/>
                <w:szCs w:val="18"/>
                <w:lang w:eastAsia="de-DE"/>
              </w:rPr>
              <w:t>showed that only 70% of websites with cookies were using tracking cookies. H</w:t>
            </w:r>
            <w:r>
              <w:rPr>
                <w:rFonts w:ascii="Times New Roman" w:eastAsia="Times New Roman" w:hAnsi="Times New Roman" w:cs="Arial"/>
                <w:noProof/>
                <w:sz w:val="18"/>
                <w:szCs w:val="18"/>
                <w:lang w:eastAsia="de-DE"/>
              </w:rPr>
              <w:t>owever, as concerns the baseline scenario, such tracking cookies are not relevant for the estimate of the compliance costs but only for the assessment of the impact of the policy options as currently all types of cookies used on websites trigger the cookie</w:t>
            </w:r>
            <w:r>
              <w:rPr>
                <w:rFonts w:ascii="Times New Roman" w:eastAsia="Times New Roman" w:hAnsi="Times New Roman" w:cs="Arial"/>
                <w:noProof/>
                <w:sz w:val="18"/>
                <w:szCs w:val="18"/>
                <w:lang w:eastAsia="de-DE"/>
              </w:rPr>
              <w:t xml:space="preserve"> notification.</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We have added / subtracted 5% for each the minimum and maximum scenario in order to project a corridor in which the </w:t>
            </w:r>
            <w:r>
              <w:rPr>
                <w:rFonts w:ascii="Times New Roman" w:eastAsia="Times New Roman" w:hAnsi="Times New Roman" w:cs="Arial"/>
                <w:i/>
                <w:noProof/>
                <w:sz w:val="18"/>
                <w:szCs w:val="18"/>
                <w:lang w:eastAsia="de-DE"/>
              </w:rPr>
              <w:t>actual</w:t>
            </w:r>
            <w:r>
              <w:rPr>
                <w:rFonts w:ascii="Times New Roman" w:eastAsia="Times New Roman" w:hAnsi="Times New Roman" w:cs="Arial"/>
                <w:noProof/>
                <w:sz w:val="18"/>
                <w:szCs w:val="18"/>
                <w:lang w:eastAsia="de-DE"/>
              </w:rPr>
              <w:t xml:space="preserve"> figure is most likely to be in (i.e. 40% in maximum and 30% in minimum respectively). This is used as a sensitivity analysis.</w:t>
            </w:r>
          </w:p>
        </w:tc>
      </w:tr>
      <w:tr w:rsidR="00035C91">
        <w:trPr>
          <w:trHeight w:val="240"/>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Medium scenario</w:t>
            </w:r>
          </w:p>
        </w:tc>
        <w:tc>
          <w:tcPr>
            <w:tcW w:w="12332" w:type="dxa"/>
            <w:vMerge/>
            <w:tcBorders>
              <w:left w:val="nil"/>
              <w:right w:val="single" w:sz="4" w:space="0" w:color="auto"/>
            </w:tcBorders>
            <w:shd w:val="clear" w:color="auto" w:fill="auto"/>
            <w:hideMark/>
          </w:tcPr>
          <w:p w:rsidR="00035C91" w:rsidRDefault="00035C91">
            <w:pPr>
              <w:spacing w:before="60" w:after="60"/>
              <w:rPr>
                <w:rFonts w:ascii="Times New Roman" w:eastAsia="Times New Roman" w:hAnsi="Times New Roman" w:cs="Arial"/>
                <w:noProof/>
                <w:sz w:val="18"/>
                <w:szCs w:val="18"/>
                <w:lang w:eastAsia="de-DE"/>
              </w:rPr>
            </w:pPr>
          </w:p>
        </w:tc>
      </w:tr>
      <w:tr w:rsidR="00035C91">
        <w:trPr>
          <w:trHeight w:val="240"/>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Minimum scenario</w:t>
            </w:r>
          </w:p>
        </w:tc>
        <w:tc>
          <w:tcPr>
            <w:tcW w:w="12332" w:type="dxa"/>
            <w:vMerge/>
            <w:tcBorders>
              <w:left w:val="nil"/>
              <w:bottom w:val="single" w:sz="4" w:space="0" w:color="auto"/>
              <w:right w:val="single" w:sz="4" w:space="0" w:color="auto"/>
            </w:tcBorders>
            <w:shd w:val="clear" w:color="auto" w:fill="auto"/>
            <w:hideMark/>
          </w:tcPr>
          <w:p w:rsidR="00035C91" w:rsidRDefault="00035C91">
            <w:pPr>
              <w:spacing w:before="60" w:after="60"/>
              <w:rPr>
                <w:rFonts w:ascii="Times New Roman" w:eastAsia="Times New Roman" w:hAnsi="Times New Roman" w:cs="Arial"/>
                <w:noProof/>
                <w:sz w:val="18"/>
                <w:szCs w:val="18"/>
                <w:lang w:eastAsia="de-DE"/>
              </w:rPr>
            </w:pPr>
          </w:p>
        </w:tc>
      </w:tr>
      <w:tr w:rsidR="00035C91">
        <w:trPr>
          <w:trHeight w:val="225"/>
        </w:trPr>
        <w:tc>
          <w:tcPr>
            <w:tcW w:w="15207" w:type="dxa"/>
            <w:gridSpan w:val="2"/>
            <w:tcBorders>
              <w:top w:val="nil"/>
              <w:left w:val="single" w:sz="4" w:space="0" w:color="auto"/>
              <w:bottom w:val="single" w:sz="4" w:space="0" w:color="auto"/>
              <w:right w:val="single" w:sz="4" w:space="0" w:color="auto"/>
            </w:tcBorders>
            <w:shd w:val="clear" w:color="000000" w:fill="00A1DE"/>
            <w:hideMark/>
          </w:tcPr>
          <w:p w:rsidR="00035C91" w:rsidRDefault="00632184">
            <w:pPr>
              <w:keepNext/>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Compliance costs</w:t>
            </w:r>
          </w:p>
        </w:tc>
      </w:tr>
      <w:tr w:rsidR="00035C91">
        <w:trPr>
          <w:trHeight w:val="72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General assumption concerning the </w:t>
            </w:r>
            <w:r>
              <w:rPr>
                <w:rFonts w:ascii="Times New Roman" w:eastAsia="Times New Roman" w:hAnsi="Times New Roman" w:cs="Arial"/>
                <w:i/>
                <w:noProof/>
                <w:sz w:val="18"/>
                <w:szCs w:val="18"/>
                <w:lang w:eastAsia="de-DE"/>
              </w:rPr>
              <w:t xml:space="preserve">origin </w:t>
            </w:r>
            <w:r>
              <w:rPr>
                <w:rFonts w:ascii="Times New Roman" w:eastAsia="Times New Roman" w:hAnsi="Times New Roman" w:cs="Arial"/>
                <w:noProof/>
                <w:sz w:val="18"/>
                <w:szCs w:val="18"/>
                <w:lang w:eastAsia="de-DE"/>
              </w:rPr>
              <w:t xml:space="preserve">of compliance costs related to </w:t>
            </w:r>
            <w:r>
              <w:rPr>
                <w:rFonts w:ascii="Times New Roman" w:eastAsia="Times New Roman" w:hAnsi="Times New Roman" w:cs="Arial"/>
                <w:noProof/>
                <w:sz w:val="18"/>
                <w:szCs w:val="18"/>
                <w:lang w:eastAsia="de-DE"/>
              </w:rPr>
              <w:t>the ePD</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In general, information on costs incurred in order to comply with the ePD is scarce. Businesses nor business associations only have patchy, anecdotal information on the costs related to the ePD in general. Information on particular provisions is ev</w:t>
            </w:r>
            <w:r>
              <w:rPr>
                <w:rFonts w:ascii="Times New Roman" w:eastAsia="Times New Roman" w:hAnsi="Times New Roman" w:cs="Arial"/>
                <w:noProof/>
                <w:sz w:val="18"/>
                <w:szCs w:val="18"/>
                <w:lang w:eastAsia="de-DE"/>
              </w:rPr>
              <w:t>en less available.</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However, feedback received as part of the interviews suggests that the majority of costs for the ePD is related to:</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Art. 4 on the security of processing;</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Art. 5(1) and Art. 5(2) on confidentiality of communications;</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Art. 5(3) on cookie c</w:t>
            </w:r>
            <w:r>
              <w:rPr>
                <w:rFonts w:ascii="Times New Roman" w:eastAsia="Times New Roman" w:hAnsi="Times New Roman" w:cs="Arial"/>
                <w:noProof/>
                <w:sz w:val="18"/>
                <w:szCs w:val="18"/>
              </w:rPr>
              <w:t>onsent; and</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Art. 13 on unsolicited communication.</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In relation to </w:t>
            </w:r>
            <w:r>
              <w:rPr>
                <w:rFonts w:ascii="Times New Roman" w:eastAsia="Times New Roman" w:hAnsi="Times New Roman" w:cs="Arial"/>
                <w:iCs/>
                <w:noProof/>
                <w:sz w:val="18"/>
                <w:szCs w:val="18"/>
              </w:rPr>
              <w:t xml:space="preserve">Art. 4, as well as Art. 5(1) and Art. 5(2), businesses have indicated that they have incurred a significant amount of compliance costs after the adoption of the ePD. However, businesses were </w:t>
            </w:r>
            <w:r>
              <w:rPr>
                <w:rFonts w:ascii="Times New Roman" w:eastAsia="Times New Roman" w:hAnsi="Times New Roman" w:cs="Arial"/>
                <w:iCs/>
                <w:noProof/>
                <w:sz w:val="18"/>
                <w:szCs w:val="18"/>
              </w:rPr>
              <w:t xml:space="preserve">not able to provide any quantitative information on this as the costs were already incurred in the past (almost 15 years ago) and have since then been written off. However, businesses indicated in qualitative terms that they incur still today (and will in </w:t>
            </w:r>
            <w:r>
              <w:rPr>
                <w:rFonts w:ascii="Times New Roman" w:eastAsia="Times New Roman" w:hAnsi="Times New Roman" w:cs="Arial"/>
                <w:iCs/>
                <w:noProof/>
                <w:sz w:val="18"/>
                <w:szCs w:val="18"/>
              </w:rPr>
              <w:t>the future) costs in relation to regular updates, maintenance, and repair of the necessary hard- and software to safeguard the security and confidentiality of communications. However, it was not possible to obtain any quantitative information from business</w:t>
            </w:r>
            <w:r>
              <w:rPr>
                <w:rFonts w:ascii="Times New Roman" w:eastAsia="Times New Roman" w:hAnsi="Times New Roman" w:cs="Arial"/>
                <w:iCs/>
                <w:noProof/>
                <w:sz w:val="18"/>
                <w:szCs w:val="18"/>
              </w:rPr>
              <w:t>es on the magnitude of such costs.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Art. 5(3) is expected to be responsible for a significant amount of compliance costs. This is due to the extensive coverage of this provision (potentially all businesses in the EU that run a website and use cookies), as w</w:t>
            </w:r>
            <w:r>
              <w:rPr>
                <w:rFonts w:ascii="Times New Roman" w:eastAsia="Times New Roman" w:hAnsi="Times New Roman" w:cs="Arial"/>
                <w:noProof/>
                <w:sz w:val="18"/>
                <w:szCs w:val="18"/>
                <w:lang w:eastAsia="de-DE"/>
              </w:rPr>
              <w:t xml:space="preserve">ell as its importance for today’s communication, marketing, advertising, and sales techniques. As businesses are increasingly developing data-driven business models, the importance of the substance of Art.5(3) is also expected to grow over the next years. </w:t>
            </w:r>
            <w:r>
              <w:rPr>
                <w:rFonts w:ascii="Times New Roman" w:eastAsia="Times New Roman" w:hAnsi="Times New Roman" w:cs="Arial"/>
                <w:noProof/>
                <w:sz w:val="18"/>
                <w:szCs w:val="18"/>
                <w:lang w:eastAsia="de-DE"/>
              </w:rPr>
              <w:t>The costs associated with this provision mainly stem from the need to collect users’ consent to be able to use cookies on websites, i.e. to implement the relevant technical solutions on websites.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In addition, Deloitte has been requested to undertake particular efforts to estimate compliance costs in relation to Art. 13 on unsolicited communications as this provision, in addition to covering voice calls, also involves the implementation of a technic</w:t>
            </w:r>
            <w:r>
              <w:rPr>
                <w:rFonts w:ascii="Times New Roman" w:eastAsia="Times New Roman" w:hAnsi="Times New Roman" w:cs="Arial"/>
                <w:noProof/>
                <w:sz w:val="18"/>
                <w:szCs w:val="18"/>
                <w:lang w:eastAsia="de-DE"/>
              </w:rPr>
              <w:t xml:space="preserve">al solution on websites to collect users’ consent to </w:t>
            </w:r>
            <w:r>
              <w:rPr>
                <w:rFonts w:ascii="Times New Roman" w:eastAsia="Times New Roman" w:hAnsi="Times New Roman" w:cs="Arial"/>
                <w:i/>
                <w:noProof/>
                <w:sz w:val="18"/>
                <w:szCs w:val="18"/>
                <w:lang w:eastAsia="de-DE"/>
              </w:rPr>
              <w:t>unsolicited</w:t>
            </w:r>
            <w:r>
              <w:rPr>
                <w:rFonts w:ascii="Times New Roman" w:eastAsia="Times New Roman" w:hAnsi="Times New Roman" w:cs="Arial"/>
                <w:noProof/>
                <w:sz w:val="18"/>
                <w:szCs w:val="18"/>
                <w:lang w:eastAsia="de-DE"/>
              </w:rPr>
              <w:t xml:space="preserve"> communication. As only very limited quantitative information was obtained from businesses, expert judgment was used to estimate respective compliance costs (see the assumptions below in the s</w:t>
            </w:r>
            <w:r>
              <w:rPr>
                <w:rFonts w:ascii="Times New Roman" w:eastAsia="Times New Roman" w:hAnsi="Times New Roman" w:cs="Arial"/>
                <w:noProof/>
                <w:sz w:val="18"/>
                <w:szCs w:val="18"/>
                <w:lang w:eastAsia="de-DE"/>
              </w:rPr>
              <w:t>ection on the assumptions).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Finally, after the adoption of the ePD, in particular telecommunication service providers have – according to our interview results – incurred high capital costs in relation to the implementation of:</w:t>
            </w:r>
          </w:p>
          <w:p w:rsidR="00035C91" w:rsidRDefault="00632184">
            <w:pPr>
              <w:numPr>
                <w:ilvl w:val="0"/>
                <w:numId w:val="110"/>
              </w:numPr>
              <w:spacing w:before="60" w:after="60"/>
              <w:jc w:val="left"/>
              <w:rPr>
                <w:rFonts w:ascii="Times New Roman" w:eastAsia="Times New Roman" w:hAnsi="Times New Roman" w:cs="Arial"/>
                <w:iCs/>
                <w:noProof/>
                <w:sz w:val="18"/>
                <w:szCs w:val="18"/>
              </w:rPr>
            </w:pPr>
            <w:r>
              <w:rPr>
                <w:rFonts w:ascii="Times New Roman" w:eastAsia="Times New Roman" w:hAnsi="Times New Roman" w:cs="Arial"/>
                <w:iCs/>
                <w:noProof/>
                <w:sz w:val="18"/>
                <w:szCs w:val="18"/>
              </w:rPr>
              <w:t xml:space="preserve">Articles 6 and 9 on traffic </w:t>
            </w:r>
            <w:r>
              <w:rPr>
                <w:rFonts w:ascii="Times New Roman" w:eastAsia="Times New Roman" w:hAnsi="Times New Roman" w:cs="Arial"/>
                <w:iCs/>
                <w:noProof/>
                <w:sz w:val="18"/>
                <w:szCs w:val="18"/>
              </w:rPr>
              <w:t>data and location data other than traffic data;</w:t>
            </w:r>
          </w:p>
          <w:p w:rsidR="00035C91" w:rsidRDefault="00632184">
            <w:pPr>
              <w:numPr>
                <w:ilvl w:val="0"/>
                <w:numId w:val="110"/>
              </w:numPr>
              <w:spacing w:before="60" w:after="60"/>
              <w:jc w:val="left"/>
              <w:rPr>
                <w:rFonts w:ascii="Times New Roman" w:eastAsia="Times New Roman" w:hAnsi="Times New Roman" w:cs="Arial"/>
                <w:iCs/>
                <w:noProof/>
                <w:sz w:val="18"/>
                <w:szCs w:val="18"/>
              </w:rPr>
            </w:pPr>
            <w:r>
              <w:rPr>
                <w:rFonts w:ascii="Times New Roman" w:eastAsia="Times New Roman" w:hAnsi="Times New Roman" w:cs="Arial"/>
                <w:iCs/>
                <w:noProof/>
                <w:sz w:val="18"/>
                <w:szCs w:val="18"/>
              </w:rPr>
              <w:t>Article 7 on itemised billing;</w:t>
            </w:r>
          </w:p>
          <w:p w:rsidR="00035C91" w:rsidRDefault="00632184">
            <w:pPr>
              <w:numPr>
                <w:ilvl w:val="0"/>
                <w:numId w:val="110"/>
              </w:numPr>
              <w:spacing w:before="60" w:after="60"/>
              <w:jc w:val="left"/>
              <w:rPr>
                <w:rFonts w:ascii="Times New Roman" w:eastAsia="Times New Roman" w:hAnsi="Times New Roman" w:cs="Arial"/>
                <w:iCs/>
                <w:noProof/>
                <w:sz w:val="18"/>
                <w:szCs w:val="18"/>
              </w:rPr>
            </w:pPr>
            <w:r>
              <w:rPr>
                <w:rFonts w:ascii="Times New Roman" w:eastAsia="Times New Roman" w:hAnsi="Times New Roman" w:cs="Arial"/>
                <w:iCs/>
                <w:noProof/>
                <w:sz w:val="18"/>
                <w:szCs w:val="18"/>
              </w:rPr>
              <w:t>Article 8 on control of connected line identification (incl. Art. 10 on exception); and</w:t>
            </w:r>
          </w:p>
          <w:p w:rsidR="00035C91" w:rsidRDefault="00632184">
            <w:pPr>
              <w:numPr>
                <w:ilvl w:val="0"/>
                <w:numId w:val="110"/>
              </w:numPr>
              <w:spacing w:before="60" w:after="60"/>
              <w:jc w:val="left"/>
              <w:rPr>
                <w:rFonts w:ascii="Times New Roman" w:eastAsia="Times New Roman" w:hAnsi="Times New Roman" w:cs="Arial"/>
                <w:iCs/>
                <w:noProof/>
                <w:sz w:val="18"/>
                <w:szCs w:val="18"/>
              </w:rPr>
            </w:pPr>
            <w:r>
              <w:rPr>
                <w:rFonts w:ascii="Times New Roman" w:eastAsia="Times New Roman" w:hAnsi="Times New Roman" w:cs="Arial"/>
                <w:iCs/>
                <w:noProof/>
                <w:sz w:val="18"/>
                <w:szCs w:val="18"/>
              </w:rPr>
              <w:t>Article 11 on automatic call forwarding.</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iCs/>
                <w:noProof/>
                <w:sz w:val="18"/>
                <w:szCs w:val="18"/>
              </w:rPr>
              <w:t>Under Art. 6 &amp;</w:t>
            </w:r>
            <w:r>
              <w:rPr>
                <w:rFonts w:ascii="Times New Roman" w:eastAsia="Times New Roman" w:hAnsi="Times New Roman" w:cs="Arial"/>
                <w:iCs/>
                <w:noProof/>
                <w:sz w:val="18"/>
                <w:szCs w:val="18"/>
              </w:rPr>
              <w:t xml:space="preserve"> 9, and 12 concerning directories of subscribers, businesses incur some costs regarding </w:t>
            </w:r>
            <w:r>
              <w:rPr>
                <w:rFonts w:ascii="Times New Roman" w:eastAsia="Times New Roman" w:hAnsi="Times New Roman" w:cs="Arial"/>
                <w:noProof/>
                <w:sz w:val="18"/>
                <w:szCs w:val="18"/>
              </w:rPr>
              <w:t>information obligations to consumers.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Based on the feedback received, these costs can be expected to be fairly large. However, these costs, which were incurred in the p</w:t>
            </w:r>
            <w:r>
              <w:rPr>
                <w:rFonts w:ascii="Times New Roman" w:eastAsia="Times New Roman" w:hAnsi="Times New Roman" w:cs="Arial"/>
                <w:noProof/>
                <w:sz w:val="18"/>
                <w:szCs w:val="18"/>
                <w:lang w:eastAsia="de-DE"/>
              </w:rPr>
              <w:t>ast by telecommunication service providers, can be expected to be already written off. Initially high investments have already amortised themselves over the years. In addition, over time, the operational expenditures in relation to these provisions have de</w:t>
            </w:r>
            <w:r>
              <w:rPr>
                <w:rFonts w:ascii="Times New Roman" w:eastAsia="Times New Roman" w:hAnsi="Times New Roman" w:cs="Arial"/>
                <w:noProof/>
                <w:sz w:val="18"/>
                <w:szCs w:val="18"/>
                <w:lang w:eastAsia="de-DE"/>
              </w:rPr>
              <w:t>creased and are expected to be insignificant in view of the overall costs incurred by businesses today – keeping in mind that costs are incurred in relation to e.g. maintenance, updates, repair etc.</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Apart from itemised billing (which today is expected to b</w:t>
            </w:r>
            <w:r>
              <w:rPr>
                <w:rFonts w:ascii="Times New Roman" w:eastAsia="Times New Roman" w:hAnsi="Times New Roman" w:cs="Arial"/>
                <w:noProof/>
                <w:sz w:val="18"/>
                <w:szCs w:val="18"/>
                <w:lang w:eastAsia="de-DE"/>
              </w:rPr>
              <w:t>e a standard process with no additional costs for service providers), the services regulated by these provisions are generally regarded as outdated or built-in by design in devices.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Overall, this means that the compliance costs estimated as part of this st</w:t>
            </w:r>
            <w:r>
              <w:rPr>
                <w:rFonts w:ascii="Times New Roman" w:eastAsia="Times New Roman" w:hAnsi="Times New Roman" w:cs="Arial"/>
                <w:noProof/>
                <w:sz w:val="18"/>
                <w:szCs w:val="18"/>
                <w:lang w:eastAsia="de-DE"/>
              </w:rPr>
              <w:t>udy are based on costs related to Art. 5(3) and Art. 13 (based on expert judgment). The quantitative findings of the study are thus very likely to underestimate the actual amount of compliance costs incurred in the past, today, and thus in the future (at l</w:t>
            </w:r>
            <w:r>
              <w:rPr>
                <w:rFonts w:ascii="Times New Roman" w:eastAsia="Times New Roman" w:hAnsi="Times New Roman" w:cs="Arial"/>
                <w:noProof/>
                <w:sz w:val="18"/>
                <w:szCs w:val="18"/>
                <w:lang w:eastAsia="de-DE"/>
              </w:rPr>
              <w:t>east for new businesses who have not yet incurred the initial capital costs for implementing these provisions). This is due to the fact that capital and recurring expenditures relating to other Articles than Art. 5(3) and 13 could not be estimated. The ava</w:t>
            </w:r>
            <w:r>
              <w:rPr>
                <w:rFonts w:ascii="Times New Roman" w:eastAsia="Times New Roman" w:hAnsi="Times New Roman" w:cs="Arial"/>
                <w:noProof/>
                <w:sz w:val="18"/>
                <w:szCs w:val="18"/>
                <w:lang w:eastAsia="de-DE"/>
              </w:rPr>
              <w:t>ilable evidence has, however, been taken into account in qualitative terms as much as possible.</w:t>
            </w:r>
          </w:p>
        </w:tc>
      </w:tr>
      <w:tr w:rsidR="00035C91">
        <w:trPr>
          <w:trHeight w:val="210"/>
        </w:trPr>
        <w:tc>
          <w:tcPr>
            <w:tcW w:w="15207" w:type="dxa"/>
            <w:gridSpan w:val="2"/>
            <w:tcBorders>
              <w:top w:val="single" w:sz="4" w:space="0" w:color="auto"/>
              <w:left w:val="single" w:sz="4" w:space="0" w:color="auto"/>
              <w:bottom w:val="single" w:sz="4" w:space="0" w:color="auto"/>
              <w:right w:val="single" w:sz="4" w:space="0" w:color="auto"/>
            </w:tcBorders>
            <w:shd w:val="clear" w:color="000000" w:fill="BFBFBF"/>
            <w:hideMark/>
          </w:tcPr>
          <w:p w:rsidR="00035C91" w:rsidRDefault="00632184">
            <w:pPr>
              <w:tabs>
                <w:tab w:val="left" w:pos="14099"/>
              </w:tabs>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Art. 5(3) Share of websites that would need to comply</w:t>
            </w:r>
          </w:p>
        </w:tc>
      </w:tr>
      <w:tr w:rsidR="00035C91">
        <w:trPr>
          <w:trHeight w:val="300"/>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Maximum scenario</w:t>
            </w:r>
          </w:p>
        </w:tc>
        <w:tc>
          <w:tcPr>
            <w:tcW w:w="12332" w:type="dxa"/>
            <w:vMerge w:val="restart"/>
            <w:tcBorders>
              <w:top w:val="single" w:sz="4" w:space="0" w:color="auto"/>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For the purpose of projecting compliance costs, in addition to the share of websites using cookies, it is also important to account for websites that are not active or not complying with legislation. While all </w:t>
            </w:r>
            <w:r>
              <w:rPr>
                <w:rFonts w:ascii="Times New Roman" w:eastAsia="Times New Roman" w:hAnsi="Times New Roman" w:cs="Arial"/>
                <w:i/>
                <w:noProof/>
                <w:sz w:val="18"/>
                <w:szCs w:val="18"/>
                <w:lang w:eastAsia="de-DE"/>
              </w:rPr>
              <w:t>businesses</w:t>
            </w:r>
            <w:r>
              <w:rPr>
                <w:rFonts w:ascii="Times New Roman" w:eastAsia="Times New Roman" w:hAnsi="Times New Roman" w:cs="Arial"/>
                <w:noProof/>
                <w:sz w:val="18"/>
                <w:szCs w:val="18"/>
                <w:lang w:eastAsia="de-DE"/>
              </w:rPr>
              <w:t xml:space="preserve"> that run websites with cookies may </w:t>
            </w:r>
            <w:r>
              <w:rPr>
                <w:rFonts w:ascii="Times New Roman" w:eastAsia="Times New Roman" w:hAnsi="Times New Roman" w:cs="Arial"/>
                <w:noProof/>
                <w:sz w:val="18"/>
                <w:szCs w:val="18"/>
                <w:lang w:eastAsia="de-DE"/>
              </w:rPr>
              <w:t xml:space="preserve">potentially be affected, costs are only incurred in relation to those </w:t>
            </w:r>
            <w:r>
              <w:rPr>
                <w:rFonts w:ascii="Times New Roman" w:eastAsia="Times New Roman" w:hAnsi="Times New Roman" w:cs="Arial"/>
                <w:i/>
                <w:noProof/>
                <w:sz w:val="18"/>
                <w:szCs w:val="18"/>
                <w:lang w:eastAsia="de-DE"/>
              </w:rPr>
              <w:t>websites</w:t>
            </w:r>
            <w:r>
              <w:rPr>
                <w:rFonts w:ascii="Times New Roman" w:eastAsia="Times New Roman" w:hAnsi="Times New Roman" w:cs="Arial"/>
                <w:noProof/>
                <w:sz w:val="18"/>
                <w:szCs w:val="18"/>
                <w:lang w:eastAsia="de-DE"/>
              </w:rPr>
              <w:t xml:space="preserve"> that need to comply with legislation, e.g. no holding pages, pay-per-click sites, and private (password-protected) sites.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The 2014 ITIF report on the economic costs of the Europ</w:t>
            </w:r>
            <w:r>
              <w:rPr>
                <w:rFonts w:ascii="Times New Roman" w:eastAsia="Times New Roman" w:hAnsi="Times New Roman" w:cs="Arial"/>
                <w:noProof/>
                <w:sz w:val="18"/>
                <w:szCs w:val="18"/>
                <w:lang w:eastAsia="de-DE"/>
              </w:rPr>
              <w:t>ean Union’s cookie notification policy cites data by EURid, the European registry in charge of “.eu”, indicates that 41.9% of websites in the EU are active and complying with legislation.</w:t>
            </w:r>
            <w:r>
              <w:rPr>
                <w:rFonts w:ascii="Times New Roman" w:eastAsia="Times New Roman" w:hAnsi="Times New Roman" w:cs="Arial"/>
                <w:noProof/>
                <w:sz w:val="18"/>
                <w:szCs w:val="18"/>
                <w:vertAlign w:val="superscript"/>
                <w:lang w:eastAsia="de-DE"/>
              </w:rPr>
              <w:footnoteReference w:id="18"/>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Similarly to the scenarios concerning the share of websites using c</w:t>
            </w:r>
            <w:r>
              <w:rPr>
                <w:rFonts w:ascii="Times New Roman" w:eastAsia="Times New Roman" w:hAnsi="Times New Roman" w:cs="Arial"/>
                <w:noProof/>
                <w:sz w:val="18"/>
                <w:szCs w:val="18"/>
                <w:lang w:eastAsia="de-DE"/>
              </w:rPr>
              <w:t xml:space="preserve">ookies, this information is used to project a minimum, medium, and maximum scenario for the share of websites that would need to comply. </w:t>
            </w:r>
            <w:r>
              <w:rPr>
                <w:rFonts w:ascii="Times New Roman" w:eastAsia="Times New Roman" w:hAnsi="Times New Roman" w:cs="Arial"/>
                <w:b/>
                <w:noProof/>
                <w:sz w:val="18"/>
                <w:szCs w:val="18"/>
                <w:lang w:eastAsia="de-DE"/>
              </w:rPr>
              <w:t>The medium value is 41.9%,</w:t>
            </w:r>
            <w:r>
              <w:rPr>
                <w:rFonts w:ascii="Times New Roman" w:eastAsia="Times New Roman" w:hAnsi="Times New Roman" w:cs="Arial"/>
                <w:noProof/>
                <w:sz w:val="18"/>
                <w:szCs w:val="18"/>
                <w:lang w:eastAsia="de-DE"/>
              </w:rPr>
              <w:t xml:space="preserve"> while 5% have been added / subtracted respectively to project a corridor in which the </w:t>
            </w:r>
            <w:r>
              <w:rPr>
                <w:rFonts w:ascii="Times New Roman" w:eastAsia="Times New Roman" w:hAnsi="Times New Roman" w:cs="Arial"/>
                <w:i/>
                <w:noProof/>
                <w:sz w:val="18"/>
                <w:szCs w:val="18"/>
                <w:lang w:eastAsia="de-DE"/>
              </w:rPr>
              <w:t>actual</w:t>
            </w:r>
            <w:r>
              <w:rPr>
                <w:rFonts w:ascii="Times New Roman" w:eastAsia="Times New Roman" w:hAnsi="Times New Roman" w:cs="Arial"/>
                <w:noProof/>
                <w:sz w:val="18"/>
                <w:szCs w:val="18"/>
                <w:lang w:eastAsia="de-DE"/>
              </w:rPr>
              <w:t xml:space="preserve"> figure is most likely to be in (i.e. 47% and 37% respectively).</w:t>
            </w:r>
          </w:p>
        </w:tc>
      </w:tr>
      <w:tr w:rsidR="00035C91">
        <w:trPr>
          <w:trHeight w:val="22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Medium scenario</w:t>
            </w:r>
          </w:p>
        </w:tc>
        <w:tc>
          <w:tcPr>
            <w:tcW w:w="12332" w:type="dxa"/>
            <w:vMerge/>
            <w:tcBorders>
              <w:top w:val="single" w:sz="4" w:space="0" w:color="auto"/>
              <w:left w:val="nil"/>
              <w:bottom w:val="single" w:sz="4" w:space="0" w:color="auto"/>
              <w:right w:val="single" w:sz="4" w:space="0" w:color="auto"/>
            </w:tcBorders>
            <w:shd w:val="clear" w:color="auto" w:fill="auto"/>
            <w:hideMark/>
          </w:tcPr>
          <w:p w:rsidR="00035C91" w:rsidRDefault="00035C91">
            <w:pPr>
              <w:spacing w:before="60" w:after="60"/>
              <w:rPr>
                <w:rFonts w:ascii="Times New Roman" w:eastAsia="Times New Roman" w:hAnsi="Times New Roman" w:cs="Arial"/>
                <w:noProof/>
                <w:sz w:val="18"/>
                <w:szCs w:val="18"/>
                <w:lang w:eastAsia="de-DE"/>
              </w:rPr>
            </w:pP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Minimum scenario</w:t>
            </w:r>
          </w:p>
        </w:tc>
        <w:tc>
          <w:tcPr>
            <w:tcW w:w="12332" w:type="dxa"/>
            <w:vMerge/>
            <w:tcBorders>
              <w:top w:val="single" w:sz="4" w:space="0" w:color="auto"/>
              <w:left w:val="nil"/>
              <w:bottom w:val="single" w:sz="4" w:space="0" w:color="auto"/>
              <w:right w:val="single" w:sz="4" w:space="0" w:color="auto"/>
            </w:tcBorders>
            <w:shd w:val="clear" w:color="auto" w:fill="auto"/>
            <w:hideMark/>
          </w:tcPr>
          <w:p w:rsidR="00035C91" w:rsidRDefault="00035C91">
            <w:pPr>
              <w:spacing w:before="60" w:after="60"/>
              <w:rPr>
                <w:rFonts w:ascii="Times New Roman" w:eastAsia="Times New Roman" w:hAnsi="Times New Roman" w:cs="Arial"/>
                <w:noProof/>
                <w:sz w:val="18"/>
                <w:szCs w:val="18"/>
                <w:lang w:eastAsia="de-DE"/>
              </w:rPr>
            </w:pPr>
          </w:p>
        </w:tc>
      </w:tr>
      <w:tr w:rsidR="00035C91">
        <w:trPr>
          <w:trHeight w:val="28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Costs per website to be compliant</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The projection of the compliance costs relies on the costs per website to comply with legislative requirements. The </w:t>
            </w:r>
            <w:r>
              <w:rPr>
                <w:rFonts w:ascii="Times New Roman" w:eastAsia="Times New Roman" w:hAnsi="Times New Roman" w:cs="Arial"/>
                <w:noProof/>
                <w:sz w:val="18"/>
                <w:szCs w:val="18"/>
                <w:lang w:eastAsia="de-DE"/>
              </w:rPr>
              <w:t>2014 ITIF report projections a lump sum of 900 EUR per website incl. costs associated with legal advice, updates to privacy policies, and technical updates to websites.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The ITIF study was indeed cited by different stakeholders consulted as part of this initiative, implying that this estimate is considered realistic by these stakeholders. Similarly, an online retailer estimated that the costs relating to the implementation</w:t>
            </w:r>
            <w:r>
              <w:rPr>
                <w:rFonts w:ascii="Times New Roman" w:eastAsia="Times New Roman" w:hAnsi="Times New Roman" w:cs="Arial"/>
                <w:noProof/>
                <w:sz w:val="18"/>
                <w:szCs w:val="18"/>
                <w:lang w:eastAsia="de-DE"/>
              </w:rPr>
              <w:t xml:space="preserve"> of the cookie banner lie around 1150 Euro per website. This estimate is again very close to the estimated 900 Euro per website, although this online retailer also indicated that additional costs occur to deal with customers who complain about seeing the b</w:t>
            </w:r>
            <w:r>
              <w:rPr>
                <w:rFonts w:ascii="Times New Roman" w:eastAsia="Times New Roman" w:hAnsi="Times New Roman" w:cs="Arial"/>
                <w:noProof/>
                <w:sz w:val="18"/>
                <w:szCs w:val="18"/>
                <w:lang w:eastAsia="de-DE"/>
              </w:rPr>
              <w:t>anner even after consenting (e.g. because they clear their browser history or move to a new browser). However, there were also a few stakeholders that indicated that compliance costs would be significantly higher or lower. For instance, an internet content</w:t>
            </w:r>
            <w:r>
              <w:rPr>
                <w:rFonts w:ascii="Times New Roman" w:eastAsia="Times New Roman" w:hAnsi="Times New Roman" w:cs="Arial"/>
                <w:noProof/>
                <w:sz w:val="18"/>
                <w:szCs w:val="18"/>
                <w:lang w:eastAsia="de-DE"/>
              </w:rPr>
              <w:t xml:space="preserve"> provider replying to the public consultation indicated that the costs to implement the cookie banner would be relatively small and could be similar to the annual costs of hosting a website. A large IT hardware and network systems company reported signific</w:t>
            </w:r>
            <w:r>
              <w:rPr>
                <w:rFonts w:ascii="Times New Roman" w:eastAsia="Times New Roman" w:hAnsi="Times New Roman" w:cs="Arial"/>
                <w:noProof/>
                <w:sz w:val="18"/>
                <w:szCs w:val="18"/>
                <w:lang w:eastAsia="de-DE"/>
              </w:rPr>
              <w:t>antly higher annual costs: they estimate annual costs for a cookie opt-out tool of ca EUR 280,000, and additional costs of ca EUR 70,000 for a trained resource. Based on the information available, it seems that such high costs only apply to large businesse</w:t>
            </w:r>
            <w:r>
              <w:rPr>
                <w:rFonts w:ascii="Times New Roman" w:eastAsia="Times New Roman" w:hAnsi="Times New Roman" w:cs="Arial"/>
                <w:noProof/>
                <w:sz w:val="18"/>
                <w:szCs w:val="18"/>
                <w:lang w:eastAsia="de-DE"/>
              </w:rPr>
              <w:t xml:space="preserve">s, i.e. the minority of businesses that need to apply the cookie banner. </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lang w:eastAsia="de-DE"/>
              </w:rPr>
              <w:t xml:space="preserve">In addition, the ITIF report indicates, however, that it is expected that </w:t>
            </w:r>
            <w:r>
              <w:rPr>
                <w:rFonts w:ascii="Times New Roman" w:eastAsia="Times New Roman" w:hAnsi="Times New Roman" w:cs="Arial"/>
                <w:noProof/>
                <w:sz w:val="18"/>
                <w:szCs w:val="18"/>
              </w:rPr>
              <w:t xml:space="preserve">costs are higher for larger organisations with more complex web operations. </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rPr>
              <w:t>Finally, the ITIF report indica</w:t>
            </w:r>
            <w:r>
              <w:rPr>
                <w:rFonts w:ascii="Times New Roman" w:eastAsia="Times New Roman" w:hAnsi="Times New Roman" w:cs="Arial"/>
                <w:noProof/>
                <w:sz w:val="18"/>
                <w:szCs w:val="18"/>
              </w:rPr>
              <w:t xml:space="preserve">tes that the average useful lifetime of a website is three years over which the 900 EUR are incurred. Therefore, the annual </w:t>
            </w:r>
            <w:r>
              <w:rPr>
                <w:rFonts w:ascii="Times New Roman" w:eastAsia="Times New Roman" w:hAnsi="Times New Roman" w:cs="Arial"/>
                <w:b/>
                <w:noProof/>
                <w:sz w:val="18"/>
                <w:szCs w:val="18"/>
              </w:rPr>
              <w:t>price per website has been set at a lump sum of 300 EUR</w:t>
            </w:r>
            <w:r>
              <w:rPr>
                <w:rFonts w:ascii="Times New Roman" w:eastAsia="Times New Roman" w:hAnsi="Times New Roman" w:cs="Arial"/>
                <w:noProof/>
                <w:sz w:val="18"/>
                <w:szCs w:val="18"/>
              </w:rPr>
              <w:t>, knowing that this is only a very raw estimate based on very limited, but be</w:t>
            </w:r>
            <w:r>
              <w:rPr>
                <w:rFonts w:ascii="Times New Roman" w:eastAsia="Times New Roman" w:hAnsi="Times New Roman" w:cs="Arial"/>
                <w:noProof/>
                <w:sz w:val="18"/>
                <w:szCs w:val="18"/>
              </w:rPr>
              <w:t>st data available.</w:t>
            </w:r>
            <w:r>
              <w:rPr>
                <w:rFonts w:ascii="Times New Roman" w:eastAsia="Times New Roman" w:hAnsi="Times New Roman" w:cs="Arial"/>
                <w:noProof/>
                <w:sz w:val="18"/>
                <w:szCs w:val="18"/>
                <w:vertAlign w:val="superscript"/>
              </w:rPr>
              <w:footnoteReference w:id="19"/>
            </w:r>
            <w:r>
              <w:rPr>
                <w:rFonts w:ascii="Times New Roman" w:eastAsia="Times New Roman" w:hAnsi="Times New Roman" w:cs="Arial"/>
                <w:noProof/>
                <w:sz w:val="18"/>
                <w:szCs w:val="18"/>
              </w:rPr>
              <w:t xml:space="preserve"> It is expected that this estimate includes </w:t>
            </w:r>
            <w:r>
              <w:rPr>
                <w:rFonts w:ascii="Times New Roman" w:eastAsia="Times New Roman" w:hAnsi="Times New Roman" w:cs="Arial"/>
                <w:noProof/>
                <w:sz w:val="18"/>
                <w:szCs w:val="18"/>
                <w:lang w:eastAsia="de-DE"/>
              </w:rPr>
              <w:t xml:space="preserve">technical and legal advice, as well as regular updates and maintenance of the websites cookie policies. </w:t>
            </w:r>
          </w:p>
        </w:tc>
      </w:tr>
      <w:tr w:rsidR="00035C91">
        <w:trPr>
          <w:trHeight w:val="449"/>
        </w:trPr>
        <w:tc>
          <w:tcPr>
            <w:tcW w:w="15207" w:type="dxa"/>
            <w:gridSpan w:val="2"/>
            <w:tcBorders>
              <w:top w:val="nil"/>
              <w:left w:val="single" w:sz="4" w:space="0" w:color="auto"/>
              <w:bottom w:val="single" w:sz="4" w:space="0" w:color="auto"/>
              <w:right w:val="single" w:sz="4" w:space="0" w:color="auto"/>
            </w:tcBorders>
            <w:shd w:val="clear" w:color="auto" w:fill="BFBFBF" w:themeFill="background1" w:themeFillShade="BF"/>
          </w:tcPr>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lang w:eastAsia="de-DE"/>
              </w:rPr>
              <w:t>Art. 13 on unsolicited communication</w:t>
            </w: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General assumption</w:t>
            </w:r>
          </w:p>
        </w:tc>
        <w:tc>
          <w:tcPr>
            <w:tcW w:w="12332" w:type="dxa"/>
            <w:tcBorders>
              <w:top w:val="nil"/>
              <w:left w:val="nil"/>
              <w:bottom w:val="single" w:sz="4" w:space="0" w:color="auto"/>
              <w:right w:val="single" w:sz="4" w:space="0" w:color="auto"/>
            </w:tcBorders>
            <w:shd w:val="clear" w:color="auto" w:fill="auto"/>
            <w:noWrap/>
          </w:tcPr>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Although only very limited qua</w:t>
            </w:r>
            <w:r>
              <w:rPr>
                <w:rFonts w:ascii="Times New Roman" w:eastAsia="Times New Roman" w:hAnsi="Times New Roman" w:cs="Arial"/>
                <w:noProof/>
                <w:sz w:val="18"/>
                <w:szCs w:val="18"/>
              </w:rPr>
              <w:t xml:space="preserve">ntitative information is available in relation to costs associated with Art. 13 (apart from information that eCommerce businesses generally check the Robinson list about every two weeks as part of a standardised process), quantitative estimates were still </w:t>
            </w:r>
            <w:r>
              <w:rPr>
                <w:rFonts w:ascii="Times New Roman" w:eastAsia="Times New Roman" w:hAnsi="Times New Roman" w:cs="Arial"/>
                <w:noProof/>
                <w:sz w:val="18"/>
                <w:szCs w:val="18"/>
              </w:rPr>
              <w:t>carried out – mostly based on expert judgment.</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In general, we assume that compliance costs are incurred not by all businesses that provide for unsolicited communication but only by those that also have a website and use cookies because collecting the conse</w:t>
            </w:r>
            <w:r>
              <w:rPr>
                <w:rFonts w:ascii="Times New Roman" w:eastAsia="Times New Roman" w:hAnsi="Times New Roman" w:cs="Arial"/>
                <w:noProof/>
                <w:sz w:val="18"/>
                <w:szCs w:val="18"/>
              </w:rPr>
              <w:t>nt of users over the counter does not produce costs. There are two reasons for which this can be reasonably assumed: (1) All businesses can, potentially, make use of unsolicited communications by electronic communication means– either in a B2B or B2C conte</w:t>
            </w:r>
            <w:r>
              <w:rPr>
                <w:rFonts w:ascii="Times New Roman" w:eastAsia="Times New Roman" w:hAnsi="Times New Roman" w:cs="Arial"/>
                <w:noProof/>
                <w:sz w:val="18"/>
                <w:szCs w:val="18"/>
              </w:rPr>
              <w:t>xt. However, it is only those businesses that provide for a website that are actually able to collect users’ consent, either by an opt-in or opt-out solution. Furthermore, such businesses are generally expected to make also use of cookies in order to under</w:t>
            </w:r>
            <w:r>
              <w:rPr>
                <w:rFonts w:ascii="Times New Roman" w:eastAsia="Times New Roman" w:hAnsi="Times New Roman" w:cs="Arial"/>
                <w:noProof/>
                <w:sz w:val="18"/>
                <w:szCs w:val="18"/>
              </w:rPr>
              <w:t xml:space="preserve">stand better “who their customers are” with a view to providing </w:t>
            </w:r>
            <w:r>
              <w:rPr>
                <w:rFonts w:ascii="Times New Roman" w:eastAsia="Times New Roman" w:hAnsi="Times New Roman" w:cs="Arial"/>
                <w:i/>
                <w:noProof/>
                <w:sz w:val="18"/>
                <w:szCs w:val="18"/>
              </w:rPr>
              <w:t>targeted</w:t>
            </w:r>
            <w:r>
              <w:rPr>
                <w:rFonts w:ascii="Times New Roman" w:eastAsia="Times New Roman" w:hAnsi="Times New Roman" w:cs="Arial"/>
                <w:noProof/>
                <w:sz w:val="18"/>
                <w:szCs w:val="18"/>
              </w:rPr>
              <w:t xml:space="preserve"> unsolicited communication by electronic communication means. (2) Businesses that provide for unsolicited communication by electronic communication means but do not make use of a website are not able to collect the consent of their customers – both from a </w:t>
            </w:r>
            <w:r>
              <w:rPr>
                <w:rFonts w:ascii="Times New Roman" w:eastAsia="Times New Roman" w:hAnsi="Times New Roman" w:cs="Arial"/>
                <w:noProof/>
                <w:sz w:val="18"/>
                <w:szCs w:val="18"/>
              </w:rPr>
              <w:t>B2B and B2C perspective. Therefore, such businesses are expected to simply provide for unsolicited communication – even though this may not necessarily be compliant with national law. In any event, though, the compliance costs incurred by such businesses (</w:t>
            </w:r>
            <w:r>
              <w:rPr>
                <w:rFonts w:ascii="Times New Roman" w:eastAsia="Times New Roman" w:hAnsi="Times New Roman" w:cs="Arial"/>
                <w:noProof/>
                <w:sz w:val="18"/>
                <w:szCs w:val="18"/>
              </w:rPr>
              <w:t>e.g. related to legal advice) are (1) expected to be insignificant in view of the overall amount of costs; and (2) even though businesses may have costs related to legal advice, they could still make use of unsolicited communication as the chances of being</w:t>
            </w:r>
            <w:r>
              <w:rPr>
                <w:rFonts w:ascii="Times New Roman" w:eastAsia="Times New Roman" w:hAnsi="Times New Roman" w:cs="Arial"/>
                <w:noProof/>
                <w:sz w:val="18"/>
                <w:szCs w:val="18"/>
              </w:rPr>
              <w:t xml:space="preserve"> detected of non-compliance are close to zero.</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In a nutshell, the compliance costs associated with Art. 13 are thus only incurred by businesses that also incur costs in relation to Art. 5(3).</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 xml:space="preserve">Based on the feedback received from businesses and business </w:t>
            </w:r>
            <w:r>
              <w:rPr>
                <w:rFonts w:ascii="Times New Roman" w:eastAsia="Times New Roman" w:hAnsi="Times New Roman" w:cs="Arial"/>
                <w:noProof/>
                <w:sz w:val="18"/>
                <w:szCs w:val="18"/>
              </w:rPr>
              <w:t>associations, three main cost elements can be distinguished in relation to Art. 13</w:t>
            </w:r>
            <w:r>
              <w:rPr>
                <w:rFonts w:ascii="Times New Roman" w:eastAsia="Times New Roman" w:hAnsi="Times New Roman" w:cs="Arial"/>
                <w:noProof/>
                <w:sz w:val="18"/>
                <w:szCs w:val="18"/>
                <w:vertAlign w:val="superscript"/>
              </w:rPr>
              <w:footnoteReference w:id="20"/>
            </w:r>
            <w:r>
              <w:rPr>
                <w:rFonts w:ascii="Times New Roman" w:eastAsia="Times New Roman" w:hAnsi="Times New Roman" w:cs="Arial"/>
                <w:noProof/>
                <w:sz w:val="18"/>
                <w:szCs w:val="18"/>
              </w:rPr>
              <w:t>:</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The technical implementation of the opt-in / opt-out solution;</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Checking the Robinson list for B2B and B2C customers that have registered; and</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Assisting B2B and B2C custome</w:t>
            </w:r>
            <w:r>
              <w:rPr>
                <w:rFonts w:ascii="Times New Roman" w:eastAsia="Times New Roman" w:hAnsi="Times New Roman" w:cs="Arial"/>
                <w:noProof/>
                <w:sz w:val="18"/>
                <w:szCs w:val="18"/>
              </w:rPr>
              <w:t>rs to register / de-register on such a list.</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As available evidence is very scarce, estimates are only possible with regard to the first two of the above cost elements.</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Overall, it has to be kept in mind that the most significant cost element in relation to</w:t>
            </w:r>
            <w:r>
              <w:rPr>
                <w:rFonts w:ascii="Times New Roman" w:eastAsia="Times New Roman" w:hAnsi="Times New Roman" w:cs="Arial"/>
                <w:noProof/>
                <w:sz w:val="18"/>
                <w:szCs w:val="18"/>
              </w:rPr>
              <w:t xml:space="preserve"> Art. 13 is not the compliance costs but the opportunity costs – i.e. the costs businesses would incur / the revenue businesses would lose in case they were not allowed to provide for unsolicited communication.</w:t>
            </w: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rPr>
              <w:t>Share of businesses that have a website, use</w:t>
            </w:r>
            <w:r>
              <w:rPr>
                <w:rFonts w:ascii="Times New Roman" w:eastAsia="Times New Roman" w:hAnsi="Times New Roman" w:cs="Arial"/>
                <w:noProof/>
                <w:sz w:val="18"/>
                <w:szCs w:val="18"/>
              </w:rPr>
              <w:t xml:space="preserve"> cookies, and potentially provide for unsolicited communication by means of electronic communication</w:t>
            </w:r>
          </w:p>
        </w:tc>
        <w:tc>
          <w:tcPr>
            <w:tcW w:w="12332" w:type="dxa"/>
            <w:tcBorders>
              <w:top w:val="nil"/>
              <w:left w:val="nil"/>
              <w:bottom w:val="single" w:sz="4" w:space="0" w:color="auto"/>
              <w:right w:val="single" w:sz="4" w:space="0" w:color="auto"/>
            </w:tcBorders>
            <w:shd w:val="clear" w:color="auto" w:fill="auto"/>
            <w:noWrap/>
          </w:tcPr>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No quantitative information is available in this regard. Deloitte is still making efforts to validate the assumptions with businesses.</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We assume that almos</w:t>
            </w:r>
            <w:r>
              <w:rPr>
                <w:rFonts w:ascii="Times New Roman" w:eastAsia="Times New Roman" w:hAnsi="Times New Roman" w:cs="Arial"/>
                <w:noProof/>
                <w:sz w:val="18"/>
                <w:szCs w:val="18"/>
              </w:rPr>
              <w:t>t all businesses that have a website and use cookies could potentially provide for unsolicited communications by electronic communications means – in either a B2B or B2C context. Therefore, we have set the share at a value of 90% of respective businesses.</w:t>
            </w: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rPr>
              <w:t>Additional annual costs for websites to be compliant</w:t>
            </w:r>
          </w:p>
        </w:tc>
        <w:tc>
          <w:tcPr>
            <w:tcW w:w="12332" w:type="dxa"/>
            <w:tcBorders>
              <w:top w:val="nil"/>
              <w:left w:val="nil"/>
              <w:bottom w:val="single" w:sz="4" w:space="0" w:color="auto"/>
              <w:right w:val="single" w:sz="4" w:space="0" w:color="auto"/>
            </w:tcBorders>
            <w:shd w:val="clear" w:color="auto" w:fill="auto"/>
            <w:noWrap/>
          </w:tcPr>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No quantitative information is available in this regard. Deloitte is still making efforts to validate the assumptions with businesses.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rPr>
              <w:t>There are some costs associated with the technical implementation o</w:t>
            </w:r>
            <w:r>
              <w:rPr>
                <w:rFonts w:ascii="Times New Roman" w:eastAsia="Times New Roman" w:hAnsi="Times New Roman" w:cs="Arial"/>
                <w:noProof/>
                <w:sz w:val="18"/>
                <w:szCs w:val="18"/>
              </w:rPr>
              <w:t xml:space="preserve">f the opt-in / opt-out solution on businesses website. As businesses were not able to provide such quantitative information though, an estimate of an additional share of 25% of the </w:t>
            </w:r>
            <w:r>
              <w:rPr>
                <w:rFonts w:ascii="Times New Roman" w:eastAsia="Times New Roman" w:hAnsi="Times New Roman" w:cs="Arial"/>
                <w:noProof/>
                <w:sz w:val="18"/>
                <w:szCs w:val="18"/>
                <w:lang w:eastAsia="de-DE"/>
              </w:rPr>
              <w:t>costs per website to be compliant (see above) – i.e. 25% * 300 EUR = 75 EUR</w:t>
            </w:r>
            <w:r>
              <w:rPr>
                <w:rFonts w:ascii="Times New Roman" w:eastAsia="Times New Roman" w:hAnsi="Times New Roman" w:cs="Arial"/>
                <w:noProof/>
                <w:sz w:val="18"/>
                <w:szCs w:val="18"/>
                <w:lang w:eastAsia="de-DE"/>
              </w:rPr>
              <w:t>, has been assumed per business in order to provide for the respective technical solution on a website.</w:t>
            </w: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rPr>
              <w:t>Frequency of checking Check Robinson list (per year)</w:t>
            </w:r>
          </w:p>
        </w:tc>
        <w:tc>
          <w:tcPr>
            <w:tcW w:w="12332" w:type="dxa"/>
            <w:tcBorders>
              <w:top w:val="nil"/>
              <w:left w:val="nil"/>
              <w:bottom w:val="single" w:sz="4" w:space="0" w:color="auto"/>
              <w:right w:val="single" w:sz="4" w:space="0" w:color="auto"/>
            </w:tcBorders>
            <w:shd w:val="clear" w:color="auto" w:fill="auto"/>
            <w:noWrap/>
          </w:tcPr>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 xml:space="preserve">As part of an interview with an eCommerce business association, we have received the information </w:t>
            </w:r>
            <w:r>
              <w:rPr>
                <w:rFonts w:ascii="Times New Roman" w:eastAsia="Times New Roman" w:hAnsi="Times New Roman" w:cs="Arial"/>
                <w:noProof/>
                <w:sz w:val="18"/>
                <w:szCs w:val="18"/>
              </w:rPr>
              <w:t>that eCommerce businesses generally check the Robinson list every two weeks as part of automated standard processes that only trigger further work in case a B2B or B2C customer has registered on the Robinson list and may thus not be targeted by means of un</w:t>
            </w:r>
            <w:r>
              <w:rPr>
                <w:rFonts w:ascii="Times New Roman" w:eastAsia="Times New Roman" w:hAnsi="Times New Roman" w:cs="Arial"/>
                <w:noProof/>
                <w:sz w:val="18"/>
                <w:szCs w:val="18"/>
              </w:rPr>
              <w:t>solicited communication anymore.</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Given that the year has 52 weeks, we have set the value therefore at 26.</w:t>
            </w: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rPr>
              <w:t xml:space="preserve">Duration of checking Robinson list </w:t>
            </w:r>
          </w:p>
        </w:tc>
        <w:tc>
          <w:tcPr>
            <w:tcW w:w="12332" w:type="dxa"/>
            <w:tcBorders>
              <w:top w:val="nil"/>
              <w:left w:val="nil"/>
              <w:bottom w:val="single" w:sz="4" w:space="0" w:color="auto"/>
              <w:right w:val="single" w:sz="4" w:space="0" w:color="auto"/>
            </w:tcBorders>
            <w:shd w:val="clear" w:color="auto" w:fill="auto"/>
            <w:noWrap/>
          </w:tcPr>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No specific quantitative evidence was obtained as part of the interviews on the duration of checking the Robinson</w:t>
            </w:r>
            <w:r>
              <w:rPr>
                <w:rFonts w:ascii="Times New Roman" w:eastAsia="Times New Roman" w:hAnsi="Times New Roman" w:cs="Arial"/>
                <w:noProof/>
                <w:sz w:val="18"/>
                <w:szCs w:val="18"/>
              </w:rPr>
              <w:t xml:space="preserve"> list. However, it was indicated that this is more or less an automated standard procedure. </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Without further quantitative evidence available, we assume that it takes an average business therefore not more than 15 minutes to check the Robinson list on a giv</w:t>
            </w:r>
            <w:r>
              <w:rPr>
                <w:rFonts w:ascii="Times New Roman" w:eastAsia="Times New Roman" w:hAnsi="Times New Roman" w:cs="Arial"/>
                <w:noProof/>
                <w:sz w:val="18"/>
                <w:szCs w:val="18"/>
              </w:rPr>
              <w:t>en occasion.</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For the purpose of the quantification of the costs associated with checking the Robinson list, we have used an average salary of 18 EUR (see the section on administrative burden below).</w:t>
            </w: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Overall compliance costs related to Arts. 5(3) and 13</w:t>
            </w:r>
          </w:p>
        </w:tc>
        <w:tc>
          <w:tcPr>
            <w:tcW w:w="12332" w:type="dxa"/>
            <w:tcBorders>
              <w:top w:val="nil"/>
              <w:left w:val="nil"/>
              <w:bottom w:val="single" w:sz="4" w:space="0" w:color="auto"/>
              <w:right w:val="single" w:sz="4" w:space="0" w:color="auto"/>
            </w:tcBorders>
            <w:shd w:val="clear" w:color="auto" w:fill="auto"/>
            <w:noWrap/>
          </w:tcPr>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Ba</w:t>
            </w:r>
            <w:r>
              <w:rPr>
                <w:rFonts w:ascii="Times New Roman" w:eastAsia="Times New Roman" w:hAnsi="Times New Roman" w:cs="Arial"/>
                <w:noProof/>
                <w:sz w:val="18"/>
                <w:szCs w:val="18"/>
              </w:rPr>
              <w:t>sed on our assumptions outlined above, a given business is expected to have incurred approx. 490 EUR in 2016. This estimate is a recurring cost. However, the magnitude of the costs is decreasing. This means that in 2002, the amount in Euro incurred was hig</w:t>
            </w:r>
            <w:r>
              <w:rPr>
                <w:rFonts w:ascii="Times New Roman" w:eastAsia="Times New Roman" w:hAnsi="Times New Roman" w:cs="Arial"/>
                <w:noProof/>
                <w:sz w:val="18"/>
                <w:szCs w:val="18"/>
              </w:rPr>
              <w:t>her than today while it is expected to be lower in 2030. The cost Is decreasing because businesses adapt and learn over time and get more acquainted to a certain set of legislative rules. This is closely connected to “economies of scale” in which a solutio</w:t>
            </w:r>
            <w:r>
              <w:rPr>
                <w:rFonts w:ascii="Times New Roman" w:eastAsia="Times New Roman" w:hAnsi="Times New Roman" w:cs="Arial"/>
                <w:noProof/>
                <w:sz w:val="18"/>
                <w:szCs w:val="18"/>
              </w:rPr>
              <w:t>n, once developed and implemented, can be re-produced and adapted at relatively low cost.</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This has been estimated in the following way:</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i/>
                <w:noProof/>
                <w:sz w:val="18"/>
                <w:szCs w:val="18"/>
                <w:lang w:eastAsia="de-DE"/>
              </w:rPr>
              <w:t>Art. 5(3):</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Costs per website to be compliant: 900 EUR</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Average life time of a website: 3 years</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 xml:space="preserve">Costs per website to be </w:t>
            </w:r>
            <w:r>
              <w:rPr>
                <w:rFonts w:ascii="Times New Roman" w:eastAsia="Times New Roman" w:hAnsi="Times New Roman" w:cs="Arial"/>
                <w:noProof/>
                <w:sz w:val="18"/>
                <w:szCs w:val="18"/>
              </w:rPr>
              <w:t>compliant per year: 300 EUR</w:t>
            </w:r>
          </w:p>
          <w:p w:rsidR="00035C91" w:rsidRDefault="00632184">
            <w:pPr>
              <w:spacing w:before="60" w:after="60"/>
              <w:rPr>
                <w:rFonts w:ascii="Times New Roman" w:eastAsia="Times New Roman" w:hAnsi="Times New Roman" w:cs="Arial"/>
                <w:i/>
                <w:noProof/>
                <w:sz w:val="18"/>
                <w:szCs w:val="18"/>
                <w:lang w:eastAsia="de-DE"/>
              </w:rPr>
            </w:pPr>
            <w:r>
              <w:rPr>
                <w:rFonts w:ascii="Times New Roman" w:eastAsia="Times New Roman" w:hAnsi="Times New Roman" w:cs="Arial"/>
                <w:i/>
                <w:noProof/>
                <w:sz w:val="18"/>
                <w:szCs w:val="18"/>
                <w:lang w:eastAsia="de-DE"/>
              </w:rPr>
              <w:t>Art. 13:</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Additional annual costs for websites to be compliant: 25% of costs per website to be compliant with Art. 5(3) per year</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Frequency of checking Check Robinson list (per year): 26</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Duration of checking Robinson list: 15 minu</w:t>
            </w:r>
            <w:r>
              <w:rPr>
                <w:rFonts w:ascii="Times New Roman" w:eastAsia="Times New Roman" w:hAnsi="Times New Roman" w:cs="Arial"/>
                <w:noProof/>
                <w:sz w:val="18"/>
                <w:szCs w:val="18"/>
              </w:rPr>
              <w:t>tes (i.e. 0.25 hours)</w:t>
            </w:r>
          </w:p>
          <w:p w:rsidR="00035C91" w:rsidRDefault="00632184">
            <w:pPr>
              <w:numPr>
                <w:ilvl w:val="0"/>
                <w:numId w:val="109"/>
              </w:num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Average salary in the EU: 18 EUR per hour</w:t>
            </w:r>
          </w:p>
          <w:p w:rsidR="00035C91" w:rsidRDefault="00632184">
            <w:pPr>
              <w:spacing w:before="60" w:after="60"/>
              <w:rPr>
                <w:rFonts w:ascii="Times New Roman" w:eastAsia="Times New Roman" w:hAnsi="Times New Roman" w:cs="Arial"/>
                <w:i/>
                <w:noProof/>
                <w:sz w:val="18"/>
                <w:szCs w:val="18"/>
              </w:rPr>
            </w:pPr>
            <w:r>
              <w:rPr>
                <w:rFonts w:ascii="Times New Roman" w:eastAsia="Times New Roman" w:hAnsi="Times New Roman" w:cs="Arial"/>
                <w:i/>
                <w:noProof/>
                <w:sz w:val="18"/>
                <w:szCs w:val="18"/>
              </w:rPr>
              <w:t>Formula applied:</w:t>
            </w:r>
          </w:p>
          <w:p w:rsidR="00035C91" w:rsidRDefault="00632184">
            <w:pPr>
              <w:spacing w:before="60" w:after="60"/>
              <w:rPr>
                <w:rFonts w:ascii="Times New Roman" w:eastAsia="Times New Roman" w:hAnsi="Times New Roman" w:cs="Arial"/>
                <w:b/>
                <w:noProof/>
                <w:sz w:val="18"/>
                <w:szCs w:val="18"/>
              </w:rPr>
            </w:pPr>
            <w:r>
              <w:rPr>
                <w:rFonts w:ascii="Times New Roman" w:eastAsia="Times New Roman" w:hAnsi="Times New Roman" w:cs="Arial"/>
                <w:noProof/>
                <w:sz w:val="18"/>
                <w:szCs w:val="18"/>
              </w:rPr>
              <w:t xml:space="preserve">(900 EUR / 3 years) + 25% * (900 EUR / 3 years) + 26 * 0.25 * 18 EUR = </w:t>
            </w:r>
            <w:r>
              <w:rPr>
                <w:rFonts w:ascii="Times New Roman" w:eastAsia="Times New Roman" w:hAnsi="Times New Roman" w:cs="Arial"/>
                <w:b/>
                <w:noProof/>
                <w:sz w:val="18"/>
                <w:szCs w:val="18"/>
              </w:rPr>
              <w:t>490 EUR</w:t>
            </w:r>
          </w:p>
          <w:p w:rsidR="00035C91" w:rsidRDefault="00632184">
            <w:pPr>
              <w:spacing w:before="60" w:after="60"/>
              <w:rPr>
                <w:rFonts w:ascii="Times New Roman" w:eastAsia="Times New Roman" w:hAnsi="Times New Roman" w:cs="Arial"/>
                <w:i/>
                <w:noProof/>
                <w:sz w:val="18"/>
                <w:szCs w:val="18"/>
              </w:rPr>
            </w:pPr>
            <w:r>
              <w:rPr>
                <w:rFonts w:ascii="Times New Roman" w:eastAsia="Times New Roman" w:hAnsi="Times New Roman" w:cs="Arial"/>
                <w:i/>
                <w:noProof/>
                <w:sz w:val="18"/>
                <w:szCs w:val="18"/>
              </w:rPr>
              <w:t>Expected development of costs:</w:t>
            </w:r>
          </w:p>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It is expected that the value of costs incurred by businesses per</w:t>
            </w:r>
            <w:r>
              <w:rPr>
                <w:rFonts w:ascii="Times New Roman" w:eastAsia="Times New Roman" w:hAnsi="Times New Roman" w:cs="Arial"/>
                <w:noProof/>
                <w:sz w:val="18"/>
                <w:szCs w:val="18"/>
              </w:rPr>
              <w:t xml:space="preserve"> year in 2016 has decreased since 2002 and will further decrease until 2030.</w:t>
            </w:r>
          </w:p>
        </w:tc>
      </w:tr>
      <w:tr w:rsidR="00035C91">
        <w:trPr>
          <w:trHeight w:val="225"/>
        </w:trPr>
        <w:tc>
          <w:tcPr>
            <w:tcW w:w="15207" w:type="dxa"/>
            <w:gridSpan w:val="2"/>
            <w:tcBorders>
              <w:top w:val="nil"/>
              <w:left w:val="single" w:sz="4" w:space="0" w:color="auto"/>
              <w:bottom w:val="single" w:sz="4" w:space="0" w:color="auto"/>
              <w:right w:val="single" w:sz="4" w:space="0" w:color="auto"/>
            </w:tcBorders>
            <w:shd w:val="clear" w:color="000000" w:fill="00A1DE"/>
            <w:hideMark/>
          </w:tcPr>
          <w:p w:rsidR="00035C91" w:rsidRDefault="00632184">
            <w:pPr>
              <w:keepNext/>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Administrative burden</w:t>
            </w:r>
          </w:p>
        </w:tc>
      </w:tr>
      <w:tr w:rsidR="00035C91">
        <w:trPr>
          <w:trHeight w:val="31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General assumption on the average salary per hour</w:t>
            </w:r>
          </w:p>
        </w:tc>
        <w:tc>
          <w:tcPr>
            <w:tcW w:w="12332" w:type="dxa"/>
            <w:tcBorders>
              <w:top w:val="nil"/>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We have set the average labour costs (wages and salaries) per hour concerning website-related tasks at 18</w:t>
            </w:r>
            <w:r>
              <w:rPr>
                <w:rFonts w:ascii="Times New Roman" w:eastAsia="Times New Roman" w:hAnsi="Times New Roman" w:cs="Arial"/>
                <w:noProof/>
                <w:sz w:val="18"/>
                <w:szCs w:val="18"/>
                <w:lang w:eastAsia="de-DE"/>
              </w:rPr>
              <w:t xml:space="preserve"> EUR across the EU. This is largely in line with Eurostat data on the average amount of wages and salaries in enterprises employing more than 10 persons (excluding other labour costs).</w:t>
            </w:r>
            <w:r>
              <w:rPr>
                <w:rFonts w:ascii="Times New Roman" w:eastAsia="Times New Roman" w:hAnsi="Times New Roman" w:cs="Arial"/>
                <w:noProof/>
                <w:sz w:val="18"/>
                <w:szCs w:val="18"/>
                <w:vertAlign w:val="superscript"/>
                <w:lang w:eastAsia="de-DE"/>
              </w:rPr>
              <w:footnoteReference w:id="21"/>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Although country-specific differences of course exist concerning the c</w:t>
            </w:r>
            <w:r>
              <w:rPr>
                <w:rFonts w:ascii="Times New Roman" w:eastAsia="Times New Roman" w:hAnsi="Times New Roman" w:cs="Arial"/>
                <w:noProof/>
                <w:sz w:val="18"/>
                <w:szCs w:val="18"/>
                <w:lang w:eastAsia="de-DE"/>
              </w:rPr>
              <w:t>ost of labour, this average amount has been used to estimate costs in relation to each country.</w:t>
            </w:r>
          </w:p>
        </w:tc>
      </w:tr>
      <w:tr w:rsidR="00035C91">
        <w:trPr>
          <w:trHeight w:val="225"/>
        </w:trPr>
        <w:tc>
          <w:tcPr>
            <w:tcW w:w="15207" w:type="dxa"/>
            <w:gridSpan w:val="2"/>
            <w:tcBorders>
              <w:top w:val="nil"/>
              <w:left w:val="single" w:sz="4" w:space="0" w:color="auto"/>
              <w:bottom w:val="single" w:sz="4" w:space="0" w:color="auto"/>
              <w:right w:val="single" w:sz="4" w:space="0" w:color="auto"/>
            </w:tcBorders>
            <w:shd w:val="clear" w:color="000000" w:fill="BFBFBF"/>
            <w:noWrap/>
            <w:hideMark/>
          </w:tcPr>
          <w:p w:rsidR="00035C91" w:rsidRDefault="00632184">
            <w:pPr>
              <w:keepNext/>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Art. 4: Number of hours consumed with an information obligation</w:t>
            </w: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keepNext/>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Maximum scenario</w:t>
            </w:r>
          </w:p>
        </w:tc>
        <w:tc>
          <w:tcPr>
            <w:tcW w:w="12332" w:type="dxa"/>
            <w:vMerge w:val="restart"/>
            <w:tcBorders>
              <w:top w:val="nil"/>
              <w:left w:val="nil"/>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In addition to the average salary per hour, the projection of the costs </w:t>
            </w:r>
            <w:r>
              <w:rPr>
                <w:rFonts w:ascii="Times New Roman" w:eastAsia="Times New Roman" w:hAnsi="Times New Roman" w:cs="Arial"/>
                <w:noProof/>
                <w:sz w:val="18"/>
                <w:szCs w:val="18"/>
                <w:lang w:eastAsia="de-DE"/>
              </w:rPr>
              <w:t>stemming from the administrative burden is based on the number of hours it is expected to take one full-time equivalent (FTE) to carry out the tasks related to the information obligations set out by legislation.</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Under the ePD, information obligations only </w:t>
            </w:r>
            <w:r>
              <w:rPr>
                <w:rFonts w:ascii="Times New Roman" w:eastAsia="Times New Roman" w:hAnsi="Times New Roman" w:cs="Arial"/>
                <w:noProof/>
                <w:sz w:val="18"/>
                <w:szCs w:val="18"/>
                <w:lang w:eastAsia="de-DE"/>
              </w:rPr>
              <w:t>exist under Article 4 concerning data breach notifications. Such information obligations only apply to electronic communication service providers (i.e. not all businesses as under Art.5(3). Information obligations in relation to provisions other than Art.4</w:t>
            </w:r>
            <w:r>
              <w:rPr>
                <w:rFonts w:ascii="Times New Roman" w:eastAsia="Times New Roman" w:hAnsi="Times New Roman" w:cs="Arial"/>
                <w:noProof/>
                <w:sz w:val="18"/>
                <w:szCs w:val="18"/>
                <w:lang w:eastAsia="de-DE"/>
              </w:rPr>
              <w:t xml:space="preserve"> (incl. Art. 4.2 on notifying risks) only exist in relation to an investigation – and are therefore depending on the frequency of enforcement in the specific Member States. The ePD study SMART 2013/0013 has shown, however, that the level of enforcement of </w:t>
            </w:r>
            <w:r>
              <w:rPr>
                <w:rFonts w:ascii="Times New Roman" w:eastAsia="Times New Roman" w:hAnsi="Times New Roman" w:cs="Arial"/>
                <w:noProof/>
                <w:sz w:val="18"/>
                <w:szCs w:val="18"/>
                <w:lang w:eastAsia="de-DE"/>
              </w:rPr>
              <w:t>most of ePD provisions in most of the Member States is very low.</w:t>
            </w:r>
            <w:r>
              <w:rPr>
                <w:rFonts w:ascii="Times New Roman" w:eastAsia="Times New Roman" w:hAnsi="Times New Roman" w:cs="Arial"/>
                <w:noProof/>
                <w:sz w:val="18"/>
                <w:szCs w:val="18"/>
                <w:vertAlign w:val="superscript"/>
                <w:lang w:eastAsia="de-DE"/>
              </w:rPr>
              <w:footnoteReference w:id="22"/>
            </w:r>
            <w:r>
              <w:rPr>
                <w:rFonts w:ascii="Times New Roman" w:eastAsia="Times New Roman" w:hAnsi="Times New Roman" w:cs="Arial"/>
                <w:noProof/>
                <w:sz w:val="18"/>
                <w:szCs w:val="18"/>
                <w:lang w:eastAsia="de-DE"/>
              </w:rPr>
              <w:t xml:space="preserve"> It can be estimated that the overall administrative burden for the application of the ePD provisions, other than Article 4, to be negligible in average terms or in any event very low.</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Withou</w:t>
            </w:r>
            <w:r>
              <w:rPr>
                <w:rFonts w:ascii="Times New Roman" w:eastAsia="Times New Roman" w:hAnsi="Times New Roman" w:cs="Arial"/>
                <w:noProof/>
                <w:sz w:val="18"/>
                <w:szCs w:val="18"/>
                <w:lang w:eastAsia="de-DE"/>
              </w:rPr>
              <w:t>t having received any quantitative evidence from stakeholders – only qualitative information on the duration of related tasks has been obtained – it is assumed (i.e. an assumption, not based on hard facts) for the purpose of this projection that data breac</w:t>
            </w:r>
            <w:r>
              <w:rPr>
                <w:rFonts w:ascii="Times New Roman" w:eastAsia="Times New Roman" w:hAnsi="Times New Roman" w:cs="Arial"/>
                <w:noProof/>
                <w:sz w:val="18"/>
                <w:szCs w:val="18"/>
                <w:lang w:eastAsia="de-DE"/>
              </w:rPr>
              <w:t xml:space="preserve">h notifications are a standardised electronic procedure (at least within the major market participants’ organisations) that, given that national thresholds for reporting are met or exceeded, do not take more than 16 hours per case (i.e. two working days). </w:t>
            </w:r>
            <w:r>
              <w:rPr>
                <w:rFonts w:ascii="Times New Roman" w:eastAsia="Times New Roman" w:hAnsi="Times New Roman" w:cs="Arial"/>
                <w:noProof/>
                <w:sz w:val="18"/>
                <w:szCs w:val="18"/>
                <w:lang w:eastAsia="de-DE"/>
              </w:rPr>
              <w:t>This has been used as the maximum scenario. Furthermore, the medium scenario has been set to 8 hours per case (i.e. one working day). As a minimum scenario, it is assumed that it takes an FTE 4 hours per case (i.e. half a working day) to process data breac</w:t>
            </w:r>
            <w:r>
              <w:rPr>
                <w:rFonts w:ascii="Times New Roman" w:eastAsia="Times New Roman" w:hAnsi="Times New Roman" w:cs="Arial"/>
                <w:noProof/>
                <w:sz w:val="18"/>
                <w:szCs w:val="18"/>
                <w:lang w:eastAsia="de-DE"/>
              </w:rPr>
              <w:t>h notifications.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Since the adoption of the ePD until today, costs in relation to such information obligations are expected to have been mostly occurred by telecommunication service providers. Such costs would decrease further under the Policy Options altho</w:t>
            </w:r>
            <w:r>
              <w:rPr>
                <w:rFonts w:ascii="Times New Roman" w:eastAsia="Times New Roman" w:hAnsi="Times New Roman" w:cs="Arial"/>
                <w:noProof/>
                <w:sz w:val="18"/>
                <w:szCs w:val="18"/>
                <w:lang w:eastAsia="de-DE"/>
              </w:rPr>
              <w:t>ugh the scope of the ePD would be extended to OTTs.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 However, it has to be considered that none of the policy options provide for regular information/notification obligations for OTTs. Thus, administrative costs would also in this case only materialise in </w:t>
            </w:r>
            <w:r>
              <w:rPr>
                <w:rFonts w:ascii="Times New Roman" w:eastAsia="Times New Roman" w:hAnsi="Times New Roman" w:cs="Arial"/>
                <w:noProof/>
                <w:sz w:val="18"/>
                <w:szCs w:val="18"/>
                <w:lang w:eastAsia="de-DE"/>
              </w:rPr>
              <w:t>case of enforcement/auditing.</w:t>
            </w: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Medium scenario</w:t>
            </w:r>
          </w:p>
        </w:tc>
        <w:tc>
          <w:tcPr>
            <w:tcW w:w="12332" w:type="dxa"/>
            <w:vMerge/>
            <w:tcBorders>
              <w:left w:val="nil"/>
              <w:right w:val="single" w:sz="4" w:space="0" w:color="auto"/>
            </w:tcBorders>
            <w:shd w:val="clear" w:color="auto" w:fill="auto"/>
          </w:tcPr>
          <w:p w:rsidR="00035C91" w:rsidRDefault="00035C91">
            <w:pPr>
              <w:spacing w:before="60" w:after="60"/>
              <w:rPr>
                <w:rFonts w:ascii="Times New Roman" w:eastAsia="Times New Roman" w:hAnsi="Times New Roman" w:cs="Arial"/>
                <w:noProof/>
                <w:sz w:val="18"/>
                <w:szCs w:val="18"/>
                <w:lang w:eastAsia="de-DE"/>
              </w:rPr>
            </w:pP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Minimum scenario</w:t>
            </w:r>
          </w:p>
        </w:tc>
        <w:tc>
          <w:tcPr>
            <w:tcW w:w="12332" w:type="dxa"/>
            <w:vMerge/>
            <w:tcBorders>
              <w:left w:val="nil"/>
              <w:bottom w:val="single" w:sz="4" w:space="0" w:color="auto"/>
              <w:right w:val="single" w:sz="4" w:space="0" w:color="auto"/>
            </w:tcBorders>
            <w:shd w:val="clear" w:color="auto" w:fill="auto"/>
          </w:tcPr>
          <w:p w:rsidR="00035C91" w:rsidRDefault="00035C91">
            <w:pPr>
              <w:spacing w:before="60" w:after="60"/>
              <w:rPr>
                <w:rFonts w:ascii="Times New Roman" w:eastAsia="Times New Roman" w:hAnsi="Times New Roman" w:cs="Arial"/>
                <w:noProof/>
                <w:sz w:val="18"/>
                <w:szCs w:val="18"/>
                <w:lang w:eastAsia="de-DE"/>
              </w:rPr>
            </w:pPr>
          </w:p>
        </w:tc>
      </w:tr>
      <w:tr w:rsidR="00035C91">
        <w:trPr>
          <w:trHeight w:val="255"/>
        </w:trPr>
        <w:tc>
          <w:tcPr>
            <w:tcW w:w="15207" w:type="dxa"/>
            <w:gridSpan w:val="2"/>
            <w:tcBorders>
              <w:top w:val="nil"/>
              <w:left w:val="single" w:sz="4" w:space="0" w:color="auto"/>
              <w:bottom w:val="single" w:sz="4" w:space="0" w:color="auto"/>
              <w:right w:val="single" w:sz="4" w:space="0" w:color="auto"/>
            </w:tcBorders>
            <w:shd w:val="clear" w:color="000000" w:fill="BFBFBF"/>
            <w:noWrap/>
            <w:hideMark/>
          </w:tcPr>
          <w:p w:rsidR="00035C91" w:rsidRDefault="00632184">
            <w:pPr>
              <w:keepNext/>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Art. 4: Frequency of information obligations per annum</w:t>
            </w: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keepNext/>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Maximum scenario</w:t>
            </w:r>
          </w:p>
        </w:tc>
        <w:tc>
          <w:tcPr>
            <w:tcW w:w="12332" w:type="dxa"/>
            <w:vMerge w:val="restart"/>
            <w:tcBorders>
              <w:top w:val="single" w:sz="4" w:space="0" w:color="auto"/>
              <w:left w:val="nil"/>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In addition to the average hourly wage and the number of hours it takes an employee to carry out tasks in relation </w:t>
            </w:r>
            <w:r>
              <w:rPr>
                <w:rFonts w:ascii="Times New Roman" w:eastAsia="Times New Roman" w:hAnsi="Times New Roman" w:cs="Arial"/>
                <w:noProof/>
                <w:sz w:val="18"/>
                <w:szCs w:val="18"/>
                <w:lang w:eastAsia="de-DE"/>
              </w:rPr>
              <w:t>to information obligations, the projection of costs related to administrative burden depends on the frequency of information obligations per year.</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The data received from competent authorities on the frequency of data breach notifications shows that such in</w:t>
            </w:r>
            <w:r>
              <w:rPr>
                <w:rFonts w:ascii="Times New Roman" w:eastAsia="Times New Roman" w:hAnsi="Times New Roman" w:cs="Arial"/>
                <w:noProof/>
                <w:sz w:val="18"/>
                <w:szCs w:val="18"/>
                <w:lang w:eastAsia="de-DE"/>
              </w:rPr>
              <w:t>formation obligations are rare, at least on an individual company-by-company basis.</w:t>
            </w:r>
            <w:r>
              <w:rPr>
                <w:rFonts w:ascii="Times New Roman" w:eastAsia="Times New Roman" w:hAnsi="Times New Roman" w:cs="Arial"/>
                <w:noProof/>
                <w:sz w:val="18"/>
                <w:szCs w:val="18"/>
                <w:vertAlign w:val="superscript"/>
                <w:lang w:eastAsia="de-DE"/>
              </w:rPr>
              <w:footnoteReference w:id="23"/>
            </w:r>
            <w:r>
              <w:rPr>
                <w:rFonts w:ascii="Times New Roman" w:eastAsia="Times New Roman" w:hAnsi="Times New Roman" w:cs="Arial"/>
                <w:noProof/>
                <w:sz w:val="18"/>
                <w:szCs w:val="18"/>
                <w:lang w:eastAsia="de-DE"/>
              </w:rPr>
              <w:t xml:space="preserve"> For instance, the feedback received (a number of smaller and larger Member States have not provided information on this) indicated that in 2015, 2,915 notifications of per</w:t>
            </w:r>
            <w:r>
              <w:rPr>
                <w:rFonts w:ascii="Times New Roman" w:eastAsia="Times New Roman" w:hAnsi="Times New Roman" w:cs="Arial"/>
                <w:noProof/>
                <w:sz w:val="18"/>
                <w:szCs w:val="18"/>
                <w:lang w:eastAsia="de-DE"/>
              </w:rPr>
              <w:t>sonal data breaches were received with number in the years before being (significantly) lower (almost all, 2,867, of these notifications relate to the UK and Ireland). Keeping in mind the sheer number of businesses in the EU that could potentially be affec</w:t>
            </w:r>
            <w:r>
              <w:rPr>
                <w:rFonts w:ascii="Times New Roman" w:eastAsia="Times New Roman" w:hAnsi="Times New Roman" w:cs="Arial"/>
                <w:noProof/>
                <w:sz w:val="18"/>
                <w:szCs w:val="18"/>
                <w:lang w:eastAsia="de-DE"/>
              </w:rPr>
              <w:t>ted by personal data breaches, we therefore expect that notifications to be a rarity for individual businesses at least.</w:t>
            </w:r>
            <w:r>
              <w:rPr>
                <w:rFonts w:ascii="Times New Roman" w:eastAsia="Times New Roman" w:hAnsi="Times New Roman" w:cs="Arial"/>
                <w:noProof/>
                <w:sz w:val="18"/>
                <w:szCs w:val="18"/>
                <w:vertAlign w:val="superscript"/>
                <w:lang w:eastAsia="de-DE"/>
              </w:rPr>
              <w:footnoteReference w:id="24"/>
            </w:r>
            <w:r>
              <w:rPr>
                <w:rFonts w:ascii="Times New Roman" w:eastAsia="Times New Roman" w:hAnsi="Times New Roman" w:cs="Arial"/>
                <w:noProof/>
                <w:sz w:val="18"/>
                <w:szCs w:val="18"/>
                <w:lang w:eastAsia="de-DE"/>
              </w:rPr>
              <w:t xml:space="preserve"> This is also reflected in the 2015 ePD study.</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The available data on the number of data breach notifications can, however, not be trans</w:t>
            </w:r>
            <w:r>
              <w:rPr>
                <w:rFonts w:ascii="Times New Roman" w:eastAsia="Times New Roman" w:hAnsi="Times New Roman" w:cs="Arial"/>
                <w:noProof/>
                <w:sz w:val="18"/>
                <w:szCs w:val="18"/>
                <w:lang w:eastAsia="de-DE"/>
              </w:rPr>
              <w:t>lated directly into a measure for the frequency of data breach notifications per company as it might be that several notifications stem from one or the same company (e.g. relating to one specific data breach or a series of notifications as part of a larger</w:t>
            </w:r>
            <w:r>
              <w:rPr>
                <w:rFonts w:ascii="Times New Roman" w:eastAsia="Times New Roman" w:hAnsi="Times New Roman" w:cs="Arial"/>
                <w:noProof/>
                <w:sz w:val="18"/>
                <w:szCs w:val="18"/>
                <w:lang w:eastAsia="de-DE"/>
              </w:rPr>
              <w:t xml:space="preserve"> data breach).</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 xml:space="preserve">Despite the absence of further quantitative evidence concerning frequency of data breaches, it is assumed that an individual business would at most have to </w:t>
            </w:r>
            <w:r>
              <w:rPr>
                <w:rFonts w:ascii="Times New Roman" w:eastAsia="Times New Roman" w:hAnsi="Times New Roman" w:cs="Arial"/>
                <w:b/>
                <w:noProof/>
                <w:sz w:val="18"/>
                <w:szCs w:val="18"/>
                <w:lang w:eastAsia="de-DE"/>
              </w:rPr>
              <w:t xml:space="preserve">report once every two years </w:t>
            </w:r>
            <w:r>
              <w:rPr>
                <w:rFonts w:ascii="Times New Roman" w:eastAsia="Times New Roman" w:hAnsi="Times New Roman" w:cs="Arial"/>
                <w:noProof/>
                <w:sz w:val="18"/>
                <w:szCs w:val="18"/>
                <w:lang w:eastAsia="de-DE"/>
              </w:rPr>
              <w:t xml:space="preserve">(see also the GDPR IAs, NIS impact assessment, and Telecom package IA). The maximum scenario has been set at once every four years, while the minimum scenario has been set at once every eight years. </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Information obligations concerning data breaches only co</w:t>
            </w:r>
            <w:r>
              <w:rPr>
                <w:rFonts w:ascii="Times New Roman" w:eastAsia="Times New Roman" w:hAnsi="Times New Roman" w:cs="Arial"/>
                <w:noProof/>
                <w:sz w:val="18"/>
                <w:szCs w:val="18"/>
                <w:lang w:eastAsia="de-DE"/>
              </w:rPr>
              <w:t>ncern businesses in the telecommunications sector and not all businesses that might otherwise be affected by the ePD, e.g. by Art.5(3).</w:t>
            </w: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Medium scenario</w:t>
            </w:r>
          </w:p>
        </w:tc>
        <w:tc>
          <w:tcPr>
            <w:tcW w:w="12332" w:type="dxa"/>
            <w:vMerge/>
            <w:tcBorders>
              <w:top w:val="single" w:sz="4" w:space="0" w:color="auto"/>
              <w:left w:val="nil"/>
              <w:bottom w:val="single" w:sz="4" w:space="0" w:color="auto"/>
              <w:right w:val="single" w:sz="4" w:space="0" w:color="auto"/>
            </w:tcBorders>
            <w:shd w:val="clear" w:color="auto" w:fill="auto"/>
          </w:tcPr>
          <w:p w:rsidR="00035C91" w:rsidRDefault="00035C91">
            <w:pPr>
              <w:spacing w:before="60" w:after="60"/>
              <w:rPr>
                <w:rFonts w:ascii="Times New Roman" w:eastAsia="Times New Roman" w:hAnsi="Times New Roman" w:cs="Arial"/>
                <w:noProof/>
                <w:sz w:val="18"/>
                <w:szCs w:val="18"/>
                <w:lang w:eastAsia="de-DE"/>
              </w:rPr>
            </w:pPr>
          </w:p>
        </w:tc>
      </w:tr>
      <w:tr w:rsidR="00035C91">
        <w:trPr>
          <w:trHeight w:val="255"/>
        </w:trPr>
        <w:tc>
          <w:tcPr>
            <w:tcW w:w="2875" w:type="dxa"/>
            <w:tcBorders>
              <w:top w:val="nil"/>
              <w:left w:val="single" w:sz="4" w:space="0" w:color="auto"/>
              <w:bottom w:val="single" w:sz="4" w:space="0" w:color="auto"/>
              <w:right w:val="single" w:sz="4" w:space="0" w:color="auto"/>
            </w:tcBorders>
            <w:shd w:val="clear" w:color="auto" w:fill="auto"/>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Minimum scenario</w:t>
            </w:r>
          </w:p>
        </w:tc>
        <w:tc>
          <w:tcPr>
            <w:tcW w:w="12332" w:type="dxa"/>
            <w:vMerge/>
            <w:tcBorders>
              <w:top w:val="single" w:sz="4" w:space="0" w:color="auto"/>
              <w:left w:val="nil"/>
              <w:bottom w:val="single" w:sz="4" w:space="0" w:color="auto"/>
              <w:right w:val="single" w:sz="4" w:space="0" w:color="auto"/>
            </w:tcBorders>
            <w:shd w:val="clear" w:color="auto" w:fill="auto"/>
          </w:tcPr>
          <w:p w:rsidR="00035C91" w:rsidRDefault="00035C91">
            <w:pPr>
              <w:spacing w:before="60" w:after="60"/>
              <w:rPr>
                <w:rFonts w:ascii="Times New Roman" w:eastAsia="Times New Roman" w:hAnsi="Times New Roman" w:cs="Arial"/>
                <w:noProof/>
                <w:sz w:val="18"/>
                <w:szCs w:val="18"/>
                <w:lang w:eastAsia="de-DE"/>
              </w:rPr>
            </w:pPr>
          </w:p>
        </w:tc>
      </w:tr>
      <w:tr w:rsidR="00035C91">
        <w:trPr>
          <w:trHeight w:val="255"/>
        </w:trPr>
        <w:tc>
          <w:tcPr>
            <w:tcW w:w="15207" w:type="dxa"/>
            <w:gridSpan w:val="2"/>
            <w:tcBorders>
              <w:top w:val="single" w:sz="4" w:space="0" w:color="auto"/>
              <w:left w:val="single" w:sz="4" w:space="0" w:color="auto"/>
              <w:bottom w:val="single" w:sz="4" w:space="0" w:color="auto"/>
              <w:right w:val="single" w:sz="4" w:space="0" w:color="auto"/>
            </w:tcBorders>
            <w:shd w:val="clear" w:color="auto" w:fill="9BBB59" w:themeFill="accent3"/>
          </w:tcPr>
          <w:p w:rsidR="00035C91" w:rsidRDefault="00632184">
            <w:pPr>
              <w:keepNext/>
              <w:spacing w:before="60" w:after="60"/>
              <w:rPr>
                <w:rFonts w:ascii="Times New Roman" w:eastAsia="Times New Roman" w:hAnsi="Times New Roman" w:cs="Arial"/>
                <w:b/>
                <w:noProof/>
                <w:color w:val="FFFFFF" w:themeColor="background1"/>
                <w:sz w:val="18"/>
                <w:szCs w:val="18"/>
                <w:lang w:eastAsia="de-DE"/>
              </w:rPr>
            </w:pPr>
            <w:r>
              <w:rPr>
                <w:rFonts w:ascii="Times New Roman" w:eastAsia="Times New Roman" w:hAnsi="Times New Roman" w:cs="Arial"/>
                <w:b/>
                <w:noProof/>
                <w:color w:val="FFFFFF" w:themeColor="background1"/>
                <w:sz w:val="18"/>
                <w:szCs w:val="18"/>
                <w:lang w:eastAsia="de-DE"/>
              </w:rPr>
              <w:t>General assumption concerning projections of costs into the past and future</w:t>
            </w:r>
          </w:p>
        </w:tc>
      </w:tr>
      <w:tr w:rsidR="00035C91">
        <w:trPr>
          <w:trHeight w:val="255"/>
        </w:trPr>
        <w:tc>
          <w:tcPr>
            <w:tcW w:w="2875" w:type="dxa"/>
            <w:tcBorders>
              <w:top w:val="single" w:sz="4" w:space="0" w:color="auto"/>
              <w:left w:val="single" w:sz="4" w:space="0" w:color="auto"/>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Social discount rate for Net Present Value</w:t>
            </w:r>
          </w:p>
        </w:tc>
        <w:tc>
          <w:tcPr>
            <w:tcW w:w="12332" w:type="dxa"/>
            <w:tcBorders>
              <w:top w:val="single" w:sz="4" w:space="0" w:color="auto"/>
              <w:left w:val="nil"/>
              <w:right w:val="single" w:sz="4" w:space="0" w:color="auto"/>
            </w:tcBorders>
            <w:shd w:val="clear" w:color="auto" w:fill="auto"/>
          </w:tcPr>
          <w:p w:rsidR="00035C91" w:rsidRDefault="00632184">
            <w:pPr>
              <w:spacing w:before="60" w:after="60"/>
              <w:rPr>
                <w:rFonts w:ascii="Times New Roman" w:eastAsia="Times New Roman" w:hAnsi="Times New Roman" w:cs="Arial"/>
                <w:noProof/>
                <w:sz w:val="18"/>
                <w:szCs w:val="18"/>
              </w:rPr>
            </w:pPr>
            <w:r>
              <w:rPr>
                <w:rFonts w:ascii="Times New Roman" w:eastAsia="Times New Roman" w:hAnsi="Times New Roman" w:cs="Arial"/>
                <w:noProof/>
                <w:sz w:val="18"/>
                <w:szCs w:val="18"/>
              </w:rPr>
              <w:t>In relation to costs in the past and the future, it is important to apply discount rates when projecting over a certain time period. The European Commission’s Better Regulation Guidelines foresee a standard social</w:t>
            </w:r>
            <w:r>
              <w:rPr>
                <w:rFonts w:ascii="Times New Roman" w:eastAsia="Times New Roman" w:hAnsi="Times New Roman" w:cs="Arial"/>
                <w:noProof/>
                <w:sz w:val="18"/>
                <w:szCs w:val="18"/>
              </w:rPr>
              <w:t xml:space="preserve"> discount rate of 4%</w:t>
            </w:r>
            <w:r>
              <w:rPr>
                <w:rFonts w:ascii="Times New Roman" w:eastAsia="Times New Roman" w:hAnsi="Times New Roman" w:cs="Arial"/>
                <w:noProof/>
                <w:sz w:val="18"/>
                <w:szCs w:val="18"/>
                <w:vertAlign w:val="superscript"/>
              </w:rPr>
              <w:footnoteReference w:id="25"/>
            </w:r>
            <w:r>
              <w:rPr>
                <w:rFonts w:ascii="Times New Roman" w:eastAsia="Times New Roman" w:hAnsi="Times New Roman" w:cs="Arial"/>
                <w:noProof/>
                <w:sz w:val="18"/>
                <w:szCs w:val="18"/>
              </w:rPr>
              <w:t>, which has been applied to project the net present value of figures.</w:t>
            </w:r>
          </w:p>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rPr>
              <w:t>The Net Present Value (NPV) is calculated in order to make past and future payments over a certain number of time periods comparable to today. This means that e.g. p</w:t>
            </w:r>
            <w:r>
              <w:rPr>
                <w:rFonts w:ascii="Times New Roman" w:eastAsia="Times New Roman" w:hAnsi="Times New Roman" w:cs="Arial"/>
                <w:noProof/>
                <w:sz w:val="18"/>
                <w:szCs w:val="18"/>
              </w:rPr>
              <w:t>ayments in the future would (in the future value of the currency) exceed today’s payments, while in today’s terms, the payment in the future will actually be lower than today. In addition, according to the Better Regulation Guidelines, “calculating the pre</w:t>
            </w:r>
            <w:r>
              <w:rPr>
                <w:rFonts w:ascii="Times New Roman" w:eastAsia="Times New Roman" w:hAnsi="Times New Roman" w:cs="Arial"/>
                <w:noProof/>
                <w:sz w:val="18"/>
                <w:szCs w:val="18"/>
              </w:rPr>
              <w:t>sent value of the difference between the costs and the benefits provides the NPV of a policy measure. Where such a policy or project generates a positive NPV, there would be no obvious reason to prevent it from proceeding, as long as the distribution of co</w:t>
            </w:r>
            <w:r>
              <w:rPr>
                <w:rFonts w:ascii="Times New Roman" w:eastAsia="Times New Roman" w:hAnsi="Times New Roman" w:cs="Arial"/>
                <w:noProof/>
                <w:sz w:val="18"/>
                <w:szCs w:val="18"/>
              </w:rPr>
              <w:t>sts and benefits among different social groups is deemed to be acceptable and all costs and benefits are included in the computation (which is often methodologically challenging).”</w:t>
            </w:r>
          </w:p>
        </w:tc>
      </w:tr>
    </w:tbl>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i/>
          <w:noProof/>
          <w:sz w:val="16"/>
          <w:szCs w:val="20"/>
        </w:rPr>
        <w:t>Source: Various sources, tabulated by Deloitte.</w:t>
      </w:r>
    </w:p>
    <w:p w:rsidR="00035C91" w:rsidRDefault="00035C91">
      <w:pPr>
        <w:spacing w:before="0" w:after="240"/>
        <w:rPr>
          <w:rFonts w:ascii="Times New Roman" w:eastAsia="Times New Roman" w:hAnsi="Times New Roman"/>
          <w:noProof/>
          <w:sz w:val="24"/>
          <w:szCs w:val="20"/>
        </w:rPr>
        <w:sectPr w:rsidR="00035C91">
          <w:headerReference w:type="even" r:id="rId25"/>
          <w:headerReference w:type="default" r:id="rId26"/>
          <w:footerReference w:type="even" r:id="rId27"/>
          <w:footerReference w:type="default" r:id="rId28"/>
          <w:headerReference w:type="first" r:id="rId29"/>
          <w:footerReference w:type="first" r:id="rId30"/>
          <w:footnotePr>
            <w:numStart w:val="117"/>
          </w:footnotePr>
          <w:pgSz w:w="16838" w:h="11906" w:orient="landscape"/>
          <w:pgMar w:top="1418" w:right="1418" w:bottom="1418" w:left="1134" w:header="709" w:footer="709" w:gutter="0"/>
          <w:cols w:space="708"/>
          <w:docGrid w:linePitch="360"/>
        </w:sectPr>
      </w:pPr>
    </w:p>
    <w:p w:rsidR="00035C91" w:rsidRDefault="00632184">
      <w:pPr>
        <w:keepNext/>
        <w:pBdr>
          <w:bottom w:val="single" w:sz="6" w:space="1" w:color="C0504D" w:themeColor="accent2"/>
        </w:pBdr>
        <w:spacing w:before="300" w:after="240" w:line="360" w:lineRule="auto"/>
        <w:ind w:left="720"/>
        <w:outlineLvl w:val="2"/>
        <w:rPr>
          <w:rFonts w:ascii="Arial" w:eastAsia="Times" w:hAnsi="Arial"/>
          <w:b/>
          <w:noProof/>
          <w:color w:val="C0504D" w:themeColor="accent2"/>
          <w:sz w:val="24"/>
        </w:rPr>
      </w:pPr>
      <w:bookmarkStart w:id="72" w:name="_Toc460923672"/>
      <w:bookmarkStart w:id="73" w:name="_Toc461035195"/>
      <w:bookmarkStart w:id="74" w:name="_Toc468453482"/>
      <w:bookmarkStart w:id="75" w:name="_Toc468455382"/>
      <w:bookmarkStart w:id="76" w:name="_Toc468794931"/>
      <w:bookmarkStart w:id="77" w:name="_Toc468795239"/>
      <w:r>
        <w:rPr>
          <w:rFonts w:ascii="Arial" w:eastAsia="Times" w:hAnsi="Arial"/>
          <w:b/>
          <w:noProof/>
          <w:color w:val="C0504D" w:themeColor="accent2"/>
          <w:sz w:val="24"/>
        </w:rPr>
        <w:t>Approach and assumptions used for the assessment of the policy options</w:t>
      </w:r>
      <w:bookmarkEnd w:id="72"/>
      <w:bookmarkEnd w:id="73"/>
      <w:bookmarkEnd w:id="74"/>
      <w:bookmarkEnd w:id="75"/>
      <w:bookmarkEnd w:id="76"/>
      <w:bookmarkEnd w:id="77"/>
      <w:r>
        <w:rPr>
          <w:rFonts w:ascii="Arial" w:eastAsia="Times" w:hAnsi="Arial"/>
          <w:b/>
          <w:noProof/>
          <w:color w:val="C0504D" w:themeColor="accent2"/>
          <w:sz w:val="24"/>
        </w:rPr>
        <w:t xml:space="preserve"> </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This section presents the assumptions made regarding the impact of the policy options.</w:t>
      </w:r>
    </w:p>
    <w:p w:rsidR="00035C91" w:rsidRDefault="00632184">
      <w:pPr>
        <w:keepNext/>
        <w:spacing w:before="0" w:after="240"/>
        <w:outlineLvl w:val="3"/>
        <w:rPr>
          <w:rFonts w:ascii="Times New Roman" w:eastAsia="Times New Roman" w:hAnsi="Times New Roman"/>
          <w:noProof/>
          <w:sz w:val="24"/>
          <w:szCs w:val="20"/>
        </w:rPr>
      </w:pPr>
      <w:r>
        <w:rPr>
          <w:rFonts w:ascii="Arial" w:eastAsia="Times" w:hAnsi="Arial"/>
          <w:b/>
          <w:bCs/>
          <w:noProof/>
          <w:color w:val="4BACC6" w:themeColor="accent5"/>
          <w:sz w:val="22"/>
          <w:szCs w:val="22"/>
          <w:lang w:val="en-US"/>
        </w:rPr>
        <w:t>The general approach used to translate qualitative reasonin</w:t>
      </w:r>
      <w:r>
        <w:rPr>
          <w:rFonts w:ascii="Arial" w:eastAsia="Times" w:hAnsi="Arial"/>
          <w:b/>
          <w:bCs/>
          <w:noProof/>
          <w:color w:val="4BACC6" w:themeColor="accent5"/>
          <w:sz w:val="22"/>
          <w:szCs w:val="22"/>
          <w:lang w:val="en-US"/>
        </w:rPr>
        <w:t>g into quantitative assumptions</w:t>
      </w:r>
      <w:r>
        <w:rPr>
          <w:rFonts w:ascii="Times New Roman" w:eastAsia="Times New Roman" w:hAnsi="Times New Roman"/>
          <w:noProof/>
          <w:sz w:val="24"/>
          <w:szCs w:val="20"/>
          <w:vertAlign w:val="superscript"/>
        </w:rPr>
        <w:footnoteReference w:id="26"/>
      </w:r>
    </w:p>
    <w:p w:rsidR="00035C91" w:rsidRDefault="00632184">
      <w:pPr>
        <w:spacing w:before="0" w:after="240"/>
        <w:rPr>
          <w:rFonts w:ascii="Times New Roman" w:eastAsia="Times New Roman" w:hAnsi="Times New Roman"/>
          <w:noProof/>
          <w:sz w:val="24"/>
          <w:szCs w:val="20"/>
        </w:rPr>
      </w:pPr>
      <w:bookmarkStart w:id="78" w:name="_Toc460785506"/>
      <w:r>
        <w:rPr>
          <w:rFonts w:ascii="Times New Roman" w:eastAsia="Times New Roman" w:hAnsi="Times New Roman"/>
          <w:noProof/>
          <w:sz w:val="24"/>
          <w:szCs w:val="20"/>
        </w:rPr>
        <w:t>One of the prime challenges of impact assessments is the translation of qualitative analysis into tangible, quantitative findings. In fact, the Better Regulation Guidelines specify “significant impacts should be assessed qu</w:t>
      </w:r>
      <w:r>
        <w:rPr>
          <w:rFonts w:ascii="Times New Roman" w:eastAsia="Times New Roman" w:hAnsi="Times New Roman"/>
          <w:noProof/>
          <w:sz w:val="24"/>
          <w:szCs w:val="20"/>
        </w:rPr>
        <w:t>alitatively and, whenever possible, quantitatively.” In this respect, “if possible” means that impacts are susceptible of being quantitatively estimated through a sound methodology and if the required data exists and can be collected at a proportionate cos</w:t>
      </w:r>
      <w:r>
        <w:rPr>
          <w:rFonts w:ascii="Times New Roman" w:eastAsia="Times New Roman" w:hAnsi="Times New Roman"/>
          <w:noProof/>
          <w:sz w:val="24"/>
          <w:szCs w:val="20"/>
        </w:rPr>
        <w:t>t.</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Keeping this in mind, an approach consisting of six consecutive steps used is based on a translation of qualitative reasoning of the impacts of the policy options vis-à-vis the baseline scenario into quantitative percentages that are used to estimate in</w:t>
      </w:r>
      <w:r>
        <w:rPr>
          <w:rFonts w:ascii="Times New Roman" w:eastAsia="Times New Roman" w:hAnsi="Times New Roman"/>
          <w:noProof/>
          <w:sz w:val="24"/>
          <w:szCs w:val="20"/>
        </w:rPr>
        <w:t xml:space="preserve"> how far the policy options would contribute to an increase or decrease of:</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Number of citizens affected</w:t>
      </w:r>
      <w:r>
        <w:rPr>
          <w:rStyle w:val="FootnoteReference"/>
          <w:rFonts w:ascii="Times New Roman" w:eastAsia="Times New Roman" w:hAnsi="Times New Roman"/>
          <w:noProof/>
          <w:sz w:val="24"/>
        </w:rPr>
        <w:footnoteReference w:id="27"/>
      </w:r>
      <w:r>
        <w:rPr>
          <w:rFonts w:ascii="Times New Roman" w:eastAsia="Times New Roman" w:hAnsi="Times New Roman"/>
          <w:noProof/>
          <w:sz w:val="24"/>
        </w:rPr>
        <w:t>;</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Number of businesses affected;</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Compliance costs; and</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Costs stemming from administrative burden.</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As a </w:t>
      </w:r>
      <w:r>
        <w:rPr>
          <w:rFonts w:ascii="Times New Roman" w:eastAsia="Times New Roman" w:hAnsi="Times New Roman"/>
          <w:b/>
          <w:noProof/>
          <w:color w:val="9BBB59" w:themeColor="accent3"/>
          <w:sz w:val="24"/>
          <w:szCs w:val="20"/>
        </w:rPr>
        <w:t>first step</w:t>
      </w:r>
      <w:r>
        <w:rPr>
          <w:rFonts w:ascii="Times New Roman" w:eastAsia="Times New Roman" w:hAnsi="Times New Roman"/>
          <w:noProof/>
          <w:color w:val="9BBB59" w:themeColor="accent3"/>
          <w:sz w:val="24"/>
          <w:szCs w:val="20"/>
        </w:rPr>
        <w:t xml:space="preserve"> </w:t>
      </w:r>
      <w:r>
        <w:rPr>
          <w:rFonts w:ascii="Times New Roman" w:eastAsia="Times New Roman" w:hAnsi="Times New Roman"/>
          <w:noProof/>
          <w:sz w:val="24"/>
          <w:szCs w:val="20"/>
        </w:rPr>
        <w:t xml:space="preserve">of the assessment of the policy </w:t>
      </w:r>
      <w:r>
        <w:rPr>
          <w:rFonts w:ascii="Times New Roman" w:eastAsia="Times New Roman" w:hAnsi="Times New Roman"/>
          <w:noProof/>
          <w:sz w:val="24"/>
          <w:szCs w:val="20"/>
        </w:rPr>
        <w:t>options, we have carried out a qualitative analysis</w:t>
      </w:r>
      <w:r>
        <w:rPr>
          <w:rStyle w:val="FootnoteReference"/>
          <w:rFonts w:ascii="Times New Roman" w:eastAsia="Times New Roman" w:hAnsi="Times New Roman"/>
          <w:noProof/>
          <w:sz w:val="24"/>
          <w:szCs w:val="20"/>
        </w:rPr>
        <w:footnoteReference w:id="28"/>
      </w:r>
      <w:r>
        <w:rPr>
          <w:rFonts w:ascii="Times New Roman" w:eastAsia="Times New Roman" w:hAnsi="Times New Roman"/>
          <w:noProof/>
          <w:sz w:val="24"/>
          <w:szCs w:val="20"/>
        </w:rPr>
        <w:t xml:space="preserve"> regarding the potential impact of each element of each policy option:</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What does it mean in practice?</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What types of businesses would be affected? How would the number of affected businesses develop?</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Would</w:t>
      </w:r>
      <w:r>
        <w:rPr>
          <w:rFonts w:ascii="Times New Roman" w:eastAsia="Times New Roman" w:hAnsi="Times New Roman"/>
          <w:noProof/>
          <w:sz w:val="24"/>
        </w:rPr>
        <w:t xml:space="preserve"> these businesses incur (additional) compliance costs and/or costs stemming from administrative burden?</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Would these costs be reduced through the implementation of each element of the policy options?</w:t>
      </w:r>
    </w:p>
    <w:p w:rsidR="00035C91" w:rsidRDefault="00632184">
      <w:pPr>
        <w:numPr>
          <w:ilvl w:val="0"/>
          <w:numId w:val="111"/>
        </w:numPr>
        <w:spacing w:before="0" w:after="160" w:line="259" w:lineRule="auto"/>
        <w:contextualSpacing/>
        <w:rPr>
          <w:rFonts w:ascii="Times New Roman" w:eastAsia="Times New Roman" w:hAnsi="Times New Roman"/>
          <w:noProof/>
          <w:sz w:val="24"/>
        </w:rPr>
      </w:pPr>
      <w:r>
        <w:rPr>
          <w:rFonts w:ascii="Times New Roman" w:eastAsia="Times New Roman" w:hAnsi="Times New Roman"/>
          <w:noProof/>
          <w:sz w:val="24"/>
        </w:rPr>
        <w:t>To what extent would the policy options contribute to ach</w:t>
      </w:r>
      <w:r>
        <w:rPr>
          <w:rFonts w:ascii="Times New Roman" w:eastAsia="Times New Roman" w:hAnsi="Times New Roman"/>
          <w:noProof/>
          <w:sz w:val="24"/>
        </w:rPr>
        <w:t>ieving the policy objectives?</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As a </w:t>
      </w:r>
      <w:r>
        <w:rPr>
          <w:rFonts w:ascii="Times New Roman" w:eastAsia="Times New Roman" w:hAnsi="Times New Roman"/>
          <w:b/>
          <w:noProof/>
          <w:color w:val="9BBB59" w:themeColor="accent3"/>
          <w:sz w:val="24"/>
          <w:szCs w:val="20"/>
        </w:rPr>
        <w:t>second step</w:t>
      </w:r>
      <w:r>
        <w:rPr>
          <w:rFonts w:ascii="Times New Roman" w:eastAsia="Times New Roman" w:hAnsi="Times New Roman"/>
          <w:noProof/>
          <w:sz w:val="24"/>
          <w:szCs w:val="20"/>
        </w:rPr>
        <w:t>, we have attributed to the answers to each of these questions for each element of the policy options a quantitative rating / colour coding. The purpose of this rating is to compare the magnitude of the impacts</w:t>
      </w:r>
      <w:r>
        <w:rPr>
          <w:rFonts w:ascii="Times New Roman" w:eastAsia="Times New Roman" w:hAnsi="Times New Roman"/>
          <w:noProof/>
          <w:sz w:val="24"/>
          <w:szCs w:val="20"/>
        </w:rPr>
        <w:t xml:space="preserve"> on businesses towards each other and to provide the basis for the calculation of possible actual impacts. The rating, thus, provides the qualitative basis for the percentages presented in the previous section. The following scale has been applied: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294"/>
        <w:gridCol w:w="1294"/>
        <w:gridCol w:w="1295"/>
        <w:gridCol w:w="1294"/>
        <w:gridCol w:w="1294"/>
        <w:gridCol w:w="1295"/>
      </w:tblGrid>
      <w:tr w:rsidR="00035C91">
        <w:tc>
          <w:tcPr>
            <w:tcW w:w="1294" w:type="dxa"/>
            <w:shd w:val="clear" w:color="auto" w:fill="365F91" w:themeFill="accent1" w:themeFillShade="BF"/>
            <w:vAlign w:val="center"/>
          </w:tcPr>
          <w:p w:rsidR="00035C91" w:rsidRDefault="00632184">
            <w:pPr>
              <w:spacing w:before="60" w:after="60"/>
              <w:jc w:val="center"/>
              <w:rPr>
                <w:rFonts w:ascii="Times New Roman" w:eastAsia="Times New Roman" w:hAnsi="Times New Roman"/>
                <w:b/>
                <w:noProof/>
                <w:sz w:val="16"/>
                <w:szCs w:val="20"/>
              </w:rPr>
            </w:pPr>
            <w:r>
              <w:rPr>
                <w:rFonts w:eastAsia="Times New Roman"/>
                <w:b/>
                <w:noProof/>
                <w:color w:val="FFFFFF" w:themeColor="background1"/>
                <w:sz w:val="16"/>
                <w:szCs w:val="18"/>
                <w:lang w:eastAsia="de-DE"/>
              </w:rPr>
              <w:t>Signifi</w:t>
            </w:r>
            <w:r>
              <w:rPr>
                <w:rFonts w:eastAsia="Times New Roman"/>
                <w:b/>
                <w:noProof/>
                <w:color w:val="FFFFFF" w:themeColor="background1"/>
                <w:sz w:val="16"/>
                <w:szCs w:val="18"/>
                <w:lang w:eastAsia="de-DE"/>
              </w:rPr>
              <w:t>cant decrease</w:t>
            </w:r>
            <w:r>
              <w:rPr>
                <w:rFonts w:eastAsia="Times New Roman"/>
                <w:b/>
                <w:noProof/>
                <w:color w:val="FFFFFF" w:themeColor="background1"/>
                <w:sz w:val="16"/>
                <w:szCs w:val="18"/>
                <w:lang w:eastAsia="de-DE"/>
              </w:rPr>
              <w:br/>
              <w:t>(-3)</w:t>
            </w:r>
          </w:p>
        </w:tc>
        <w:tc>
          <w:tcPr>
            <w:tcW w:w="1294" w:type="dxa"/>
            <w:shd w:val="clear" w:color="auto" w:fill="4F81BD" w:themeFill="accent1"/>
            <w:vAlign w:val="center"/>
          </w:tcPr>
          <w:p w:rsidR="00035C91" w:rsidRDefault="00632184">
            <w:pPr>
              <w:spacing w:before="60" w:after="60"/>
              <w:jc w:val="center"/>
              <w:rPr>
                <w:rFonts w:ascii="Times New Roman" w:eastAsia="Times New Roman" w:hAnsi="Times New Roman"/>
                <w:b/>
                <w:noProof/>
                <w:sz w:val="16"/>
                <w:szCs w:val="20"/>
              </w:rPr>
            </w:pPr>
            <w:r>
              <w:rPr>
                <w:rFonts w:eastAsia="Times New Roman"/>
                <w:b/>
                <w:noProof/>
                <w:sz w:val="16"/>
                <w:szCs w:val="18"/>
                <w:lang w:eastAsia="de-DE"/>
              </w:rPr>
              <w:t>Medium decrease</w:t>
            </w:r>
            <w:r>
              <w:rPr>
                <w:rFonts w:eastAsia="Times New Roman"/>
                <w:b/>
                <w:noProof/>
                <w:sz w:val="16"/>
                <w:szCs w:val="18"/>
                <w:lang w:eastAsia="de-DE"/>
              </w:rPr>
              <w:br/>
              <w:t>(-2)</w:t>
            </w:r>
          </w:p>
        </w:tc>
        <w:tc>
          <w:tcPr>
            <w:tcW w:w="1294" w:type="dxa"/>
            <w:shd w:val="clear" w:color="auto" w:fill="DBE5F1" w:themeFill="accent1" w:themeFillTint="33"/>
            <w:vAlign w:val="center"/>
          </w:tcPr>
          <w:p w:rsidR="00035C91" w:rsidRDefault="00632184">
            <w:pPr>
              <w:spacing w:before="60" w:after="60"/>
              <w:jc w:val="center"/>
              <w:rPr>
                <w:rFonts w:ascii="Times New Roman" w:eastAsia="Times New Roman" w:hAnsi="Times New Roman"/>
                <w:b/>
                <w:noProof/>
                <w:sz w:val="16"/>
                <w:szCs w:val="20"/>
              </w:rPr>
            </w:pPr>
            <w:r>
              <w:rPr>
                <w:rFonts w:eastAsia="Times New Roman"/>
                <w:b/>
                <w:noProof/>
                <w:sz w:val="16"/>
                <w:szCs w:val="18"/>
                <w:lang w:eastAsia="de-DE"/>
              </w:rPr>
              <w:t>Slight decrease</w:t>
            </w:r>
            <w:r>
              <w:rPr>
                <w:rFonts w:eastAsia="Times New Roman"/>
                <w:b/>
                <w:noProof/>
                <w:sz w:val="16"/>
                <w:szCs w:val="18"/>
                <w:lang w:eastAsia="de-DE"/>
              </w:rPr>
              <w:br/>
              <w:t>(-1)</w:t>
            </w:r>
          </w:p>
        </w:tc>
        <w:tc>
          <w:tcPr>
            <w:tcW w:w="1295" w:type="dxa"/>
            <w:shd w:val="clear" w:color="auto" w:fill="EAF1DD" w:themeFill="accent3" w:themeFillTint="33"/>
            <w:vAlign w:val="center"/>
          </w:tcPr>
          <w:p w:rsidR="00035C91" w:rsidRDefault="00632184">
            <w:pPr>
              <w:spacing w:before="60" w:after="60"/>
              <w:jc w:val="center"/>
              <w:rPr>
                <w:rFonts w:ascii="Times New Roman" w:eastAsia="Times New Roman" w:hAnsi="Times New Roman"/>
                <w:b/>
                <w:noProof/>
                <w:sz w:val="16"/>
                <w:szCs w:val="20"/>
              </w:rPr>
            </w:pPr>
            <w:r>
              <w:rPr>
                <w:rFonts w:eastAsia="Times New Roman"/>
                <w:b/>
                <w:noProof/>
                <w:sz w:val="16"/>
                <w:szCs w:val="18"/>
                <w:lang w:eastAsia="de-DE"/>
              </w:rPr>
              <w:t>Neutral</w:t>
            </w:r>
            <w:r>
              <w:rPr>
                <w:rFonts w:eastAsia="Times New Roman"/>
                <w:b/>
                <w:noProof/>
                <w:sz w:val="16"/>
                <w:szCs w:val="18"/>
                <w:lang w:eastAsia="de-DE"/>
              </w:rPr>
              <w:br/>
              <w:t>(0)</w:t>
            </w:r>
          </w:p>
        </w:tc>
        <w:tc>
          <w:tcPr>
            <w:tcW w:w="1294" w:type="dxa"/>
            <w:shd w:val="clear" w:color="auto" w:fill="FFCC99"/>
            <w:vAlign w:val="center"/>
          </w:tcPr>
          <w:p w:rsidR="00035C91" w:rsidRDefault="00632184">
            <w:pPr>
              <w:spacing w:before="60" w:after="60"/>
              <w:jc w:val="center"/>
              <w:rPr>
                <w:rFonts w:ascii="Times New Roman" w:eastAsia="Times New Roman" w:hAnsi="Times New Roman"/>
                <w:b/>
                <w:noProof/>
                <w:sz w:val="16"/>
                <w:szCs w:val="20"/>
              </w:rPr>
            </w:pPr>
            <w:r>
              <w:rPr>
                <w:rFonts w:eastAsia="Times New Roman"/>
                <w:b/>
                <w:noProof/>
                <w:sz w:val="16"/>
                <w:szCs w:val="18"/>
                <w:lang w:eastAsia="de-DE"/>
              </w:rPr>
              <w:t>Slight increase</w:t>
            </w:r>
            <w:r>
              <w:rPr>
                <w:rFonts w:eastAsia="Times New Roman"/>
                <w:b/>
                <w:noProof/>
                <w:sz w:val="16"/>
                <w:szCs w:val="18"/>
                <w:lang w:eastAsia="de-DE"/>
              </w:rPr>
              <w:br/>
              <w:t>(+1)</w:t>
            </w:r>
          </w:p>
        </w:tc>
        <w:tc>
          <w:tcPr>
            <w:tcW w:w="1294" w:type="dxa"/>
            <w:shd w:val="clear" w:color="auto" w:fill="FF6600"/>
            <w:vAlign w:val="center"/>
          </w:tcPr>
          <w:p w:rsidR="00035C91" w:rsidRDefault="00632184">
            <w:pPr>
              <w:spacing w:before="60" w:after="60"/>
              <w:jc w:val="center"/>
              <w:rPr>
                <w:rFonts w:ascii="Times New Roman" w:eastAsia="Times New Roman" w:hAnsi="Times New Roman"/>
                <w:b/>
                <w:noProof/>
                <w:sz w:val="16"/>
                <w:szCs w:val="20"/>
              </w:rPr>
            </w:pPr>
            <w:r>
              <w:rPr>
                <w:rFonts w:eastAsia="Times New Roman"/>
                <w:b/>
                <w:noProof/>
                <w:sz w:val="16"/>
                <w:szCs w:val="18"/>
                <w:lang w:eastAsia="de-DE"/>
              </w:rPr>
              <w:t>Medium increase</w:t>
            </w:r>
            <w:r>
              <w:rPr>
                <w:rFonts w:eastAsia="Times New Roman"/>
                <w:b/>
                <w:noProof/>
                <w:sz w:val="16"/>
                <w:szCs w:val="18"/>
                <w:lang w:eastAsia="de-DE"/>
              </w:rPr>
              <w:br/>
              <w:t>(+2)</w:t>
            </w:r>
          </w:p>
        </w:tc>
        <w:tc>
          <w:tcPr>
            <w:tcW w:w="1295" w:type="dxa"/>
            <w:shd w:val="clear" w:color="auto" w:fill="800000"/>
            <w:vAlign w:val="center"/>
          </w:tcPr>
          <w:p w:rsidR="00035C91" w:rsidRDefault="00632184">
            <w:pPr>
              <w:spacing w:before="60" w:after="60"/>
              <w:jc w:val="center"/>
              <w:rPr>
                <w:rFonts w:ascii="Times New Roman" w:eastAsia="Times New Roman" w:hAnsi="Times New Roman"/>
                <w:b/>
                <w:noProof/>
                <w:sz w:val="16"/>
                <w:szCs w:val="20"/>
              </w:rPr>
            </w:pPr>
            <w:r>
              <w:rPr>
                <w:rFonts w:eastAsia="Times New Roman"/>
                <w:b/>
                <w:noProof/>
                <w:sz w:val="16"/>
                <w:szCs w:val="18"/>
                <w:lang w:eastAsia="de-DE"/>
              </w:rPr>
              <w:t>Significant increase</w:t>
            </w:r>
            <w:r>
              <w:rPr>
                <w:rFonts w:eastAsia="Times New Roman"/>
                <w:b/>
                <w:noProof/>
                <w:sz w:val="16"/>
                <w:szCs w:val="18"/>
                <w:lang w:eastAsia="de-DE"/>
              </w:rPr>
              <w:br/>
              <w:t>(+3)</w:t>
            </w:r>
          </w:p>
        </w:tc>
      </w:tr>
    </w:tbl>
    <w:p w:rsidR="00035C91" w:rsidRDefault="00632184">
      <w:pPr>
        <w:spacing w:before="0" w:after="240"/>
        <w:rPr>
          <w:rFonts w:ascii="Times New Roman" w:eastAsia="Times New Roman" w:hAnsi="Times New Roman"/>
          <w:i/>
          <w:noProof/>
          <w:sz w:val="14"/>
          <w:szCs w:val="20"/>
        </w:rPr>
      </w:pPr>
      <w:r>
        <w:rPr>
          <w:rFonts w:ascii="Times New Roman" w:eastAsia="Times New Roman" w:hAnsi="Times New Roman"/>
          <w:i/>
          <w:noProof/>
          <w:sz w:val="14"/>
          <w:szCs w:val="20"/>
        </w:rPr>
        <w:t>Source: Deloitte</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The specific ratings for each element can be found in the coloured cells in each of the tables in</w:t>
      </w:r>
      <w:r>
        <w:rPr>
          <w:rFonts w:ascii="Times New Roman" w:eastAsia="Times New Roman" w:hAnsi="Times New Roman"/>
          <w:noProof/>
          <w:sz w:val="24"/>
          <w:szCs w:val="20"/>
        </w:rPr>
        <w:t xml:space="preserve"> the section on the qualitative reasoning.</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The scale should be read from left to right: A significant decrease of costs being colour coded green and a significant increase of costs stemming from each element of the policy options being coloured red. The fi</w:t>
      </w:r>
      <w:r>
        <w:rPr>
          <w:rFonts w:ascii="Times New Roman" w:eastAsia="Times New Roman" w:hAnsi="Times New Roman"/>
          <w:noProof/>
          <w:sz w:val="24"/>
          <w:szCs w:val="20"/>
        </w:rPr>
        <w:t>gures in each box represent the quantitative value attributed to each of the ratings with the most negative value having received a -3 and the most positive a +3.</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As a </w:t>
      </w:r>
      <w:r>
        <w:rPr>
          <w:rFonts w:ascii="Times New Roman" w:eastAsia="Times New Roman" w:hAnsi="Times New Roman"/>
          <w:b/>
          <w:noProof/>
          <w:color w:val="9BBB59" w:themeColor="accent3"/>
          <w:sz w:val="24"/>
          <w:szCs w:val="20"/>
        </w:rPr>
        <w:t>third step</w:t>
      </w:r>
      <w:r>
        <w:rPr>
          <w:rFonts w:ascii="Times New Roman" w:eastAsia="Times New Roman" w:hAnsi="Times New Roman"/>
          <w:noProof/>
          <w:sz w:val="24"/>
          <w:szCs w:val="20"/>
        </w:rPr>
        <w:t>, we have summed up the ratings for each specific element of each policy optio</w:t>
      </w:r>
      <w:r>
        <w:rPr>
          <w:rFonts w:ascii="Times New Roman" w:eastAsia="Times New Roman" w:hAnsi="Times New Roman"/>
          <w:noProof/>
          <w:sz w:val="24"/>
          <w:szCs w:val="20"/>
        </w:rPr>
        <w:t>n in order to provide an overall rating. The overall ratings can be found in the individual assessment tables in chapter 9 of the main body of the report.</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The impact of each of the policy options on the number of citizens affected is expected to be 0 as al</w:t>
      </w:r>
      <w:r>
        <w:rPr>
          <w:rFonts w:ascii="Times New Roman" w:eastAsia="Times New Roman" w:hAnsi="Times New Roman"/>
          <w:noProof/>
          <w:sz w:val="24"/>
          <w:szCs w:val="20"/>
        </w:rPr>
        <w:t>l citizens are affected who use electronic (or online) communication services and/or surf on the internet in general. These citizens are either affected positively (e.g. benefitting from higher privacy standards) or negatively (e.g. if companies are not co</w:t>
      </w:r>
      <w:r>
        <w:rPr>
          <w:rFonts w:ascii="Times New Roman" w:eastAsia="Times New Roman" w:hAnsi="Times New Roman"/>
          <w:noProof/>
          <w:sz w:val="24"/>
          <w:szCs w:val="20"/>
        </w:rPr>
        <w:t>mpliant). This is not changed by any of the policy options: although some of the policy options change the scope in relation to the types of services covered, it is expected that users of online services are also covered under the current situation e.g. as</w:t>
      </w:r>
      <w:r>
        <w:rPr>
          <w:rFonts w:ascii="Times New Roman" w:eastAsia="Times New Roman" w:hAnsi="Times New Roman"/>
          <w:noProof/>
          <w:sz w:val="24"/>
          <w:szCs w:val="20"/>
        </w:rPr>
        <w:t xml:space="preserve"> holders of fixed line, mobile phone or internet contracts.</w:t>
      </w:r>
      <w:r>
        <w:rPr>
          <w:rFonts w:ascii="Times New Roman" w:eastAsia="Times New Roman" w:hAnsi="Times New Roman"/>
          <w:noProof/>
          <w:sz w:val="24"/>
          <w:szCs w:val="20"/>
          <w:vertAlign w:val="superscript"/>
        </w:rPr>
        <w:footnoteReference w:id="29"/>
      </w:r>
      <w:r>
        <w:rPr>
          <w:rFonts w:ascii="Times New Roman" w:eastAsia="Times New Roman" w:hAnsi="Times New Roman"/>
          <w:noProof/>
          <w:sz w:val="24"/>
          <w:szCs w:val="20"/>
        </w:rPr>
        <w:t xml:space="preserve"> </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As these qualitative overall ratings of the impacts of the policy options on the number of businesses affected, their compliance costs, and costs stemming from administrative burden are not suit</w:t>
      </w:r>
      <w:r>
        <w:rPr>
          <w:rFonts w:ascii="Times New Roman" w:eastAsia="Times New Roman" w:hAnsi="Times New Roman"/>
          <w:noProof/>
          <w:sz w:val="24"/>
          <w:szCs w:val="20"/>
        </w:rPr>
        <w:t xml:space="preserve">able to estimate in quantitative terms the impact of the policy options, we have used a </w:t>
      </w:r>
      <w:r>
        <w:rPr>
          <w:rFonts w:ascii="Times New Roman" w:eastAsia="Times New Roman" w:hAnsi="Times New Roman"/>
          <w:i/>
          <w:noProof/>
          <w:sz w:val="24"/>
          <w:szCs w:val="20"/>
        </w:rPr>
        <w:t>hinge (or translation factor, see below)</w:t>
      </w:r>
      <w:r>
        <w:rPr>
          <w:rFonts w:ascii="Times New Roman" w:eastAsia="Times New Roman" w:hAnsi="Times New Roman"/>
          <w:noProof/>
          <w:sz w:val="24"/>
          <w:szCs w:val="20"/>
        </w:rPr>
        <w:t>.</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This means that, as a </w:t>
      </w:r>
      <w:r>
        <w:rPr>
          <w:rFonts w:ascii="Times New Roman" w:eastAsia="Times New Roman" w:hAnsi="Times New Roman"/>
          <w:b/>
          <w:noProof/>
          <w:color w:val="9BBB59" w:themeColor="accent3"/>
          <w:sz w:val="24"/>
          <w:szCs w:val="20"/>
        </w:rPr>
        <w:t>fourth step</w:t>
      </w:r>
      <w:r>
        <w:rPr>
          <w:rFonts w:ascii="Times New Roman" w:eastAsia="Times New Roman" w:hAnsi="Times New Roman"/>
          <w:noProof/>
          <w:sz w:val="24"/>
          <w:szCs w:val="20"/>
        </w:rPr>
        <w:t>, we have translated the qualitative overall ratings of the impacts of the policy options int</w:t>
      </w:r>
      <w:r>
        <w:rPr>
          <w:rFonts w:ascii="Times New Roman" w:eastAsia="Times New Roman" w:hAnsi="Times New Roman"/>
          <w:noProof/>
          <w:sz w:val="24"/>
          <w:szCs w:val="20"/>
        </w:rPr>
        <w:t>o quantitative percentages. The percentages represent the impact of the policy options in quantitative terms, i.e. how much a given policy option would increase / reduce the number of businesses affected, their compliance costs, and costs stemming from adm</w:t>
      </w:r>
      <w:r>
        <w:rPr>
          <w:rFonts w:ascii="Times New Roman" w:eastAsia="Times New Roman" w:hAnsi="Times New Roman"/>
          <w:noProof/>
          <w:sz w:val="24"/>
          <w:szCs w:val="20"/>
        </w:rPr>
        <w:t>inistrative burden. Such a step is a pragmatic means to cope with the general lack of quantitative evidence concerning the impact of (hypothetical, theoretical) policy options on businesses in the future.</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Each qualitative overall rating has been translated</w:t>
      </w:r>
      <w:r>
        <w:rPr>
          <w:rFonts w:ascii="Times New Roman" w:eastAsia="Times New Roman" w:hAnsi="Times New Roman"/>
          <w:noProof/>
          <w:sz w:val="24"/>
          <w:szCs w:val="20"/>
        </w:rPr>
        <w:t xml:space="preserve"> into a minimum and maximum percentage by means of a simple multiplication with a so-called translation factor. This translation factor has been set ad hoc, based on expert prior experience. It has been chosen as the most reasonable to be applied in this c</w:t>
      </w:r>
      <w:r>
        <w:rPr>
          <w:rFonts w:ascii="Times New Roman" w:eastAsia="Times New Roman" w:hAnsi="Times New Roman"/>
          <w:noProof/>
          <w:sz w:val="24"/>
          <w:szCs w:val="20"/>
        </w:rPr>
        <w:t xml:space="preserve">ase, in light of the subject matter and the type of findings that had to be analysed in this impact assessment. Thus, the translation factor ranges from 0.01 (minimum) to 0.05 (maximum). Hence, if a policy option has for example an overall rating of “+3”, </w:t>
      </w:r>
      <w:r>
        <w:rPr>
          <w:rFonts w:ascii="Times New Roman" w:eastAsia="Times New Roman" w:hAnsi="Times New Roman"/>
          <w:noProof/>
          <w:sz w:val="24"/>
          <w:szCs w:val="20"/>
        </w:rPr>
        <w:t>the minimum value would be “3%” while maximum value would be “15%”, which means for example the compliance costs would rise by a 15%.</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The most likely </w:t>
      </w:r>
      <w:r>
        <w:rPr>
          <w:rFonts w:ascii="Times New Roman" w:eastAsia="Times New Roman" w:hAnsi="Times New Roman"/>
          <w:i/>
          <w:noProof/>
          <w:sz w:val="24"/>
          <w:szCs w:val="20"/>
        </w:rPr>
        <w:t xml:space="preserve">actual </w:t>
      </w:r>
      <w:r>
        <w:rPr>
          <w:rFonts w:ascii="Times New Roman" w:eastAsia="Times New Roman" w:hAnsi="Times New Roman"/>
          <w:noProof/>
          <w:sz w:val="24"/>
          <w:szCs w:val="20"/>
        </w:rPr>
        <w:t xml:space="preserve">impact of the policy options is expected to be somewhere within the minimum and maximum value. </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Giv</w:t>
      </w:r>
      <w:r>
        <w:rPr>
          <w:rFonts w:ascii="Times New Roman" w:eastAsia="Times New Roman" w:hAnsi="Times New Roman"/>
          <w:noProof/>
          <w:sz w:val="24"/>
          <w:szCs w:val="20"/>
        </w:rPr>
        <w:t xml:space="preserve">en the specific ratings above, the maximum “translation factor” can mathematically not exceed 0.9 because this would translate the rating concerning the compliance costs under policy option 4 to already 99%. If this policy option was not ranked positively </w:t>
      </w:r>
      <w:r>
        <w:rPr>
          <w:rFonts w:ascii="Times New Roman" w:eastAsia="Times New Roman" w:hAnsi="Times New Roman"/>
          <w:noProof/>
          <w:sz w:val="24"/>
          <w:szCs w:val="20"/>
        </w:rPr>
        <w:t xml:space="preserve">but negatively, for instance -11, the translation factor would result in a decrease of costs by 99%. This can only be exceeded by the total repeal of the ePD – which is the “natural boundary” of impacts. A decrease of compliance costs of more than 100% is </w:t>
      </w:r>
      <w:r>
        <w:rPr>
          <w:rFonts w:ascii="Times New Roman" w:eastAsia="Times New Roman" w:hAnsi="Times New Roman"/>
          <w:noProof/>
          <w:sz w:val="24"/>
          <w:szCs w:val="20"/>
        </w:rPr>
        <w:t>logically not possible because it would mean that businesses would not only have less cost but in addition “win something”. This is not in line with economic theory.</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Therefore, we have used 0.05 as maximum translation factor because it is actually a quite </w:t>
      </w:r>
      <w:r>
        <w:rPr>
          <w:rFonts w:ascii="Times New Roman" w:eastAsia="Times New Roman" w:hAnsi="Times New Roman"/>
          <w:noProof/>
          <w:sz w:val="24"/>
          <w:szCs w:val="20"/>
        </w:rPr>
        <w:t>moderate, reasonable, and balanced value. In fact, 0.05 is the median value between 0.01 and 0.09.</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The use of a standardised translation factor makes the impacts of the policy options comparable vis-à-vis the baseline scenario, as well as towards each othe</w:t>
      </w:r>
      <w:r>
        <w:rPr>
          <w:rFonts w:ascii="Times New Roman" w:eastAsia="Times New Roman" w:hAnsi="Times New Roman"/>
          <w:noProof/>
          <w:sz w:val="24"/>
          <w:szCs w:val="20"/>
        </w:rPr>
        <w:t xml:space="preserve">r. Thus, the translation factor is a pragmatic means to cope with the general lack of quantitative evidence concerning the impact of (hypothetical, theoretical) policy options on businesses in the future. </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The impact of each of the policy options on the nu</w:t>
      </w:r>
      <w:r>
        <w:rPr>
          <w:rFonts w:ascii="Times New Roman" w:eastAsia="Times New Roman" w:hAnsi="Times New Roman"/>
          <w:noProof/>
          <w:sz w:val="24"/>
          <w:szCs w:val="20"/>
        </w:rPr>
        <w:t>mber of citizens affected is expected to be 0%, as explained above. Policy option 5, i.e. the total repeal of the ePD is expected to reduce the number of businesses affected, their compliance costs, and their costs stemming from administrative burden to ze</w:t>
      </w:r>
      <w:r>
        <w:rPr>
          <w:rFonts w:ascii="Times New Roman" w:eastAsia="Times New Roman" w:hAnsi="Times New Roman"/>
          <w:noProof/>
          <w:sz w:val="24"/>
          <w:szCs w:val="20"/>
        </w:rPr>
        <w:t>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060"/>
      </w:tblGrid>
      <w:tr w:rsidR="00035C91">
        <w:tc>
          <w:tcPr>
            <w:tcW w:w="9060" w:type="dxa"/>
            <w:shd w:val="clear" w:color="auto" w:fill="BFBFBF" w:themeFill="background1" w:themeFillShade="BF"/>
          </w:tcPr>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The relationship between the percentages presented above represents the expected magnitude of the impact of the different policy options. This means that policy options that have a bigger impact also have a higher (or lower in case of negative impact) </w:t>
            </w:r>
            <w:r>
              <w:rPr>
                <w:rFonts w:ascii="Times New Roman" w:eastAsia="Times New Roman" w:hAnsi="Times New Roman"/>
                <w:noProof/>
                <w:sz w:val="24"/>
                <w:szCs w:val="20"/>
              </w:rPr>
              <w:t xml:space="preserve">percentage. It is important to keep in mind that these assumptions are mainly based on expert judgement, as it was generally challenging to substantiate / validate these with stakeholders. The reasons for this are: (1) Businesses and business associations </w:t>
            </w:r>
            <w:r>
              <w:rPr>
                <w:rFonts w:ascii="Times New Roman" w:eastAsia="Times New Roman" w:hAnsi="Times New Roman"/>
                <w:noProof/>
                <w:sz w:val="24"/>
                <w:szCs w:val="20"/>
              </w:rPr>
              <w:t>are focused on the “now”. This means that they usually do not have quantitative information on policy options which, to them, are hypothetical scenarios that do not (yet) have a direct effect on their daily operations; (2) Businesses and business associati</w:t>
            </w:r>
            <w:r>
              <w:rPr>
                <w:rFonts w:ascii="Times New Roman" w:eastAsia="Times New Roman" w:hAnsi="Times New Roman"/>
                <w:noProof/>
                <w:sz w:val="24"/>
                <w:szCs w:val="20"/>
              </w:rPr>
              <w:t>ons were able to provide qualitative, anecdotal evidence concerning their costs and how a specific policy option would impact on them. Such evidence has been used to develop the figures above. However, a direct one-to-one translation of qualitative evidenc</w:t>
            </w:r>
            <w:r>
              <w:rPr>
                <w:rFonts w:ascii="Times New Roman" w:eastAsia="Times New Roman" w:hAnsi="Times New Roman"/>
                <w:noProof/>
                <w:sz w:val="24"/>
                <w:szCs w:val="20"/>
              </w:rPr>
              <w:t>e into quantitative estimates is not possible.</w:t>
            </w:r>
          </w:p>
        </w:tc>
      </w:tr>
    </w:tbl>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Below, we have provided a brief explanation of the assumptions.</w:t>
      </w:r>
    </w:p>
    <w:p w:rsidR="00035C91" w:rsidRDefault="00632184">
      <w:pPr>
        <w:numPr>
          <w:ilvl w:val="0"/>
          <w:numId w:val="112"/>
        </w:numPr>
        <w:spacing w:before="0" w:after="160" w:line="259" w:lineRule="auto"/>
        <w:contextualSpacing/>
        <w:rPr>
          <w:rFonts w:ascii="Times New Roman" w:eastAsia="Times New Roman" w:hAnsi="Times New Roman"/>
          <w:noProof/>
          <w:sz w:val="24"/>
          <w:szCs w:val="18"/>
        </w:rPr>
      </w:pPr>
      <w:r>
        <w:rPr>
          <w:rFonts w:ascii="Times New Roman" w:eastAsia="Times New Roman" w:hAnsi="Times New Roman"/>
          <w:b/>
          <w:noProof/>
          <w:sz w:val="24"/>
          <w:szCs w:val="18"/>
        </w:rPr>
        <w:t>Numbers of citizens affected</w:t>
      </w:r>
      <w:r>
        <w:rPr>
          <w:rFonts w:ascii="Times New Roman" w:eastAsia="Times New Roman" w:hAnsi="Times New Roman"/>
          <w:noProof/>
          <w:sz w:val="24"/>
          <w:szCs w:val="18"/>
        </w:rPr>
        <w:t>: The number of citizens affected depends on the usage rates of the services. For the baseline scenario, it is assumed that all citizens who use any of the services concerned (including fixed line or mobile phone as well as internet) are potentially affect</w:t>
      </w:r>
      <w:r>
        <w:rPr>
          <w:rFonts w:ascii="Times New Roman" w:eastAsia="Times New Roman" w:hAnsi="Times New Roman"/>
          <w:noProof/>
          <w:sz w:val="24"/>
          <w:szCs w:val="18"/>
        </w:rPr>
        <w:t xml:space="preserve">ed by the ePD. This is not changed by any of the policy options. </w:t>
      </w:r>
    </w:p>
    <w:p w:rsidR="00035C91" w:rsidRDefault="00632184">
      <w:pPr>
        <w:numPr>
          <w:ilvl w:val="0"/>
          <w:numId w:val="112"/>
        </w:numPr>
        <w:spacing w:before="0" w:after="160" w:line="259" w:lineRule="auto"/>
        <w:contextualSpacing/>
        <w:rPr>
          <w:rFonts w:ascii="Times New Roman" w:eastAsia="Times New Roman" w:hAnsi="Times New Roman"/>
          <w:noProof/>
          <w:sz w:val="24"/>
          <w:szCs w:val="18"/>
        </w:rPr>
      </w:pPr>
      <w:r>
        <w:rPr>
          <w:rFonts w:ascii="Times New Roman" w:eastAsia="Times New Roman" w:hAnsi="Times New Roman"/>
          <w:b/>
          <w:noProof/>
          <w:sz w:val="24"/>
          <w:szCs w:val="18"/>
        </w:rPr>
        <w:t>Numbers of businesses affected</w:t>
      </w:r>
      <w:r>
        <w:rPr>
          <w:rFonts w:ascii="Times New Roman" w:eastAsia="Times New Roman" w:hAnsi="Times New Roman"/>
          <w:noProof/>
          <w:sz w:val="24"/>
          <w:szCs w:val="18"/>
        </w:rPr>
        <w:t>: For the purpose of the economic analysis, the broadest group affected by the ePD (all businesses that have a website) was taken as a basis. It can be expected</w:t>
      </w:r>
      <w:r>
        <w:rPr>
          <w:rFonts w:ascii="Times New Roman" w:eastAsia="Times New Roman" w:hAnsi="Times New Roman"/>
          <w:noProof/>
          <w:sz w:val="24"/>
          <w:szCs w:val="18"/>
        </w:rPr>
        <w:t xml:space="preserve"> that under policy options 3 (at least scenarios 1&amp;2) and 4, the number of businesses affected decreases due to the exceptions implemented under these policy options. </w:t>
      </w:r>
    </w:p>
    <w:p w:rsidR="00035C91" w:rsidRDefault="00632184">
      <w:pPr>
        <w:numPr>
          <w:ilvl w:val="1"/>
          <w:numId w:val="109"/>
        </w:numPr>
        <w:spacing w:before="0" w:after="160" w:line="259" w:lineRule="auto"/>
        <w:contextualSpacing/>
        <w:rPr>
          <w:rFonts w:ascii="Times New Roman" w:eastAsia="Times New Roman" w:hAnsi="Times New Roman"/>
          <w:noProof/>
          <w:sz w:val="24"/>
          <w:szCs w:val="18"/>
        </w:rPr>
      </w:pPr>
      <w:r>
        <w:rPr>
          <w:rFonts w:ascii="Times New Roman" w:eastAsia="Times New Roman" w:hAnsi="Times New Roman"/>
          <w:b/>
          <w:noProof/>
          <w:sz w:val="24"/>
          <w:szCs w:val="18"/>
        </w:rPr>
        <w:t>Policy option 1:</w:t>
      </w:r>
      <w:r>
        <w:rPr>
          <w:rFonts w:ascii="Times New Roman" w:eastAsia="Times New Roman" w:hAnsi="Times New Roman"/>
          <w:noProof/>
          <w:sz w:val="24"/>
          <w:szCs w:val="18"/>
        </w:rPr>
        <w:t xml:space="preserve"> This option does not entail any changes that impact on the number of bu</w:t>
      </w:r>
      <w:r>
        <w:rPr>
          <w:rFonts w:ascii="Times New Roman" w:eastAsia="Times New Roman" w:hAnsi="Times New Roman"/>
          <w:noProof/>
          <w:sz w:val="24"/>
          <w:szCs w:val="18"/>
        </w:rPr>
        <w:t>sinesses affected by the ePD.</w:t>
      </w:r>
    </w:p>
    <w:p w:rsidR="00035C91" w:rsidRDefault="00632184">
      <w:pPr>
        <w:numPr>
          <w:ilvl w:val="1"/>
          <w:numId w:val="109"/>
        </w:numPr>
        <w:spacing w:before="0" w:after="160" w:line="259" w:lineRule="auto"/>
        <w:contextualSpacing/>
        <w:rPr>
          <w:rFonts w:ascii="Times New Roman" w:eastAsia="Times New Roman" w:hAnsi="Times New Roman"/>
          <w:noProof/>
          <w:sz w:val="24"/>
          <w:szCs w:val="18"/>
        </w:rPr>
      </w:pPr>
      <w:r>
        <w:rPr>
          <w:rFonts w:ascii="Times New Roman" w:eastAsia="Times New Roman" w:hAnsi="Times New Roman"/>
          <w:b/>
          <w:noProof/>
          <w:sz w:val="24"/>
          <w:szCs w:val="18"/>
        </w:rPr>
        <w:t>Policy option 2:</w:t>
      </w:r>
      <w:r>
        <w:rPr>
          <w:rFonts w:ascii="Times New Roman" w:eastAsia="Times New Roman" w:hAnsi="Times New Roman"/>
          <w:noProof/>
          <w:sz w:val="24"/>
          <w:szCs w:val="18"/>
        </w:rPr>
        <w:t xml:space="preserve"> Although OTTs would apply additional provisions compared to the current situation, no significant impact on the overall number of businesses (i.e. those applying Article 5.3) is expected. At the same time, the</w:t>
      </w:r>
      <w:r>
        <w:rPr>
          <w:rFonts w:ascii="Times New Roman" w:eastAsia="Times New Roman" w:hAnsi="Times New Roman"/>
          <w:noProof/>
          <w:sz w:val="24"/>
          <w:szCs w:val="18"/>
        </w:rPr>
        <w:t xml:space="preserve"> clarification of the scope of the provision and make it technologically neutral may lead to a moderate increase of businesses applying the ePD, as it is clarified that the scope of the provision is technologically neutral and e.g. also applies to companie</w:t>
      </w:r>
      <w:r>
        <w:rPr>
          <w:rFonts w:ascii="Times New Roman" w:eastAsia="Times New Roman" w:hAnsi="Times New Roman"/>
          <w:noProof/>
          <w:sz w:val="24"/>
          <w:szCs w:val="18"/>
        </w:rPr>
        <w:t>s placing ads on social networks’ personal spaces.</w:t>
      </w:r>
    </w:p>
    <w:p w:rsidR="00035C91" w:rsidRDefault="00632184">
      <w:pPr>
        <w:numPr>
          <w:ilvl w:val="1"/>
          <w:numId w:val="109"/>
        </w:numPr>
        <w:spacing w:before="0" w:after="160" w:line="259" w:lineRule="auto"/>
        <w:contextualSpacing/>
        <w:rPr>
          <w:rFonts w:ascii="Times New Roman" w:eastAsia="Times New Roman" w:hAnsi="Times New Roman"/>
          <w:noProof/>
          <w:sz w:val="24"/>
          <w:szCs w:val="18"/>
        </w:rPr>
      </w:pPr>
      <w:r>
        <w:rPr>
          <w:rFonts w:ascii="Times New Roman" w:eastAsia="Times New Roman" w:hAnsi="Times New Roman"/>
          <w:b/>
          <w:noProof/>
          <w:sz w:val="24"/>
          <w:szCs w:val="18"/>
        </w:rPr>
        <w:t>Policy Option 3:</w:t>
      </w:r>
      <w:r>
        <w:rPr>
          <w:rFonts w:ascii="Times New Roman" w:eastAsia="Times New Roman" w:hAnsi="Times New Roman"/>
          <w:noProof/>
          <w:sz w:val="24"/>
          <w:szCs w:val="18"/>
        </w:rPr>
        <w:t xml:space="preserve"> Based on the new exceptions, the website that use non-privacy invasive cookies would no longer be affected by the consent rule. Based on current statistics, this would lead to a 30% decrea</w:t>
      </w:r>
      <w:r>
        <w:rPr>
          <w:rFonts w:ascii="Times New Roman" w:eastAsia="Times New Roman" w:hAnsi="Times New Roman"/>
          <w:noProof/>
          <w:sz w:val="24"/>
          <w:szCs w:val="18"/>
        </w:rPr>
        <w:t>se. Depending on the development in relation to the use of cookies, the actual number could be slightly lower as well. An additional decrease is possible based on the possibility to introduce adequate safeguards. The magnitude of this impact is unknown, as</w:t>
      </w:r>
      <w:r>
        <w:rPr>
          <w:rFonts w:ascii="Times New Roman" w:eastAsia="Times New Roman" w:hAnsi="Times New Roman"/>
          <w:noProof/>
          <w:sz w:val="24"/>
          <w:szCs w:val="18"/>
        </w:rPr>
        <w:t xml:space="preserve"> it depends on the types of safeguards employed and the willingness of businesses to implement these. At the same time, Point 5(i) may lead to a moderate increase of businesses applying the ePD, as it is clarified that the scope of the provision is technol</w:t>
      </w:r>
      <w:r>
        <w:rPr>
          <w:rFonts w:ascii="Times New Roman" w:eastAsia="Times New Roman" w:hAnsi="Times New Roman"/>
          <w:noProof/>
          <w:sz w:val="24"/>
          <w:szCs w:val="18"/>
        </w:rPr>
        <w:t>ogically neutral and e.g. also applies to advertisings on social networks’ personal spaces.</w:t>
      </w:r>
    </w:p>
    <w:p w:rsidR="00035C91" w:rsidRDefault="00632184">
      <w:pPr>
        <w:numPr>
          <w:ilvl w:val="1"/>
          <w:numId w:val="109"/>
        </w:numPr>
        <w:spacing w:before="0" w:after="160" w:line="259" w:lineRule="auto"/>
        <w:contextualSpacing/>
        <w:rPr>
          <w:rFonts w:ascii="Times New Roman" w:eastAsia="Times New Roman" w:hAnsi="Times New Roman"/>
          <w:noProof/>
          <w:sz w:val="24"/>
          <w:szCs w:val="18"/>
        </w:rPr>
      </w:pPr>
      <w:r>
        <w:rPr>
          <w:rFonts w:ascii="Times New Roman" w:eastAsia="Times New Roman" w:hAnsi="Times New Roman"/>
          <w:b/>
          <w:noProof/>
          <w:sz w:val="24"/>
          <w:szCs w:val="18"/>
        </w:rPr>
        <w:t>Policy option 4:</w:t>
      </w:r>
      <w:r>
        <w:rPr>
          <w:rFonts w:ascii="Times New Roman" w:eastAsia="Times New Roman" w:hAnsi="Times New Roman"/>
          <w:noProof/>
          <w:sz w:val="24"/>
          <w:szCs w:val="18"/>
        </w:rPr>
        <w:t xml:space="preserve"> Based on the new exceptions, the website that use non-privacy invasive cookies would no longer be affected by the consent rule. Based on current st</w:t>
      </w:r>
      <w:r>
        <w:rPr>
          <w:rFonts w:ascii="Times New Roman" w:eastAsia="Times New Roman" w:hAnsi="Times New Roman"/>
          <w:noProof/>
          <w:sz w:val="24"/>
          <w:szCs w:val="18"/>
        </w:rPr>
        <w:t>atistics, this would lead to a 30% decrease. Depending on the development in relation to the use of cookies, the actual number could be slightly lower as well. An additional decrease is possible based on the possibility to introduce adequate safeguards. Th</w:t>
      </w:r>
      <w:r>
        <w:rPr>
          <w:rFonts w:ascii="Times New Roman" w:eastAsia="Times New Roman" w:hAnsi="Times New Roman"/>
          <w:noProof/>
          <w:sz w:val="24"/>
          <w:szCs w:val="18"/>
        </w:rPr>
        <w:t>e magnitude of this impact is unknown, as it depends on the types of safeguards employed and the willingness of businesses to implement these. At the same time, Point 5(i) may lead to a moderate increase of businesses applying the ePD, as it is clarified t</w:t>
      </w:r>
      <w:r>
        <w:rPr>
          <w:rFonts w:ascii="Times New Roman" w:eastAsia="Times New Roman" w:hAnsi="Times New Roman"/>
          <w:noProof/>
          <w:sz w:val="24"/>
          <w:szCs w:val="18"/>
        </w:rPr>
        <w:t>hat the scope of the provision is technologically neutral and e.g. also applies to advertisings on social networks’ personal spaces.</w:t>
      </w:r>
    </w:p>
    <w:p w:rsidR="00035C91" w:rsidRDefault="00632184">
      <w:pPr>
        <w:numPr>
          <w:ilvl w:val="1"/>
          <w:numId w:val="109"/>
        </w:numPr>
        <w:spacing w:before="0" w:after="160" w:line="259" w:lineRule="auto"/>
        <w:contextualSpacing/>
        <w:rPr>
          <w:rFonts w:ascii="Times New Roman" w:eastAsia="Times New Roman" w:hAnsi="Times New Roman"/>
          <w:noProof/>
          <w:sz w:val="24"/>
          <w:szCs w:val="18"/>
        </w:rPr>
      </w:pPr>
      <w:r>
        <w:rPr>
          <w:rFonts w:ascii="Times New Roman" w:eastAsia="Times New Roman" w:hAnsi="Times New Roman"/>
          <w:b/>
          <w:noProof/>
          <w:sz w:val="24"/>
          <w:szCs w:val="18"/>
        </w:rPr>
        <w:t>Policy option 5:</w:t>
      </w:r>
      <w:r>
        <w:rPr>
          <w:rFonts w:ascii="Times New Roman" w:eastAsia="Times New Roman" w:hAnsi="Times New Roman"/>
          <w:noProof/>
          <w:sz w:val="24"/>
          <w:szCs w:val="18"/>
        </w:rPr>
        <w:t xml:space="preserve"> No business would be affected by the ePD anymore as it would be repealed entirely.</w:t>
      </w:r>
    </w:p>
    <w:p w:rsidR="00035C91" w:rsidRDefault="00632184">
      <w:pPr>
        <w:numPr>
          <w:ilvl w:val="0"/>
          <w:numId w:val="113"/>
        </w:numPr>
        <w:spacing w:before="0" w:after="160" w:line="259" w:lineRule="auto"/>
        <w:contextualSpacing/>
        <w:rPr>
          <w:rFonts w:ascii="Times New Roman" w:eastAsia="Times New Roman" w:hAnsi="Times New Roman"/>
          <w:noProof/>
          <w:sz w:val="24"/>
          <w:szCs w:val="18"/>
        </w:rPr>
      </w:pPr>
      <w:r>
        <w:rPr>
          <w:rFonts w:ascii="Times New Roman" w:eastAsia="Times New Roman" w:hAnsi="Times New Roman"/>
          <w:b/>
          <w:noProof/>
          <w:sz w:val="24"/>
          <w:szCs w:val="18"/>
        </w:rPr>
        <w:t>Compliance costs</w:t>
      </w:r>
      <w:r>
        <w:rPr>
          <w:rFonts w:ascii="Times New Roman" w:eastAsia="Times New Roman" w:hAnsi="Times New Roman"/>
          <w:noProof/>
          <w:sz w:val="24"/>
          <w:szCs w:val="18"/>
        </w:rPr>
        <w:t>: In re</w:t>
      </w:r>
      <w:r>
        <w:rPr>
          <w:rFonts w:ascii="Times New Roman" w:eastAsia="Times New Roman" w:hAnsi="Times New Roman"/>
          <w:noProof/>
          <w:sz w:val="24"/>
          <w:szCs w:val="18"/>
        </w:rPr>
        <w:t>lation to policy options 1 and 2, the compliance costs would slightly increase compared to the baseline scenario. Option 1 entails the participation of industry as part of self-regulatory initiatives. Option 2 would entail some compliance costs based on th</w:t>
      </w:r>
      <w:r>
        <w:rPr>
          <w:rFonts w:ascii="Times New Roman" w:eastAsia="Times New Roman" w:hAnsi="Times New Roman"/>
          <w:noProof/>
          <w:sz w:val="24"/>
          <w:szCs w:val="18"/>
        </w:rPr>
        <w:t>e fact that the scope of some provisions would be broadened to OTTs and the fact that it includes some new costs, including e.g. in relation to unsolicited communications. At the same time, some savings would occur partially countering these additional cos</w:t>
      </w:r>
      <w:r>
        <w:rPr>
          <w:rFonts w:ascii="Times New Roman" w:eastAsia="Times New Roman" w:hAnsi="Times New Roman"/>
          <w:noProof/>
          <w:sz w:val="24"/>
          <w:szCs w:val="18"/>
        </w:rPr>
        <w:t>ts. Under policy option 3, compliance costs are expected to decrease compared to the baseline scenario. Although there would also be some new costs, the options entail savings that are overall higher than the new costs. In particular, based on the exceptio</w:t>
      </w:r>
      <w:r>
        <w:rPr>
          <w:rFonts w:ascii="Times New Roman" w:eastAsia="Times New Roman" w:hAnsi="Times New Roman"/>
          <w:noProof/>
          <w:sz w:val="24"/>
          <w:szCs w:val="18"/>
        </w:rPr>
        <w:t>ns introduced in relation to the consent rule, the number of businesses affected by the ePD is expected to decrease significantly. Furthermore, the policy option introduces some simplifications. The magnitude of the savings depends on the solution chosen i</w:t>
      </w:r>
      <w:r>
        <w:rPr>
          <w:rFonts w:ascii="Times New Roman" w:eastAsia="Times New Roman" w:hAnsi="Times New Roman"/>
          <w:noProof/>
          <w:sz w:val="24"/>
          <w:szCs w:val="18"/>
        </w:rPr>
        <w:t>n relation to the management of users’ consent. The savings would be highest if consent would be solely managed via the browsers and lowest if consent would still be managed via individual websites. Under option 4, compliance costs are expected to increase</w:t>
      </w:r>
      <w:r>
        <w:rPr>
          <w:rFonts w:ascii="Times New Roman" w:eastAsia="Times New Roman" w:hAnsi="Times New Roman"/>
          <w:noProof/>
          <w:sz w:val="24"/>
          <w:szCs w:val="18"/>
        </w:rPr>
        <w:t xml:space="preserve"> due to the extension of the scope of the ePrivacy to OTTs, as well as explicitly prohibiting the practice of denying access to a website or an online service in case users do not provide consent to tracking. The prohibition of denying access to a website/</w:t>
      </w:r>
      <w:r>
        <w:rPr>
          <w:rFonts w:ascii="Times New Roman" w:eastAsia="Times New Roman" w:hAnsi="Times New Roman"/>
          <w:noProof/>
          <w:sz w:val="24"/>
          <w:szCs w:val="18"/>
        </w:rPr>
        <w:t>service in case users do not consent to tracking will lead to an increase of IT costs for businesses. Businesses will need to amend their websites/services so that they are also available to the extent possible without the use of cookies. Under policy opti</w:t>
      </w:r>
      <w:r>
        <w:rPr>
          <w:rFonts w:ascii="Times New Roman" w:eastAsia="Times New Roman" w:hAnsi="Times New Roman"/>
          <w:noProof/>
          <w:sz w:val="24"/>
          <w:szCs w:val="18"/>
        </w:rPr>
        <w:t>on 5, no compliance costs would ensue for businesses from the ePD anymore as it would be repealed entirely.</w:t>
      </w:r>
    </w:p>
    <w:p w:rsidR="00035C91" w:rsidRDefault="00632184">
      <w:pPr>
        <w:numPr>
          <w:ilvl w:val="0"/>
          <w:numId w:val="113"/>
        </w:numPr>
        <w:spacing w:before="0" w:after="160" w:line="259" w:lineRule="auto"/>
        <w:contextualSpacing/>
        <w:rPr>
          <w:rFonts w:ascii="Times New Roman" w:eastAsia="Times New Roman" w:hAnsi="Times New Roman"/>
          <w:noProof/>
          <w:sz w:val="24"/>
          <w:szCs w:val="18"/>
        </w:rPr>
      </w:pPr>
      <w:r>
        <w:rPr>
          <w:rFonts w:ascii="Times New Roman" w:eastAsia="Times New Roman" w:hAnsi="Times New Roman"/>
          <w:b/>
          <w:noProof/>
          <w:sz w:val="24"/>
          <w:szCs w:val="18"/>
        </w:rPr>
        <w:t>Administrative burden</w:t>
      </w:r>
      <w:r>
        <w:rPr>
          <w:rFonts w:ascii="Times New Roman" w:eastAsia="Times New Roman" w:hAnsi="Times New Roman"/>
          <w:noProof/>
          <w:sz w:val="24"/>
          <w:szCs w:val="18"/>
        </w:rPr>
        <w:t>: In the current situation, the main cost factors in relation in administrative burden relate to personal data breach notificat</w:t>
      </w:r>
      <w:r>
        <w:rPr>
          <w:rFonts w:ascii="Times New Roman" w:eastAsia="Times New Roman" w:hAnsi="Times New Roman"/>
          <w:noProof/>
          <w:sz w:val="24"/>
          <w:szCs w:val="18"/>
        </w:rPr>
        <w:t>ions under Article 4 as well as the preparation for / dealing with audits by competent authorities. Option 1 does not affect these aspects. Options 2 and 3 both entail the deletion of the provision on personal data breach notifications. As this is one of t</w:t>
      </w:r>
      <w:r>
        <w:rPr>
          <w:rFonts w:ascii="Times New Roman" w:eastAsia="Times New Roman" w:hAnsi="Times New Roman"/>
          <w:noProof/>
          <w:sz w:val="24"/>
          <w:szCs w:val="18"/>
        </w:rPr>
        <w:t>he main cost factors (in some Member States applying to more companies than audits), a significant decrease of costs may be expected. Option 4 would also contribute to decreasing cost from administrative burden.</w:t>
      </w:r>
      <w:r>
        <w:rPr>
          <w:rFonts w:ascii="Times New Roman" w:eastAsia="Times New Roman" w:hAnsi="Times New Roman"/>
          <w:noProof/>
          <w:sz w:val="24"/>
        </w:rPr>
        <w:t xml:space="preserve"> Option 5 would remove the costs stemming fro</w:t>
      </w:r>
      <w:r>
        <w:rPr>
          <w:rFonts w:ascii="Times New Roman" w:eastAsia="Times New Roman" w:hAnsi="Times New Roman"/>
          <w:noProof/>
          <w:sz w:val="24"/>
        </w:rPr>
        <w:t>m administrative burden in its entirety.</w:t>
      </w:r>
    </w:p>
    <w:p w:rsidR="00035C91" w:rsidRDefault="00632184">
      <w:pPr>
        <w:spacing w:before="0" w:after="240"/>
        <w:rPr>
          <w:rFonts w:ascii="Times New Roman" w:eastAsia="Times New Roman" w:hAnsi="Times New Roman"/>
          <w:noProof/>
          <w:sz w:val="24"/>
          <w:szCs w:val="18"/>
        </w:rPr>
      </w:pPr>
      <w:r>
        <w:rPr>
          <w:rFonts w:ascii="Times New Roman" w:eastAsia="Times New Roman" w:hAnsi="Times New Roman"/>
          <w:noProof/>
          <w:sz w:val="24"/>
          <w:szCs w:val="18"/>
        </w:rPr>
        <w:t xml:space="preserve">As a </w:t>
      </w:r>
      <w:r>
        <w:rPr>
          <w:rFonts w:ascii="Times New Roman" w:eastAsia="Times New Roman" w:hAnsi="Times New Roman"/>
          <w:b/>
          <w:noProof/>
          <w:color w:val="9BBB59" w:themeColor="accent3"/>
          <w:sz w:val="24"/>
          <w:szCs w:val="18"/>
        </w:rPr>
        <w:t>fifth step</w:t>
      </w:r>
      <w:r>
        <w:rPr>
          <w:rFonts w:ascii="Times New Roman" w:eastAsia="Times New Roman" w:hAnsi="Times New Roman"/>
          <w:noProof/>
          <w:sz w:val="24"/>
          <w:szCs w:val="18"/>
        </w:rPr>
        <w:t>, for each of the ranges, we have indicated which “end of the range” is more likely to provide a picture of the actual, real-life value. The following assumptions were made based on expert judgment:</w:t>
      </w:r>
    </w:p>
    <w:p w:rsidR="00035C91" w:rsidRDefault="00632184">
      <w:pPr>
        <w:keepNext/>
        <w:spacing w:before="240" w:after="0" w:line="312" w:lineRule="auto"/>
        <w:ind w:left="720"/>
        <w:jc w:val="center"/>
        <w:rPr>
          <w:rFonts w:ascii="Times New Roman" w:eastAsia="Times New Roman" w:hAnsi="Times New Roman" w:cs="Arial"/>
          <w:bCs/>
          <w:i/>
          <w:noProof/>
          <w:color w:val="00A3E0"/>
          <w:sz w:val="24"/>
          <w:szCs w:val="20"/>
        </w:rPr>
      </w:pPr>
      <w:bookmarkStart w:id="79" w:name="_Toc462410878"/>
      <w:bookmarkStart w:id="80" w:name="_Toc462075510"/>
      <w:bookmarkStart w:id="81" w:name="_Toc464765533"/>
      <w:r>
        <w:rPr>
          <w:rFonts w:ascii="Times New Roman" w:eastAsia="Times New Roman" w:hAnsi="Times New Roman" w:cs="Arial"/>
          <w:bCs/>
          <w:i/>
          <w:noProof/>
          <w:color w:val="00A3E0"/>
          <w:sz w:val="24"/>
          <w:szCs w:val="20"/>
        </w:rPr>
        <w:t xml:space="preserve">Table </w:t>
      </w:r>
      <w:r>
        <w:rPr>
          <w:rFonts w:ascii="Times New Roman" w:eastAsia="Times New Roman" w:hAnsi="Times New Roman" w:cs="Arial"/>
          <w:bCs/>
          <w:i/>
          <w:noProof/>
          <w:color w:val="00A3E0"/>
          <w:sz w:val="24"/>
          <w:szCs w:val="20"/>
        </w:rPr>
        <w:fldChar w:fldCharType="begin"/>
      </w:r>
      <w:r>
        <w:rPr>
          <w:rFonts w:ascii="Times New Roman" w:eastAsia="Times New Roman" w:hAnsi="Times New Roman" w:cs="Arial"/>
          <w:bCs/>
          <w:i/>
          <w:noProof/>
          <w:color w:val="00A3E0"/>
          <w:sz w:val="24"/>
          <w:szCs w:val="20"/>
        </w:rPr>
        <w:instrText xml:space="preserve"> SEQ Table \* ARABIC </w:instrText>
      </w:r>
      <w:r>
        <w:rPr>
          <w:rFonts w:ascii="Times New Roman" w:eastAsia="Times New Roman" w:hAnsi="Times New Roman" w:cs="Arial"/>
          <w:bCs/>
          <w:i/>
          <w:noProof/>
          <w:color w:val="00A3E0"/>
          <w:sz w:val="24"/>
          <w:szCs w:val="20"/>
        </w:rPr>
        <w:fldChar w:fldCharType="separate"/>
      </w:r>
      <w:r>
        <w:rPr>
          <w:rFonts w:ascii="Times New Roman" w:eastAsia="Times New Roman" w:hAnsi="Times New Roman" w:cs="Arial"/>
          <w:bCs/>
          <w:i/>
          <w:noProof/>
          <w:color w:val="00A3E0"/>
          <w:sz w:val="24"/>
          <w:szCs w:val="20"/>
        </w:rPr>
        <w:t>5</w:t>
      </w:r>
      <w:r>
        <w:rPr>
          <w:rFonts w:ascii="Times New Roman" w:eastAsia="Times New Roman" w:hAnsi="Times New Roman" w:cs="Arial"/>
          <w:bCs/>
          <w:i/>
          <w:noProof/>
          <w:color w:val="00A3E0"/>
          <w:sz w:val="24"/>
          <w:szCs w:val="20"/>
        </w:rPr>
        <w:fldChar w:fldCharType="end"/>
      </w:r>
      <w:r>
        <w:rPr>
          <w:rFonts w:ascii="Times New Roman" w:eastAsia="Times New Roman" w:hAnsi="Times New Roman" w:cs="Arial"/>
          <w:bCs/>
          <w:i/>
          <w:noProof/>
          <w:color w:val="00A3E0"/>
          <w:sz w:val="24"/>
          <w:szCs w:val="20"/>
        </w:rPr>
        <w:t xml:space="preserve"> –Qualitative assessment of the plausibility of the quantitative estimates</w:t>
      </w:r>
      <w:bookmarkEnd w:id="79"/>
      <w:bookmarkEnd w:id="80"/>
      <w:bookmarkEnd w:id="81"/>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1"/>
        <w:gridCol w:w="501"/>
        <w:gridCol w:w="563"/>
        <w:gridCol w:w="501"/>
        <w:gridCol w:w="577"/>
        <w:gridCol w:w="563"/>
        <w:gridCol w:w="563"/>
        <w:gridCol w:w="563"/>
        <w:gridCol w:w="563"/>
        <w:gridCol w:w="563"/>
        <w:gridCol w:w="563"/>
        <w:gridCol w:w="563"/>
        <w:gridCol w:w="563"/>
        <w:gridCol w:w="582"/>
        <w:gridCol w:w="755"/>
      </w:tblGrid>
      <w:tr w:rsidR="00035C91">
        <w:trPr>
          <w:trHeight w:val="285"/>
          <w:tblHeader/>
        </w:trPr>
        <w:tc>
          <w:tcPr>
            <w:tcW w:w="1941" w:type="dxa"/>
            <w:vMerge w:val="restart"/>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 </w:t>
            </w:r>
          </w:p>
        </w:tc>
        <w:tc>
          <w:tcPr>
            <w:tcW w:w="1064" w:type="dxa"/>
            <w:gridSpan w:val="2"/>
            <w:vMerge w:val="restart"/>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Policy Option 1</w:t>
            </w:r>
          </w:p>
        </w:tc>
        <w:tc>
          <w:tcPr>
            <w:tcW w:w="1078" w:type="dxa"/>
            <w:gridSpan w:val="2"/>
            <w:vMerge w:val="restart"/>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Policy Option 2</w:t>
            </w:r>
          </w:p>
        </w:tc>
        <w:tc>
          <w:tcPr>
            <w:tcW w:w="3378" w:type="dxa"/>
            <w:gridSpan w:val="6"/>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Policy Option 3</w:t>
            </w:r>
          </w:p>
        </w:tc>
        <w:tc>
          <w:tcPr>
            <w:tcW w:w="1126" w:type="dxa"/>
            <w:gridSpan w:val="2"/>
            <w:vMerge w:val="restart"/>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Policy Option 4</w:t>
            </w:r>
          </w:p>
        </w:tc>
        <w:tc>
          <w:tcPr>
            <w:tcW w:w="1337" w:type="dxa"/>
            <w:gridSpan w:val="2"/>
            <w:vMerge w:val="restart"/>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Policy Option 5</w:t>
            </w:r>
          </w:p>
        </w:tc>
      </w:tr>
      <w:tr w:rsidR="00035C91">
        <w:trPr>
          <w:trHeight w:val="585"/>
          <w:tblHeader/>
        </w:trPr>
        <w:tc>
          <w:tcPr>
            <w:tcW w:w="1941" w:type="dxa"/>
            <w:vMerge/>
            <w:vAlign w:val="center"/>
            <w:hideMark/>
          </w:tcPr>
          <w:p w:rsidR="00035C91" w:rsidRDefault="00035C91">
            <w:pPr>
              <w:spacing w:before="60" w:after="60"/>
              <w:rPr>
                <w:rFonts w:ascii="Times New Roman" w:eastAsia="Times New Roman" w:hAnsi="Times New Roman" w:cs="Arial"/>
                <w:b/>
                <w:bCs/>
                <w:noProof/>
                <w:color w:val="FFFFFF"/>
                <w:sz w:val="18"/>
                <w:szCs w:val="18"/>
                <w:lang w:eastAsia="de-DE"/>
              </w:rPr>
            </w:pPr>
          </w:p>
        </w:tc>
        <w:tc>
          <w:tcPr>
            <w:tcW w:w="1064" w:type="dxa"/>
            <w:gridSpan w:val="2"/>
            <w:vMerge/>
            <w:vAlign w:val="center"/>
            <w:hideMark/>
          </w:tcPr>
          <w:p w:rsidR="00035C91" w:rsidRDefault="00035C91">
            <w:pPr>
              <w:spacing w:before="60" w:after="60"/>
              <w:rPr>
                <w:rFonts w:ascii="Times New Roman" w:eastAsia="Times New Roman" w:hAnsi="Times New Roman" w:cs="Arial"/>
                <w:b/>
                <w:bCs/>
                <w:noProof/>
                <w:color w:val="FFFFFF"/>
                <w:sz w:val="18"/>
                <w:szCs w:val="18"/>
                <w:lang w:eastAsia="de-DE"/>
              </w:rPr>
            </w:pPr>
          </w:p>
        </w:tc>
        <w:tc>
          <w:tcPr>
            <w:tcW w:w="1078" w:type="dxa"/>
            <w:gridSpan w:val="2"/>
            <w:vMerge/>
            <w:vAlign w:val="center"/>
            <w:hideMark/>
          </w:tcPr>
          <w:p w:rsidR="00035C91" w:rsidRDefault="00035C91">
            <w:pPr>
              <w:spacing w:before="60" w:after="60"/>
              <w:rPr>
                <w:rFonts w:ascii="Times New Roman" w:eastAsia="Times New Roman" w:hAnsi="Times New Roman" w:cs="Arial"/>
                <w:b/>
                <w:bCs/>
                <w:noProof/>
                <w:color w:val="FFFFFF"/>
                <w:sz w:val="18"/>
                <w:szCs w:val="18"/>
                <w:lang w:eastAsia="de-DE"/>
              </w:rPr>
            </w:pPr>
          </w:p>
        </w:tc>
        <w:tc>
          <w:tcPr>
            <w:tcW w:w="1126" w:type="dxa"/>
            <w:gridSpan w:val="2"/>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Scenario 1</w:t>
            </w:r>
          </w:p>
        </w:tc>
        <w:tc>
          <w:tcPr>
            <w:tcW w:w="1126" w:type="dxa"/>
            <w:gridSpan w:val="2"/>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Scenario 2</w:t>
            </w:r>
          </w:p>
        </w:tc>
        <w:tc>
          <w:tcPr>
            <w:tcW w:w="1126" w:type="dxa"/>
            <w:gridSpan w:val="2"/>
            <w:shd w:val="clear" w:color="000000" w:fill="81BC00"/>
            <w:vAlign w:val="center"/>
            <w:hideMark/>
          </w:tcPr>
          <w:p w:rsidR="00035C91" w:rsidRDefault="00632184">
            <w:pPr>
              <w:spacing w:before="60" w:after="60"/>
              <w:jc w:val="center"/>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Scenario 3</w:t>
            </w:r>
          </w:p>
        </w:tc>
        <w:tc>
          <w:tcPr>
            <w:tcW w:w="1126" w:type="dxa"/>
            <w:gridSpan w:val="2"/>
            <w:vMerge/>
            <w:vAlign w:val="center"/>
            <w:hideMark/>
          </w:tcPr>
          <w:p w:rsidR="00035C91" w:rsidRDefault="00035C91">
            <w:pPr>
              <w:spacing w:before="60" w:after="60"/>
              <w:rPr>
                <w:rFonts w:ascii="Times New Roman" w:eastAsia="Times New Roman" w:hAnsi="Times New Roman" w:cs="Arial"/>
                <w:b/>
                <w:bCs/>
                <w:noProof/>
                <w:color w:val="FFFFFF"/>
                <w:sz w:val="18"/>
                <w:szCs w:val="18"/>
                <w:lang w:eastAsia="de-DE"/>
              </w:rPr>
            </w:pPr>
          </w:p>
        </w:tc>
        <w:tc>
          <w:tcPr>
            <w:tcW w:w="1337" w:type="dxa"/>
            <w:gridSpan w:val="2"/>
            <w:vMerge/>
            <w:vAlign w:val="center"/>
            <w:hideMark/>
          </w:tcPr>
          <w:p w:rsidR="00035C91" w:rsidRDefault="00035C91">
            <w:pPr>
              <w:spacing w:before="60" w:after="60"/>
              <w:rPr>
                <w:rFonts w:ascii="Times New Roman" w:eastAsia="Times New Roman" w:hAnsi="Times New Roman" w:cs="Arial"/>
                <w:b/>
                <w:bCs/>
                <w:noProof/>
                <w:color w:val="FFFFFF"/>
                <w:sz w:val="18"/>
                <w:szCs w:val="18"/>
                <w:lang w:eastAsia="de-DE"/>
              </w:rPr>
            </w:pPr>
          </w:p>
        </w:tc>
      </w:tr>
      <w:tr w:rsidR="00035C91">
        <w:trPr>
          <w:trHeight w:val="285"/>
        </w:trPr>
        <w:tc>
          <w:tcPr>
            <w:tcW w:w="1941" w:type="dxa"/>
            <w:shd w:val="clear" w:color="000000" w:fill="81BC00"/>
            <w:noWrap/>
            <w:vAlign w:val="bottom"/>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Provision</w:t>
            </w:r>
          </w:p>
        </w:tc>
        <w:tc>
          <w:tcPr>
            <w:tcW w:w="501"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Min</w:t>
            </w:r>
          </w:p>
        </w:tc>
        <w:tc>
          <w:tcPr>
            <w:tcW w:w="563"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Max</w:t>
            </w:r>
          </w:p>
        </w:tc>
        <w:tc>
          <w:tcPr>
            <w:tcW w:w="501"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Min</w:t>
            </w:r>
          </w:p>
        </w:tc>
        <w:tc>
          <w:tcPr>
            <w:tcW w:w="577"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Max</w:t>
            </w:r>
          </w:p>
        </w:tc>
        <w:tc>
          <w:tcPr>
            <w:tcW w:w="563"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Min</w:t>
            </w:r>
          </w:p>
        </w:tc>
        <w:tc>
          <w:tcPr>
            <w:tcW w:w="563"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Max</w:t>
            </w:r>
          </w:p>
        </w:tc>
        <w:tc>
          <w:tcPr>
            <w:tcW w:w="563"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Min</w:t>
            </w:r>
          </w:p>
        </w:tc>
        <w:tc>
          <w:tcPr>
            <w:tcW w:w="563"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Max</w:t>
            </w:r>
          </w:p>
        </w:tc>
        <w:tc>
          <w:tcPr>
            <w:tcW w:w="563"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Min</w:t>
            </w:r>
          </w:p>
        </w:tc>
        <w:tc>
          <w:tcPr>
            <w:tcW w:w="563"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Max</w:t>
            </w:r>
          </w:p>
        </w:tc>
        <w:tc>
          <w:tcPr>
            <w:tcW w:w="563"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Min</w:t>
            </w:r>
          </w:p>
        </w:tc>
        <w:tc>
          <w:tcPr>
            <w:tcW w:w="563"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Max</w:t>
            </w:r>
          </w:p>
        </w:tc>
        <w:tc>
          <w:tcPr>
            <w:tcW w:w="582"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Min</w:t>
            </w:r>
          </w:p>
        </w:tc>
        <w:tc>
          <w:tcPr>
            <w:tcW w:w="755" w:type="dxa"/>
            <w:shd w:val="clear" w:color="000000" w:fill="81BC00"/>
            <w:noWrap/>
            <w:hideMark/>
          </w:tcPr>
          <w:p w:rsidR="00035C91" w:rsidRDefault="00632184">
            <w:pPr>
              <w:spacing w:before="60" w:after="60"/>
              <w:rPr>
                <w:rFonts w:ascii="Times New Roman" w:eastAsia="Times New Roman" w:hAnsi="Times New Roman"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Max</w:t>
            </w:r>
          </w:p>
        </w:tc>
      </w:tr>
      <w:tr w:rsidR="00035C91">
        <w:trPr>
          <w:trHeight w:val="600"/>
        </w:trPr>
        <w:tc>
          <w:tcPr>
            <w:tcW w:w="1941" w:type="dxa"/>
            <w:shd w:val="clear" w:color="auto" w:fill="auto"/>
            <w:vAlign w:val="center"/>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Number of citizens affected</w:t>
            </w:r>
          </w:p>
        </w:tc>
        <w:tc>
          <w:tcPr>
            <w:tcW w:w="501"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01"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77"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82"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755"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r>
      <w:tr w:rsidR="00035C91">
        <w:trPr>
          <w:trHeight w:val="600"/>
        </w:trPr>
        <w:tc>
          <w:tcPr>
            <w:tcW w:w="1941" w:type="dxa"/>
            <w:shd w:val="clear" w:color="auto" w:fill="auto"/>
            <w:vAlign w:val="center"/>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Number of businesses affected</w:t>
            </w:r>
          </w:p>
        </w:tc>
        <w:tc>
          <w:tcPr>
            <w:tcW w:w="501"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01"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77"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82"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755"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r>
      <w:tr w:rsidR="00035C91">
        <w:trPr>
          <w:trHeight w:val="720"/>
        </w:trPr>
        <w:tc>
          <w:tcPr>
            <w:tcW w:w="1941" w:type="dxa"/>
            <w:shd w:val="clear" w:color="auto" w:fill="auto"/>
            <w:vAlign w:val="center"/>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Compliance costs</w:t>
            </w:r>
          </w:p>
        </w:tc>
        <w:tc>
          <w:tcPr>
            <w:tcW w:w="501"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01"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77"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82"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755"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r>
      <w:tr w:rsidR="00035C91">
        <w:trPr>
          <w:trHeight w:val="600"/>
        </w:trPr>
        <w:tc>
          <w:tcPr>
            <w:tcW w:w="1941" w:type="dxa"/>
            <w:shd w:val="clear" w:color="auto" w:fill="auto"/>
            <w:vAlign w:val="center"/>
            <w:hideMark/>
          </w:tcPr>
          <w:p w:rsidR="00035C91" w:rsidRDefault="00632184">
            <w:pPr>
              <w:spacing w:before="60" w:after="60"/>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Costs stemming from administrative burden</w:t>
            </w:r>
          </w:p>
        </w:tc>
        <w:tc>
          <w:tcPr>
            <w:tcW w:w="501"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01"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77"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63"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563"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c>
          <w:tcPr>
            <w:tcW w:w="582" w:type="dxa"/>
            <w:shd w:val="clear" w:color="auto" w:fill="auto"/>
            <w:noWrap/>
            <w:vAlign w:val="center"/>
          </w:tcPr>
          <w:p w:rsidR="00035C91" w:rsidRDefault="00632184">
            <w:pPr>
              <w:spacing w:before="60" w:after="60"/>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X</w:t>
            </w:r>
          </w:p>
        </w:tc>
        <w:tc>
          <w:tcPr>
            <w:tcW w:w="755" w:type="dxa"/>
            <w:shd w:val="clear" w:color="auto" w:fill="auto"/>
            <w:noWrap/>
            <w:vAlign w:val="center"/>
          </w:tcPr>
          <w:p w:rsidR="00035C91" w:rsidRDefault="00035C91">
            <w:pPr>
              <w:spacing w:before="60" w:after="60"/>
              <w:jc w:val="center"/>
              <w:rPr>
                <w:rFonts w:ascii="Times New Roman" w:eastAsia="Times New Roman" w:hAnsi="Times New Roman" w:cs="Arial"/>
                <w:noProof/>
                <w:sz w:val="18"/>
                <w:szCs w:val="18"/>
                <w:lang w:eastAsia="de-DE"/>
              </w:rPr>
            </w:pPr>
          </w:p>
        </w:tc>
      </w:tr>
    </w:tbl>
    <w:p w:rsidR="00035C91" w:rsidRDefault="00632184">
      <w:pPr>
        <w:tabs>
          <w:tab w:val="left" w:pos="3031"/>
        </w:tabs>
        <w:spacing w:before="0" w:after="240"/>
        <w:rPr>
          <w:rFonts w:ascii="Times New Roman" w:eastAsia="Times New Roman" w:hAnsi="Times New Roman"/>
          <w:i/>
          <w:noProof/>
          <w:sz w:val="14"/>
          <w:szCs w:val="20"/>
        </w:rPr>
      </w:pPr>
      <w:r>
        <w:rPr>
          <w:rFonts w:ascii="Times New Roman" w:eastAsia="Times New Roman" w:hAnsi="Times New Roman"/>
          <w:i/>
          <w:noProof/>
          <w:sz w:val="14"/>
          <w:szCs w:val="20"/>
        </w:rPr>
        <w:t xml:space="preserve">Source: </w:t>
      </w:r>
      <w:r>
        <w:rPr>
          <w:rFonts w:ascii="Times New Roman" w:eastAsia="Times New Roman" w:hAnsi="Times New Roman"/>
          <w:i/>
          <w:noProof/>
          <w:sz w:val="14"/>
          <w:szCs w:val="20"/>
        </w:rPr>
        <w:t>Deloitte</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As a </w:t>
      </w:r>
      <w:r>
        <w:rPr>
          <w:rFonts w:ascii="Times New Roman" w:eastAsia="Times New Roman" w:hAnsi="Times New Roman"/>
          <w:b/>
          <w:noProof/>
          <w:color w:val="9BBB59" w:themeColor="accent3"/>
          <w:sz w:val="24"/>
          <w:szCs w:val="20"/>
        </w:rPr>
        <w:t>sixth and final step</w:t>
      </w:r>
      <w:r>
        <w:rPr>
          <w:rFonts w:ascii="Times New Roman" w:eastAsia="Times New Roman" w:hAnsi="Times New Roman"/>
          <w:noProof/>
          <w:sz w:val="24"/>
          <w:szCs w:val="20"/>
        </w:rPr>
        <w:t xml:space="preserve">, we have multiplied each of the selected percentages with the values estimated based on the “basic assumptions” (see previous section) per year (2016-2030), per Member State, and per size class of business. In the </w:t>
      </w:r>
      <w:r>
        <w:rPr>
          <w:rFonts w:ascii="Times New Roman" w:eastAsia="Times New Roman" w:hAnsi="Times New Roman"/>
          <w:noProof/>
          <w:sz w:val="24"/>
          <w:szCs w:val="20"/>
        </w:rPr>
        <w:t>following sub-section, we provide the qualitative reasoning behind the quantitative assessments of the impacts of the policy options on businesses</w:t>
      </w:r>
    </w:p>
    <w:p w:rsidR="00035C91" w:rsidRDefault="00632184">
      <w:pPr>
        <w:keepNext/>
        <w:numPr>
          <w:ilvl w:val="0"/>
          <w:numId w:val="43"/>
        </w:numPr>
        <w:pBdr>
          <w:bottom w:val="single" w:sz="8" w:space="1" w:color="4BACC6" w:themeColor="accent5"/>
        </w:pBdr>
        <w:spacing w:before="300" w:after="240" w:line="276" w:lineRule="auto"/>
        <w:ind w:left="864" w:firstLine="0"/>
        <w:outlineLvl w:val="3"/>
        <w:rPr>
          <w:rFonts w:ascii="Arial" w:eastAsia="Times" w:hAnsi="Arial"/>
          <w:b/>
          <w:bCs/>
          <w:noProof/>
          <w:color w:val="4BACC6" w:themeColor="accent5"/>
          <w:sz w:val="22"/>
          <w:szCs w:val="22"/>
          <w:lang w:val="en-US"/>
        </w:rPr>
      </w:pPr>
      <w:r>
        <w:rPr>
          <w:rFonts w:ascii="Arial" w:eastAsia="Times" w:hAnsi="Arial"/>
          <w:b/>
          <w:bCs/>
          <w:noProof/>
          <w:color w:val="4BACC6" w:themeColor="accent5"/>
          <w:sz w:val="22"/>
          <w:szCs w:val="22"/>
          <w:lang w:val="en-US"/>
        </w:rPr>
        <w:t>Basic considerations concerning the share of websites potentially affected</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Even before assessing the impacts </w:t>
      </w:r>
      <w:r>
        <w:rPr>
          <w:rFonts w:ascii="Times New Roman" w:eastAsia="Times New Roman" w:hAnsi="Times New Roman"/>
          <w:noProof/>
          <w:sz w:val="24"/>
          <w:szCs w:val="20"/>
        </w:rPr>
        <w:t xml:space="preserve">of the policy options vis-à-vis the baseline scenario in both qualitative and quantitative terms, it is necessary to reflect what the basic population of businesses is on which the policy options can impact, as well as what the magnitude of the impacts on </w:t>
      </w:r>
      <w:r>
        <w:rPr>
          <w:rFonts w:ascii="Times New Roman" w:eastAsia="Times New Roman" w:hAnsi="Times New Roman"/>
          <w:noProof/>
          <w:sz w:val="24"/>
          <w:szCs w:val="20"/>
        </w:rPr>
        <w:t>the number of businesses and their costs could be in theory. The basic population is visualised below.</w:t>
      </w:r>
    </w:p>
    <w:p w:rsidR="00035C91" w:rsidRDefault="00632184">
      <w:pPr>
        <w:keepNext/>
        <w:spacing w:before="240" w:after="0" w:line="312" w:lineRule="auto"/>
        <w:ind w:left="720"/>
        <w:jc w:val="center"/>
        <w:rPr>
          <w:rFonts w:asciiTheme="minorHAnsi" w:eastAsia="Times New Roman" w:hAnsiTheme="minorHAnsi" w:cs="Arial"/>
          <w:bCs/>
          <w:i/>
          <w:noProof/>
          <w:color w:val="00A3E0"/>
          <w:sz w:val="22"/>
          <w:szCs w:val="22"/>
        </w:rPr>
      </w:pPr>
      <w:bookmarkStart w:id="82" w:name="_Toc462410798"/>
      <w:bookmarkStart w:id="83" w:name="_Toc462075448"/>
      <w:bookmarkStart w:id="84" w:name="_Toc464765415"/>
      <w:r>
        <w:rPr>
          <w:rFonts w:asciiTheme="minorHAnsi" w:eastAsia="Times New Roman" w:hAnsiTheme="minorHAnsi" w:cs="Arial"/>
          <w:bCs/>
          <w:i/>
          <w:noProof/>
          <w:color w:val="00A3E0"/>
          <w:sz w:val="22"/>
          <w:szCs w:val="22"/>
        </w:rPr>
        <w:t xml:space="preserve">Figure </w:t>
      </w:r>
      <w:r>
        <w:rPr>
          <w:rFonts w:asciiTheme="minorHAnsi" w:eastAsia="Times New Roman" w:hAnsiTheme="minorHAnsi" w:cs="Arial"/>
          <w:bCs/>
          <w:i/>
          <w:noProof/>
          <w:color w:val="00A3E0"/>
          <w:sz w:val="22"/>
          <w:szCs w:val="22"/>
        </w:rPr>
        <w:fldChar w:fldCharType="begin"/>
      </w:r>
      <w:r>
        <w:rPr>
          <w:rFonts w:asciiTheme="minorHAnsi" w:eastAsia="Times New Roman" w:hAnsiTheme="minorHAnsi" w:cs="Arial"/>
          <w:bCs/>
          <w:i/>
          <w:noProof/>
          <w:color w:val="00A3E0"/>
          <w:sz w:val="22"/>
          <w:szCs w:val="22"/>
        </w:rPr>
        <w:instrText xml:space="preserve"> SEQ Figure \* ARABIC \* MERGEFORMAT </w:instrText>
      </w:r>
      <w:r>
        <w:rPr>
          <w:rFonts w:asciiTheme="minorHAnsi" w:eastAsia="Times New Roman" w:hAnsiTheme="minorHAnsi" w:cs="Arial"/>
          <w:bCs/>
          <w:i/>
          <w:noProof/>
          <w:color w:val="00A3E0"/>
          <w:sz w:val="22"/>
          <w:szCs w:val="22"/>
        </w:rPr>
        <w:fldChar w:fldCharType="separate"/>
      </w:r>
      <w:r>
        <w:rPr>
          <w:rFonts w:asciiTheme="minorHAnsi" w:eastAsia="Times New Roman" w:hAnsiTheme="minorHAnsi" w:cs="Arial"/>
          <w:bCs/>
          <w:i/>
          <w:noProof/>
          <w:color w:val="00A3E0"/>
          <w:sz w:val="22"/>
          <w:szCs w:val="22"/>
        </w:rPr>
        <w:t>1</w:t>
      </w:r>
      <w:r>
        <w:rPr>
          <w:rFonts w:asciiTheme="minorHAnsi" w:eastAsia="Times New Roman" w:hAnsiTheme="minorHAnsi" w:cs="Arial"/>
          <w:bCs/>
          <w:i/>
          <w:noProof/>
          <w:color w:val="00A3E0"/>
          <w:sz w:val="22"/>
          <w:szCs w:val="22"/>
        </w:rPr>
        <w:fldChar w:fldCharType="end"/>
      </w:r>
      <w:r>
        <w:rPr>
          <w:rFonts w:asciiTheme="minorHAnsi" w:eastAsia="Times New Roman" w:hAnsiTheme="minorHAnsi" w:cs="Arial"/>
          <w:bCs/>
          <w:i/>
          <w:noProof/>
          <w:color w:val="00A3E0"/>
          <w:sz w:val="22"/>
          <w:szCs w:val="22"/>
        </w:rPr>
        <w:t xml:space="preserve"> – Basic population which the policy options can impact</w:t>
      </w:r>
      <w:bookmarkEnd w:id="82"/>
      <w:bookmarkEnd w:id="83"/>
      <w:bookmarkEnd w:id="84"/>
    </w:p>
    <w:p w:rsidR="00035C91" w:rsidRDefault="00632184">
      <w:pPr>
        <w:spacing w:before="0" w:after="0"/>
        <w:ind w:left="-567"/>
        <w:rPr>
          <w:rFonts w:ascii="Times New Roman" w:eastAsia="Times New Roman" w:hAnsi="Times New Roman"/>
          <w:noProof/>
          <w:sz w:val="24"/>
          <w:szCs w:val="20"/>
        </w:rPr>
      </w:pPr>
      <w:r>
        <w:rPr>
          <w:rFonts w:ascii="Times New Roman" w:eastAsia="Times New Roman" w:hAnsi="Times New Roman"/>
          <w:noProof/>
          <w:sz w:val="24"/>
          <w:szCs w:val="20"/>
          <w:lang w:eastAsia="zh-CN"/>
        </w:rPr>
        <w:drawing>
          <wp:inline distT="0" distB="0" distL="0" distR="0" wp14:anchorId="37B99B34" wp14:editId="6683FA9F">
            <wp:extent cx="5760720" cy="1976406"/>
            <wp:effectExtent l="0" t="0" r="0" b="508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l="3036" t="6011" r="4361" b="5993"/>
                    <a:stretch/>
                  </pic:blipFill>
                  <pic:spPr bwMode="auto">
                    <a:xfrm>
                      <a:off x="0" y="0"/>
                      <a:ext cx="5760720" cy="1976406"/>
                    </a:xfrm>
                    <a:prstGeom prst="rect">
                      <a:avLst/>
                    </a:prstGeom>
                    <a:noFill/>
                    <a:ln>
                      <a:noFill/>
                    </a:ln>
                    <a:extLst>
                      <a:ext uri="{53640926-AAD7-44D8-BBD7-CCE9431645EC}">
                        <a14:shadowObscured xmlns:a14="http://schemas.microsoft.com/office/drawing/2010/main"/>
                      </a:ext>
                    </a:extLst>
                  </pic:spPr>
                </pic:pic>
              </a:graphicData>
            </a:graphic>
          </wp:inline>
        </w:drawing>
      </w:r>
    </w:p>
    <w:p w:rsidR="00035C91" w:rsidRDefault="00632184">
      <w:pPr>
        <w:spacing w:before="0" w:after="240"/>
        <w:rPr>
          <w:rFonts w:ascii="Times New Roman" w:eastAsia="Times New Roman" w:hAnsi="Times New Roman"/>
          <w:i/>
          <w:noProof/>
          <w:sz w:val="16"/>
          <w:szCs w:val="20"/>
        </w:rPr>
      </w:pPr>
      <w:r>
        <w:rPr>
          <w:rFonts w:ascii="Times New Roman" w:eastAsia="Times New Roman" w:hAnsi="Times New Roman"/>
          <w:i/>
          <w:noProof/>
          <w:sz w:val="16"/>
          <w:szCs w:val="20"/>
        </w:rPr>
        <w:t>Source: Deloitte</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The figure above shows that the number of businesses that have a website (in this case e.g. 75%) is the basis for the estimates. Half of these websites (50.2%) use cookies, while the other half does not use cookies (49.8%). Only the former is relevant for </w:t>
      </w:r>
      <w:r>
        <w:rPr>
          <w:rFonts w:ascii="Times New Roman" w:eastAsia="Times New Roman" w:hAnsi="Times New Roman"/>
          <w:noProof/>
          <w:sz w:val="24"/>
          <w:szCs w:val="20"/>
        </w:rPr>
        <w:t>the quantitative assessment of the policy options. Of the websites that use cookies, 70% use tracking cookies, while 30% do not use tracking cookies. The elements of the policy options relating to exceptions of the cookie consent rule under Art. 5(3) would</w:t>
      </w:r>
      <w:r>
        <w:rPr>
          <w:rFonts w:ascii="Times New Roman" w:eastAsia="Times New Roman" w:hAnsi="Times New Roman"/>
          <w:noProof/>
          <w:sz w:val="24"/>
          <w:szCs w:val="20"/>
        </w:rPr>
        <w:t xml:space="preserve">, compared to the baseline situation, free those 30% of businesses from having to implement a cookie banner. </w:t>
      </w:r>
    </w:p>
    <w:tbl>
      <w:tblPr>
        <w:tblStyle w:val="TableGrid"/>
        <w:tblW w:w="0" w:type="auto"/>
        <w:shd w:val="clear" w:color="auto" w:fill="EAF1DD" w:themeFill="accent3" w:themeFillTint="33"/>
        <w:tblLook w:val="04A0" w:firstRow="1" w:lastRow="0" w:firstColumn="1" w:lastColumn="0" w:noHBand="0" w:noVBand="1"/>
      </w:tblPr>
      <w:tblGrid>
        <w:gridCol w:w="9060"/>
      </w:tblGrid>
      <w:tr w:rsidR="00035C91">
        <w:tc>
          <w:tcPr>
            <w:tcW w:w="9060" w:type="dxa"/>
            <w:shd w:val="clear" w:color="auto" w:fill="EAF1DD" w:themeFill="accent3" w:themeFillTint="33"/>
          </w:tcPr>
          <w:p w:rsidR="00035C91" w:rsidRDefault="00632184">
            <w:pPr>
              <w:spacing w:before="0" w:after="240"/>
              <w:rPr>
                <w:rFonts w:ascii="Times New Roman" w:hAnsi="Times New Roman"/>
                <w:b/>
                <w:i/>
                <w:noProof/>
                <w:sz w:val="24"/>
                <w:szCs w:val="20"/>
                <w:u w:val="single"/>
              </w:rPr>
            </w:pPr>
            <w:r>
              <w:rPr>
                <w:rFonts w:ascii="Times New Roman" w:hAnsi="Times New Roman"/>
                <w:b/>
                <w:i/>
                <w:noProof/>
                <w:sz w:val="24"/>
                <w:szCs w:val="20"/>
                <w:u w:val="single"/>
              </w:rPr>
              <w:t>Possible technical solutions to collect the consent of the users</w:t>
            </w:r>
          </w:p>
          <w:p w:rsidR="00035C91" w:rsidRDefault="00632184">
            <w:pPr>
              <w:spacing w:before="0" w:after="240"/>
              <w:rPr>
                <w:rFonts w:ascii="Times New Roman" w:hAnsi="Times New Roman"/>
                <w:noProof/>
                <w:sz w:val="24"/>
                <w:szCs w:val="20"/>
              </w:rPr>
            </w:pPr>
            <w:r>
              <w:rPr>
                <w:rFonts w:ascii="Times New Roman" w:hAnsi="Times New Roman"/>
                <w:noProof/>
                <w:sz w:val="24"/>
                <w:szCs w:val="20"/>
              </w:rPr>
              <w:t xml:space="preserve">There are different potential technical solutions to facilitate users to diverge </w:t>
            </w:r>
            <w:r>
              <w:rPr>
                <w:rFonts w:ascii="Times New Roman" w:hAnsi="Times New Roman"/>
                <w:noProof/>
                <w:sz w:val="24"/>
                <w:szCs w:val="20"/>
              </w:rPr>
              <w:t>from their default setting for individual websites, all with different implications on costs. The following scenarios exist: (1) All communication runs centralised via the browsers; (2) The party placing the cookie is responsible for asking the consent; (3</w:t>
            </w:r>
            <w:r>
              <w:rPr>
                <w:rFonts w:ascii="Times New Roman" w:hAnsi="Times New Roman"/>
                <w:noProof/>
                <w:sz w:val="24"/>
                <w:szCs w:val="20"/>
              </w:rPr>
              <w:t>) Individual websites are responsible for asking the consent.</w:t>
            </w:r>
          </w:p>
        </w:tc>
      </w:tr>
    </w:tbl>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The impact of the policy options on the remaining 70% (see above) depends on the specific solution implemented e.g. under policy option 3:</w:t>
      </w:r>
    </w:p>
    <w:p w:rsidR="00035C91" w:rsidRDefault="00632184">
      <w:pPr>
        <w:numPr>
          <w:ilvl w:val="0"/>
          <w:numId w:val="114"/>
        </w:numPr>
        <w:spacing w:before="0" w:after="160" w:line="259" w:lineRule="auto"/>
        <w:contextualSpacing/>
        <w:rPr>
          <w:rFonts w:ascii="Times New Roman" w:eastAsia="Times New Roman" w:hAnsi="Times New Roman"/>
          <w:noProof/>
          <w:sz w:val="24"/>
        </w:rPr>
      </w:pPr>
      <w:r>
        <w:rPr>
          <w:rFonts w:ascii="Times New Roman" w:eastAsia="Times New Roman" w:hAnsi="Times New Roman"/>
          <w:i/>
          <w:noProof/>
          <w:sz w:val="24"/>
        </w:rPr>
        <w:t>Scenario 1 (“Browser solution”):</w:t>
      </w:r>
      <w:r>
        <w:rPr>
          <w:rFonts w:ascii="Times New Roman" w:eastAsia="Times New Roman" w:hAnsi="Times New Roman"/>
          <w:noProof/>
          <w:sz w:val="24"/>
        </w:rPr>
        <w:t xml:space="preserve"> Assuming that the com</w:t>
      </w:r>
      <w:r>
        <w:rPr>
          <w:rFonts w:ascii="Times New Roman" w:eastAsia="Times New Roman" w:hAnsi="Times New Roman"/>
          <w:noProof/>
          <w:sz w:val="24"/>
        </w:rPr>
        <w:t>munication would exclusively run via the browsers, all the costs would lie with the browser providers (as reflected above). Websites on the other hand, would have no specific costs. Thus, in comparison to the current situation, websites would save the cost</w:t>
      </w:r>
      <w:r>
        <w:rPr>
          <w:rFonts w:ascii="Times New Roman" w:eastAsia="Times New Roman" w:hAnsi="Times New Roman"/>
          <w:noProof/>
          <w:sz w:val="24"/>
        </w:rPr>
        <w:t>s they incur now to implement the cookie banner. As this is considered the main cost associated for businesses, this would be a significant decrease.</w:t>
      </w:r>
    </w:p>
    <w:p w:rsidR="00035C91" w:rsidRDefault="00632184">
      <w:pPr>
        <w:numPr>
          <w:ilvl w:val="0"/>
          <w:numId w:val="114"/>
        </w:numPr>
        <w:spacing w:before="0" w:after="160" w:line="259" w:lineRule="auto"/>
        <w:contextualSpacing/>
        <w:rPr>
          <w:rFonts w:ascii="Times New Roman" w:eastAsia="Times New Roman" w:hAnsi="Times New Roman"/>
          <w:noProof/>
          <w:sz w:val="24"/>
        </w:rPr>
      </w:pPr>
      <w:r>
        <w:rPr>
          <w:rFonts w:ascii="Times New Roman" w:eastAsia="Times New Roman" w:hAnsi="Times New Roman"/>
          <w:i/>
          <w:noProof/>
          <w:sz w:val="24"/>
        </w:rPr>
        <w:t>Scenario 2 (“Tracking company solution”):</w:t>
      </w:r>
      <w:r>
        <w:rPr>
          <w:rFonts w:ascii="Times New Roman" w:eastAsia="Times New Roman" w:hAnsi="Times New Roman"/>
          <w:noProof/>
          <w:sz w:val="24"/>
        </w:rPr>
        <w:t xml:space="preserve"> In this scenario, the costs would lie with the companies placing</w:t>
      </w:r>
      <w:r>
        <w:rPr>
          <w:rFonts w:ascii="Times New Roman" w:eastAsia="Times New Roman" w:hAnsi="Times New Roman"/>
          <w:noProof/>
          <w:sz w:val="24"/>
        </w:rPr>
        <w:t xml:space="preserve"> the data. It is expected that this would be slightly more expensive compared to solution 1, as a higher number of businesses would be concerned. Although most tracking cookies are placed by few main players, other smaller players will be affected as well.</w:t>
      </w:r>
      <w:r>
        <w:rPr>
          <w:rFonts w:ascii="Times New Roman" w:eastAsia="Times New Roman" w:hAnsi="Times New Roman"/>
          <w:noProof/>
          <w:sz w:val="24"/>
        </w:rPr>
        <w:t xml:space="preserve"> Furthermore, this solution would require the development of new practical and technical solutions to implement the option. Websites would have no specific costs. Thus, in comparison to the current situation, websites would save the costs they incur now to</w:t>
      </w:r>
      <w:r>
        <w:rPr>
          <w:rFonts w:ascii="Times New Roman" w:eastAsia="Times New Roman" w:hAnsi="Times New Roman"/>
          <w:noProof/>
          <w:sz w:val="24"/>
        </w:rPr>
        <w:t xml:space="preserve"> implement the cookie banner. As this is considered the main cost associated for businesses with the ePD, this would be a significant decrease.</w:t>
      </w:r>
    </w:p>
    <w:p w:rsidR="00035C91" w:rsidRDefault="00632184">
      <w:pPr>
        <w:numPr>
          <w:ilvl w:val="0"/>
          <w:numId w:val="114"/>
        </w:numPr>
        <w:spacing w:before="0" w:after="160" w:line="259" w:lineRule="auto"/>
        <w:contextualSpacing/>
        <w:rPr>
          <w:rFonts w:ascii="Times New Roman" w:eastAsia="Times New Roman" w:hAnsi="Times New Roman"/>
          <w:noProof/>
          <w:sz w:val="24"/>
        </w:rPr>
      </w:pPr>
      <w:r>
        <w:rPr>
          <w:rFonts w:ascii="Times New Roman" w:eastAsia="Times New Roman" w:hAnsi="Times New Roman"/>
          <w:i/>
          <w:noProof/>
          <w:sz w:val="24"/>
        </w:rPr>
        <w:t>Scenario 3 (“Publishers solution”):</w:t>
      </w:r>
      <w:r>
        <w:rPr>
          <w:rFonts w:ascii="Times New Roman" w:eastAsia="Times New Roman" w:hAnsi="Times New Roman"/>
          <w:noProof/>
          <w:sz w:val="24"/>
        </w:rPr>
        <w:t xml:space="preserve">  In this case, there would be no significant changes for website operators, </w:t>
      </w:r>
      <w:r>
        <w:rPr>
          <w:rFonts w:ascii="Times New Roman" w:eastAsia="Times New Roman" w:hAnsi="Times New Roman"/>
          <w:noProof/>
          <w:sz w:val="24"/>
        </w:rPr>
        <w:t>as they would in principle still employ cookie banners (or a similar technical solution).</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This is depicted in the figure below.</w:t>
      </w:r>
    </w:p>
    <w:p w:rsidR="00035C91" w:rsidRDefault="00632184">
      <w:pPr>
        <w:keepNext/>
        <w:spacing w:before="240" w:after="0" w:line="312" w:lineRule="auto"/>
        <w:ind w:left="720"/>
        <w:jc w:val="center"/>
        <w:rPr>
          <w:rFonts w:asciiTheme="minorHAnsi" w:eastAsia="Times New Roman" w:hAnsiTheme="minorHAnsi" w:cs="Arial"/>
          <w:bCs/>
          <w:i/>
          <w:noProof/>
          <w:color w:val="00A3E0"/>
          <w:sz w:val="22"/>
          <w:szCs w:val="22"/>
        </w:rPr>
      </w:pPr>
      <w:bookmarkStart w:id="85" w:name="_Toc462410799"/>
      <w:bookmarkStart w:id="86" w:name="_Toc462075449"/>
      <w:bookmarkStart w:id="87" w:name="_Toc464765416"/>
      <w:r>
        <w:rPr>
          <w:rFonts w:asciiTheme="minorHAnsi" w:eastAsia="Times New Roman" w:hAnsiTheme="minorHAnsi" w:cs="Arial"/>
          <w:bCs/>
          <w:i/>
          <w:noProof/>
          <w:color w:val="00A3E0"/>
          <w:sz w:val="22"/>
          <w:szCs w:val="22"/>
        </w:rPr>
        <w:t xml:space="preserve">Figure </w:t>
      </w:r>
      <w:r>
        <w:rPr>
          <w:rFonts w:asciiTheme="minorHAnsi" w:eastAsia="Times New Roman" w:hAnsiTheme="minorHAnsi" w:cs="Arial"/>
          <w:bCs/>
          <w:i/>
          <w:noProof/>
          <w:color w:val="00A3E0"/>
          <w:sz w:val="22"/>
          <w:szCs w:val="22"/>
        </w:rPr>
        <w:fldChar w:fldCharType="begin"/>
      </w:r>
      <w:r>
        <w:rPr>
          <w:rFonts w:asciiTheme="minorHAnsi" w:eastAsia="Times New Roman" w:hAnsiTheme="minorHAnsi" w:cs="Arial"/>
          <w:bCs/>
          <w:i/>
          <w:noProof/>
          <w:color w:val="00A3E0"/>
          <w:sz w:val="22"/>
          <w:szCs w:val="22"/>
        </w:rPr>
        <w:instrText xml:space="preserve"> SEQ Figure \* ARABIC \* MERGEFORMAT </w:instrText>
      </w:r>
      <w:r>
        <w:rPr>
          <w:rFonts w:asciiTheme="minorHAnsi" w:eastAsia="Times New Roman" w:hAnsiTheme="minorHAnsi" w:cs="Arial"/>
          <w:bCs/>
          <w:i/>
          <w:noProof/>
          <w:color w:val="00A3E0"/>
          <w:sz w:val="22"/>
          <w:szCs w:val="22"/>
        </w:rPr>
        <w:fldChar w:fldCharType="separate"/>
      </w:r>
      <w:r>
        <w:rPr>
          <w:rFonts w:asciiTheme="minorHAnsi" w:eastAsia="Times New Roman" w:hAnsiTheme="minorHAnsi" w:cs="Arial"/>
          <w:bCs/>
          <w:i/>
          <w:noProof/>
          <w:color w:val="00A3E0"/>
          <w:sz w:val="22"/>
          <w:szCs w:val="22"/>
        </w:rPr>
        <w:t>2</w:t>
      </w:r>
      <w:r>
        <w:rPr>
          <w:rFonts w:asciiTheme="minorHAnsi" w:eastAsia="Times New Roman" w:hAnsiTheme="minorHAnsi" w:cs="Arial"/>
          <w:bCs/>
          <w:i/>
          <w:noProof/>
          <w:color w:val="00A3E0"/>
          <w:sz w:val="22"/>
          <w:szCs w:val="22"/>
        </w:rPr>
        <w:fldChar w:fldCharType="end"/>
      </w:r>
      <w:r>
        <w:rPr>
          <w:rFonts w:asciiTheme="minorHAnsi" w:eastAsia="Times New Roman" w:hAnsiTheme="minorHAnsi" w:cs="Arial"/>
          <w:bCs/>
          <w:i/>
          <w:noProof/>
          <w:color w:val="00A3E0"/>
          <w:sz w:val="22"/>
          <w:szCs w:val="22"/>
        </w:rPr>
        <w:t xml:space="preserve"> – Potential magnitude of impacts of the scenarios under policy option 3</w:t>
      </w:r>
      <w:bookmarkEnd w:id="85"/>
      <w:bookmarkEnd w:id="86"/>
      <w:bookmarkEnd w:id="87"/>
    </w:p>
    <w:p w:rsidR="00035C91" w:rsidRDefault="00632184">
      <w:pPr>
        <w:spacing w:before="0" w:after="240"/>
        <w:jc w:val="center"/>
        <w:rPr>
          <w:rFonts w:ascii="Times New Roman" w:eastAsia="Times New Roman" w:hAnsi="Times New Roman"/>
          <w:noProof/>
          <w:sz w:val="24"/>
          <w:szCs w:val="20"/>
        </w:rPr>
      </w:pPr>
      <w:r>
        <w:rPr>
          <w:rFonts w:ascii="Times New Roman" w:eastAsia="Times New Roman" w:hAnsi="Times New Roman"/>
          <w:noProof/>
          <w:sz w:val="24"/>
          <w:szCs w:val="20"/>
          <w:lang w:eastAsia="zh-CN"/>
        </w:rPr>
        <w:drawing>
          <wp:inline distT="0" distB="0" distL="0" distR="0" wp14:anchorId="703292B4" wp14:editId="5F3307A3">
            <wp:extent cx="4215740" cy="3290186"/>
            <wp:effectExtent l="0" t="0" r="0" b="571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a:extLst>
                        <a:ext uri="{28A0092B-C50C-407E-A947-70E740481C1C}">
                          <a14:useLocalDpi xmlns:a14="http://schemas.microsoft.com/office/drawing/2010/main" val="0"/>
                        </a:ext>
                      </a:extLst>
                    </a:blip>
                    <a:srcRect t="2231" b="2682"/>
                    <a:stretch/>
                  </pic:blipFill>
                  <pic:spPr bwMode="auto">
                    <a:xfrm>
                      <a:off x="0" y="0"/>
                      <a:ext cx="4272131" cy="3334197"/>
                    </a:xfrm>
                    <a:prstGeom prst="rect">
                      <a:avLst/>
                    </a:prstGeom>
                    <a:noFill/>
                    <a:ln>
                      <a:noFill/>
                    </a:ln>
                    <a:extLst>
                      <a:ext uri="{53640926-AAD7-44D8-BBD7-CCE9431645EC}">
                        <a14:shadowObscured xmlns:a14="http://schemas.microsoft.com/office/drawing/2010/main"/>
                      </a:ext>
                    </a:extLst>
                  </pic:spPr>
                </pic:pic>
              </a:graphicData>
            </a:graphic>
          </wp:inline>
        </w:drawing>
      </w:r>
    </w:p>
    <w:p w:rsidR="00035C91" w:rsidRDefault="00632184">
      <w:pPr>
        <w:spacing w:before="0" w:after="240"/>
        <w:rPr>
          <w:rFonts w:ascii="Times New Roman" w:eastAsia="Times New Roman" w:hAnsi="Times New Roman"/>
          <w:i/>
          <w:noProof/>
          <w:sz w:val="16"/>
          <w:szCs w:val="20"/>
        </w:rPr>
      </w:pPr>
      <w:r>
        <w:rPr>
          <w:rFonts w:ascii="Times New Roman" w:eastAsia="Times New Roman" w:hAnsi="Times New Roman"/>
          <w:i/>
          <w:noProof/>
          <w:sz w:val="16"/>
          <w:szCs w:val="20"/>
        </w:rPr>
        <w:t>Source: Deloitte</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It can be seen from the figure above that, in theory, it is expected that the “browser solution” would be able to free up most businesses from costs (the light green part of the pie chart at the top is largest) while costs are imposed on a</w:t>
      </w:r>
      <w:r>
        <w:rPr>
          <w:rFonts w:ascii="Times New Roman" w:eastAsia="Times New Roman" w:hAnsi="Times New Roman"/>
          <w:noProof/>
          <w:sz w:val="24"/>
          <w:szCs w:val="20"/>
        </w:rPr>
        <w:t xml:space="preserve"> small number of browser operators. In addition, a limited number of businesses would also incur “some” costs under this scenario. As part of the “tracking company solution”, impacts on the number of businesses and compliance costs are also expected to be </w:t>
      </w:r>
      <w:r>
        <w:rPr>
          <w:rFonts w:ascii="Times New Roman" w:eastAsia="Times New Roman" w:hAnsi="Times New Roman"/>
          <w:noProof/>
          <w:sz w:val="24"/>
          <w:szCs w:val="20"/>
        </w:rPr>
        <w:t xml:space="preserve">large, but less pronounced than under the “browser solution”. The number of businesses that would still incur costs (i.e. “remain”) would be a bit larger than under the “browser solution". Finally, the “publishers solution” is not expected to be </w:t>
      </w:r>
      <w:r>
        <w:rPr>
          <w:rFonts w:ascii="Times New Roman" w:eastAsia="Times New Roman" w:hAnsi="Times New Roman"/>
          <w:i/>
          <w:noProof/>
          <w:sz w:val="24"/>
          <w:szCs w:val="20"/>
        </w:rPr>
        <w:t>game chang</w:t>
      </w:r>
      <w:r>
        <w:rPr>
          <w:rFonts w:ascii="Times New Roman" w:eastAsia="Times New Roman" w:hAnsi="Times New Roman"/>
          <w:i/>
          <w:noProof/>
          <w:sz w:val="24"/>
          <w:szCs w:val="20"/>
        </w:rPr>
        <w:t>er</w:t>
      </w:r>
      <w:r>
        <w:rPr>
          <w:rFonts w:ascii="Times New Roman" w:eastAsia="Times New Roman" w:hAnsi="Times New Roman"/>
          <w:noProof/>
          <w:sz w:val="24"/>
          <w:szCs w:val="20"/>
        </w:rPr>
        <w:t xml:space="preserve"> compared to the baseline situation as only the websites that do not use tracking cookies in the baseline scenario would be exempted under the ePD.</w:t>
      </w:r>
    </w:p>
    <w:p w:rsidR="00035C91" w:rsidRDefault="00632184">
      <w:pPr>
        <w:keepNext/>
        <w:keepLines/>
        <w:spacing w:before="40" w:after="0" w:line="259" w:lineRule="auto"/>
        <w:jc w:val="left"/>
        <w:outlineLvl w:val="1"/>
        <w:rPr>
          <w:rFonts w:ascii="Arial" w:eastAsia="Times" w:hAnsi="Arial"/>
          <w:b/>
          <w:noProof/>
          <w:color w:val="4F81BD" w:themeColor="accent1"/>
          <w:sz w:val="24"/>
        </w:rPr>
      </w:pPr>
      <w:bookmarkStart w:id="88" w:name="_Toc468453483"/>
      <w:bookmarkStart w:id="89" w:name="_Toc468455383"/>
      <w:bookmarkStart w:id="90" w:name="_Toc468794932"/>
      <w:bookmarkStart w:id="91" w:name="_Toc468795240"/>
      <w:bookmarkEnd w:id="78"/>
      <w:r>
        <w:rPr>
          <w:rFonts w:ascii="Arial" w:eastAsia="Times" w:hAnsi="Arial"/>
          <w:b/>
          <w:noProof/>
          <w:color w:val="4F81BD" w:themeColor="accent1"/>
          <w:sz w:val="24"/>
        </w:rPr>
        <w:t>Key findings of the quantitative analysis: Average values over time</w:t>
      </w:r>
      <w:bookmarkEnd w:id="88"/>
      <w:bookmarkEnd w:id="89"/>
      <w:bookmarkEnd w:id="90"/>
      <w:bookmarkEnd w:id="91"/>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In this section, the policy options </w:t>
      </w:r>
      <w:r>
        <w:rPr>
          <w:rFonts w:ascii="Times New Roman" w:eastAsia="Times New Roman" w:hAnsi="Times New Roman"/>
          <w:noProof/>
          <w:sz w:val="24"/>
          <w:szCs w:val="20"/>
        </w:rPr>
        <w:t>are compared against the baseline scenario.</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As a first step, the main quantitative outcomes of the economic analysis are presented in the form of tables. This section will contain separate tables concerning:</w:t>
      </w:r>
    </w:p>
    <w:p w:rsidR="00035C91" w:rsidRDefault="00632184">
      <w:pPr>
        <w:numPr>
          <w:ilvl w:val="0"/>
          <w:numId w:val="115"/>
        </w:numPr>
        <w:spacing w:before="0" w:after="240" w:line="300" w:lineRule="atLeast"/>
        <w:contextualSpacing/>
        <w:rPr>
          <w:rFonts w:ascii="Times New Roman" w:eastAsia="Times New Roman" w:hAnsi="Times New Roman"/>
          <w:noProof/>
          <w:sz w:val="24"/>
        </w:rPr>
      </w:pPr>
      <w:r>
        <w:rPr>
          <w:rFonts w:ascii="Times New Roman" w:eastAsia="Times New Roman" w:hAnsi="Times New Roman"/>
          <w:noProof/>
          <w:sz w:val="24"/>
        </w:rPr>
        <w:t>Average annual values;</w:t>
      </w:r>
    </w:p>
    <w:p w:rsidR="00035C91" w:rsidRDefault="00632184">
      <w:pPr>
        <w:numPr>
          <w:ilvl w:val="0"/>
          <w:numId w:val="115"/>
        </w:numPr>
        <w:spacing w:before="0" w:after="240" w:line="300" w:lineRule="atLeast"/>
        <w:contextualSpacing/>
        <w:rPr>
          <w:rFonts w:ascii="Times New Roman" w:eastAsia="Times New Roman" w:hAnsi="Times New Roman"/>
          <w:noProof/>
          <w:sz w:val="24"/>
        </w:rPr>
      </w:pPr>
      <w:r>
        <w:rPr>
          <w:rFonts w:ascii="Times New Roman" w:eastAsia="Times New Roman" w:hAnsi="Times New Roman"/>
          <w:noProof/>
          <w:sz w:val="24"/>
        </w:rPr>
        <w:t>Absolute changes of the a</w:t>
      </w:r>
      <w:r>
        <w:rPr>
          <w:rFonts w:ascii="Times New Roman" w:eastAsia="Times New Roman" w:hAnsi="Times New Roman"/>
          <w:noProof/>
          <w:sz w:val="24"/>
        </w:rPr>
        <w:t>verage annual value compared to the REFIT / baseline scenario; and</w:t>
      </w:r>
    </w:p>
    <w:p w:rsidR="00035C91" w:rsidRDefault="00632184">
      <w:pPr>
        <w:numPr>
          <w:ilvl w:val="0"/>
          <w:numId w:val="115"/>
        </w:numPr>
        <w:spacing w:before="0" w:after="240" w:line="300" w:lineRule="atLeast"/>
        <w:contextualSpacing/>
        <w:rPr>
          <w:rFonts w:ascii="Times New Roman" w:eastAsia="Times New Roman" w:hAnsi="Times New Roman"/>
          <w:noProof/>
          <w:sz w:val="24"/>
        </w:rPr>
      </w:pPr>
      <w:r>
        <w:rPr>
          <w:rFonts w:ascii="Times New Roman" w:eastAsia="Times New Roman" w:hAnsi="Times New Roman"/>
          <w:noProof/>
          <w:sz w:val="24"/>
        </w:rPr>
        <w:t>Relative changes of the average annual value compared to the REFIT / baseline scenario.</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This section contains the average values for the quantitative indicators:</w:t>
      </w:r>
    </w:p>
    <w:p w:rsidR="00035C91" w:rsidRDefault="00632184">
      <w:pPr>
        <w:numPr>
          <w:ilvl w:val="0"/>
          <w:numId w:val="115"/>
        </w:numPr>
        <w:spacing w:before="0" w:after="240" w:line="300" w:lineRule="atLeast"/>
        <w:contextualSpacing/>
        <w:rPr>
          <w:rFonts w:ascii="Times New Roman" w:eastAsia="Times New Roman" w:hAnsi="Times New Roman"/>
          <w:noProof/>
          <w:sz w:val="24"/>
        </w:rPr>
      </w:pPr>
      <w:r>
        <w:rPr>
          <w:rFonts w:ascii="Times New Roman" w:eastAsia="Times New Roman" w:hAnsi="Times New Roman"/>
          <w:noProof/>
          <w:sz w:val="24"/>
        </w:rPr>
        <w:t>The number of businesses af</w:t>
      </w:r>
      <w:r>
        <w:rPr>
          <w:rFonts w:ascii="Times New Roman" w:eastAsia="Times New Roman" w:hAnsi="Times New Roman"/>
          <w:noProof/>
          <w:sz w:val="24"/>
        </w:rPr>
        <w:t>fected;</w:t>
      </w:r>
    </w:p>
    <w:p w:rsidR="00035C91" w:rsidRDefault="00632184">
      <w:pPr>
        <w:numPr>
          <w:ilvl w:val="0"/>
          <w:numId w:val="115"/>
        </w:numPr>
        <w:spacing w:before="0" w:after="240" w:line="300" w:lineRule="atLeast"/>
        <w:contextualSpacing/>
        <w:rPr>
          <w:rFonts w:ascii="Times New Roman" w:eastAsia="Times New Roman" w:hAnsi="Times New Roman"/>
          <w:noProof/>
          <w:sz w:val="24"/>
        </w:rPr>
      </w:pPr>
      <w:r>
        <w:rPr>
          <w:rFonts w:ascii="Times New Roman" w:eastAsia="Times New Roman" w:hAnsi="Times New Roman"/>
          <w:noProof/>
          <w:sz w:val="24"/>
        </w:rPr>
        <w:t>Compliance costs, incl. average compliance costs per business; and</w:t>
      </w:r>
    </w:p>
    <w:p w:rsidR="00035C91" w:rsidRDefault="00632184">
      <w:pPr>
        <w:numPr>
          <w:ilvl w:val="0"/>
          <w:numId w:val="115"/>
        </w:numPr>
        <w:spacing w:before="0" w:after="240" w:line="300" w:lineRule="atLeast"/>
        <w:contextualSpacing/>
        <w:rPr>
          <w:rFonts w:ascii="Times New Roman" w:eastAsia="Times New Roman" w:hAnsi="Times New Roman"/>
          <w:noProof/>
          <w:sz w:val="24"/>
        </w:rPr>
      </w:pPr>
      <w:r>
        <w:rPr>
          <w:rFonts w:ascii="Times New Roman" w:eastAsia="Times New Roman" w:hAnsi="Times New Roman"/>
          <w:noProof/>
          <w:sz w:val="24"/>
        </w:rPr>
        <w:t>Administrative burden, incl. average costs from admin. burden per business.</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The figures are presented per size class of business, i.e. in relation to micro-enterprises, SMEs, large </w:t>
      </w:r>
      <w:r>
        <w:rPr>
          <w:rFonts w:ascii="Times New Roman" w:eastAsia="Times New Roman" w:hAnsi="Times New Roman"/>
          <w:noProof/>
          <w:sz w:val="24"/>
          <w:szCs w:val="20"/>
        </w:rPr>
        <w:t xml:space="preserve">enterprises, as well as for foreign controlled enterprises. </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As a second step, the results are compared against the baseline scenario in the form of charts in order to be able to spot clearly the different impacts of the policy options compared to the base</w:t>
      </w:r>
      <w:r>
        <w:rPr>
          <w:rFonts w:ascii="Times New Roman" w:eastAsia="Times New Roman" w:hAnsi="Times New Roman"/>
          <w:noProof/>
          <w:sz w:val="24"/>
          <w:szCs w:val="20"/>
        </w:rPr>
        <w:t>line scenario.</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A sub-section is devoted to each of the above quantitative indicators. Within each sub-section, different figures are provided in relation to: Micro-enterprises; SMEs; large enterprises; foreign controlled enterprises; and all businesses (i.</w:t>
      </w:r>
      <w:r>
        <w:rPr>
          <w:rFonts w:ascii="Times New Roman" w:eastAsia="Times New Roman" w:hAnsi="Times New Roman"/>
          <w:noProof/>
          <w:sz w:val="24"/>
          <w:szCs w:val="20"/>
        </w:rPr>
        <w:t>e. the sum of the aforementioned).</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In relation to policy option 3, only the “browser solution” has been visualised.</w:t>
      </w: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The number of citizens affected by the ePD under each policy option is not compared with the baseline scenario. The reason for this is that </w:t>
      </w:r>
      <w:r>
        <w:rPr>
          <w:rFonts w:ascii="Times New Roman" w:eastAsia="Times New Roman" w:hAnsi="Times New Roman"/>
          <w:noProof/>
          <w:sz w:val="24"/>
          <w:szCs w:val="20"/>
        </w:rPr>
        <w:t>the policy options have no impact on the number of citizens affected – both are independent from each other. This means that, under each policy option, the number of citizens affected is equal to the baseline scenario.</w:t>
      </w:r>
    </w:p>
    <w:p w:rsidR="00035C91" w:rsidRDefault="00035C91">
      <w:pPr>
        <w:spacing w:before="0" w:after="240"/>
        <w:rPr>
          <w:rFonts w:ascii="Times New Roman" w:eastAsia="Times New Roman" w:hAnsi="Times New Roman"/>
          <w:noProof/>
          <w:sz w:val="24"/>
          <w:szCs w:val="20"/>
        </w:rPr>
      </w:pPr>
    </w:p>
    <w:p w:rsidR="00035C91" w:rsidRDefault="00035C91">
      <w:pPr>
        <w:spacing w:before="0" w:after="240"/>
        <w:rPr>
          <w:rFonts w:ascii="Times New Roman" w:eastAsia="Times New Roman" w:hAnsi="Times New Roman"/>
          <w:noProof/>
          <w:sz w:val="24"/>
          <w:szCs w:val="20"/>
        </w:rPr>
        <w:sectPr w:rsidR="00035C91">
          <w:headerReference w:type="even" r:id="rId33"/>
          <w:headerReference w:type="default" r:id="rId34"/>
          <w:footerReference w:type="even" r:id="rId35"/>
          <w:footerReference w:type="default" r:id="rId36"/>
          <w:headerReference w:type="first" r:id="rId37"/>
          <w:footerReference w:type="first" r:id="rId38"/>
          <w:footnotePr>
            <w:numStart w:val="117"/>
          </w:footnotePr>
          <w:pgSz w:w="11906" w:h="16838"/>
          <w:pgMar w:top="1417" w:right="1417" w:bottom="1417" w:left="1417" w:header="708" w:footer="708" w:gutter="0"/>
          <w:cols w:space="708"/>
          <w:docGrid w:linePitch="360"/>
        </w:sectPr>
      </w:pPr>
    </w:p>
    <w:p w:rsidR="00035C91" w:rsidRDefault="00632184">
      <w:pPr>
        <w:keepNext/>
        <w:spacing w:before="0" w:after="0"/>
        <w:ind w:left="720"/>
        <w:jc w:val="center"/>
        <w:rPr>
          <w:rFonts w:ascii="Times New Roman" w:eastAsia="Times New Roman" w:hAnsi="Times New Roman" w:cs="Arial"/>
          <w:bCs/>
          <w:i/>
          <w:noProof/>
          <w:color w:val="00A3E0"/>
          <w:sz w:val="24"/>
          <w:szCs w:val="20"/>
        </w:rPr>
      </w:pPr>
      <w:bookmarkStart w:id="92" w:name="_Toc465357569"/>
      <w:r>
        <w:rPr>
          <w:rFonts w:ascii="Times New Roman" w:eastAsia="Times New Roman" w:hAnsi="Times New Roman" w:cs="Arial"/>
          <w:bCs/>
          <w:i/>
          <w:noProof/>
          <w:color w:val="00A3E0"/>
          <w:sz w:val="24"/>
          <w:szCs w:val="20"/>
        </w:rPr>
        <w:t xml:space="preserve">Table </w:t>
      </w:r>
      <w:r>
        <w:rPr>
          <w:rFonts w:ascii="Times New Roman" w:eastAsia="Times New Roman" w:hAnsi="Times New Roman" w:cs="Arial"/>
          <w:bCs/>
          <w:i/>
          <w:noProof/>
          <w:color w:val="00A3E0"/>
          <w:sz w:val="24"/>
          <w:szCs w:val="20"/>
        </w:rPr>
        <w:fldChar w:fldCharType="begin"/>
      </w:r>
      <w:r>
        <w:rPr>
          <w:rFonts w:ascii="Times New Roman" w:eastAsia="Times New Roman" w:hAnsi="Times New Roman" w:cs="Arial"/>
          <w:bCs/>
          <w:i/>
          <w:noProof/>
          <w:color w:val="00A3E0"/>
          <w:sz w:val="24"/>
          <w:szCs w:val="20"/>
        </w:rPr>
        <w:instrText xml:space="preserve"> SEQ Table \* ARABIC </w:instrText>
      </w:r>
      <w:r>
        <w:rPr>
          <w:rFonts w:ascii="Times New Roman" w:eastAsia="Times New Roman" w:hAnsi="Times New Roman" w:cs="Arial"/>
          <w:bCs/>
          <w:i/>
          <w:noProof/>
          <w:color w:val="00A3E0"/>
          <w:sz w:val="24"/>
          <w:szCs w:val="20"/>
        </w:rPr>
        <w:fldChar w:fldCharType="separate"/>
      </w:r>
      <w:r>
        <w:rPr>
          <w:rFonts w:ascii="Times New Roman" w:eastAsia="Times New Roman" w:hAnsi="Times New Roman" w:cs="Arial"/>
          <w:bCs/>
          <w:i/>
          <w:noProof/>
          <w:color w:val="00A3E0"/>
          <w:sz w:val="24"/>
          <w:szCs w:val="20"/>
        </w:rPr>
        <w:t>6</w:t>
      </w:r>
      <w:r>
        <w:rPr>
          <w:rFonts w:ascii="Times New Roman" w:eastAsia="Times New Roman" w:hAnsi="Times New Roman" w:cs="Arial"/>
          <w:bCs/>
          <w:i/>
          <w:noProof/>
          <w:color w:val="00A3E0"/>
          <w:sz w:val="24"/>
          <w:szCs w:val="20"/>
        </w:rPr>
        <w:fldChar w:fldCharType="end"/>
      </w:r>
      <w:r>
        <w:rPr>
          <w:rFonts w:ascii="Times New Roman" w:eastAsia="Times New Roman" w:hAnsi="Times New Roman" w:cs="Arial"/>
          <w:bCs/>
          <w:i/>
          <w:noProof/>
          <w:color w:val="00A3E0"/>
          <w:sz w:val="24"/>
          <w:szCs w:val="20"/>
        </w:rPr>
        <w:t xml:space="preserve"> – Key figures of the quantitative assessments concerning businesses (absolute values)</w:t>
      </w:r>
      <w:bookmarkEnd w:id="92"/>
      <w:r>
        <w:rPr>
          <w:rFonts w:ascii="Times New Roman" w:eastAsia="Times New Roman" w:hAnsi="Times New Roman" w:cs="Arial"/>
          <w:bCs/>
          <w:i/>
          <w:noProof/>
          <w:color w:val="00A3E0"/>
          <w:sz w:val="24"/>
          <w:szCs w:val="20"/>
        </w:rPr>
        <w:t xml:space="preserve"> </w:t>
      </w:r>
    </w:p>
    <w:tbl>
      <w:tblPr>
        <w:tblW w:w="15805" w:type="dxa"/>
        <w:tblInd w:w="-714" w:type="dxa"/>
        <w:tblCellMar>
          <w:left w:w="70" w:type="dxa"/>
          <w:right w:w="70" w:type="dxa"/>
        </w:tblCellMar>
        <w:tblLook w:val="04A0" w:firstRow="1" w:lastRow="0" w:firstColumn="1" w:lastColumn="0" w:noHBand="0" w:noVBand="1"/>
      </w:tblPr>
      <w:tblGrid>
        <w:gridCol w:w="2122"/>
        <w:gridCol w:w="1365"/>
        <w:gridCol w:w="1365"/>
        <w:gridCol w:w="1366"/>
        <w:gridCol w:w="1366"/>
        <w:gridCol w:w="1366"/>
        <w:gridCol w:w="1257"/>
        <w:gridCol w:w="1338"/>
        <w:gridCol w:w="1408"/>
        <w:gridCol w:w="1503"/>
        <w:gridCol w:w="1349"/>
      </w:tblGrid>
      <w:tr w:rsidR="00035C91">
        <w:trPr>
          <w:trHeight w:val="284"/>
          <w:tblHeader/>
        </w:trPr>
        <w:tc>
          <w:tcPr>
            <w:tcW w:w="2122" w:type="dxa"/>
            <w:vMerge w:val="restart"/>
            <w:tcBorders>
              <w:top w:val="single" w:sz="4" w:space="0" w:color="auto"/>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Average annual value</w:t>
            </w:r>
          </w:p>
        </w:tc>
        <w:tc>
          <w:tcPr>
            <w:tcW w:w="1365"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REFIT</w:t>
            </w:r>
          </w:p>
        </w:tc>
        <w:tc>
          <w:tcPr>
            <w:tcW w:w="1365"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Today</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Baseline scenario</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Policy</w:t>
            </w:r>
            <w:r>
              <w:rPr>
                <w:rFonts w:ascii="Times New Roman" w:eastAsia="Times New Roman" w:hAnsi="Times New Roman" w:cs="Arial"/>
                <w:b/>
                <w:bCs/>
                <w:noProof/>
                <w:color w:val="FFFFFF"/>
                <w:sz w:val="16"/>
                <w:szCs w:val="16"/>
                <w:lang w:eastAsia="de-DE"/>
              </w:rPr>
              <w:br/>
              <w:t>Option 1</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Policy</w:t>
            </w:r>
            <w:r>
              <w:rPr>
                <w:rFonts w:ascii="Times New Roman" w:eastAsia="Times New Roman" w:hAnsi="Times New Roman" w:cs="Arial"/>
                <w:b/>
                <w:bCs/>
                <w:noProof/>
                <w:color w:val="FFFFFF"/>
                <w:sz w:val="16"/>
                <w:szCs w:val="16"/>
                <w:lang w:eastAsia="de-DE"/>
              </w:rPr>
              <w:br/>
              <w:t>Option 2</w:t>
            </w:r>
          </w:p>
        </w:tc>
        <w:tc>
          <w:tcPr>
            <w:tcW w:w="4003" w:type="dxa"/>
            <w:gridSpan w:val="3"/>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Policy Option 3</w:t>
            </w:r>
            <w:r>
              <w:rPr>
                <w:rFonts w:ascii="Times New Roman" w:eastAsia="Times New Roman" w:hAnsi="Times New Roman" w:cs="Arial"/>
                <w:bCs/>
                <w:noProof/>
                <w:color w:val="FFFFFF"/>
                <w:sz w:val="24"/>
                <w:szCs w:val="16"/>
                <w:vertAlign w:val="superscript"/>
                <w:lang w:eastAsia="de-DE"/>
              </w:rPr>
              <w:footnoteReference w:id="30"/>
            </w:r>
          </w:p>
        </w:tc>
        <w:tc>
          <w:tcPr>
            <w:tcW w:w="1503"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Policy</w:t>
            </w:r>
            <w:r>
              <w:rPr>
                <w:rFonts w:ascii="Times New Roman" w:eastAsia="Times New Roman" w:hAnsi="Times New Roman" w:cs="Arial"/>
                <w:b/>
                <w:bCs/>
                <w:noProof/>
                <w:color w:val="FFFFFF"/>
                <w:sz w:val="16"/>
                <w:szCs w:val="16"/>
                <w:lang w:eastAsia="de-DE"/>
              </w:rPr>
              <w:br/>
            </w:r>
            <w:r>
              <w:rPr>
                <w:rFonts w:ascii="Times New Roman" w:eastAsia="Times New Roman" w:hAnsi="Times New Roman" w:cs="Arial"/>
                <w:b/>
                <w:bCs/>
                <w:noProof/>
                <w:color w:val="FFFFFF"/>
                <w:sz w:val="16"/>
                <w:szCs w:val="16"/>
                <w:lang w:eastAsia="de-DE"/>
              </w:rPr>
              <w:t>Option 4</w:t>
            </w:r>
          </w:p>
        </w:tc>
        <w:tc>
          <w:tcPr>
            <w:tcW w:w="1349"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Policy</w:t>
            </w:r>
            <w:r>
              <w:rPr>
                <w:rFonts w:ascii="Times New Roman" w:eastAsia="Times New Roman" w:hAnsi="Times New Roman" w:cs="Arial"/>
                <w:b/>
                <w:bCs/>
                <w:noProof/>
                <w:color w:val="FFFFFF"/>
                <w:sz w:val="16"/>
                <w:szCs w:val="16"/>
                <w:lang w:eastAsia="de-DE"/>
              </w:rPr>
              <w:br/>
              <w:t>Option 5</w:t>
            </w:r>
          </w:p>
        </w:tc>
      </w:tr>
      <w:tr w:rsidR="00035C91">
        <w:trPr>
          <w:trHeight w:val="375"/>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bCs/>
                <w:noProof/>
                <w:color w:val="FFFFFF"/>
                <w:sz w:val="16"/>
                <w:szCs w:val="16"/>
                <w:lang w:eastAsia="de-DE"/>
              </w:rPr>
            </w:pPr>
          </w:p>
        </w:tc>
        <w:tc>
          <w:tcPr>
            <w:tcW w:w="1365"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(2002-2015)</w:t>
            </w:r>
          </w:p>
        </w:tc>
        <w:tc>
          <w:tcPr>
            <w:tcW w:w="1365"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(2016 snap shot)</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(2016-2030)</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(2016-2030)</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(2016-2030)</w:t>
            </w:r>
          </w:p>
        </w:tc>
        <w:tc>
          <w:tcPr>
            <w:tcW w:w="4003" w:type="dxa"/>
            <w:gridSpan w:val="3"/>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themeColor="background1"/>
                <w:sz w:val="16"/>
                <w:szCs w:val="16"/>
                <w:lang w:eastAsia="de-DE"/>
              </w:rPr>
            </w:pPr>
            <w:r>
              <w:rPr>
                <w:rFonts w:ascii="Times New Roman" w:eastAsia="Times New Roman" w:hAnsi="Times New Roman" w:cs="Arial"/>
                <w:b/>
                <w:bCs/>
                <w:noProof/>
                <w:color w:val="FFFFFF" w:themeColor="background1"/>
                <w:sz w:val="16"/>
                <w:szCs w:val="16"/>
                <w:lang w:eastAsia="de-DE"/>
              </w:rPr>
              <w:t>(2016-2030)</w:t>
            </w:r>
          </w:p>
        </w:tc>
        <w:tc>
          <w:tcPr>
            <w:tcW w:w="1503"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themeColor="background1"/>
                <w:sz w:val="16"/>
                <w:szCs w:val="16"/>
                <w:lang w:eastAsia="de-DE"/>
              </w:rPr>
            </w:pPr>
            <w:r>
              <w:rPr>
                <w:rFonts w:ascii="Times New Roman" w:eastAsia="Times New Roman" w:hAnsi="Times New Roman" w:cs="Arial"/>
                <w:b/>
                <w:bCs/>
                <w:noProof/>
                <w:color w:val="FFFFFF" w:themeColor="background1"/>
                <w:sz w:val="16"/>
                <w:szCs w:val="16"/>
                <w:lang w:eastAsia="de-DE"/>
              </w:rPr>
              <w:t>(2016-2030)</w:t>
            </w:r>
          </w:p>
        </w:tc>
        <w:tc>
          <w:tcPr>
            <w:tcW w:w="1349"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(2016-2030)</w:t>
            </w:r>
          </w:p>
        </w:tc>
      </w:tr>
      <w:tr w:rsidR="00035C91">
        <w:trPr>
          <w:trHeight w:val="209"/>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bCs/>
                <w:noProof/>
                <w:color w:val="FFFFFF"/>
                <w:sz w:val="16"/>
                <w:szCs w:val="16"/>
                <w:lang w:eastAsia="de-DE"/>
              </w:rPr>
            </w:pPr>
          </w:p>
        </w:tc>
        <w:tc>
          <w:tcPr>
            <w:tcW w:w="1365"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bCs/>
                <w:noProof/>
                <w:color w:val="FFFFFF"/>
                <w:sz w:val="16"/>
                <w:szCs w:val="16"/>
                <w:lang w:eastAsia="de-DE"/>
              </w:rPr>
            </w:pPr>
          </w:p>
        </w:tc>
        <w:tc>
          <w:tcPr>
            <w:tcW w:w="1365"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bCs/>
                <w:noProof/>
                <w:color w:val="FFFFFF"/>
                <w:sz w:val="16"/>
                <w:szCs w:val="16"/>
                <w:lang w:eastAsia="de-DE"/>
              </w:rPr>
            </w:pP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bCs/>
                <w:noProof/>
                <w:color w:val="FFFFFF"/>
                <w:sz w:val="16"/>
                <w:szCs w:val="16"/>
                <w:lang w:eastAsia="de-DE"/>
              </w:rPr>
            </w:pP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bCs/>
                <w:noProof/>
                <w:color w:val="FFFFFF"/>
                <w:sz w:val="16"/>
                <w:szCs w:val="16"/>
                <w:lang w:eastAsia="de-DE"/>
              </w:rPr>
            </w:pP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bCs/>
                <w:noProof/>
                <w:color w:val="FFFFFF"/>
                <w:sz w:val="16"/>
                <w:szCs w:val="16"/>
                <w:lang w:eastAsia="de-DE"/>
              </w:rPr>
            </w:pPr>
          </w:p>
        </w:tc>
        <w:tc>
          <w:tcPr>
            <w:tcW w:w="1257" w:type="dxa"/>
            <w:tcBorders>
              <w:top w:val="nil"/>
              <w:left w:val="nil"/>
              <w:bottom w:val="single" w:sz="4" w:space="0" w:color="auto"/>
              <w:right w:val="single" w:sz="4" w:space="0" w:color="auto"/>
            </w:tcBorders>
            <w:shd w:val="clear" w:color="000000" w:fill="00A1DE"/>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“Browser”</w:t>
            </w:r>
          </w:p>
        </w:tc>
        <w:tc>
          <w:tcPr>
            <w:tcW w:w="1338" w:type="dxa"/>
            <w:tcBorders>
              <w:top w:val="nil"/>
              <w:left w:val="nil"/>
              <w:bottom w:val="single" w:sz="4" w:space="0" w:color="auto"/>
              <w:right w:val="single" w:sz="4" w:space="0" w:color="auto"/>
            </w:tcBorders>
            <w:shd w:val="clear" w:color="000000" w:fill="00A1DE"/>
            <w:vAlign w:val="center"/>
            <w:hideMark/>
          </w:tcPr>
          <w:p w:rsidR="00035C91" w:rsidRDefault="00632184">
            <w:pPr>
              <w:spacing w:before="20" w:after="20"/>
              <w:jc w:val="center"/>
              <w:rPr>
                <w:rFonts w:ascii="Times New Roman" w:eastAsia="Times New Roman" w:hAnsi="Times New Roman" w:cs="Arial"/>
                <w:b/>
                <w:bCs/>
                <w:noProof/>
                <w:color w:val="FFFFFF" w:themeColor="background1"/>
                <w:sz w:val="16"/>
                <w:szCs w:val="16"/>
                <w:lang w:eastAsia="de-DE"/>
              </w:rPr>
            </w:pPr>
            <w:r>
              <w:rPr>
                <w:rFonts w:ascii="Times New Roman" w:eastAsia="Times New Roman" w:hAnsi="Times New Roman" w:cs="Arial"/>
                <w:b/>
                <w:bCs/>
                <w:noProof/>
                <w:color w:val="FFFFFF" w:themeColor="background1"/>
                <w:sz w:val="16"/>
                <w:szCs w:val="16"/>
                <w:lang w:eastAsia="de-DE"/>
              </w:rPr>
              <w:t>“Tracking companies”</w:t>
            </w:r>
          </w:p>
        </w:tc>
        <w:tc>
          <w:tcPr>
            <w:tcW w:w="1408" w:type="dxa"/>
            <w:tcBorders>
              <w:top w:val="nil"/>
              <w:left w:val="nil"/>
              <w:bottom w:val="single" w:sz="4" w:space="0" w:color="auto"/>
              <w:right w:val="single" w:sz="4" w:space="0" w:color="auto"/>
            </w:tcBorders>
            <w:shd w:val="clear" w:color="000000" w:fill="00A1DE"/>
            <w:vAlign w:val="center"/>
            <w:hideMark/>
          </w:tcPr>
          <w:p w:rsidR="00035C91" w:rsidRDefault="00632184">
            <w:pPr>
              <w:spacing w:before="20" w:after="20"/>
              <w:jc w:val="center"/>
              <w:rPr>
                <w:rFonts w:ascii="Times New Roman" w:eastAsia="Times New Roman" w:hAnsi="Times New Roman" w:cs="Arial"/>
                <w:b/>
                <w:bCs/>
                <w:noProof/>
                <w:color w:val="FFFFFF" w:themeColor="background1"/>
                <w:sz w:val="16"/>
                <w:szCs w:val="16"/>
                <w:lang w:eastAsia="de-DE"/>
              </w:rPr>
            </w:pPr>
            <w:r>
              <w:rPr>
                <w:rFonts w:ascii="Times New Roman" w:eastAsia="Times New Roman" w:hAnsi="Times New Roman" w:cs="Arial"/>
                <w:b/>
                <w:bCs/>
                <w:noProof/>
                <w:color w:val="FFFFFF" w:themeColor="background1"/>
                <w:sz w:val="16"/>
                <w:szCs w:val="16"/>
                <w:lang w:eastAsia="de-DE"/>
              </w:rPr>
              <w:t>“Publishers”</w:t>
            </w:r>
          </w:p>
        </w:tc>
        <w:tc>
          <w:tcPr>
            <w:tcW w:w="1503"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bCs/>
                <w:noProof/>
                <w:color w:val="FFFFFF" w:themeColor="background1"/>
                <w:sz w:val="16"/>
                <w:szCs w:val="16"/>
                <w:lang w:eastAsia="de-DE"/>
              </w:rPr>
            </w:pPr>
          </w:p>
        </w:tc>
        <w:tc>
          <w:tcPr>
            <w:tcW w:w="1349"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bCs/>
                <w:noProof/>
                <w:color w:val="FFFFFF"/>
                <w:sz w:val="16"/>
                <w:szCs w:val="16"/>
                <w:lang w:eastAsia="de-DE"/>
              </w:rPr>
            </w:pP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Number of businesses affected (in million)</w:t>
            </w:r>
          </w:p>
        </w:tc>
        <w:tc>
          <w:tcPr>
            <w:tcW w:w="1365"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2.84</w:t>
            </w:r>
          </w:p>
        </w:tc>
        <w:tc>
          <w:tcPr>
            <w:tcW w:w="1365"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3.11</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3.70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3.70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3.89</w:t>
            </w:r>
          </w:p>
        </w:tc>
        <w:tc>
          <w:tcPr>
            <w:tcW w:w="1257"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0.19</w:t>
            </w:r>
          </w:p>
        </w:tc>
        <w:tc>
          <w:tcPr>
            <w:tcW w:w="1338"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0.74</w:t>
            </w:r>
          </w:p>
        </w:tc>
        <w:tc>
          <w:tcPr>
            <w:tcW w:w="1408"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2.22</w:t>
            </w:r>
          </w:p>
        </w:tc>
        <w:tc>
          <w:tcPr>
            <w:tcW w:w="1503"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0.37</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Micro-enterprises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2.53</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2.78</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3.31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3.31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3.48</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0.17</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0.663</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1.99</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0.33</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SMEs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0.26</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0.25</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0.26</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0.26</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0.27</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0.052</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0.16</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0.03</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Large enterprises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0.002</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0.001</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Foreign controlled enterprises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0.05</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0.06</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0.12</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0.12</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0.13</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0.024</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0.07</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Compliance costs (in million Euro)</w:t>
            </w:r>
          </w:p>
        </w:tc>
        <w:tc>
          <w:tcPr>
            <w:tcW w:w="1365"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1,861.7 €</w:t>
            </w:r>
          </w:p>
        </w:tc>
        <w:tc>
          <w:tcPr>
            <w:tcW w:w="1365"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1,505.7 €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1,355.4 €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 xml:space="preserve">           1,423.15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1,558.7 €</w:t>
            </w:r>
          </w:p>
        </w:tc>
        <w:tc>
          <w:tcPr>
            <w:tcW w:w="1257"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406.6 €</w:t>
            </w:r>
          </w:p>
        </w:tc>
        <w:tc>
          <w:tcPr>
            <w:tcW w:w="1338"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542.152</w:t>
            </w:r>
          </w:p>
        </w:tc>
        <w:tc>
          <w:tcPr>
            <w:tcW w:w="1408"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1,287.6 €</w:t>
            </w:r>
          </w:p>
        </w:tc>
        <w:tc>
          <w:tcPr>
            <w:tcW w:w="1503"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1,287.6 €</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Micro-enterprises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1,655.8 €</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1,349.0 €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1,213.0 €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1,273.6 €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1,394.9 €</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363.9 €</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485.188</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1,152.3 €</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1,152.3 €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SMEs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169.8 €</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122.2 €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97.0 €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101.9 €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111.6 €</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29.1 €</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38.808</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92.2 €</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92.2 €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Large enterprises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5.6 €</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4.2 €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3.3 €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3.5 €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3.8 €</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1.0 €</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1.332</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3.2 €</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3.2 €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Foreign controlled enterprises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30.5 €</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30.3</w:t>
            </w:r>
            <w:r>
              <w:rPr>
                <w:rFonts w:ascii="Times New Roman" w:eastAsia="Times New Roman" w:hAnsi="Times New Roman" w:cs="Arial"/>
                <w:noProof/>
                <w:sz w:val="16"/>
                <w:szCs w:val="16"/>
              </w:rPr>
              <w:t xml:space="preserve">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42.1 €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44.2 €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48.4 €</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12.6 €</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16.823</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40.0 €</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40.0 €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Average compliance cost per business (in Euro)</w:t>
            </w:r>
          </w:p>
        </w:tc>
        <w:tc>
          <w:tcPr>
            <w:tcW w:w="1365"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658.4 €</w:t>
            </w:r>
          </w:p>
        </w:tc>
        <w:tc>
          <w:tcPr>
            <w:tcW w:w="1365"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484.5 €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373.5 €</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392.2 €</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409.1 €</w:t>
            </w:r>
          </w:p>
        </w:tc>
        <w:tc>
          <w:tcPr>
            <w:tcW w:w="1257"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2,240.9 €</w:t>
            </w:r>
          </w:p>
        </w:tc>
        <w:tc>
          <w:tcPr>
            <w:tcW w:w="1338"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746.978</w:t>
            </w:r>
          </w:p>
        </w:tc>
        <w:tc>
          <w:tcPr>
            <w:tcW w:w="1408"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591.4 €</w:t>
            </w:r>
          </w:p>
        </w:tc>
        <w:tc>
          <w:tcPr>
            <w:tcW w:w="1503"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3,548.1 €</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Administrative burden (in million Euro)</w:t>
            </w:r>
          </w:p>
        </w:tc>
        <w:tc>
          <w:tcPr>
            <w:tcW w:w="1365"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0.28 €</w:t>
            </w:r>
          </w:p>
        </w:tc>
        <w:tc>
          <w:tcPr>
            <w:tcW w:w="1365"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0.23 €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0.23 €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0.23 €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0.21 €</w:t>
            </w:r>
          </w:p>
        </w:tc>
        <w:tc>
          <w:tcPr>
            <w:tcW w:w="1257"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0.208 €</w:t>
            </w:r>
          </w:p>
        </w:tc>
        <w:tc>
          <w:tcPr>
            <w:tcW w:w="1338"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0.226 €</w:t>
            </w:r>
          </w:p>
        </w:tc>
        <w:tc>
          <w:tcPr>
            <w:tcW w:w="1408"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0.23 €</w:t>
            </w:r>
          </w:p>
        </w:tc>
        <w:tc>
          <w:tcPr>
            <w:tcW w:w="1503"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0.22 €</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Micro-enterprises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0.23 €</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0.19 €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0.18 €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0.18 €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0.16 €</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0.163 €</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0.178 €</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0.18 €</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0.18 €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SMEs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0.03 €</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0.03 €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0.03 €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0.03 €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0.03 €</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0.031 €</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0.033 €</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0.03 €</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0.03 €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Large enterprises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0.00 €</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0.00 €</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0.002 €</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0.002 €</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0.00 €</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 Foreign controlled enterprises</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0.02 €</w:t>
            </w:r>
          </w:p>
        </w:tc>
        <w:tc>
          <w:tcPr>
            <w:tcW w:w="1365"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0.01 €</w:t>
            </w:r>
          </w:p>
        </w:tc>
        <w:tc>
          <w:tcPr>
            <w:tcW w:w="1257"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0.013 €</w:t>
            </w:r>
          </w:p>
        </w:tc>
        <w:tc>
          <w:tcPr>
            <w:tcW w:w="133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0.014 €</w:t>
            </w:r>
          </w:p>
        </w:tc>
        <w:tc>
          <w:tcPr>
            <w:tcW w:w="1408"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0.01 €</w:t>
            </w:r>
          </w:p>
        </w:tc>
        <w:tc>
          <w:tcPr>
            <w:tcW w:w="1503"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0.01 €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Average costs from admin. burden per business (in Euro)</w:t>
            </w:r>
          </w:p>
        </w:tc>
        <w:tc>
          <w:tcPr>
            <w:tcW w:w="1365"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48.9 €</w:t>
            </w:r>
          </w:p>
        </w:tc>
        <w:tc>
          <w:tcPr>
            <w:tcW w:w="1365"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36.0 €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27.8 €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28.0 €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23.8 €</w:t>
            </w:r>
          </w:p>
        </w:tc>
        <w:tc>
          <w:tcPr>
            <w:tcW w:w="1257"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499.5 €</w:t>
            </w:r>
          </w:p>
        </w:tc>
        <w:tc>
          <w:tcPr>
            <w:tcW w:w="1338"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135.982 €</w:t>
            </w:r>
          </w:p>
        </w:tc>
        <w:tc>
          <w:tcPr>
            <w:tcW w:w="1408"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rPr>
              <w:t>45.33 €</w:t>
            </w:r>
          </w:p>
        </w:tc>
        <w:tc>
          <w:tcPr>
            <w:tcW w:w="1503"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269.2 €</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0.0 €</w:t>
            </w:r>
          </w:p>
        </w:tc>
      </w:tr>
    </w:tbl>
    <w:p w:rsidR="00035C91" w:rsidRDefault="00632184">
      <w:pPr>
        <w:spacing w:before="0" w:after="240"/>
        <w:rPr>
          <w:rFonts w:ascii="Times New Roman" w:eastAsia="Times New Roman" w:hAnsi="Times New Roman"/>
          <w:i/>
          <w:noProof/>
          <w:sz w:val="16"/>
          <w:szCs w:val="20"/>
        </w:rPr>
      </w:pPr>
      <w:r>
        <w:rPr>
          <w:rFonts w:ascii="Times New Roman" w:eastAsia="Times New Roman" w:hAnsi="Times New Roman"/>
          <w:i/>
          <w:noProof/>
          <w:sz w:val="16"/>
          <w:szCs w:val="20"/>
        </w:rPr>
        <w:t>Source: Deloitte</w:t>
      </w:r>
    </w:p>
    <w:p w:rsidR="00035C91" w:rsidRDefault="00632184">
      <w:pPr>
        <w:keepNext/>
        <w:spacing w:before="0" w:after="0"/>
        <w:ind w:left="720"/>
        <w:jc w:val="center"/>
        <w:rPr>
          <w:rFonts w:ascii="Times New Roman" w:eastAsia="Times New Roman" w:hAnsi="Times New Roman" w:cs="Arial"/>
          <w:bCs/>
          <w:i/>
          <w:noProof/>
          <w:color w:val="00A3E0"/>
          <w:sz w:val="24"/>
          <w:szCs w:val="20"/>
        </w:rPr>
      </w:pPr>
      <w:bookmarkStart w:id="93" w:name="_Toc465357570"/>
      <w:r>
        <w:rPr>
          <w:rFonts w:ascii="Times New Roman" w:eastAsia="Times New Roman" w:hAnsi="Times New Roman" w:cs="Arial"/>
          <w:bCs/>
          <w:i/>
          <w:noProof/>
          <w:color w:val="00A3E0"/>
          <w:sz w:val="24"/>
          <w:szCs w:val="20"/>
        </w:rPr>
        <w:t xml:space="preserve">Table </w:t>
      </w:r>
      <w:r>
        <w:rPr>
          <w:rFonts w:ascii="Times New Roman" w:eastAsia="Times New Roman" w:hAnsi="Times New Roman" w:cs="Arial"/>
          <w:bCs/>
          <w:i/>
          <w:noProof/>
          <w:color w:val="00A3E0"/>
          <w:sz w:val="24"/>
          <w:szCs w:val="20"/>
        </w:rPr>
        <w:fldChar w:fldCharType="begin"/>
      </w:r>
      <w:r>
        <w:rPr>
          <w:rFonts w:ascii="Times New Roman" w:eastAsia="Times New Roman" w:hAnsi="Times New Roman" w:cs="Arial"/>
          <w:bCs/>
          <w:i/>
          <w:noProof/>
          <w:color w:val="00A3E0"/>
          <w:sz w:val="24"/>
          <w:szCs w:val="20"/>
        </w:rPr>
        <w:instrText xml:space="preserve"> SEQ Table \* ARABIC </w:instrText>
      </w:r>
      <w:r>
        <w:rPr>
          <w:rFonts w:ascii="Times New Roman" w:eastAsia="Times New Roman" w:hAnsi="Times New Roman" w:cs="Arial"/>
          <w:bCs/>
          <w:i/>
          <w:noProof/>
          <w:color w:val="00A3E0"/>
          <w:sz w:val="24"/>
          <w:szCs w:val="20"/>
        </w:rPr>
        <w:fldChar w:fldCharType="separate"/>
      </w:r>
      <w:r>
        <w:rPr>
          <w:rFonts w:ascii="Times New Roman" w:eastAsia="Times New Roman" w:hAnsi="Times New Roman" w:cs="Arial"/>
          <w:bCs/>
          <w:i/>
          <w:noProof/>
          <w:color w:val="00A3E0"/>
          <w:sz w:val="24"/>
          <w:szCs w:val="20"/>
        </w:rPr>
        <w:t>7</w:t>
      </w:r>
      <w:r>
        <w:rPr>
          <w:rFonts w:ascii="Times New Roman" w:eastAsia="Times New Roman" w:hAnsi="Times New Roman" w:cs="Arial"/>
          <w:bCs/>
          <w:i/>
          <w:noProof/>
          <w:color w:val="00A3E0"/>
          <w:sz w:val="24"/>
          <w:szCs w:val="20"/>
        </w:rPr>
        <w:fldChar w:fldCharType="end"/>
      </w:r>
      <w:r>
        <w:rPr>
          <w:rFonts w:ascii="Times New Roman" w:eastAsia="Times New Roman" w:hAnsi="Times New Roman" w:cs="Arial"/>
          <w:bCs/>
          <w:i/>
          <w:noProof/>
          <w:color w:val="00A3E0"/>
          <w:sz w:val="24"/>
          <w:szCs w:val="20"/>
        </w:rPr>
        <w:t xml:space="preserve"> – Key figures of the quantitative assessments concerning businesses (absolute changes)</w:t>
      </w:r>
      <w:bookmarkEnd w:id="93"/>
      <w:r>
        <w:rPr>
          <w:rFonts w:ascii="Times New Roman" w:eastAsia="Times New Roman" w:hAnsi="Times New Roman" w:cs="Arial"/>
          <w:bCs/>
          <w:i/>
          <w:noProof/>
          <w:color w:val="00A3E0"/>
          <w:sz w:val="24"/>
          <w:szCs w:val="20"/>
        </w:rPr>
        <w:t xml:space="preserve"> </w:t>
      </w:r>
    </w:p>
    <w:tbl>
      <w:tblPr>
        <w:tblW w:w="15763" w:type="dxa"/>
        <w:tblInd w:w="-714" w:type="dxa"/>
        <w:tblCellMar>
          <w:left w:w="70" w:type="dxa"/>
          <w:right w:w="70" w:type="dxa"/>
        </w:tblCellMar>
        <w:tblLook w:val="04A0" w:firstRow="1" w:lastRow="0" w:firstColumn="1" w:lastColumn="0" w:noHBand="0" w:noVBand="1"/>
      </w:tblPr>
      <w:tblGrid>
        <w:gridCol w:w="2122"/>
        <w:gridCol w:w="1365"/>
        <w:gridCol w:w="1365"/>
        <w:gridCol w:w="1366"/>
        <w:gridCol w:w="1366"/>
        <w:gridCol w:w="1366"/>
        <w:gridCol w:w="1366"/>
        <w:gridCol w:w="1366"/>
        <w:gridCol w:w="1366"/>
        <w:gridCol w:w="1366"/>
        <w:gridCol w:w="1349"/>
      </w:tblGrid>
      <w:tr w:rsidR="00035C91">
        <w:trPr>
          <w:trHeight w:val="190"/>
          <w:tblHeader/>
        </w:trPr>
        <w:tc>
          <w:tcPr>
            <w:tcW w:w="2122" w:type="dxa"/>
            <w:vMerge w:val="restart"/>
            <w:tcBorders>
              <w:top w:val="single" w:sz="4" w:space="0" w:color="auto"/>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 xml:space="preserve">Absolute changes of the average annual value compared to the REFIT / baseline </w:t>
            </w:r>
            <w:r>
              <w:rPr>
                <w:rFonts w:ascii="Times New Roman" w:eastAsia="Times New Roman" w:hAnsi="Times New Roman" w:cs="Arial"/>
                <w:b/>
                <w:bCs/>
                <w:noProof/>
                <w:color w:val="FFFFFF"/>
                <w:sz w:val="16"/>
                <w:szCs w:val="16"/>
                <w:lang w:eastAsia="de-DE"/>
              </w:rPr>
              <w:t>scenario</w:t>
            </w:r>
          </w:p>
        </w:tc>
        <w:tc>
          <w:tcPr>
            <w:tcW w:w="1365"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REFIT</w:t>
            </w:r>
          </w:p>
        </w:tc>
        <w:tc>
          <w:tcPr>
            <w:tcW w:w="1365"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Today</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Baseline scenario</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Policy</w:t>
            </w:r>
            <w:r>
              <w:rPr>
                <w:rFonts w:ascii="Times New Roman" w:eastAsia="Times New Roman" w:hAnsi="Times New Roman" w:cs="Arial"/>
                <w:b/>
                <w:noProof/>
                <w:color w:val="FFFFFF"/>
                <w:sz w:val="16"/>
                <w:szCs w:val="16"/>
              </w:rPr>
              <w:br/>
              <w:t>Option 1</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Policy</w:t>
            </w:r>
            <w:r>
              <w:rPr>
                <w:rFonts w:ascii="Times New Roman" w:eastAsia="Times New Roman" w:hAnsi="Times New Roman" w:cs="Arial"/>
                <w:b/>
                <w:noProof/>
                <w:color w:val="FFFFFF"/>
                <w:sz w:val="16"/>
                <w:szCs w:val="16"/>
              </w:rPr>
              <w:br/>
              <w:t>Option 2</w:t>
            </w:r>
          </w:p>
        </w:tc>
        <w:tc>
          <w:tcPr>
            <w:tcW w:w="4098" w:type="dxa"/>
            <w:gridSpan w:val="3"/>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Policy</w:t>
            </w:r>
            <w:r>
              <w:rPr>
                <w:rFonts w:ascii="Times New Roman" w:eastAsia="Times New Roman" w:hAnsi="Times New Roman" w:cs="Arial"/>
                <w:b/>
                <w:noProof/>
                <w:color w:val="FFFFFF"/>
                <w:sz w:val="16"/>
                <w:szCs w:val="16"/>
              </w:rPr>
              <w:br/>
              <w:t>Option 3</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Policy</w:t>
            </w:r>
            <w:r>
              <w:rPr>
                <w:rFonts w:ascii="Times New Roman" w:eastAsia="Times New Roman" w:hAnsi="Times New Roman" w:cs="Arial"/>
                <w:b/>
                <w:noProof/>
                <w:color w:val="FFFFFF"/>
                <w:sz w:val="16"/>
                <w:szCs w:val="16"/>
              </w:rPr>
              <w:br/>
              <w:t>Option 4</w:t>
            </w:r>
          </w:p>
        </w:tc>
        <w:tc>
          <w:tcPr>
            <w:tcW w:w="1349"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Policy</w:t>
            </w:r>
            <w:r>
              <w:rPr>
                <w:rFonts w:ascii="Times New Roman" w:eastAsia="Times New Roman" w:hAnsi="Times New Roman" w:cs="Arial"/>
                <w:b/>
                <w:noProof/>
                <w:color w:val="FFFFFF"/>
                <w:sz w:val="16"/>
                <w:szCs w:val="16"/>
              </w:rPr>
              <w:br/>
              <w:t>Option 5</w:t>
            </w:r>
          </w:p>
        </w:tc>
      </w:tr>
      <w:tr w:rsidR="00035C91">
        <w:trPr>
          <w:trHeight w:val="223"/>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5"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(2002-2015)</w:t>
            </w:r>
          </w:p>
        </w:tc>
        <w:tc>
          <w:tcPr>
            <w:tcW w:w="1365"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 snap shot)</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c>
          <w:tcPr>
            <w:tcW w:w="4098" w:type="dxa"/>
            <w:gridSpan w:val="3"/>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c>
          <w:tcPr>
            <w:tcW w:w="1349"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r>
      <w:tr w:rsidR="00035C91">
        <w:trPr>
          <w:trHeight w:val="128"/>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5"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5"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6" w:type="dxa"/>
            <w:tcBorders>
              <w:top w:val="nil"/>
              <w:left w:val="nil"/>
              <w:bottom w:val="single" w:sz="4" w:space="0" w:color="auto"/>
              <w:right w:val="single" w:sz="4" w:space="0" w:color="auto"/>
            </w:tcBorders>
            <w:shd w:val="clear" w:color="000000" w:fill="00A1DE"/>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“Browser”</w:t>
            </w:r>
          </w:p>
        </w:tc>
        <w:tc>
          <w:tcPr>
            <w:tcW w:w="1366" w:type="dxa"/>
            <w:tcBorders>
              <w:top w:val="nil"/>
              <w:left w:val="nil"/>
              <w:bottom w:val="single" w:sz="4" w:space="0" w:color="auto"/>
              <w:right w:val="single" w:sz="4" w:space="0" w:color="auto"/>
            </w:tcBorders>
            <w:shd w:val="clear" w:color="000000" w:fill="00A1DE"/>
            <w:vAlign w:val="center"/>
            <w:hideMark/>
          </w:tcPr>
          <w:p w:rsidR="00035C91" w:rsidRDefault="00632184">
            <w:pPr>
              <w:spacing w:before="20" w:after="20"/>
              <w:jc w:val="center"/>
              <w:rPr>
                <w:rFonts w:ascii="Times New Roman" w:eastAsia="Times New Roman" w:hAnsi="Times New Roman" w:cs="Arial"/>
                <w:b/>
                <w:bCs/>
                <w:noProof/>
                <w:color w:val="FFFFFF" w:themeColor="background1"/>
                <w:sz w:val="16"/>
                <w:szCs w:val="16"/>
                <w:lang w:eastAsia="de-DE"/>
              </w:rPr>
            </w:pPr>
            <w:r>
              <w:rPr>
                <w:rFonts w:ascii="Times New Roman" w:eastAsia="Times New Roman" w:hAnsi="Times New Roman" w:cs="Arial"/>
                <w:b/>
                <w:bCs/>
                <w:noProof/>
                <w:color w:val="FFFFFF" w:themeColor="background1"/>
                <w:sz w:val="16"/>
                <w:szCs w:val="16"/>
                <w:lang w:eastAsia="de-DE"/>
              </w:rPr>
              <w:t xml:space="preserve">“Tracking </w:t>
            </w:r>
            <w:r>
              <w:rPr>
                <w:rFonts w:ascii="Times New Roman" w:eastAsia="Times New Roman" w:hAnsi="Times New Roman" w:cs="Arial"/>
                <w:b/>
                <w:bCs/>
                <w:noProof/>
                <w:color w:val="FFFFFF" w:themeColor="background1"/>
                <w:sz w:val="16"/>
                <w:szCs w:val="16"/>
                <w:lang w:eastAsia="de-DE"/>
              </w:rPr>
              <w:t>companies”</w:t>
            </w:r>
          </w:p>
        </w:tc>
        <w:tc>
          <w:tcPr>
            <w:tcW w:w="1366" w:type="dxa"/>
            <w:tcBorders>
              <w:top w:val="nil"/>
              <w:left w:val="nil"/>
              <w:bottom w:val="single" w:sz="4" w:space="0" w:color="auto"/>
              <w:right w:val="single" w:sz="4" w:space="0" w:color="auto"/>
            </w:tcBorders>
            <w:shd w:val="clear" w:color="000000" w:fill="00A1DE"/>
            <w:vAlign w:val="center"/>
            <w:hideMark/>
          </w:tcPr>
          <w:p w:rsidR="00035C91" w:rsidRDefault="00632184">
            <w:pPr>
              <w:spacing w:before="20" w:after="20"/>
              <w:jc w:val="center"/>
              <w:rPr>
                <w:rFonts w:ascii="Times New Roman" w:eastAsia="Times New Roman" w:hAnsi="Times New Roman" w:cs="Arial"/>
                <w:b/>
                <w:bCs/>
                <w:noProof/>
                <w:color w:val="FFFFFF" w:themeColor="background1"/>
                <w:sz w:val="16"/>
                <w:szCs w:val="16"/>
                <w:lang w:eastAsia="de-DE"/>
              </w:rPr>
            </w:pPr>
            <w:r>
              <w:rPr>
                <w:rFonts w:ascii="Times New Roman" w:eastAsia="Times New Roman" w:hAnsi="Times New Roman" w:cs="Arial"/>
                <w:b/>
                <w:bCs/>
                <w:noProof/>
                <w:color w:val="FFFFFF" w:themeColor="background1"/>
                <w:sz w:val="16"/>
                <w:szCs w:val="16"/>
                <w:lang w:eastAsia="de-DE"/>
              </w:rPr>
              <w:t>“Publishers”</w:t>
            </w: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49"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Number of businesses affected (in million)</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n/a </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n/a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0.86</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0.19</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-3.52</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-2.96</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-1.48</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-3.33</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-3.70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Micro-enterprises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n/a </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n/a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0.78</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0.17</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-3.15</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-2.65</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-1.33</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-2.98</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-3.31</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SMEs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-0.25</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-0.21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-0.10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-0.24</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-0.26</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Large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 </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-0.01</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-0.01</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Foreign controlled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 </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0.07</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-0.12</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-0.10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-0.05</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-0.11</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-0.12</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Compliance costs (in million Euro)</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-506.3 €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67.8 €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203.3 €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-948.8 €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-813.2 </w:t>
            </w:r>
            <w:r>
              <w:rPr>
                <w:rFonts w:ascii="Times New Roman" w:eastAsia="Times New Roman" w:hAnsi="Times New Roman" w:cs="Arial"/>
                <w:noProof/>
                <w:sz w:val="16"/>
                <w:szCs w:val="16"/>
              </w:rPr>
              <w:t>€</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-67.8 €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-67.8 €</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-1,355.4 €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Micro-enterprises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-442.8 €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60.6 €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181.9 €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-849.1 €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-727.8 €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-60.6 €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-60.6 €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-1,213.0 €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SMEs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-72.8 €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4.9 €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14.6 €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-67.9 €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-58.2 €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-4.9 €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-4.9 €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-97.0 €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Large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-2.3 €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0.2 €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0.5 €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-2.3 €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-0.2 €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-0.2 €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-3.3 €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Foreign controlled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11.6 €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6.3 €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-29.4 €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-25.2 €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-2.1 €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-42.1 €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Average compliance cost per business (in Euro)</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val="de-DE"/>
              </w:rPr>
            </w:pPr>
            <w:r>
              <w:rPr>
                <w:rFonts w:ascii="Times New Roman" w:eastAsia="Times New Roman" w:hAnsi="Times New Roman" w:cs="Arial"/>
                <w:noProof/>
                <w:sz w:val="16"/>
                <w:szCs w:val="16"/>
              </w:rPr>
              <w:t>-284.9 €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18.7 €</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35.6 €</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1,867.4 €</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373.5 €</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217.9 €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3,174.7 €</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val="de-DE"/>
              </w:rPr>
            </w:pPr>
            <w:r>
              <w:rPr>
                <w:rFonts w:ascii="Times New Roman" w:eastAsia="Times New Roman" w:hAnsi="Times New Roman" w:cs="Arial"/>
                <w:noProof/>
                <w:sz w:val="16"/>
                <w:szCs w:val="16"/>
              </w:rPr>
              <w:t>-373.5 €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Administrative burden (in million Euro)</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val="de-DE"/>
              </w:rPr>
            </w:pPr>
            <w:r>
              <w:rPr>
                <w:rFonts w:ascii="Times New Roman" w:eastAsia="Times New Roman" w:hAnsi="Times New Roman" w:cs="Arial"/>
                <w:noProof/>
                <w:sz w:val="16"/>
                <w:szCs w:val="16"/>
              </w:rPr>
              <w:t>-0.04 €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0.002 €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-0.02 €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-0.023 €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-0.005 €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-0.005 €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-0.007 €</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-0.23 €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Micro-enterprises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-0.05 €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0.002 €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-0.02 €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-0.018 €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-0.003 €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-0.004 €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-0.006 €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-0.18 €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SMEs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-0.003 €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-0.001 €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-0.03 €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Large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0.000 €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Foreign controlled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-0.001 €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0.000 €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0.000 €</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-0.01 €</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 xml:space="preserve">Average costs from admin. </w:t>
            </w:r>
            <w:r>
              <w:rPr>
                <w:rFonts w:ascii="Times New Roman" w:eastAsia="Times New Roman" w:hAnsi="Times New Roman" w:cs="Arial"/>
                <w:noProof/>
                <w:sz w:val="16"/>
                <w:szCs w:val="16"/>
                <w:lang w:eastAsia="de-DE"/>
              </w:rPr>
              <w:t>burden per business (in Euro)</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val="de-DE"/>
              </w:rPr>
            </w:pPr>
            <w:r>
              <w:rPr>
                <w:rFonts w:ascii="Times New Roman" w:eastAsia="Times New Roman" w:hAnsi="Times New Roman" w:cs="Arial"/>
                <w:noProof/>
                <w:sz w:val="16"/>
                <w:szCs w:val="16"/>
              </w:rPr>
              <w:t>-21.2 €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0.278 €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-4.0 €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471.8 €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108.2 €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17.6 €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241.4 €</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-27.8 €</w:t>
            </w:r>
          </w:p>
        </w:tc>
      </w:tr>
    </w:tbl>
    <w:p w:rsidR="00035C91" w:rsidRDefault="00632184">
      <w:pPr>
        <w:spacing w:before="0" w:after="240"/>
        <w:rPr>
          <w:rFonts w:ascii="Times New Roman" w:eastAsia="Times New Roman" w:hAnsi="Times New Roman"/>
          <w:i/>
          <w:noProof/>
          <w:sz w:val="16"/>
          <w:szCs w:val="20"/>
        </w:rPr>
      </w:pPr>
      <w:r>
        <w:rPr>
          <w:rFonts w:ascii="Times New Roman" w:eastAsia="Times New Roman" w:hAnsi="Times New Roman"/>
          <w:i/>
          <w:noProof/>
          <w:sz w:val="16"/>
          <w:szCs w:val="20"/>
        </w:rPr>
        <w:t>Source: Deloitte</w:t>
      </w:r>
    </w:p>
    <w:p w:rsidR="00035C91" w:rsidRDefault="00632184">
      <w:pPr>
        <w:keepNext/>
        <w:spacing w:before="0" w:after="0"/>
        <w:ind w:left="720"/>
        <w:jc w:val="center"/>
        <w:rPr>
          <w:rFonts w:ascii="Times New Roman" w:eastAsia="Times New Roman" w:hAnsi="Times New Roman" w:cs="Arial"/>
          <w:bCs/>
          <w:i/>
          <w:noProof/>
          <w:color w:val="00A3E0"/>
          <w:sz w:val="24"/>
          <w:szCs w:val="20"/>
        </w:rPr>
      </w:pPr>
      <w:r>
        <w:rPr>
          <w:rFonts w:ascii="Times New Roman" w:eastAsia="Times New Roman" w:hAnsi="Times New Roman" w:cs="Arial"/>
          <w:bCs/>
          <w:i/>
          <w:noProof/>
          <w:color w:val="00A3E0"/>
          <w:sz w:val="24"/>
          <w:szCs w:val="20"/>
        </w:rPr>
        <w:t xml:space="preserve">Table </w:t>
      </w:r>
      <w:r>
        <w:rPr>
          <w:rFonts w:ascii="Times New Roman" w:eastAsia="Times New Roman" w:hAnsi="Times New Roman" w:cs="Arial"/>
          <w:bCs/>
          <w:i/>
          <w:noProof/>
          <w:color w:val="00A3E0"/>
          <w:sz w:val="24"/>
          <w:szCs w:val="20"/>
        </w:rPr>
        <w:fldChar w:fldCharType="begin"/>
      </w:r>
      <w:r>
        <w:rPr>
          <w:rFonts w:ascii="Times New Roman" w:eastAsia="Times New Roman" w:hAnsi="Times New Roman" w:cs="Arial"/>
          <w:bCs/>
          <w:i/>
          <w:noProof/>
          <w:color w:val="00A3E0"/>
          <w:sz w:val="24"/>
          <w:szCs w:val="20"/>
        </w:rPr>
        <w:instrText xml:space="preserve"> SEQ Table \* ARABIC </w:instrText>
      </w:r>
      <w:r>
        <w:rPr>
          <w:rFonts w:ascii="Times New Roman" w:eastAsia="Times New Roman" w:hAnsi="Times New Roman" w:cs="Arial"/>
          <w:bCs/>
          <w:i/>
          <w:noProof/>
          <w:color w:val="00A3E0"/>
          <w:sz w:val="24"/>
          <w:szCs w:val="20"/>
        </w:rPr>
        <w:fldChar w:fldCharType="separate"/>
      </w:r>
      <w:r>
        <w:rPr>
          <w:rFonts w:ascii="Times New Roman" w:eastAsia="Times New Roman" w:hAnsi="Times New Roman" w:cs="Arial"/>
          <w:bCs/>
          <w:i/>
          <w:noProof/>
          <w:color w:val="00A3E0"/>
          <w:sz w:val="24"/>
          <w:szCs w:val="20"/>
        </w:rPr>
        <w:t>8</w:t>
      </w:r>
      <w:r>
        <w:rPr>
          <w:rFonts w:ascii="Times New Roman" w:eastAsia="Times New Roman" w:hAnsi="Times New Roman" w:cs="Arial"/>
          <w:bCs/>
          <w:i/>
          <w:noProof/>
          <w:color w:val="00A3E0"/>
          <w:sz w:val="24"/>
          <w:szCs w:val="20"/>
        </w:rPr>
        <w:fldChar w:fldCharType="end"/>
      </w:r>
      <w:r>
        <w:rPr>
          <w:rFonts w:ascii="Times New Roman" w:eastAsia="Times New Roman" w:hAnsi="Times New Roman" w:cs="Arial"/>
          <w:bCs/>
          <w:i/>
          <w:noProof/>
          <w:color w:val="00A3E0"/>
          <w:sz w:val="24"/>
          <w:szCs w:val="20"/>
        </w:rPr>
        <w:t xml:space="preserve"> – Key figures of the quantitative assessments concerning businesses (relative changes)</w:t>
      </w:r>
    </w:p>
    <w:tbl>
      <w:tblPr>
        <w:tblW w:w="15763" w:type="dxa"/>
        <w:tblInd w:w="-714" w:type="dxa"/>
        <w:tblCellMar>
          <w:left w:w="70" w:type="dxa"/>
          <w:right w:w="70" w:type="dxa"/>
        </w:tblCellMar>
        <w:tblLook w:val="04A0" w:firstRow="1" w:lastRow="0" w:firstColumn="1" w:lastColumn="0" w:noHBand="0" w:noVBand="1"/>
      </w:tblPr>
      <w:tblGrid>
        <w:gridCol w:w="2122"/>
        <w:gridCol w:w="1365"/>
        <w:gridCol w:w="1365"/>
        <w:gridCol w:w="1366"/>
        <w:gridCol w:w="1366"/>
        <w:gridCol w:w="1366"/>
        <w:gridCol w:w="1366"/>
        <w:gridCol w:w="1366"/>
        <w:gridCol w:w="1366"/>
        <w:gridCol w:w="1366"/>
        <w:gridCol w:w="1349"/>
      </w:tblGrid>
      <w:tr w:rsidR="00035C91">
        <w:trPr>
          <w:trHeight w:val="496"/>
          <w:tblHeader/>
        </w:trPr>
        <w:tc>
          <w:tcPr>
            <w:tcW w:w="2122" w:type="dxa"/>
            <w:vMerge w:val="restart"/>
            <w:tcBorders>
              <w:top w:val="single" w:sz="4" w:space="0" w:color="auto"/>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Relative changes of</w:t>
            </w:r>
            <w:r>
              <w:rPr>
                <w:rFonts w:ascii="Times New Roman" w:eastAsia="Times New Roman" w:hAnsi="Times New Roman" w:cs="Arial"/>
                <w:b/>
                <w:bCs/>
                <w:noProof/>
                <w:color w:val="FFFFFF"/>
                <w:sz w:val="16"/>
                <w:szCs w:val="16"/>
                <w:lang w:eastAsia="de-DE"/>
              </w:rPr>
              <w:t xml:space="preserve"> the average annual value compared to the REFIT / baseline scenario</w:t>
            </w:r>
          </w:p>
        </w:tc>
        <w:tc>
          <w:tcPr>
            <w:tcW w:w="1365"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REFIT</w:t>
            </w:r>
          </w:p>
        </w:tc>
        <w:tc>
          <w:tcPr>
            <w:tcW w:w="1365"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Today</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Baseline scenario</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Policy</w:t>
            </w:r>
            <w:r>
              <w:rPr>
                <w:rFonts w:ascii="Times New Roman" w:eastAsia="Times New Roman" w:hAnsi="Times New Roman" w:cs="Arial"/>
                <w:b/>
                <w:noProof/>
                <w:color w:val="FFFFFF"/>
                <w:sz w:val="16"/>
                <w:szCs w:val="16"/>
              </w:rPr>
              <w:br/>
              <w:t>Option 1</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Policy</w:t>
            </w:r>
            <w:r>
              <w:rPr>
                <w:rFonts w:ascii="Times New Roman" w:eastAsia="Times New Roman" w:hAnsi="Times New Roman" w:cs="Arial"/>
                <w:b/>
                <w:noProof/>
                <w:color w:val="FFFFFF"/>
                <w:sz w:val="16"/>
                <w:szCs w:val="16"/>
              </w:rPr>
              <w:br/>
              <w:t>Option 2</w:t>
            </w:r>
          </w:p>
        </w:tc>
        <w:tc>
          <w:tcPr>
            <w:tcW w:w="4098" w:type="dxa"/>
            <w:gridSpan w:val="3"/>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Policy</w:t>
            </w:r>
            <w:r>
              <w:rPr>
                <w:rFonts w:ascii="Times New Roman" w:eastAsia="Times New Roman" w:hAnsi="Times New Roman" w:cs="Arial"/>
                <w:b/>
                <w:noProof/>
                <w:color w:val="FFFFFF"/>
                <w:sz w:val="16"/>
                <w:szCs w:val="16"/>
              </w:rPr>
              <w:br/>
              <w:t>Option 3</w:t>
            </w:r>
          </w:p>
        </w:tc>
        <w:tc>
          <w:tcPr>
            <w:tcW w:w="1366"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Policy</w:t>
            </w:r>
            <w:r>
              <w:rPr>
                <w:rFonts w:ascii="Times New Roman" w:eastAsia="Times New Roman" w:hAnsi="Times New Roman" w:cs="Arial"/>
                <w:b/>
                <w:noProof/>
                <w:color w:val="FFFFFF"/>
                <w:sz w:val="16"/>
                <w:szCs w:val="16"/>
              </w:rPr>
              <w:br/>
              <w:t>Option 4</w:t>
            </w:r>
          </w:p>
        </w:tc>
        <w:tc>
          <w:tcPr>
            <w:tcW w:w="1349" w:type="dxa"/>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Policy</w:t>
            </w:r>
            <w:r>
              <w:rPr>
                <w:rFonts w:ascii="Times New Roman" w:eastAsia="Times New Roman" w:hAnsi="Times New Roman" w:cs="Arial"/>
                <w:b/>
                <w:noProof/>
                <w:color w:val="FFFFFF"/>
                <w:sz w:val="16"/>
                <w:szCs w:val="16"/>
              </w:rPr>
              <w:br/>
              <w:t>Option 5</w:t>
            </w:r>
          </w:p>
        </w:tc>
      </w:tr>
      <w:tr w:rsidR="00035C91">
        <w:trPr>
          <w:trHeight w:val="275"/>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5"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(2002-2015)</w:t>
            </w:r>
          </w:p>
        </w:tc>
        <w:tc>
          <w:tcPr>
            <w:tcW w:w="1365"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 snap shot)</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c>
          <w:tcPr>
            <w:tcW w:w="4098" w:type="dxa"/>
            <w:gridSpan w:val="3"/>
            <w:tcBorders>
              <w:top w:val="single" w:sz="4" w:space="0" w:color="auto"/>
              <w:left w:val="nil"/>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c>
          <w:tcPr>
            <w:tcW w:w="1366"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c>
          <w:tcPr>
            <w:tcW w:w="1349" w:type="dxa"/>
            <w:vMerge w:val="restart"/>
            <w:tcBorders>
              <w:top w:val="nil"/>
              <w:left w:val="single" w:sz="4" w:space="0" w:color="auto"/>
              <w:bottom w:val="single" w:sz="4" w:space="0" w:color="auto"/>
              <w:right w:val="single" w:sz="4" w:space="0" w:color="auto"/>
            </w:tcBorders>
            <w:shd w:val="clear" w:color="000000" w:fill="81BC00"/>
            <w:vAlign w:val="center"/>
            <w:hideMark/>
          </w:tcPr>
          <w:p w:rsidR="00035C91" w:rsidRDefault="00632184">
            <w:pPr>
              <w:spacing w:before="20" w:after="20"/>
              <w:jc w:val="center"/>
              <w:rPr>
                <w:rFonts w:ascii="Times New Roman" w:eastAsia="Times New Roman" w:hAnsi="Times New Roman" w:cs="Arial"/>
                <w:b/>
                <w:noProof/>
                <w:color w:val="FFFFFF"/>
                <w:sz w:val="16"/>
                <w:szCs w:val="16"/>
              </w:rPr>
            </w:pPr>
            <w:r>
              <w:rPr>
                <w:rFonts w:ascii="Times New Roman" w:eastAsia="Times New Roman" w:hAnsi="Times New Roman" w:cs="Arial"/>
                <w:b/>
                <w:noProof/>
                <w:color w:val="FFFFFF"/>
                <w:sz w:val="16"/>
                <w:szCs w:val="16"/>
              </w:rPr>
              <w:t>(2016-2030)</w:t>
            </w:r>
          </w:p>
        </w:tc>
      </w:tr>
      <w:tr w:rsidR="00035C91">
        <w:trPr>
          <w:trHeight w:val="279"/>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5"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5"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66" w:type="dxa"/>
            <w:tcBorders>
              <w:top w:val="nil"/>
              <w:left w:val="nil"/>
              <w:bottom w:val="single" w:sz="4" w:space="0" w:color="auto"/>
              <w:right w:val="single" w:sz="4" w:space="0" w:color="auto"/>
            </w:tcBorders>
            <w:shd w:val="clear" w:color="000000" w:fill="00A1DE"/>
            <w:vAlign w:val="center"/>
            <w:hideMark/>
          </w:tcPr>
          <w:p w:rsidR="00035C91" w:rsidRDefault="00632184">
            <w:pPr>
              <w:spacing w:before="20" w:after="20"/>
              <w:jc w:val="center"/>
              <w:rPr>
                <w:rFonts w:ascii="Times New Roman" w:eastAsia="Times New Roman" w:hAnsi="Times New Roman" w:cs="Arial"/>
                <w:b/>
                <w:bCs/>
                <w:noProof/>
                <w:color w:val="FFFFFF"/>
                <w:sz w:val="16"/>
                <w:szCs w:val="16"/>
                <w:lang w:eastAsia="de-DE"/>
              </w:rPr>
            </w:pPr>
            <w:r>
              <w:rPr>
                <w:rFonts w:ascii="Times New Roman" w:eastAsia="Times New Roman" w:hAnsi="Times New Roman" w:cs="Arial"/>
                <w:b/>
                <w:bCs/>
                <w:noProof/>
                <w:color w:val="FFFFFF"/>
                <w:sz w:val="16"/>
                <w:szCs w:val="16"/>
                <w:lang w:eastAsia="de-DE"/>
              </w:rPr>
              <w:t>“Browser”</w:t>
            </w:r>
          </w:p>
        </w:tc>
        <w:tc>
          <w:tcPr>
            <w:tcW w:w="1366" w:type="dxa"/>
            <w:tcBorders>
              <w:top w:val="nil"/>
              <w:left w:val="nil"/>
              <w:bottom w:val="single" w:sz="4" w:space="0" w:color="auto"/>
              <w:right w:val="single" w:sz="4" w:space="0" w:color="auto"/>
            </w:tcBorders>
            <w:shd w:val="clear" w:color="000000" w:fill="00A1DE"/>
            <w:vAlign w:val="center"/>
            <w:hideMark/>
          </w:tcPr>
          <w:p w:rsidR="00035C91" w:rsidRDefault="00632184">
            <w:pPr>
              <w:spacing w:before="20" w:after="20"/>
              <w:jc w:val="center"/>
              <w:rPr>
                <w:rFonts w:ascii="Times New Roman" w:eastAsia="Times New Roman" w:hAnsi="Times New Roman" w:cs="Arial"/>
                <w:b/>
                <w:bCs/>
                <w:noProof/>
                <w:color w:val="FFFFFF" w:themeColor="background1"/>
                <w:sz w:val="16"/>
                <w:szCs w:val="16"/>
                <w:lang w:eastAsia="de-DE"/>
              </w:rPr>
            </w:pPr>
            <w:r>
              <w:rPr>
                <w:rFonts w:ascii="Times New Roman" w:eastAsia="Times New Roman" w:hAnsi="Times New Roman" w:cs="Arial"/>
                <w:b/>
                <w:bCs/>
                <w:noProof/>
                <w:color w:val="FFFFFF" w:themeColor="background1"/>
                <w:sz w:val="16"/>
                <w:szCs w:val="16"/>
                <w:lang w:eastAsia="de-DE"/>
              </w:rPr>
              <w:t>“Tracking companies”</w:t>
            </w:r>
          </w:p>
        </w:tc>
        <w:tc>
          <w:tcPr>
            <w:tcW w:w="1366" w:type="dxa"/>
            <w:tcBorders>
              <w:top w:val="nil"/>
              <w:left w:val="nil"/>
              <w:bottom w:val="single" w:sz="4" w:space="0" w:color="auto"/>
              <w:right w:val="single" w:sz="4" w:space="0" w:color="auto"/>
            </w:tcBorders>
            <w:shd w:val="clear" w:color="000000" w:fill="00A1DE"/>
            <w:vAlign w:val="center"/>
            <w:hideMark/>
          </w:tcPr>
          <w:p w:rsidR="00035C91" w:rsidRDefault="00632184">
            <w:pPr>
              <w:spacing w:before="20" w:after="20"/>
              <w:jc w:val="center"/>
              <w:rPr>
                <w:rFonts w:ascii="Times New Roman" w:eastAsia="Times New Roman" w:hAnsi="Times New Roman" w:cs="Arial"/>
                <w:b/>
                <w:bCs/>
                <w:noProof/>
                <w:color w:val="FFFFFF" w:themeColor="background1"/>
                <w:sz w:val="16"/>
                <w:szCs w:val="16"/>
                <w:lang w:eastAsia="de-DE"/>
              </w:rPr>
            </w:pPr>
            <w:r>
              <w:rPr>
                <w:rFonts w:ascii="Times New Roman" w:eastAsia="Times New Roman" w:hAnsi="Times New Roman" w:cs="Arial"/>
                <w:b/>
                <w:bCs/>
                <w:noProof/>
                <w:color w:val="FFFFFF" w:themeColor="background1"/>
                <w:sz w:val="16"/>
                <w:szCs w:val="16"/>
                <w:lang w:eastAsia="de-DE"/>
              </w:rPr>
              <w:t>“Publishers”</w:t>
            </w:r>
          </w:p>
        </w:tc>
        <w:tc>
          <w:tcPr>
            <w:tcW w:w="1366"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c>
          <w:tcPr>
            <w:tcW w:w="1349" w:type="dxa"/>
            <w:vMerge/>
            <w:tcBorders>
              <w:top w:val="nil"/>
              <w:left w:val="single" w:sz="4" w:space="0" w:color="auto"/>
              <w:bottom w:val="single" w:sz="4" w:space="0" w:color="auto"/>
              <w:right w:val="single" w:sz="4" w:space="0" w:color="auto"/>
            </w:tcBorders>
            <w:vAlign w:val="center"/>
            <w:hideMark/>
          </w:tcPr>
          <w:p w:rsidR="00035C91" w:rsidRDefault="00035C91">
            <w:pPr>
              <w:spacing w:before="20" w:after="20"/>
              <w:rPr>
                <w:rFonts w:ascii="Times New Roman" w:eastAsia="Times New Roman" w:hAnsi="Times New Roman" w:cs="Arial"/>
                <w:b/>
                <w:noProof/>
                <w:color w:val="FFFFFF"/>
                <w:sz w:val="16"/>
                <w:szCs w:val="16"/>
              </w:rPr>
            </w:pP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Number of businesses affected (in million)</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n/a </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n/a </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val="de-DE"/>
              </w:rPr>
            </w:pPr>
            <w:r>
              <w:rPr>
                <w:rFonts w:ascii="Times New Roman" w:eastAsia="Times New Roman" w:hAnsi="Times New Roman" w:cs="Arial"/>
                <w:noProof/>
                <w:sz w:val="16"/>
                <w:szCs w:val="16"/>
              </w:rPr>
              <w:t>30.2%</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-95.0%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-80.0%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-40.0%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-90.0%</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Micro-enterprises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n/a </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n/a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30.9%</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-80.0%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-90.0%</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SMEs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1.6%</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-80.1%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-39.8%</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-90.0%</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Large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 </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-77.8%</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-44.4%</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-88.9%</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Foreign controlled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 </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n/a </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157.4%</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-80.2%</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-40.5%</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-90.1%</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Compliance costs (in million Euro)</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-27.2%</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15.0%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-70.0%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-60.0%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Micro-enterprises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-26.7%</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-70.0%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SMEs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-42.9%</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-70.0%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Large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-40.9%</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-70.0%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Foreign controlled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38.0%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-70.0%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Average compliance cost per business (in Euro)</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-43.3%</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9.5%</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500.0%</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58.3%</w:t>
            </w:r>
          </w:p>
        </w:tc>
        <w:tc>
          <w:tcPr>
            <w:tcW w:w="1366" w:type="dxa"/>
            <w:tcBorders>
              <w:top w:val="nil"/>
              <w:left w:val="nil"/>
              <w:bottom w:val="single" w:sz="4" w:space="0" w:color="auto"/>
              <w:right w:val="single" w:sz="4" w:space="0" w:color="auto"/>
            </w:tcBorders>
            <w:shd w:val="clear" w:color="auto" w:fill="BFBFBF" w:themeFill="background1" w:themeFillShade="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850.0%</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Administrative burden (in million Euro)</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lang w:val="de-DE"/>
              </w:rPr>
            </w:pPr>
            <w:r>
              <w:rPr>
                <w:rFonts w:ascii="Times New Roman" w:eastAsia="Times New Roman" w:hAnsi="Times New Roman" w:cs="Arial"/>
                <w:noProof/>
                <w:sz w:val="16"/>
                <w:szCs w:val="16"/>
              </w:rPr>
              <w:t>-16.0%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0.9%</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-2.2%</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-2.2%</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-3.0%</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Micro-enterprises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-21.3%</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-9.9%</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-9.9%</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-1.7%</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-2.2%</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-3.3%</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SMEs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25.9%</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-8.8%</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-8.8%</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-2.9%</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-2.9%</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-2.9%</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Large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-33.3%</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35C91" w:rsidRDefault="00632184">
            <w:pPr>
              <w:spacing w:before="20" w:after="20"/>
              <w:jc w:val="left"/>
              <w:rPr>
                <w:rFonts w:ascii="Times New Roman" w:eastAsia="Times New Roman" w:hAnsi="Times New Roman" w:cs="Arial"/>
                <w:noProof/>
                <w:sz w:val="16"/>
                <w:szCs w:val="16"/>
              </w:rPr>
            </w:pPr>
            <w:r>
              <w:rPr>
                <w:rFonts w:ascii="Times New Roman" w:eastAsia="Times New Roman" w:hAnsi="Times New Roman" w:cs="Arial"/>
                <w:noProof/>
                <w:sz w:val="16"/>
                <w:szCs w:val="16"/>
              </w:rPr>
              <w:t xml:space="preserve"> Foreign controlled enterprises</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auto" w:fill="auto"/>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-6.7%</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-7.1%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-7.1%</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66"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0.0%</w:t>
            </w:r>
          </w:p>
        </w:tc>
        <w:tc>
          <w:tcPr>
            <w:tcW w:w="1349" w:type="dxa"/>
            <w:tcBorders>
              <w:top w:val="nil"/>
              <w:left w:val="nil"/>
              <w:bottom w:val="single" w:sz="4" w:space="0" w:color="auto"/>
              <w:right w:val="single" w:sz="4" w:space="0" w:color="auto"/>
            </w:tcBorders>
            <w:shd w:val="clear" w:color="auto" w:fill="auto"/>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r w:rsidR="00035C91">
        <w:trPr>
          <w:trHeight w:val="225"/>
        </w:trPr>
        <w:tc>
          <w:tcPr>
            <w:tcW w:w="2122" w:type="dxa"/>
            <w:tcBorders>
              <w:top w:val="nil"/>
              <w:left w:val="single" w:sz="4" w:space="0" w:color="auto"/>
              <w:bottom w:val="single" w:sz="4" w:space="0" w:color="auto"/>
              <w:right w:val="single" w:sz="4" w:space="0" w:color="auto"/>
            </w:tcBorders>
            <w:shd w:val="clear" w:color="000000" w:fill="BFBFBF"/>
            <w:noWrap/>
            <w:vAlign w:val="bottom"/>
            <w:hideMark/>
          </w:tcPr>
          <w:p w:rsidR="00035C91" w:rsidRDefault="00632184">
            <w:pPr>
              <w:spacing w:before="20" w:after="20"/>
              <w:jc w:val="left"/>
              <w:rPr>
                <w:rFonts w:ascii="Times New Roman" w:eastAsia="Times New Roman" w:hAnsi="Times New Roman" w:cs="Arial"/>
                <w:noProof/>
                <w:sz w:val="16"/>
                <w:szCs w:val="16"/>
                <w:lang w:eastAsia="de-DE"/>
              </w:rPr>
            </w:pPr>
            <w:r>
              <w:rPr>
                <w:rFonts w:ascii="Times New Roman" w:eastAsia="Times New Roman" w:hAnsi="Times New Roman" w:cs="Arial"/>
                <w:noProof/>
                <w:sz w:val="16"/>
                <w:szCs w:val="16"/>
                <w:lang w:eastAsia="de-DE"/>
              </w:rPr>
              <w:t>Average costs from admin. burden per business (in Euro)</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5" w:type="dxa"/>
            <w:tcBorders>
              <w:top w:val="nil"/>
              <w:left w:val="nil"/>
              <w:bottom w:val="single" w:sz="4" w:space="0" w:color="auto"/>
              <w:right w:val="single" w:sz="4" w:space="0" w:color="auto"/>
            </w:tcBorders>
            <w:shd w:val="clear" w:color="000000" w:fill="BFBFBF"/>
            <w:noWrap/>
            <w:vAlign w:val="center"/>
            <w:hideMark/>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n/a</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-43.3%</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-14.3%</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1700.0%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390.0%</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63.3%</w:t>
            </w:r>
          </w:p>
        </w:tc>
        <w:tc>
          <w:tcPr>
            <w:tcW w:w="1366"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870.0%</w:t>
            </w:r>
          </w:p>
        </w:tc>
        <w:tc>
          <w:tcPr>
            <w:tcW w:w="1349" w:type="dxa"/>
            <w:tcBorders>
              <w:top w:val="nil"/>
              <w:left w:val="nil"/>
              <w:bottom w:val="single" w:sz="4" w:space="0" w:color="auto"/>
              <w:right w:val="single" w:sz="4" w:space="0" w:color="auto"/>
            </w:tcBorders>
            <w:shd w:val="clear" w:color="000000" w:fill="BFBFBF"/>
            <w:noWrap/>
            <w:vAlign w:val="center"/>
          </w:tcPr>
          <w:p w:rsidR="00035C91" w:rsidRDefault="00632184">
            <w:pPr>
              <w:spacing w:before="20" w:after="20"/>
              <w:jc w:val="right"/>
              <w:rPr>
                <w:rFonts w:ascii="Times New Roman" w:eastAsia="Times New Roman" w:hAnsi="Times New Roman" w:cs="Arial"/>
                <w:noProof/>
                <w:sz w:val="16"/>
                <w:szCs w:val="16"/>
              </w:rPr>
            </w:pPr>
            <w:r>
              <w:rPr>
                <w:rFonts w:ascii="Times New Roman" w:eastAsia="Times New Roman" w:hAnsi="Times New Roman" w:cs="Arial"/>
                <w:noProof/>
                <w:sz w:val="16"/>
                <w:szCs w:val="16"/>
              </w:rPr>
              <w:t>-100.0%</w:t>
            </w:r>
          </w:p>
        </w:tc>
      </w:tr>
    </w:tbl>
    <w:p w:rsidR="00035C91" w:rsidRDefault="00632184">
      <w:pPr>
        <w:spacing w:before="0" w:after="240"/>
        <w:rPr>
          <w:rFonts w:ascii="Times New Roman" w:eastAsia="Times New Roman" w:hAnsi="Times New Roman"/>
          <w:i/>
          <w:noProof/>
          <w:sz w:val="16"/>
          <w:szCs w:val="20"/>
        </w:rPr>
      </w:pPr>
      <w:r>
        <w:rPr>
          <w:rFonts w:ascii="Times New Roman" w:eastAsia="Times New Roman" w:hAnsi="Times New Roman"/>
          <w:i/>
          <w:noProof/>
          <w:sz w:val="16"/>
          <w:szCs w:val="20"/>
        </w:rPr>
        <w:t>Source: Deloitte</w:t>
      </w:r>
    </w:p>
    <w:p w:rsidR="00035C91" w:rsidRDefault="00035C91">
      <w:pPr>
        <w:spacing w:before="0" w:after="240"/>
        <w:rPr>
          <w:rFonts w:ascii="Times New Roman" w:eastAsia="Times New Roman" w:hAnsi="Times New Roman"/>
          <w:noProof/>
          <w:sz w:val="24"/>
          <w:szCs w:val="20"/>
        </w:rPr>
      </w:pPr>
    </w:p>
    <w:p w:rsidR="00035C91" w:rsidRDefault="00035C91">
      <w:pPr>
        <w:spacing w:before="0" w:after="240"/>
        <w:ind w:left="482"/>
        <w:rPr>
          <w:rFonts w:ascii="Times New Roman" w:eastAsia="Times New Roman" w:hAnsi="Times New Roman"/>
          <w:noProof/>
          <w:sz w:val="24"/>
          <w:szCs w:val="20"/>
        </w:rPr>
        <w:sectPr w:rsidR="00035C91">
          <w:headerReference w:type="even" r:id="rId39"/>
          <w:headerReference w:type="default" r:id="rId40"/>
          <w:footerReference w:type="even" r:id="rId41"/>
          <w:footerReference w:type="default" r:id="rId42"/>
          <w:headerReference w:type="first" r:id="rId43"/>
          <w:footerReference w:type="first" r:id="rId44"/>
          <w:footnotePr>
            <w:numStart w:val="117"/>
          </w:footnotePr>
          <w:pgSz w:w="16838" w:h="11906" w:orient="landscape"/>
          <w:pgMar w:top="1417" w:right="1417" w:bottom="1417" w:left="1135" w:header="709" w:footer="709" w:gutter="0"/>
          <w:cols w:space="708"/>
          <w:docGrid w:linePitch="360"/>
        </w:sectPr>
      </w:pPr>
    </w:p>
    <w:p w:rsidR="00035C91" w:rsidRDefault="00632184">
      <w:pPr>
        <w:pStyle w:val="ManualHeading1"/>
        <w:pBdr>
          <w:top w:val="single" w:sz="4" w:space="0" w:color="auto"/>
        </w:pBdr>
      </w:pPr>
      <w:bookmarkStart w:id="94" w:name="_Toc468455384"/>
      <w:bookmarkStart w:id="95" w:name="_Toc468795241"/>
      <w:r>
        <w:t>Annex 9: Coverage of OTTs within the scope of national implementing legislation</w:t>
      </w:r>
      <w:bookmarkEnd w:id="94"/>
      <w:bookmarkEnd w:id="95"/>
    </w:p>
    <w:p w:rsidR="00035C91" w:rsidRDefault="00632184">
      <w:pPr>
        <w:spacing w:before="0" w:after="0"/>
        <w:rPr>
          <w:rFonts w:ascii="Times New Roman" w:eastAsia="Calibri" w:hAnsi="Times New Roman"/>
          <w:noProof/>
          <w:sz w:val="24"/>
          <w:lang w:eastAsia="en-GB"/>
        </w:rPr>
      </w:pPr>
      <w:r>
        <w:rPr>
          <w:rFonts w:ascii="Times New Roman" w:eastAsia="Times New Roman" w:hAnsi="Times New Roman" w:cs="Arial"/>
          <w:noProof/>
          <w:sz w:val="24"/>
          <w:szCs w:val="20"/>
        </w:rPr>
        <w:t xml:space="preserve">The interpretation and implementation of the scope varies across Member States. Indeed, </w:t>
      </w:r>
      <w:r>
        <w:rPr>
          <w:rFonts w:ascii="Times New Roman" w:eastAsia="Times New Roman" w:hAnsi="Times New Roman"/>
          <w:noProof/>
          <w:sz w:val="24"/>
          <w:szCs w:val="20"/>
        </w:rPr>
        <w:t>some Member States have extended the ePD provisions to OTT services. Spain, UK, Austria, France, Estonia, Croatia, Finland, Denmark, Latvia, Norway, The Netherlands, Ge</w:t>
      </w:r>
      <w:r>
        <w:rPr>
          <w:rFonts w:ascii="Times New Roman" w:eastAsia="Times New Roman" w:hAnsi="Times New Roman"/>
          <w:noProof/>
          <w:sz w:val="24"/>
          <w:szCs w:val="20"/>
        </w:rPr>
        <w:t>rmany and Spain consider VoIP with access to telephone number an electronic communications service</w:t>
      </w:r>
      <w:r>
        <w:rPr>
          <w:rFonts w:ascii="Times New Roman" w:eastAsia="Times New Roman" w:hAnsi="Times New Roman"/>
          <w:noProof/>
          <w:sz w:val="24"/>
          <w:szCs w:val="20"/>
          <w:vertAlign w:val="superscript"/>
        </w:rPr>
        <w:footnoteReference w:id="31"/>
      </w:r>
      <w:r>
        <w:rPr>
          <w:rFonts w:ascii="Times New Roman" w:eastAsia="Times New Roman" w:hAnsi="Times New Roman"/>
          <w:noProof/>
          <w:sz w:val="24"/>
          <w:szCs w:val="20"/>
        </w:rPr>
        <w:t>. To the contrary, peer-peer VoIP does not constitute the said service by the countries previously mentioned. In the Czech Republic VoIP communication is con</w:t>
      </w:r>
      <w:r>
        <w:rPr>
          <w:rFonts w:ascii="Times New Roman" w:eastAsia="Times New Roman" w:hAnsi="Times New Roman"/>
          <w:noProof/>
          <w:sz w:val="24"/>
          <w:szCs w:val="20"/>
        </w:rPr>
        <w:t xml:space="preserve">sidered an electronic communications service solely in cases where the communication is secured by a third party (external) provider within the scope of such provider’s business. The German competent authority explained that they consider the scope of the </w:t>
      </w:r>
      <w:r>
        <w:rPr>
          <w:rFonts w:ascii="Times New Roman" w:eastAsia="Times New Roman" w:hAnsi="Times New Roman"/>
          <w:noProof/>
          <w:sz w:val="24"/>
          <w:szCs w:val="20"/>
        </w:rPr>
        <w:t>ePD to be unclear in this respect</w:t>
      </w:r>
      <w:r>
        <w:rPr>
          <w:rFonts w:ascii="Times New Roman" w:eastAsia="Times New Roman" w:hAnsi="Times New Roman"/>
          <w:noProof/>
          <w:sz w:val="24"/>
          <w:szCs w:val="20"/>
          <w:vertAlign w:val="superscript"/>
        </w:rPr>
        <w:footnoteReference w:id="32"/>
      </w:r>
      <w:r>
        <w:rPr>
          <w:rFonts w:ascii="Times New Roman" w:eastAsia="Times New Roman" w:hAnsi="Times New Roman"/>
          <w:noProof/>
          <w:sz w:val="24"/>
          <w:szCs w:val="20"/>
        </w:rPr>
        <w:t>.</w:t>
      </w:r>
    </w:p>
    <w:p w:rsidR="00035C91" w:rsidRDefault="00035C91">
      <w:pPr>
        <w:spacing w:before="0" w:after="240"/>
        <w:rPr>
          <w:rFonts w:ascii="Times New Roman" w:eastAsia="Times New Roman" w:hAnsi="Times New Roman"/>
          <w:noProof/>
          <w:sz w:val="24"/>
          <w:szCs w:val="20"/>
        </w:rPr>
      </w:pPr>
    </w:p>
    <w:tbl>
      <w:tblPr>
        <w:tblStyle w:val="TableGrid"/>
        <w:tblW w:w="0" w:type="auto"/>
        <w:tblLook w:val="04A0" w:firstRow="1" w:lastRow="0" w:firstColumn="1" w:lastColumn="0" w:noHBand="0" w:noVBand="1"/>
      </w:tblPr>
      <w:tblGrid>
        <w:gridCol w:w="1870"/>
        <w:gridCol w:w="1662"/>
        <w:gridCol w:w="1870"/>
        <w:gridCol w:w="1870"/>
        <w:gridCol w:w="1870"/>
      </w:tblGrid>
      <w:tr w:rsidR="00035C91">
        <w:trPr>
          <w:tblHeader/>
        </w:trPr>
        <w:tc>
          <w:tcPr>
            <w:tcW w:w="187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035C91" w:rsidRDefault="00632184">
            <w:pPr>
              <w:spacing w:before="20" w:after="20"/>
              <w:rPr>
                <w:rFonts w:ascii="Arial" w:eastAsia="Times" w:hAnsi="Arial" w:cs="Arial"/>
                <w:b/>
                <w:noProof/>
                <w:color w:val="FFFFFF" w:themeColor="background1"/>
                <w:sz w:val="18"/>
                <w:szCs w:val="18"/>
              </w:rPr>
            </w:pPr>
            <w:r>
              <w:rPr>
                <w:rFonts w:ascii="Times New Roman" w:hAnsi="Times New Roman" w:cs="Arial"/>
                <w:b/>
                <w:noProof/>
                <w:color w:val="FFFFFF" w:themeColor="background1"/>
                <w:sz w:val="18"/>
                <w:szCs w:val="18"/>
              </w:rPr>
              <w:t>Country</w:t>
            </w:r>
          </w:p>
        </w:tc>
        <w:tc>
          <w:tcPr>
            <w:tcW w:w="1662"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035C91" w:rsidRDefault="00632184">
            <w:pPr>
              <w:spacing w:before="20" w:after="20"/>
              <w:rPr>
                <w:rFonts w:ascii="Arial" w:eastAsia="Times" w:hAnsi="Arial" w:cs="Arial"/>
                <w:b/>
                <w:noProof/>
                <w:color w:val="FFFFFF" w:themeColor="background1"/>
                <w:sz w:val="18"/>
                <w:szCs w:val="18"/>
              </w:rPr>
            </w:pPr>
            <w:r>
              <w:rPr>
                <w:rFonts w:ascii="Times New Roman" w:hAnsi="Times New Roman" w:cs="Arial"/>
                <w:b/>
                <w:noProof/>
                <w:color w:val="FFFFFF" w:themeColor="background1"/>
                <w:sz w:val="18"/>
                <w:szCs w:val="18"/>
              </w:rPr>
              <w:t>OTTs covered</w:t>
            </w:r>
          </w:p>
        </w:tc>
        <w:tc>
          <w:tcPr>
            <w:tcW w:w="187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035C91" w:rsidRDefault="00632184">
            <w:pPr>
              <w:spacing w:before="20" w:after="20"/>
              <w:rPr>
                <w:rFonts w:ascii="Arial" w:eastAsia="Times" w:hAnsi="Arial" w:cs="Arial"/>
                <w:b/>
                <w:noProof/>
                <w:color w:val="FFFFFF" w:themeColor="background1"/>
                <w:sz w:val="18"/>
                <w:szCs w:val="18"/>
              </w:rPr>
            </w:pPr>
            <w:r>
              <w:rPr>
                <w:rFonts w:ascii="Times New Roman" w:hAnsi="Times New Roman" w:cs="Arial"/>
                <w:b/>
                <w:noProof/>
                <w:color w:val="FFFFFF" w:themeColor="background1"/>
                <w:sz w:val="18"/>
                <w:szCs w:val="18"/>
              </w:rPr>
              <w:t>OTTs not covered</w:t>
            </w:r>
          </w:p>
        </w:tc>
        <w:tc>
          <w:tcPr>
            <w:tcW w:w="187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035C91" w:rsidRDefault="00632184">
            <w:pPr>
              <w:spacing w:before="20" w:after="20"/>
              <w:rPr>
                <w:rFonts w:ascii="Arial" w:eastAsia="Times" w:hAnsi="Arial" w:cs="Arial"/>
                <w:b/>
                <w:noProof/>
                <w:color w:val="FFFFFF" w:themeColor="background1"/>
                <w:sz w:val="18"/>
                <w:szCs w:val="18"/>
              </w:rPr>
            </w:pPr>
            <w:r>
              <w:rPr>
                <w:rFonts w:ascii="Times New Roman" w:hAnsi="Times New Roman" w:cs="Arial"/>
                <w:b/>
                <w:noProof/>
                <w:color w:val="FFFFFF" w:themeColor="background1"/>
                <w:sz w:val="18"/>
                <w:szCs w:val="18"/>
              </w:rPr>
              <w:t>Case-by-case</w:t>
            </w:r>
          </w:p>
        </w:tc>
        <w:tc>
          <w:tcPr>
            <w:tcW w:w="187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035C91" w:rsidRDefault="00632184">
            <w:pPr>
              <w:spacing w:before="20" w:after="20"/>
              <w:rPr>
                <w:rFonts w:ascii="Arial" w:eastAsia="Times" w:hAnsi="Arial" w:cs="Arial"/>
                <w:b/>
                <w:noProof/>
                <w:color w:val="FFFFFF" w:themeColor="background1"/>
                <w:sz w:val="18"/>
                <w:szCs w:val="18"/>
              </w:rPr>
            </w:pPr>
            <w:r>
              <w:rPr>
                <w:rFonts w:ascii="Times New Roman" w:hAnsi="Times New Roman" w:cs="Arial"/>
                <w:b/>
                <w:noProof/>
                <w:color w:val="FFFFFF" w:themeColor="background1"/>
                <w:sz w:val="18"/>
                <w:szCs w:val="18"/>
              </w:rPr>
              <w:t>No information/ unclear</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Austria</w:t>
            </w:r>
          </w:p>
        </w:tc>
        <w:tc>
          <w:tcPr>
            <w:tcW w:w="1662"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Belgium</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Bulgaria</w:t>
            </w:r>
          </w:p>
        </w:tc>
        <w:tc>
          <w:tcPr>
            <w:tcW w:w="1662"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Croatia</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Cyprus</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Czech Republic</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Denmark</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Estonia</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Finland</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France</w:t>
            </w:r>
          </w:p>
        </w:tc>
        <w:tc>
          <w:tcPr>
            <w:tcW w:w="1662"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Germany</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Greece</w:t>
            </w:r>
          </w:p>
        </w:tc>
        <w:tc>
          <w:tcPr>
            <w:tcW w:w="1662"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Hungary</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Ireland</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Italy</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Latvia</w:t>
            </w:r>
          </w:p>
        </w:tc>
        <w:tc>
          <w:tcPr>
            <w:tcW w:w="1662"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Lithuania</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Luxembourg</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Malta</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Netherlands</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Poland</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Portugal</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Romania</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Slovakia</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Slovenia</w:t>
            </w:r>
          </w:p>
        </w:tc>
        <w:tc>
          <w:tcPr>
            <w:tcW w:w="1662"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Spain</w:t>
            </w:r>
          </w:p>
        </w:tc>
        <w:tc>
          <w:tcPr>
            <w:tcW w:w="1662" w:type="dxa"/>
            <w:tcBorders>
              <w:top w:val="single" w:sz="4" w:space="0" w:color="auto"/>
              <w:left w:val="single" w:sz="4" w:space="0" w:color="auto"/>
              <w:bottom w:val="single" w:sz="4" w:space="0" w:color="auto"/>
              <w:right w:val="single" w:sz="4" w:space="0" w:color="auto"/>
            </w:tcBorders>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tcPr>
          <w:p w:rsidR="00035C91" w:rsidRDefault="00035C91">
            <w:pPr>
              <w:spacing w:before="20" w:after="20"/>
              <w:jc w:val="center"/>
              <w:rPr>
                <w:rFonts w:ascii="Arial" w:eastAsia="Times" w:hAnsi="Arial" w:cs="Arial"/>
                <w:b/>
                <w:noProof/>
                <w:color w:val="000000"/>
                <w:sz w:val="18"/>
                <w:szCs w:val="18"/>
              </w:rPr>
            </w:pP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Sweden</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UK</w:t>
            </w:r>
          </w:p>
        </w:tc>
        <w:tc>
          <w:tcPr>
            <w:tcW w:w="1662"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tcPr>
          <w:p w:rsidR="00035C91" w:rsidRDefault="00035C91">
            <w:pPr>
              <w:spacing w:before="20" w:after="20"/>
              <w:jc w:val="center"/>
              <w:rPr>
                <w:rFonts w:ascii="Arial" w:eastAsia="Times" w:hAnsi="Arial" w:cs="Arial"/>
                <w:b/>
                <w:noProof/>
                <w:color w:val="000000"/>
                <w:sz w:val="18"/>
                <w:szCs w:val="18"/>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X</w:t>
            </w:r>
          </w:p>
        </w:tc>
      </w:tr>
      <w:tr w:rsidR="00035C91">
        <w:trPr>
          <w:trHeight w:val="331"/>
        </w:trPr>
        <w:tc>
          <w:tcPr>
            <w:tcW w:w="18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35C91" w:rsidRDefault="00632184">
            <w:pPr>
              <w:spacing w:before="20" w:after="20"/>
              <w:rPr>
                <w:rFonts w:ascii="Arial" w:eastAsia="Times" w:hAnsi="Arial" w:cs="Arial"/>
                <w:b/>
                <w:noProof/>
                <w:color w:val="000000"/>
                <w:sz w:val="18"/>
                <w:szCs w:val="18"/>
              </w:rPr>
            </w:pPr>
            <w:r>
              <w:rPr>
                <w:rFonts w:ascii="Times New Roman" w:hAnsi="Times New Roman" w:cs="Arial"/>
                <w:b/>
                <w:noProof/>
                <w:sz w:val="18"/>
                <w:szCs w:val="18"/>
              </w:rPr>
              <w:t>Overall</w:t>
            </w:r>
          </w:p>
        </w:tc>
        <w:tc>
          <w:tcPr>
            <w:tcW w:w="16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7</w:t>
            </w:r>
          </w:p>
        </w:tc>
        <w:tc>
          <w:tcPr>
            <w:tcW w:w="18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9</w:t>
            </w:r>
          </w:p>
        </w:tc>
        <w:tc>
          <w:tcPr>
            <w:tcW w:w="18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2</w:t>
            </w:r>
          </w:p>
        </w:tc>
        <w:tc>
          <w:tcPr>
            <w:tcW w:w="18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35C91" w:rsidRDefault="00632184">
            <w:pPr>
              <w:spacing w:before="20" w:after="20"/>
              <w:jc w:val="center"/>
              <w:rPr>
                <w:rFonts w:ascii="Arial" w:eastAsia="Times" w:hAnsi="Arial" w:cs="Arial"/>
                <w:b/>
                <w:noProof/>
                <w:color w:val="000000"/>
                <w:sz w:val="18"/>
                <w:szCs w:val="18"/>
              </w:rPr>
            </w:pPr>
            <w:r>
              <w:rPr>
                <w:rFonts w:ascii="Times New Roman" w:hAnsi="Times New Roman" w:cs="Arial"/>
                <w:b/>
                <w:noProof/>
                <w:sz w:val="18"/>
                <w:szCs w:val="18"/>
              </w:rPr>
              <w:t>10</w:t>
            </w:r>
          </w:p>
        </w:tc>
      </w:tr>
    </w:tbl>
    <w:p w:rsidR="00035C91" w:rsidRDefault="00035C91">
      <w:pPr>
        <w:spacing w:before="0" w:after="240"/>
        <w:rPr>
          <w:rFonts w:ascii="Times New Roman" w:eastAsia="Times New Roman" w:hAnsi="Times New Roman"/>
          <w:noProof/>
          <w:sz w:val="24"/>
          <w:szCs w:val="20"/>
        </w:rPr>
      </w:pPr>
    </w:p>
    <w:p w:rsidR="00035C91" w:rsidRDefault="00632184">
      <w:pPr>
        <w:spacing w:before="0" w:after="240"/>
        <w:rPr>
          <w:rFonts w:ascii="Times New Roman" w:eastAsia="Times New Roman" w:hAnsi="Times New Roman"/>
          <w:i/>
          <w:noProof/>
          <w:sz w:val="18"/>
          <w:szCs w:val="18"/>
          <w:lang w:val="fr-BE"/>
        </w:rPr>
      </w:pPr>
      <w:r>
        <w:rPr>
          <w:rFonts w:ascii="Times New Roman" w:eastAsia="Times New Roman" w:hAnsi="Times New Roman"/>
          <w:i/>
          <w:noProof/>
          <w:sz w:val="18"/>
          <w:szCs w:val="18"/>
          <w:lang w:val="fr-BE"/>
        </w:rPr>
        <w:t>Source: Deloitte (SMART 2016/0080) – Transposition check</w:t>
      </w:r>
    </w:p>
    <w:p w:rsidR="00035C91" w:rsidRDefault="00035C91">
      <w:pPr>
        <w:spacing w:before="0" w:after="240"/>
        <w:rPr>
          <w:rFonts w:ascii="Times New Roman" w:eastAsia="Times New Roman" w:hAnsi="Times New Roman"/>
          <w:noProof/>
          <w:sz w:val="24"/>
          <w:szCs w:val="20"/>
          <w:lang w:val="fr-BE"/>
        </w:rPr>
      </w:pPr>
    </w:p>
    <w:p w:rsidR="00035C91" w:rsidRDefault="00632184">
      <w:pPr>
        <w:spacing w:before="0" w:after="0"/>
        <w:jc w:val="left"/>
        <w:rPr>
          <w:rFonts w:ascii="Times New Roman" w:eastAsia="Times New Roman" w:hAnsi="Times New Roman"/>
          <w:b/>
          <w:bCs/>
          <w:smallCaps/>
          <w:noProof/>
          <w:sz w:val="28"/>
        </w:rPr>
      </w:pPr>
      <w:bookmarkStart w:id="96" w:name="_Toc468455385"/>
      <w:r>
        <w:rPr>
          <w:rFonts w:ascii="Times New Roman" w:eastAsia="Times New Roman" w:hAnsi="Times New Roman"/>
          <w:noProof/>
          <w:sz w:val="24"/>
          <w:szCs w:val="20"/>
        </w:rPr>
        <w:br w:type="page"/>
      </w:r>
    </w:p>
    <w:p w:rsidR="00035C91" w:rsidRDefault="00632184">
      <w:pPr>
        <w:pStyle w:val="ManualHeading1"/>
        <w:pBdr>
          <w:top w:val="single" w:sz="4" w:space="0" w:color="auto"/>
        </w:pBdr>
      </w:pPr>
      <w:bookmarkStart w:id="97" w:name="_Toc468795242"/>
      <w:r>
        <w:t>Annex 10: Opt-in and opt-out regimes per Member State</w:t>
      </w:r>
      <w:bookmarkEnd w:id="96"/>
      <w:bookmarkEnd w:id="97"/>
    </w:p>
    <w:p w:rsidR="00035C91" w:rsidRDefault="00632184">
      <w:pPr>
        <w:tabs>
          <w:tab w:val="left" w:pos="850"/>
        </w:tabs>
        <w:spacing w:before="0" w:after="240"/>
        <w:rPr>
          <w:rFonts w:ascii="Times New Roman" w:eastAsia="Times New Roman" w:hAnsi="Times New Roman"/>
          <w:bCs/>
          <w:iCs/>
          <w:noProof/>
          <w:sz w:val="24"/>
          <w:lang w:eastAsia="en-GB"/>
        </w:rPr>
      </w:pPr>
      <w:r>
        <w:rPr>
          <w:rFonts w:ascii="Times New Roman" w:eastAsia="Times New Roman" w:hAnsi="Times New Roman"/>
          <w:bCs/>
          <w:iCs/>
          <w:noProof/>
          <w:sz w:val="24"/>
          <w:lang w:eastAsia="en-GB"/>
        </w:rPr>
        <w:t xml:space="preserve">The table below further illustrates the wide diversity of regimes on unsolicited communications calls (with human </w:t>
      </w:r>
      <w:r>
        <w:rPr>
          <w:rFonts w:ascii="Times New Roman" w:eastAsia="Times New Roman" w:hAnsi="Times New Roman"/>
          <w:bCs/>
          <w:iCs/>
          <w:noProof/>
          <w:sz w:val="24"/>
          <w:lang w:eastAsia="en-GB"/>
        </w:rPr>
        <w:t>intervention) and the fragmentation of the rules in the EU. The table shows that in relation to fixed-line phones, 24% of EU businesses currently are governed by an opt-in regime while the share is 52% in relation to mobile phones</w:t>
      </w:r>
      <w:r>
        <w:rPr>
          <w:rFonts w:ascii="Times New Roman" w:eastAsia="Times New Roman" w:hAnsi="Times New Roman"/>
          <w:bCs/>
          <w:iCs/>
          <w:noProof/>
          <w:sz w:val="24"/>
          <w:vertAlign w:val="superscript"/>
          <w:lang w:eastAsia="en-GB"/>
        </w:rPr>
        <w:footnoteReference w:id="33"/>
      </w:r>
      <w:r>
        <w:rPr>
          <w:rFonts w:ascii="Times New Roman" w:eastAsia="Times New Roman" w:hAnsi="Times New Roman"/>
          <w:bCs/>
          <w:iCs/>
          <w:noProof/>
          <w:sz w:val="24"/>
          <w:lang w:eastAsia="en-GB"/>
        </w:rPr>
        <w:t xml:space="preserve">. By contrast, 88% of EU </w:t>
      </w:r>
      <w:r>
        <w:rPr>
          <w:rFonts w:ascii="Times New Roman" w:eastAsia="Times New Roman" w:hAnsi="Times New Roman"/>
          <w:bCs/>
          <w:iCs/>
          <w:noProof/>
          <w:sz w:val="24"/>
          <w:lang w:eastAsia="en-GB"/>
        </w:rPr>
        <w:t>businesses are currently governed by an opt-out regime in relation fixed-line phones while 61% are governed by an opt-in regime.</w:t>
      </w:r>
      <w:r>
        <w:rPr>
          <w:rFonts w:ascii="Times New Roman" w:eastAsia="Times New Roman" w:hAnsi="Times New Roman"/>
          <w:bCs/>
          <w:iCs/>
          <w:noProof/>
          <w:sz w:val="24"/>
          <w:vertAlign w:val="superscript"/>
          <w:lang w:eastAsia="en-GB"/>
        </w:rPr>
        <w:footnoteReference w:id="34"/>
      </w:r>
    </w:p>
    <w:tbl>
      <w:tblPr>
        <w:tblW w:w="87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1"/>
        <w:gridCol w:w="1298"/>
        <w:gridCol w:w="1417"/>
        <w:gridCol w:w="1418"/>
        <w:gridCol w:w="1418"/>
        <w:gridCol w:w="1418"/>
      </w:tblGrid>
      <w:tr w:rsidR="00035C91">
        <w:trPr>
          <w:trHeight w:val="255"/>
          <w:tblHeader/>
        </w:trPr>
        <w:tc>
          <w:tcPr>
            <w:tcW w:w="1820" w:type="dxa"/>
            <w:vMerge w:val="restart"/>
            <w:tcBorders>
              <w:top w:val="single" w:sz="4" w:space="0" w:color="auto"/>
              <w:left w:val="single" w:sz="4" w:space="0" w:color="auto"/>
              <w:bottom w:val="single" w:sz="4" w:space="0" w:color="auto"/>
              <w:right w:val="single" w:sz="4" w:space="0" w:color="auto"/>
            </w:tcBorders>
            <w:shd w:val="clear" w:color="auto" w:fill="86BC25"/>
            <w:vAlign w:val="center"/>
            <w:hideMark/>
          </w:tcPr>
          <w:p w:rsidR="00035C91" w:rsidRDefault="00632184">
            <w:pPr>
              <w:spacing w:before="60" w:after="60"/>
              <w:ind w:left="-109" w:firstLine="109"/>
              <w:jc w:val="left"/>
              <w:rPr>
                <w:rFonts w:ascii="Arial" w:eastAsia="Times New Roman" w:hAnsi="Arial"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Member States </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86BC25"/>
            <w:hideMark/>
          </w:tcPr>
          <w:p w:rsidR="00035C91" w:rsidRDefault="00632184">
            <w:pPr>
              <w:spacing w:before="60" w:after="60"/>
              <w:ind w:left="-109" w:firstLine="109"/>
              <w:jc w:val="center"/>
              <w:rPr>
                <w:rFonts w:ascii="Arial" w:eastAsia="Times New Roman" w:hAnsi="Arial" w:cs="Arial"/>
                <w:b/>
                <w:bCs/>
                <w:noProof/>
                <w:color w:val="FFFFFF"/>
                <w:sz w:val="18"/>
                <w:szCs w:val="18"/>
                <w:lang w:eastAsia="de-DE"/>
              </w:rPr>
            </w:pPr>
            <w:r>
              <w:rPr>
                <w:rFonts w:ascii="Times New Roman" w:eastAsia="Times New Roman" w:hAnsi="Times New Roman" w:cs="Arial"/>
                <w:b/>
                <w:bCs/>
                <w:noProof/>
                <w:color w:val="FFFFFF"/>
                <w:sz w:val="18"/>
                <w:szCs w:val="18"/>
                <w:lang w:eastAsia="de-DE"/>
              </w:rPr>
              <w:t>Number of businesses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86BC25"/>
            <w:noWrap/>
            <w:vAlign w:val="center"/>
            <w:hideMark/>
          </w:tcPr>
          <w:p w:rsidR="00035C91" w:rsidRDefault="00632184">
            <w:pPr>
              <w:spacing w:before="60" w:after="60"/>
              <w:ind w:left="-109" w:firstLine="109"/>
              <w:jc w:val="center"/>
              <w:rPr>
                <w:rFonts w:ascii="Arial" w:eastAsia="Times New Roman" w:hAnsi="Arial" w:cs="Arial"/>
                <w:b/>
                <w:bCs/>
                <w:noProof/>
                <w:color w:val="FFFFFF"/>
                <w:sz w:val="18"/>
                <w:szCs w:val="18"/>
                <w:lang w:eastAsia="de-DE"/>
              </w:rPr>
            </w:pPr>
            <w:r>
              <w:rPr>
                <w:rFonts w:ascii="Times New Roman" w:eastAsia="Times New Roman" w:hAnsi="Times New Roman" w:cs="Arial"/>
                <w:b/>
                <w:bCs/>
                <w:noProof/>
                <w:color w:val="FFFFFF"/>
                <w:sz w:val="18"/>
                <w:szCs w:val="18"/>
                <w:lang w:eastAsia="de-DE"/>
              </w:rPr>
              <w:t>Fixed-line phones</w:t>
            </w:r>
          </w:p>
        </w:tc>
        <w:tc>
          <w:tcPr>
            <w:tcW w:w="2836" w:type="dxa"/>
            <w:gridSpan w:val="2"/>
            <w:tcBorders>
              <w:top w:val="single" w:sz="4" w:space="0" w:color="auto"/>
              <w:left w:val="single" w:sz="4" w:space="0" w:color="auto"/>
              <w:bottom w:val="single" w:sz="4" w:space="0" w:color="auto"/>
              <w:right w:val="single" w:sz="4" w:space="0" w:color="auto"/>
            </w:tcBorders>
            <w:shd w:val="clear" w:color="auto" w:fill="86BC25"/>
            <w:noWrap/>
            <w:vAlign w:val="center"/>
            <w:hideMark/>
          </w:tcPr>
          <w:p w:rsidR="00035C91" w:rsidRDefault="00632184">
            <w:pPr>
              <w:spacing w:before="60" w:after="60"/>
              <w:ind w:left="-109" w:firstLine="109"/>
              <w:jc w:val="center"/>
              <w:rPr>
                <w:rFonts w:ascii="Arial" w:eastAsia="Times New Roman" w:hAnsi="Arial" w:cs="Arial"/>
                <w:b/>
                <w:bCs/>
                <w:noProof/>
                <w:color w:val="FFFFFF"/>
                <w:sz w:val="18"/>
                <w:szCs w:val="18"/>
                <w:lang w:eastAsia="de-DE"/>
              </w:rPr>
            </w:pPr>
            <w:r>
              <w:rPr>
                <w:rFonts w:ascii="Times New Roman" w:eastAsia="Times New Roman" w:hAnsi="Times New Roman" w:cs="Arial"/>
                <w:b/>
                <w:bCs/>
                <w:noProof/>
                <w:color w:val="FFFFFF"/>
                <w:sz w:val="18"/>
                <w:szCs w:val="18"/>
                <w:lang w:eastAsia="de-DE"/>
              </w:rPr>
              <w:t>Mobile phones</w:t>
            </w:r>
          </w:p>
        </w:tc>
      </w:tr>
      <w:tr w:rsidR="00035C91">
        <w:trPr>
          <w:trHeight w:val="255"/>
          <w:tblHeader/>
        </w:trPr>
        <w:tc>
          <w:tcPr>
            <w:tcW w:w="3118" w:type="dxa"/>
            <w:vMerge/>
            <w:tcBorders>
              <w:top w:val="single" w:sz="4" w:space="0" w:color="auto"/>
              <w:left w:val="single" w:sz="4" w:space="0" w:color="auto"/>
              <w:bottom w:val="single" w:sz="4" w:space="0" w:color="auto"/>
              <w:right w:val="single" w:sz="4" w:space="0" w:color="auto"/>
            </w:tcBorders>
            <w:vAlign w:val="center"/>
            <w:hideMark/>
          </w:tcPr>
          <w:p w:rsidR="00035C91" w:rsidRDefault="00035C91">
            <w:pPr>
              <w:spacing w:before="0" w:after="0"/>
              <w:jc w:val="left"/>
              <w:rPr>
                <w:rFonts w:ascii="Arial" w:eastAsia="Times New Roman" w:hAnsi="Arial" w:cs="Arial"/>
                <w:b/>
                <w:bCs/>
                <w:noProof/>
                <w:color w:val="FFFFFF"/>
                <w:sz w:val="18"/>
                <w:szCs w:val="18"/>
                <w:lang w:eastAsia="de-DE"/>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rsidR="00035C91" w:rsidRDefault="00035C91">
            <w:pPr>
              <w:spacing w:before="0" w:after="0"/>
              <w:jc w:val="left"/>
              <w:rPr>
                <w:rFonts w:ascii="Arial" w:eastAsia="Times New Roman" w:hAnsi="Arial" w:cs="Arial"/>
                <w:b/>
                <w:bCs/>
                <w:noProof/>
                <w:color w:val="FFFFFF"/>
                <w:sz w:val="18"/>
                <w:szCs w:val="18"/>
                <w:lang w:eastAsia="de-DE"/>
              </w:rPr>
            </w:pPr>
          </w:p>
        </w:tc>
        <w:tc>
          <w:tcPr>
            <w:tcW w:w="1417" w:type="dxa"/>
            <w:tcBorders>
              <w:top w:val="single" w:sz="4" w:space="0" w:color="auto"/>
              <w:left w:val="single" w:sz="4" w:space="0" w:color="auto"/>
              <w:bottom w:val="single" w:sz="4" w:space="0" w:color="auto"/>
              <w:right w:val="single" w:sz="4" w:space="0" w:color="auto"/>
            </w:tcBorders>
            <w:shd w:val="clear" w:color="auto" w:fill="86BC25"/>
            <w:noWrap/>
            <w:vAlign w:val="center"/>
            <w:hideMark/>
          </w:tcPr>
          <w:p w:rsidR="00035C91" w:rsidRDefault="00632184">
            <w:pPr>
              <w:spacing w:before="60" w:after="60"/>
              <w:ind w:left="-109" w:firstLine="109"/>
              <w:jc w:val="center"/>
              <w:rPr>
                <w:rFonts w:ascii="Arial" w:eastAsia="Times New Roman" w:hAnsi="Arial" w:cs="Arial"/>
                <w:b/>
                <w:bCs/>
                <w:noProof/>
                <w:color w:val="FFFFFF"/>
                <w:sz w:val="18"/>
                <w:szCs w:val="18"/>
                <w:lang w:eastAsia="de-DE"/>
              </w:rPr>
            </w:pPr>
            <w:r>
              <w:rPr>
                <w:rFonts w:ascii="Times New Roman" w:eastAsia="Times New Roman" w:hAnsi="Times New Roman" w:cs="Arial"/>
                <w:b/>
                <w:bCs/>
                <w:noProof/>
                <w:color w:val="FFFFFF"/>
                <w:sz w:val="18"/>
                <w:szCs w:val="18"/>
                <w:lang w:eastAsia="de-DE"/>
              </w:rPr>
              <w:t xml:space="preserve">Opt-in </w:t>
            </w:r>
          </w:p>
        </w:tc>
        <w:tc>
          <w:tcPr>
            <w:tcW w:w="1418" w:type="dxa"/>
            <w:tcBorders>
              <w:top w:val="single" w:sz="4" w:space="0" w:color="auto"/>
              <w:left w:val="single" w:sz="4" w:space="0" w:color="auto"/>
              <w:bottom w:val="single" w:sz="4" w:space="0" w:color="auto"/>
              <w:right w:val="single" w:sz="4" w:space="0" w:color="auto"/>
            </w:tcBorders>
            <w:shd w:val="clear" w:color="auto" w:fill="86BC25"/>
            <w:noWrap/>
            <w:vAlign w:val="center"/>
            <w:hideMark/>
          </w:tcPr>
          <w:p w:rsidR="00035C91" w:rsidRDefault="00632184">
            <w:pPr>
              <w:spacing w:before="60" w:after="60"/>
              <w:ind w:left="-109" w:firstLine="109"/>
              <w:jc w:val="center"/>
              <w:rPr>
                <w:rFonts w:ascii="Arial" w:eastAsia="Times New Roman" w:hAnsi="Arial" w:cs="Arial"/>
                <w:b/>
                <w:bCs/>
                <w:noProof/>
                <w:color w:val="FFFFFF"/>
                <w:sz w:val="18"/>
                <w:szCs w:val="18"/>
                <w:lang w:eastAsia="de-DE"/>
              </w:rPr>
            </w:pPr>
            <w:r>
              <w:rPr>
                <w:rFonts w:ascii="Times New Roman" w:eastAsia="Times New Roman" w:hAnsi="Times New Roman" w:cs="Arial"/>
                <w:b/>
                <w:bCs/>
                <w:noProof/>
                <w:color w:val="FFFFFF"/>
                <w:sz w:val="18"/>
                <w:szCs w:val="18"/>
                <w:lang w:eastAsia="de-DE"/>
              </w:rPr>
              <w:t>Opt-out</w:t>
            </w:r>
          </w:p>
        </w:tc>
        <w:tc>
          <w:tcPr>
            <w:tcW w:w="1418" w:type="dxa"/>
            <w:tcBorders>
              <w:top w:val="single" w:sz="4" w:space="0" w:color="auto"/>
              <w:left w:val="single" w:sz="4" w:space="0" w:color="auto"/>
              <w:bottom w:val="single" w:sz="4" w:space="0" w:color="auto"/>
              <w:right w:val="single" w:sz="4" w:space="0" w:color="auto"/>
            </w:tcBorders>
            <w:shd w:val="clear" w:color="auto" w:fill="86BC25"/>
            <w:noWrap/>
            <w:vAlign w:val="center"/>
            <w:hideMark/>
          </w:tcPr>
          <w:p w:rsidR="00035C91" w:rsidRDefault="00632184">
            <w:pPr>
              <w:spacing w:before="60" w:after="60"/>
              <w:ind w:left="-109" w:firstLine="109"/>
              <w:jc w:val="center"/>
              <w:rPr>
                <w:rFonts w:ascii="Arial" w:eastAsia="Times New Roman" w:hAnsi="Arial" w:cs="Arial"/>
                <w:b/>
                <w:bCs/>
                <w:noProof/>
                <w:color w:val="FFFFFF"/>
                <w:sz w:val="18"/>
                <w:szCs w:val="18"/>
                <w:lang w:eastAsia="de-DE"/>
              </w:rPr>
            </w:pPr>
            <w:r>
              <w:rPr>
                <w:rFonts w:ascii="Times New Roman" w:eastAsia="Times New Roman" w:hAnsi="Times New Roman" w:cs="Arial"/>
                <w:b/>
                <w:bCs/>
                <w:noProof/>
                <w:color w:val="FFFFFF"/>
                <w:sz w:val="18"/>
                <w:szCs w:val="18"/>
                <w:lang w:eastAsia="de-DE"/>
              </w:rPr>
              <w:t xml:space="preserve">Opt-in </w:t>
            </w:r>
          </w:p>
        </w:tc>
        <w:tc>
          <w:tcPr>
            <w:tcW w:w="1418" w:type="dxa"/>
            <w:tcBorders>
              <w:top w:val="single" w:sz="4" w:space="0" w:color="auto"/>
              <w:left w:val="single" w:sz="4" w:space="0" w:color="auto"/>
              <w:bottom w:val="single" w:sz="4" w:space="0" w:color="auto"/>
              <w:right w:val="single" w:sz="4" w:space="0" w:color="auto"/>
            </w:tcBorders>
            <w:shd w:val="clear" w:color="auto" w:fill="86BC25"/>
            <w:noWrap/>
            <w:vAlign w:val="center"/>
            <w:hideMark/>
          </w:tcPr>
          <w:p w:rsidR="00035C91" w:rsidRDefault="00632184">
            <w:pPr>
              <w:spacing w:before="60" w:after="60"/>
              <w:ind w:left="-109" w:firstLine="109"/>
              <w:jc w:val="center"/>
              <w:rPr>
                <w:rFonts w:ascii="Arial" w:eastAsia="Times New Roman" w:hAnsi="Arial" w:cs="Arial"/>
                <w:b/>
                <w:bCs/>
                <w:noProof/>
                <w:color w:val="FFFFFF"/>
                <w:sz w:val="18"/>
                <w:szCs w:val="18"/>
                <w:lang w:eastAsia="de-DE"/>
              </w:rPr>
            </w:pPr>
            <w:r>
              <w:rPr>
                <w:rFonts w:ascii="Times New Roman" w:eastAsia="Times New Roman" w:hAnsi="Times New Roman" w:cs="Arial"/>
                <w:b/>
                <w:bCs/>
                <w:noProof/>
                <w:color w:val="FFFFFF"/>
                <w:sz w:val="18"/>
                <w:szCs w:val="18"/>
                <w:lang w:eastAsia="de-DE"/>
              </w:rPr>
              <w:t>Opt-out</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Austria</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321,661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Belgium</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593,421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Bulgaria</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319,856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Croatia</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147,337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Cyprus</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46,938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Czech Republic</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995,754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300"/>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Denmark</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212,740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2</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Estonia</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64,040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Finland</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229,248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France</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3,188,138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300"/>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Germany</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2,193,135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3</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Greece</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700,166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Hungary</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514,537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Ireland</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146,741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Italy</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3,715,164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Latvia</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100,491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Lithuania</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174,611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Luxembourg</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31,385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Malta</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26,193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Netherlands</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1,054,562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Poland</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1,549,326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Portugal</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781,823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xml:space="preserve"> X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035C91">
            <w:pPr>
              <w:spacing w:before="60" w:after="60"/>
              <w:ind w:left="-109" w:firstLine="109"/>
              <w:jc w:val="center"/>
              <w:rPr>
                <w:rFonts w:ascii="Arial" w:eastAsia="Times New Roman" w:hAnsi="Arial" w:cs="Arial"/>
                <w:noProof/>
                <w:color w:val="000000"/>
                <w:sz w:val="18"/>
                <w:szCs w:val="18"/>
                <w:lang w:eastAsia="de-DE"/>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xml:space="preserve"> X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035C91">
            <w:pPr>
              <w:spacing w:before="60" w:after="60"/>
              <w:ind w:left="-109" w:firstLine="109"/>
              <w:jc w:val="center"/>
              <w:rPr>
                <w:rFonts w:ascii="Arial" w:eastAsia="Times New Roman" w:hAnsi="Arial" w:cs="Arial"/>
                <w:noProof/>
                <w:color w:val="000000"/>
                <w:sz w:val="18"/>
                <w:szCs w:val="18"/>
                <w:lang w:eastAsia="de-DE"/>
              </w:rPr>
            </w:pP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Romania</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455,852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300"/>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Slovakia</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400,683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r>
              <w:rPr>
                <w:rFonts w:ascii="Times New Roman" w:eastAsia="Times New Roman" w:hAnsi="Times New Roman" w:cs="Arial"/>
                <w:noProof/>
                <w:sz w:val="18"/>
                <w:szCs w:val="18"/>
                <w:vertAlign w:val="superscript"/>
                <w:lang w:eastAsia="de-DE"/>
              </w:rPr>
              <w:t>3</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Slovenia</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130,088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Spain</w:t>
            </w:r>
          </w:p>
        </w:tc>
        <w:tc>
          <w:tcPr>
            <w:tcW w:w="1298" w:type="dxa"/>
            <w:tcBorders>
              <w:top w:val="single" w:sz="4" w:space="0" w:color="auto"/>
              <w:left w:val="single" w:sz="4" w:space="0" w:color="auto"/>
              <w:bottom w:val="single" w:sz="4" w:space="0" w:color="auto"/>
              <w:right w:val="single" w:sz="4" w:space="0" w:color="auto"/>
            </w:tcBorders>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2,377,191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Sweden</w:t>
            </w:r>
          </w:p>
        </w:tc>
        <w:tc>
          <w:tcPr>
            <w:tcW w:w="1298"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673,218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1820"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lef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United Kingdom</w:t>
            </w:r>
          </w:p>
        </w:tc>
        <w:tc>
          <w:tcPr>
            <w:tcW w:w="1298" w:type="dxa"/>
            <w:tcBorders>
              <w:top w:val="single" w:sz="4" w:space="0" w:color="auto"/>
              <w:left w:val="single" w:sz="4" w:space="0" w:color="auto"/>
              <w:bottom w:val="single" w:sz="4" w:space="0" w:color="auto"/>
              <w:right w:val="single" w:sz="4" w:space="0" w:color="auto"/>
            </w:tcBorders>
            <w:vAlign w:val="center"/>
            <w:hideMark/>
          </w:tcPr>
          <w:p w:rsidR="00035C91" w:rsidRDefault="00632184">
            <w:pPr>
              <w:spacing w:before="60" w:after="60"/>
              <w:ind w:left="-109" w:firstLine="109"/>
              <w:jc w:val="right"/>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1,841,715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X</w:t>
            </w:r>
          </w:p>
        </w:tc>
      </w:tr>
      <w:tr w:rsidR="00035C91">
        <w:trPr>
          <w:trHeight w:val="255"/>
        </w:trPr>
        <w:tc>
          <w:tcPr>
            <w:tcW w:w="3118"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035C91">
            <w:pPr>
              <w:spacing w:before="0" w:after="0"/>
              <w:jc w:val="left"/>
              <w:rPr>
                <w:rFonts w:ascii="Calibri" w:eastAsia="Calibri" w:hAnsi="Calibri"/>
                <w:noProof/>
                <w:sz w:val="24"/>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12</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19</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15</w:t>
            </w:r>
          </w:p>
        </w:tc>
      </w:tr>
      <w:tr w:rsidR="00035C91">
        <w:trPr>
          <w:trHeight w:val="255"/>
        </w:trPr>
        <w:tc>
          <w:tcPr>
            <w:tcW w:w="182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lang w:eastAsia="de-DE"/>
              </w:rPr>
              <w:t xml:space="preserve">Number / share of businesses </w:t>
            </w:r>
            <w:r>
              <w:rPr>
                <w:rFonts w:ascii="Times New Roman" w:eastAsia="Times New Roman" w:hAnsi="Times New Roman" w:cs="Arial"/>
                <w:noProof/>
                <w:sz w:val="18"/>
                <w:szCs w:val="18"/>
                <w:lang w:eastAsia="de-DE"/>
              </w:rPr>
              <w:t>affected</w:t>
            </w:r>
          </w:p>
        </w:tc>
        <w:tc>
          <w:tcPr>
            <w:tcW w:w="1298" w:type="dxa"/>
            <w:tcBorders>
              <w:top w:val="single" w:sz="4" w:space="0" w:color="auto"/>
              <w:left w:val="single" w:sz="4" w:space="0" w:color="auto"/>
              <w:bottom w:val="single" w:sz="4" w:space="0" w:color="auto"/>
              <w:right w:val="single" w:sz="4" w:space="0" w:color="auto"/>
            </w:tcBorders>
            <w:shd w:val="clear" w:color="auto" w:fill="BFBFBF"/>
            <w:hideMark/>
          </w:tcPr>
          <w:p w:rsidR="00035C91" w:rsidRDefault="00632184">
            <w:pPr>
              <w:spacing w:before="60" w:after="60"/>
              <w:ind w:left="-109" w:firstLine="109"/>
              <w:jc w:val="right"/>
              <w:rPr>
                <w:rFonts w:ascii="Calibri" w:eastAsia="Times" w:hAnsi="Calibri" w:cs="Arial"/>
                <w:noProof/>
                <w:color w:val="000000"/>
                <w:sz w:val="24"/>
                <w:szCs w:val="20"/>
                <w:lang w:eastAsia="de-DE"/>
              </w:rPr>
            </w:pPr>
            <w:r>
              <w:rPr>
                <w:rFonts w:ascii="Times New Roman" w:eastAsia="Times New Roman" w:hAnsi="Times New Roman" w:cs="Arial"/>
                <w:noProof/>
                <w:sz w:val="18"/>
                <w:szCs w:val="18"/>
                <w:lang w:eastAsia="de-DE"/>
              </w:rPr>
              <w:t>22,986,014</w:t>
            </w:r>
          </w:p>
        </w:tc>
        <w:tc>
          <w:tcPr>
            <w:tcW w:w="141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rPr>
              <w:t>5,553,712</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rPr>
              <w:t>20,238,860</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rPr>
              <w:t>11,859,203</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Arial" w:eastAsia="Times New Roman" w:hAnsi="Arial" w:cs="Arial"/>
                <w:noProof/>
                <w:color w:val="000000"/>
                <w:sz w:val="18"/>
                <w:szCs w:val="18"/>
                <w:lang w:eastAsia="de-DE"/>
              </w:rPr>
            </w:pPr>
            <w:r>
              <w:rPr>
                <w:rFonts w:ascii="Times New Roman" w:eastAsia="Times New Roman" w:hAnsi="Times New Roman" w:cs="Arial"/>
                <w:noProof/>
                <w:sz w:val="18"/>
                <w:szCs w:val="18"/>
              </w:rPr>
              <w:t>13,933,369</w:t>
            </w:r>
          </w:p>
        </w:tc>
      </w:tr>
      <w:tr w:rsidR="00035C91">
        <w:trPr>
          <w:trHeight w:val="255"/>
        </w:trPr>
        <w:tc>
          <w:tcPr>
            <w:tcW w:w="3118" w:type="dxa"/>
            <w:vMerge/>
            <w:tcBorders>
              <w:top w:val="single" w:sz="4" w:space="0" w:color="auto"/>
              <w:left w:val="single" w:sz="4" w:space="0" w:color="auto"/>
              <w:bottom w:val="single" w:sz="4" w:space="0" w:color="auto"/>
              <w:right w:val="single" w:sz="4" w:space="0" w:color="auto"/>
            </w:tcBorders>
            <w:vAlign w:val="center"/>
            <w:hideMark/>
          </w:tcPr>
          <w:p w:rsidR="00035C91" w:rsidRDefault="00035C91">
            <w:pPr>
              <w:spacing w:before="0" w:after="0"/>
              <w:jc w:val="left"/>
              <w:rPr>
                <w:rFonts w:ascii="Arial" w:eastAsia="Times New Roman" w:hAnsi="Arial" w:cs="Arial"/>
                <w:noProof/>
                <w:color w:val="000000"/>
                <w:sz w:val="18"/>
                <w:szCs w:val="18"/>
                <w:lang w:eastAsia="de-DE"/>
              </w:rPr>
            </w:pPr>
          </w:p>
        </w:tc>
        <w:tc>
          <w:tcPr>
            <w:tcW w:w="1298" w:type="dxa"/>
            <w:tcBorders>
              <w:top w:val="single" w:sz="4" w:space="0" w:color="auto"/>
              <w:left w:val="single" w:sz="4" w:space="0" w:color="auto"/>
              <w:bottom w:val="single" w:sz="4" w:space="0" w:color="auto"/>
              <w:right w:val="single" w:sz="4" w:space="0" w:color="auto"/>
            </w:tcBorders>
            <w:shd w:val="clear" w:color="auto" w:fill="BFBFBF"/>
            <w:hideMark/>
          </w:tcPr>
          <w:p w:rsidR="00035C91" w:rsidRDefault="00035C91">
            <w:pPr>
              <w:spacing w:before="60" w:after="60"/>
              <w:rPr>
                <w:rFonts w:ascii="Calibri" w:eastAsia="Times" w:hAnsi="Calibri" w:cs="Arial"/>
                <w:noProof/>
                <w:color w:val="000000"/>
                <w:sz w:val="24"/>
                <w:szCs w:val="20"/>
                <w:lang w:eastAsia="de-DE"/>
              </w:rPr>
            </w:pPr>
          </w:p>
        </w:tc>
        <w:tc>
          <w:tcPr>
            <w:tcW w:w="141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24%</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88%</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52%</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35C91" w:rsidRDefault="00632184">
            <w:pPr>
              <w:spacing w:before="60" w:after="60"/>
              <w:ind w:left="-109" w:firstLine="109"/>
              <w:jc w:val="center"/>
              <w:rPr>
                <w:rFonts w:ascii="Times New Roman" w:eastAsia="Times New Roman" w:hAnsi="Times New Roman" w:cs="Arial"/>
                <w:noProof/>
                <w:sz w:val="18"/>
                <w:szCs w:val="18"/>
                <w:lang w:eastAsia="de-DE"/>
              </w:rPr>
            </w:pPr>
            <w:r>
              <w:rPr>
                <w:rFonts w:ascii="Times New Roman" w:eastAsia="Times New Roman" w:hAnsi="Times New Roman" w:cs="Arial"/>
                <w:noProof/>
                <w:sz w:val="18"/>
                <w:szCs w:val="18"/>
                <w:lang w:eastAsia="de-DE"/>
              </w:rPr>
              <w:t>61%</w:t>
            </w:r>
          </w:p>
        </w:tc>
      </w:tr>
    </w:tbl>
    <w:p w:rsidR="00035C91" w:rsidRDefault="00035C91">
      <w:pPr>
        <w:tabs>
          <w:tab w:val="left" w:pos="850"/>
        </w:tabs>
        <w:spacing w:before="0" w:after="240"/>
        <w:rPr>
          <w:rFonts w:ascii="Times New Roman" w:eastAsia="Times New Roman" w:hAnsi="Times New Roman"/>
          <w:noProof/>
          <w:sz w:val="24"/>
          <w:szCs w:val="20"/>
        </w:rPr>
      </w:pPr>
    </w:p>
    <w:p w:rsidR="00035C91" w:rsidRDefault="00035C91">
      <w:pPr>
        <w:spacing w:before="0" w:after="240"/>
        <w:rPr>
          <w:rFonts w:ascii="Times New Roman" w:eastAsia="Times New Roman" w:hAnsi="Times New Roman"/>
          <w:noProof/>
          <w:sz w:val="24"/>
          <w:szCs w:val="20"/>
        </w:rPr>
        <w:sectPr w:rsidR="00035C91">
          <w:headerReference w:type="even" r:id="rId45"/>
          <w:headerReference w:type="default" r:id="rId46"/>
          <w:footerReference w:type="even" r:id="rId47"/>
          <w:footerReference w:type="default" r:id="rId48"/>
          <w:headerReference w:type="first" r:id="rId49"/>
          <w:footerReference w:type="first" r:id="rId50"/>
          <w:footnotePr>
            <w:numStart w:val="117"/>
          </w:footnotePr>
          <w:pgSz w:w="11906" w:h="16838"/>
          <w:pgMar w:top="1135" w:right="1417" w:bottom="1417" w:left="1417" w:header="709" w:footer="709" w:gutter="0"/>
          <w:cols w:space="708"/>
          <w:docGrid w:linePitch="360"/>
        </w:sectPr>
      </w:pPr>
    </w:p>
    <w:p w:rsidR="00035C91" w:rsidRDefault="00632184">
      <w:pPr>
        <w:pStyle w:val="ManualHeading1"/>
        <w:pBdr>
          <w:top w:val="single" w:sz="4" w:space="0" w:color="auto"/>
        </w:pBdr>
      </w:pPr>
      <w:bookmarkStart w:id="98" w:name="_Toc468455386"/>
      <w:bookmarkStart w:id="99" w:name="_Toc468795243"/>
      <w:r>
        <w:t>Annex 11: Table of competent authorities</w:t>
      </w:r>
      <w:bookmarkEnd w:id="98"/>
      <w:bookmarkEnd w:id="99"/>
      <w:r>
        <w:t xml:space="preserve"> </w:t>
      </w:r>
    </w:p>
    <w:p w:rsidR="00035C91" w:rsidRDefault="00035C91">
      <w:pPr>
        <w:spacing w:before="0"/>
        <w:rPr>
          <w:rFonts w:ascii="Times New Roman" w:eastAsia="Times New Roman" w:hAnsi="Times New Roman"/>
          <w:noProof/>
          <w:sz w:val="24"/>
        </w:rPr>
      </w:pPr>
    </w:p>
    <w:p w:rsidR="00035C91" w:rsidRDefault="00632184">
      <w:pPr>
        <w:spacing w:before="0"/>
        <w:rPr>
          <w:rFonts w:ascii="Times New Roman" w:eastAsia="Times New Roman" w:hAnsi="Times New Roman"/>
          <w:noProof/>
          <w:sz w:val="24"/>
        </w:rPr>
      </w:pPr>
      <w:r>
        <w:rPr>
          <w:rFonts w:ascii="Times New Roman" w:eastAsia="Times New Roman" w:hAnsi="Times New Roman"/>
          <w:noProof/>
          <w:sz w:val="24"/>
        </w:rPr>
        <w:t xml:space="preserve">The enforcement of the ePD provisions at national level is entrusted </w:t>
      </w:r>
      <w:r>
        <w:rPr>
          <w:rFonts w:ascii="Times New Roman" w:eastAsia="Times New Roman" w:hAnsi="Times New Roman"/>
          <w:noProof/>
          <w:sz w:val="24"/>
        </w:rPr>
        <w:t>to a “</w:t>
      </w:r>
      <w:r>
        <w:rPr>
          <w:rFonts w:ascii="Times New Roman" w:eastAsia="Times New Roman" w:hAnsi="Times New Roman"/>
          <w:i/>
          <w:noProof/>
          <w:sz w:val="24"/>
        </w:rPr>
        <w:t>competent national authority</w:t>
      </w:r>
      <w:r>
        <w:rPr>
          <w:rFonts w:ascii="Times New Roman" w:eastAsia="Times New Roman" w:hAnsi="Times New Roman"/>
          <w:noProof/>
          <w:sz w:val="24"/>
        </w:rPr>
        <w:t xml:space="preserve">” (Article 15a of the ePD), without further defining that authority or body. This has led to a fragmented situation in the EU and within Member States. Member States have allocated the competence to DPAs, telecom NRAs, to </w:t>
      </w:r>
      <w:r>
        <w:rPr>
          <w:rFonts w:ascii="Times New Roman" w:eastAsia="Times New Roman" w:hAnsi="Times New Roman"/>
          <w:noProof/>
          <w:sz w:val="24"/>
        </w:rPr>
        <w:t xml:space="preserve">another type of body (e.g. consumer protection bodies) or to several different bodies within the same country. </w:t>
      </w:r>
    </w:p>
    <w:p w:rsidR="00035C91" w:rsidRDefault="00632184">
      <w:pPr>
        <w:spacing w:before="0"/>
        <w:rPr>
          <w:rFonts w:ascii="Times New Roman" w:eastAsia="Times New Roman" w:hAnsi="Times New Roman"/>
          <w:noProof/>
          <w:sz w:val="24"/>
        </w:rPr>
      </w:pPr>
      <w:r>
        <w:rPr>
          <w:rFonts w:ascii="Times New Roman" w:eastAsia="Times New Roman" w:hAnsi="Times New Roman"/>
          <w:noProof/>
          <w:sz w:val="24"/>
        </w:rPr>
        <w:t xml:space="preserve">The table below shows that not only competence for the ePD is scattered over several authorities, but that competence can even be scattered per </w:t>
      </w:r>
      <w:r>
        <w:rPr>
          <w:rFonts w:ascii="Times New Roman" w:eastAsia="Times New Roman" w:hAnsi="Times New Roman"/>
          <w:noProof/>
          <w:sz w:val="24"/>
        </w:rPr>
        <w:t xml:space="preserve">article. For Article 13, in 11 Member States the DPA has sole competence, in 1 Member States the consumer agency has sole competence and in 4 Member States the NRA and DPA share competence. In the remaining Member States other combinations of authorities, </w:t>
      </w:r>
      <w:r>
        <w:rPr>
          <w:rFonts w:ascii="Times New Roman" w:eastAsia="Times New Roman" w:hAnsi="Times New Roman"/>
          <w:noProof/>
          <w:sz w:val="24"/>
        </w:rPr>
        <w:t xml:space="preserve">up to five different ones, have competence on Article 13. Article 13 stands as an example for the distribution of competences for the other ePD articles. </w:t>
      </w:r>
    </w:p>
    <w:p w:rsidR="00035C91" w:rsidRDefault="00632184">
      <w:pPr>
        <w:spacing w:before="0"/>
        <w:rPr>
          <w:rFonts w:ascii="Times New Roman" w:eastAsia="Times New Roman" w:hAnsi="Times New Roman"/>
          <w:noProof/>
          <w:sz w:val="24"/>
        </w:rPr>
      </w:pPr>
      <w:r>
        <w:rPr>
          <w:rFonts w:ascii="Times New Roman" w:eastAsia="Times New Roman" w:hAnsi="Times New Roman"/>
          <w:noProof/>
          <w:sz w:val="24"/>
        </w:rPr>
        <w:t>The current situation in which several authorities can be in charge of the ePD and several authoritie</w:t>
      </w:r>
      <w:r>
        <w:rPr>
          <w:rFonts w:ascii="Times New Roman" w:eastAsia="Times New Roman" w:hAnsi="Times New Roman"/>
          <w:noProof/>
          <w:sz w:val="24"/>
        </w:rPr>
        <w:t>s can be in charge of one article causes several risks:</w:t>
      </w:r>
    </w:p>
    <w:p w:rsidR="00035C91" w:rsidRDefault="00632184">
      <w:pPr>
        <w:numPr>
          <w:ilvl w:val="0"/>
          <w:numId w:val="88"/>
        </w:numPr>
        <w:spacing w:before="0" w:after="240"/>
        <w:rPr>
          <w:rFonts w:ascii="Times New Roman" w:eastAsia="Times New Roman" w:hAnsi="Times New Roman"/>
          <w:noProof/>
          <w:sz w:val="24"/>
        </w:rPr>
      </w:pPr>
      <w:r>
        <w:rPr>
          <w:rFonts w:ascii="Times New Roman" w:eastAsia="Times New Roman" w:hAnsi="Times New Roman"/>
          <w:noProof/>
          <w:sz w:val="24"/>
        </w:rPr>
        <w:t>The risk of having several interpretations of ePD provisions within one Member State. The different competent authorities may have different views and use different enforcement strategies;</w:t>
      </w:r>
    </w:p>
    <w:p w:rsidR="00035C91" w:rsidRDefault="00632184">
      <w:pPr>
        <w:numPr>
          <w:ilvl w:val="0"/>
          <w:numId w:val="88"/>
        </w:numPr>
        <w:spacing w:before="0" w:after="240"/>
        <w:rPr>
          <w:rFonts w:ascii="Times New Roman" w:eastAsia="Times New Roman" w:hAnsi="Times New Roman"/>
          <w:noProof/>
          <w:sz w:val="24"/>
        </w:rPr>
      </w:pPr>
      <w:r>
        <w:rPr>
          <w:rFonts w:ascii="Times New Roman" w:eastAsia="Times New Roman" w:hAnsi="Times New Roman"/>
          <w:noProof/>
          <w:sz w:val="24"/>
        </w:rPr>
        <w:t>The risk of</w:t>
      </w:r>
      <w:r>
        <w:rPr>
          <w:rFonts w:ascii="Times New Roman" w:eastAsia="Times New Roman" w:hAnsi="Times New Roman"/>
          <w:noProof/>
          <w:sz w:val="24"/>
        </w:rPr>
        <w:t xml:space="preserve"> duplication of enforcement powers of the same article, which is detrimental for consumers. It may be difficult to single out the enforcers to complain to and the risk exists they are send back and forth between authorities.</w:t>
      </w:r>
    </w:p>
    <w:p w:rsidR="00035C91" w:rsidRDefault="00632184">
      <w:pPr>
        <w:spacing w:before="0"/>
        <w:rPr>
          <w:rFonts w:ascii="Times New Roman" w:eastAsia="Times New Roman" w:hAnsi="Times New Roman"/>
          <w:noProof/>
          <w:sz w:val="24"/>
        </w:rPr>
      </w:pPr>
      <w:r>
        <w:rPr>
          <w:rFonts w:ascii="Times New Roman" w:eastAsia="Times New Roman" w:hAnsi="Times New Roman"/>
          <w:noProof/>
          <w:sz w:val="24"/>
        </w:rPr>
        <w:t>Above is multiplied when you ta</w:t>
      </w:r>
      <w:r>
        <w:rPr>
          <w:rFonts w:ascii="Times New Roman" w:eastAsia="Times New Roman" w:hAnsi="Times New Roman"/>
          <w:noProof/>
          <w:sz w:val="24"/>
        </w:rPr>
        <w:t xml:space="preserve">ke it to a European level. </w:t>
      </w:r>
    </w:p>
    <w:p w:rsidR="00035C91" w:rsidRDefault="00632184">
      <w:pPr>
        <w:spacing w:before="0"/>
        <w:rPr>
          <w:rFonts w:ascii="Times New Roman" w:eastAsia="Times New Roman" w:hAnsi="Times New Roman"/>
          <w:bCs/>
          <w:noProof/>
          <w:color w:val="545454"/>
          <w:sz w:val="24"/>
        </w:rPr>
      </w:pPr>
      <w:r>
        <w:rPr>
          <w:rFonts w:ascii="Times New Roman" w:eastAsia="Times New Roman" w:hAnsi="Times New Roman"/>
          <w:noProof/>
          <w:sz w:val="24"/>
        </w:rPr>
        <w:t>Moreover, there is no recognised EU group to gather together all authorities responsible for the enforcement of the ePD: indeed, DPAs meet through the Article 29 Working Party, NRAs through BEREC. Some consumer bodies meet throu</w:t>
      </w:r>
      <w:r>
        <w:rPr>
          <w:rFonts w:ascii="Times New Roman" w:eastAsia="Times New Roman" w:hAnsi="Times New Roman"/>
          <w:noProof/>
          <w:sz w:val="24"/>
        </w:rPr>
        <w:t>gh the</w:t>
      </w:r>
      <w:r>
        <w:rPr>
          <w:rFonts w:ascii="Times New Roman" w:eastAsia="Times New Roman" w:hAnsi="Times New Roman"/>
          <w:b/>
          <w:noProof/>
          <w:sz w:val="24"/>
        </w:rPr>
        <w:t xml:space="preserve"> </w:t>
      </w:r>
      <w:r>
        <w:rPr>
          <w:rFonts w:ascii="Times New Roman" w:eastAsia="Times New Roman" w:hAnsi="Times New Roman"/>
          <w:bCs/>
          <w:noProof/>
          <w:sz w:val="24"/>
        </w:rPr>
        <w:t>Consumer Protection Cooperation</w:t>
      </w:r>
      <w:r>
        <w:rPr>
          <w:rFonts w:ascii="Times New Roman" w:eastAsia="Times New Roman" w:hAnsi="Times New Roman"/>
          <w:b/>
          <w:noProof/>
          <w:sz w:val="24"/>
        </w:rPr>
        <w:t xml:space="preserve"> </w:t>
      </w:r>
      <w:r>
        <w:rPr>
          <w:rFonts w:ascii="Times New Roman" w:eastAsia="Times New Roman" w:hAnsi="Times New Roman"/>
          <w:noProof/>
          <w:sz w:val="24"/>
        </w:rPr>
        <w:t>(</w:t>
      </w:r>
      <w:r>
        <w:rPr>
          <w:rFonts w:ascii="Times New Roman" w:eastAsia="Times New Roman" w:hAnsi="Times New Roman"/>
          <w:bCs/>
          <w:noProof/>
          <w:sz w:val="24"/>
        </w:rPr>
        <w:t>CPC</w:t>
      </w:r>
      <w:r>
        <w:rPr>
          <w:rFonts w:ascii="Times New Roman" w:eastAsia="Times New Roman" w:hAnsi="Times New Roman"/>
          <w:noProof/>
          <w:sz w:val="24"/>
        </w:rPr>
        <w:t>)</w:t>
      </w:r>
      <w:r>
        <w:rPr>
          <w:rFonts w:ascii="Times New Roman" w:eastAsia="Times New Roman" w:hAnsi="Times New Roman"/>
          <w:b/>
          <w:noProof/>
          <w:sz w:val="24"/>
        </w:rPr>
        <w:t xml:space="preserve"> </w:t>
      </w:r>
      <w:r>
        <w:rPr>
          <w:rFonts w:ascii="Times New Roman" w:eastAsia="Times New Roman" w:hAnsi="Times New Roman"/>
          <w:bCs/>
          <w:noProof/>
          <w:sz w:val="24"/>
        </w:rPr>
        <w:t>network.</w:t>
      </w:r>
      <w:r>
        <w:rPr>
          <w:rFonts w:ascii="Times New Roman" w:eastAsia="Times New Roman" w:hAnsi="Times New Roman"/>
          <w:bCs/>
          <w:noProof/>
          <w:color w:val="545454"/>
          <w:sz w:val="24"/>
        </w:rPr>
        <w:t xml:space="preserve"> </w:t>
      </w:r>
    </w:p>
    <w:p w:rsidR="00035C91" w:rsidRDefault="00035C91">
      <w:pPr>
        <w:spacing w:before="0"/>
        <w:rPr>
          <w:rFonts w:ascii="Times New Roman" w:eastAsia="Times New Roman" w:hAnsi="Times New Roman"/>
          <w:bCs/>
          <w:noProof/>
          <w:color w:val="545454"/>
          <w:sz w:val="24"/>
        </w:rPr>
      </w:pPr>
    </w:p>
    <w:tbl>
      <w:tblPr>
        <w:tblW w:w="8649" w:type="dxa"/>
        <w:tblInd w:w="108" w:type="dxa"/>
        <w:tblLayout w:type="fixed"/>
        <w:tblLook w:val="04A0" w:firstRow="1" w:lastRow="0" w:firstColumn="1" w:lastColumn="0" w:noHBand="0" w:noVBand="1"/>
      </w:tblPr>
      <w:tblGrid>
        <w:gridCol w:w="1276"/>
        <w:gridCol w:w="2410"/>
        <w:gridCol w:w="2411"/>
        <w:gridCol w:w="2552"/>
      </w:tblGrid>
      <w:tr w:rsidR="00035C91">
        <w:trPr>
          <w:trHeight w:val="300"/>
          <w:tblHeader/>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Country</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jc w:val="left"/>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Article 5</w:t>
            </w:r>
          </w:p>
        </w:tc>
        <w:tc>
          <w:tcPr>
            <w:tcW w:w="24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jc w:val="left"/>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 xml:space="preserve">Articles 6 &amp; 9 </w:t>
            </w:r>
          </w:p>
        </w:tc>
        <w:tc>
          <w:tcPr>
            <w:tcW w:w="25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jc w:val="left"/>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 xml:space="preserve">Article 13 </w:t>
            </w:r>
          </w:p>
        </w:tc>
      </w:tr>
      <w:tr w:rsidR="00035C91">
        <w:trPr>
          <w:trHeight w:val="6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Austria</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NRA      Telecom office</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Telecom office                     </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Telecom office                                  </w:t>
            </w:r>
            <w:r>
              <w:rPr>
                <w:rFonts w:ascii="Times New Roman" w:eastAsia="Times New Roman" w:hAnsi="Times New Roman"/>
                <w:noProof/>
                <w:color w:val="000000"/>
                <w:sz w:val="24"/>
                <w:lang w:eastAsia="en-GB"/>
              </w:rPr>
              <w:br/>
              <w:t>DPA</w:t>
            </w:r>
          </w:p>
        </w:tc>
      </w:tr>
      <w:tr w:rsidR="00035C91">
        <w:trPr>
          <w:trHeight w:val="1258"/>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Belgium</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 xml:space="preserve">Ombudsman for telecoms                </w:t>
            </w:r>
            <w:r>
              <w:rPr>
                <w:rFonts w:ascii="Times New Roman" w:eastAsia="Times New Roman" w:hAnsi="Times New Roman"/>
                <w:noProof/>
                <w:color w:val="000000"/>
                <w:sz w:val="24"/>
                <w:lang w:eastAsia="en-GB"/>
              </w:rPr>
              <w:br/>
              <w:t>Regional supervisory authorities for the media sector</w:t>
            </w:r>
            <w:r>
              <w:rPr>
                <w:rFonts w:ascii="Times New Roman" w:eastAsia="Times New Roman" w:hAnsi="Times New Roman"/>
                <w:noProof/>
                <w:color w:val="000000"/>
                <w:sz w:val="24"/>
                <w:lang w:eastAsia="en-GB"/>
              </w:rPr>
              <w:b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 xml:space="preserve">Ombudsman for telecoms                </w:t>
            </w:r>
            <w:r>
              <w:rPr>
                <w:rFonts w:ascii="Times New Roman" w:eastAsia="Times New Roman" w:hAnsi="Times New Roman"/>
                <w:noProof/>
                <w:color w:val="000000"/>
                <w:sz w:val="24"/>
                <w:lang w:eastAsia="en-GB"/>
              </w:rPr>
              <w:br/>
              <w:t>Regional supervisory</w:t>
            </w:r>
            <w:r>
              <w:rPr>
                <w:rFonts w:ascii="Times New Roman" w:eastAsia="Times New Roman" w:hAnsi="Times New Roman"/>
                <w:noProof/>
                <w:color w:val="000000"/>
                <w:sz w:val="24"/>
                <w:lang w:eastAsia="en-GB"/>
              </w:rPr>
              <w:t xml:space="preserve"> authorities for the media sector</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 xml:space="preserve">Ombudsman for telecoms                </w:t>
            </w:r>
            <w:r>
              <w:rPr>
                <w:rFonts w:ascii="Times New Roman" w:eastAsia="Times New Roman" w:hAnsi="Times New Roman"/>
                <w:noProof/>
                <w:color w:val="000000"/>
                <w:sz w:val="24"/>
                <w:lang w:eastAsia="en-GB"/>
              </w:rPr>
              <w:br/>
              <w:t xml:space="preserve">Regional supervisory authorities for the media sector                                              </w:t>
            </w:r>
            <w:r>
              <w:rPr>
                <w:rFonts w:ascii="Times New Roman" w:eastAsia="Times New Roman" w:hAnsi="Times New Roman"/>
                <w:noProof/>
                <w:color w:val="000000"/>
                <w:sz w:val="24"/>
                <w:lang w:eastAsia="en-GB"/>
              </w:rPr>
              <w:br/>
              <w:t xml:space="preserve">Ministry for Economy             </w:t>
            </w:r>
            <w:r>
              <w:rPr>
                <w:rFonts w:ascii="Times New Roman" w:eastAsia="Times New Roman" w:hAnsi="Times New Roman"/>
                <w:noProof/>
                <w:color w:val="000000"/>
                <w:sz w:val="24"/>
                <w:lang w:eastAsia="en-GB"/>
              </w:rPr>
              <w:t xml:space="preserve">             </w:t>
            </w:r>
            <w:r>
              <w:rPr>
                <w:rFonts w:ascii="Times New Roman" w:eastAsia="Times New Roman" w:hAnsi="Times New Roman"/>
                <w:noProof/>
                <w:color w:val="000000"/>
                <w:sz w:val="24"/>
                <w:lang w:eastAsia="en-GB"/>
              </w:rPr>
              <w:br/>
              <w:t>DPA</w:t>
            </w:r>
          </w:p>
        </w:tc>
      </w:tr>
      <w:tr w:rsidR="00035C91">
        <w:trPr>
          <w:trHeight w:val="985"/>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Bulgaria</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DPA                                                        Commission for Consumer Protection</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 xml:space="preserve">Commission for </w:t>
            </w:r>
            <w:r>
              <w:rPr>
                <w:rFonts w:ascii="Times New Roman" w:eastAsia="Times New Roman" w:hAnsi="Times New Roman"/>
                <w:noProof/>
                <w:color w:val="000000"/>
                <w:sz w:val="24"/>
                <w:lang w:eastAsia="en-GB"/>
              </w:rPr>
              <w:t>Consumer Protection</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Commission for Consumer Protection                                            DPA</w:t>
            </w:r>
          </w:p>
        </w:tc>
      </w:tr>
      <w:tr w:rsidR="00035C91">
        <w:trPr>
          <w:trHeight w:val="1114"/>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Croatia</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 xml:space="preserve">DPA                                          </w:t>
            </w:r>
            <w:r>
              <w:rPr>
                <w:rFonts w:ascii="Times New Roman" w:eastAsia="Times New Roman" w:hAnsi="Times New Roman"/>
                <w:noProof/>
                <w:color w:val="000000"/>
                <w:sz w:val="24"/>
                <w:lang w:eastAsia="en-GB"/>
              </w:rPr>
              <w:br/>
              <w:t xml:space="preserve">Ministry for Economic Affairs                                               </w:t>
            </w:r>
            <w:r>
              <w:rPr>
                <w:rFonts w:ascii="Times New Roman" w:eastAsia="Times New Roman" w:hAnsi="Times New Roman"/>
                <w:noProof/>
                <w:color w:val="000000"/>
                <w:sz w:val="24"/>
                <w:lang w:eastAsia="en-GB"/>
              </w:rPr>
              <w:t xml:space="preserve">             </w:t>
            </w:r>
            <w:r>
              <w:rPr>
                <w:rFonts w:ascii="Times New Roman" w:eastAsia="Times New Roman" w:hAnsi="Times New Roman"/>
                <w:noProof/>
                <w:color w:val="000000"/>
                <w:sz w:val="24"/>
                <w:lang w:eastAsia="en-GB"/>
              </w:rPr>
              <w:br/>
              <w:t>Ministry of Finance</w:t>
            </w:r>
          </w:p>
        </w:tc>
      </w:tr>
      <w:tr w:rsidR="00035C91">
        <w:trPr>
          <w:trHeight w:val="6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Cyprus</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DPA</w:t>
            </w:r>
          </w:p>
        </w:tc>
      </w:tr>
      <w:tr w:rsidR="00035C91">
        <w:trPr>
          <w:trHeight w:val="3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Czech Republic</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r>
      <w:tr w:rsidR="00035C91">
        <w:trPr>
          <w:trHeight w:val="1081"/>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Denmark</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The Telecommunications Complaints Board</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Competition and Consumer Authority                                              </w:t>
            </w:r>
            <w:r>
              <w:rPr>
                <w:rFonts w:ascii="Times New Roman" w:eastAsia="Times New Roman" w:hAnsi="Times New Roman"/>
                <w:noProof/>
                <w:color w:val="000000"/>
                <w:sz w:val="24"/>
                <w:lang w:eastAsia="en-GB"/>
              </w:rPr>
              <w:br/>
              <w:t>Consumer Ombudsman</w:t>
            </w:r>
          </w:p>
        </w:tc>
      </w:tr>
      <w:tr w:rsidR="00035C91">
        <w:trPr>
          <w:trHeight w:val="3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Estonia</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NRA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NRA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r>
      <w:tr w:rsidR="00035C91">
        <w:trPr>
          <w:trHeight w:val="3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Finland</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NRA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r>
      <w:tr w:rsidR="00035C91">
        <w:trPr>
          <w:trHeight w:val="753"/>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France</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NRA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NRA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 xml:space="preserve">NRA                                       </w:t>
            </w:r>
            <w:r>
              <w:rPr>
                <w:rFonts w:ascii="Times New Roman" w:eastAsia="Times New Roman" w:hAnsi="Times New Roman"/>
                <w:noProof/>
                <w:color w:val="000000"/>
                <w:sz w:val="24"/>
                <w:lang w:eastAsia="en-GB"/>
              </w:rPr>
              <w:br/>
              <w:t>Ministry for Economic Affairs</w:t>
            </w:r>
          </w:p>
        </w:tc>
      </w:tr>
      <w:tr w:rsidR="00035C91">
        <w:trPr>
          <w:trHeight w:val="1305"/>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Germany</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 xml:space="preserve">NRA                                                              </w:t>
            </w:r>
            <w:r>
              <w:rPr>
                <w:rFonts w:ascii="Times New Roman" w:eastAsia="Times New Roman" w:hAnsi="Times New Roman"/>
                <w:noProof/>
                <w:color w:val="000000"/>
                <w:sz w:val="24"/>
                <w:lang w:eastAsia="en-GB"/>
              </w:rPr>
              <w:br/>
              <w:t>Data Protection Commissioners of the German Lands (for art. 5.3)</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NR</w:t>
            </w:r>
            <w:r>
              <w:rPr>
                <w:rFonts w:ascii="Times New Roman" w:eastAsia="Times New Roman" w:hAnsi="Times New Roman"/>
                <w:noProof/>
                <w:color w:val="000000"/>
                <w:sz w:val="24"/>
                <w:lang w:eastAsia="en-GB"/>
              </w:rPr>
              <w:t>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NRA</w:t>
            </w:r>
          </w:p>
        </w:tc>
      </w:tr>
      <w:tr w:rsidR="00035C91">
        <w:trPr>
          <w:trHeight w:val="6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Greece</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                                                             NRA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                                                             NRA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t xml:space="preserve">                 NRA</w:t>
            </w:r>
          </w:p>
        </w:tc>
      </w:tr>
      <w:tr w:rsidR="00035C91">
        <w:trPr>
          <w:trHeight w:val="937"/>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Hungary</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NRA (except 5(3))</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NRA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 xml:space="preserve">DPA                                                       </w:t>
            </w:r>
            <w:r>
              <w:rPr>
                <w:rFonts w:ascii="Times New Roman" w:eastAsia="Times New Roman" w:hAnsi="Times New Roman"/>
                <w:noProof/>
                <w:color w:val="000000"/>
                <w:sz w:val="24"/>
                <w:lang w:eastAsia="en-GB"/>
              </w:rPr>
              <w:br/>
              <w:t xml:space="preserve">Consumer Protection Inspectorates / National Authority </w:t>
            </w:r>
          </w:p>
        </w:tc>
      </w:tr>
      <w:tr w:rsidR="00035C91">
        <w:trPr>
          <w:trHeight w:val="6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Ireland</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NRA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p>
        </w:tc>
      </w:tr>
      <w:tr w:rsidR="00035C91">
        <w:trPr>
          <w:trHeight w:val="3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Italy</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r>
      <w:tr w:rsidR="00035C91">
        <w:trPr>
          <w:trHeight w:val="12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Latvia</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Ministry of Transport                                                                        </w:t>
            </w:r>
            <w:r>
              <w:rPr>
                <w:rFonts w:ascii="Times New Roman" w:eastAsia="Times New Roman" w:hAnsi="Times New Roman"/>
                <w:noProof/>
                <w:color w:val="000000"/>
                <w:sz w:val="24"/>
                <w:lang w:eastAsia="en-GB"/>
              </w:rPr>
              <w:br/>
            </w: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DPA -  5(3)</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Ministry of Transport                                                                       </w:t>
            </w:r>
            <w:r>
              <w:rPr>
                <w:rFonts w:ascii="Times New Roman" w:eastAsia="Times New Roman" w:hAnsi="Times New Roman"/>
                <w:noProof/>
                <w:color w:val="000000"/>
                <w:sz w:val="24"/>
                <w:lang w:eastAsia="en-GB"/>
              </w:rPr>
              <w:b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Ministry of Transport          </w:t>
            </w:r>
            <w:r>
              <w:rPr>
                <w:rFonts w:ascii="Times New Roman" w:eastAsia="Times New Roman" w:hAnsi="Times New Roman"/>
                <w:noProof/>
                <w:color w:val="000000"/>
                <w:sz w:val="24"/>
                <w:lang w:eastAsia="en-GB"/>
              </w:rPr>
              <w:br/>
              <w:t xml:space="preserve">DPA  </w:t>
            </w:r>
            <w:r>
              <w:rPr>
                <w:rFonts w:ascii="Times New Roman" w:eastAsia="Times New Roman" w:hAnsi="Times New Roman"/>
                <w:noProof/>
                <w:color w:val="000000"/>
                <w:sz w:val="24"/>
                <w:lang w:eastAsia="en-GB"/>
              </w:rPr>
              <w:br/>
              <w:t>Consumer Protection Authority</w:t>
            </w:r>
          </w:p>
        </w:tc>
      </w:tr>
      <w:tr w:rsidR="00035C91">
        <w:trPr>
          <w:trHeight w:val="3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Lituania</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r>
      <w:tr w:rsidR="00035C91">
        <w:trPr>
          <w:trHeight w:val="3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Luxembourg</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r>
      <w:tr w:rsidR="00035C91">
        <w:trPr>
          <w:trHeight w:val="3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Malta</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r>
      <w:tr w:rsidR="00035C91">
        <w:trPr>
          <w:trHeight w:val="12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The Nether-lands</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Consumer Protection Authority                                                  </w:t>
            </w:r>
            <w:r>
              <w:rPr>
                <w:rFonts w:ascii="Times New Roman" w:eastAsia="Times New Roman" w:hAnsi="Times New Roman"/>
                <w:noProof/>
                <w:color w:val="000000"/>
                <w:sz w:val="24"/>
                <w:lang w:eastAsia="en-GB"/>
              </w:rPr>
              <w:br/>
              <w:t xml:space="preserve">DPA                                                              </w:t>
            </w:r>
            <w:r>
              <w:rPr>
                <w:rFonts w:ascii="Times New Roman" w:eastAsia="Times New Roman" w:hAnsi="Times New Roman"/>
                <w:noProof/>
                <w:color w:val="000000"/>
                <w:sz w:val="24"/>
                <w:lang w:eastAsia="en-GB"/>
              </w:rPr>
              <w:br/>
              <w:t>NRA (5(1))</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                                                 </w:t>
            </w:r>
            <w:r>
              <w:rPr>
                <w:rFonts w:ascii="Times New Roman" w:eastAsia="Times New Roman" w:hAnsi="Times New Roman"/>
                <w:noProof/>
                <w:color w:val="000000"/>
                <w:sz w:val="24"/>
                <w:lang w:eastAsia="en-GB"/>
              </w:rPr>
              <w:br/>
              <w:t xml:space="preserve">DPA                                                              </w:t>
            </w:r>
            <w:r>
              <w:rPr>
                <w:rFonts w:ascii="Times New Roman" w:eastAsia="Times New Roman" w:hAnsi="Times New Roman"/>
                <w:noProof/>
                <w:color w:val="000000"/>
                <w:sz w:val="24"/>
                <w:lang w:eastAsia="en-GB"/>
              </w:rPr>
              <w:br/>
              <w:t>NRA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Consumer Protection Authority                                                  </w:t>
            </w:r>
            <w:r>
              <w:rPr>
                <w:rFonts w:ascii="Times New Roman" w:eastAsia="Times New Roman" w:hAnsi="Times New Roman"/>
                <w:noProof/>
                <w:color w:val="000000"/>
                <w:sz w:val="24"/>
                <w:lang w:eastAsia="en-GB"/>
              </w:rPr>
              <w:br/>
              <w:t>DPA</w:t>
            </w:r>
          </w:p>
        </w:tc>
      </w:tr>
      <w:tr w:rsidR="00035C91">
        <w:trPr>
          <w:trHeight w:val="765"/>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Poland</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t xml:space="preserve">                                                       </w:t>
            </w:r>
            <w:r>
              <w:rPr>
                <w:rFonts w:ascii="Times New Roman" w:eastAsia="Times New Roman" w:hAnsi="Times New Roman"/>
                <w:noProof/>
                <w:color w:val="000000"/>
                <w:sz w:val="24"/>
                <w:lang w:eastAsia="en-GB"/>
              </w:rPr>
              <w:br/>
              <w:t>NRA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NRA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Offi</w:t>
            </w:r>
            <w:r>
              <w:rPr>
                <w:rFonts w:ascii="Times New Roman" w:eastAsia="Times New Roman" w:hAnsi="Times New Roman"/>
                <w:noProof/>
                <w:color w:val="000000"/>
                <w:sz w:val="24"/>
                <w:lang w:eastAsia="en-GB"/>
              </w:rPr>
              <w:t xml:space="preserve">ce of Competition and Consumer Protection                                                                             </w:t>
            </w:r>
            <w:r>
              <w:rPr>
                <w:rFonts w:ascii="Times New Roman" w:eastAsia="Times New Roman" w:hAnsi="Times New Roman"/>
                <w:noProof/>
                <w:color w:val="000000"/>
                <w:sz w:val="24"/>
                <w:lang w:eastAsia="en-GB"/>
              </w:rPr>
              <w:br/>
              <w:t>NRA</w:t>
            </w:r>
          </w:p>
        </w:tc>
      </w:tr>
      <w:tr w:rsidR="00035C91">
        <w:trPr>
          <w:trHeight w:val="6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Portugal</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DPA                                                                                                </w:t>
            </w:r>
            <w:r>
              <w:rPr>
                <w:rFonts w:ascii="Times New Roman" w:eastAsia="Times New Roman" w:hAnsi="Times New Roman"/>
                <w:noProof/>
                <w:color w:val="000000"/>
                <w:sz w:val="24"/>
                <w:lang w:eastAsia="en-GB"/>
              </w:rPr>
              <w:br/>
              <w:t>NRA (5(1))</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r>
      <w:tr w:rsidR="00035C91">
        <w:trPr>
          <w:trHeight w:val="3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Romania</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r>
      <w:tr w:rsidR="00035C91">
        <w:trPr>
          <w:trHeight w:val="9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Slovakia</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Ministry of Transport                                                </w:t>
            </w:r>
            <w:r>
              <w:rPr>
                <w:rFonts w:ascii="Times New Roman" w:eastAsia="Times New Roman" w:hAnsi="Times New Roman"/>
                <w:noProof/>
                <w:color w:val="000000"/>
                <w:sz w:val="24"/>
                <w:lang w:eastAsia="en-GB"/>
              </w:rPr>
              <w:br/>
              <w:t xml:space="preserve">NRA                                                          Ministry of Finance (5(3))                                 </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Ministry of Transport                                                </w:t>
            </w:r>
            <w:r>
              <w:rPr>
                <w:rFonts w:ascii="Times New Roman" w:eastAsia="Times New Roman" w:hAnsi="Times New Roman"/>
                <w:noProof/>
                <w:color w:val="000000"/>
                <w:sz w:val="24"/>
                <w:lang w:eastAsia="en-GB"/>
              </w:rPr>
              <w:br/>
              <w:t xml:space="preserve">NRA                                 </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Ministry of Transport                                                </w:t>
            </w:r>
            <w:r>
              <w:rPr>
                <w:rFonts w:ascii="Times New Roman" w:eastAsia="Times New Roman" w:hAnsi="Times New Roman"/>
                <w:noProof/>
                <w:color w:val="000000"/>
                <w:sz w:val="24"/>
                <w:lang w:eastAsia="en-GB"/>
              </w:rPr>
              <w:br/>
              <w:t xml:space="preserve">NRA                                 </w:t>
            </w:r>
          </w:p>
        </w:tc>
      </w:tr>
      <w:tr w:rsidR="00035C91">
        <w:trPr>
          <w:trHeight w:val="92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Slovenia</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NRA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Market Inspectorate</w:t>
            </w:r>
          </w:p>
        </w:tc>
      </w:tr>
      <w:tr w:rsidR="00035C91">
        <w:trPr>
          <w:trHeight w:val="3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Spain</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DPA</w:t>
            </w:r>
          </w:p>
        </w:tc>
      </w:tr>
      <w:tr w:rsidR="00035C91">
        <w:trPr>
          <w:trHeight w:val="300"/>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Sweden</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NRA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NRA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Consumer Agency</w:t>
            </w:r>
          </w:p>
        </w:tc>
      </w:tr>
      <w:tr w:rsidR="00035C91">
        <w:trPr>
          <w:trHeight w:val="465"/>
        </w:trPr>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UK</w:t>
            </w:r>
          </w:p>
        </w:tc>
        <w:tc>
          <w:tcPr>
            <w:tcW w:w="2410"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DPA</w:t>
            </w:r>
          </w:p>
        </w:tc>
        <w:tc>
          <w:tcPr>
            <w:tcW w:w="2411"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br/>
              <w:t>DPA</w:t>
            </w:r>
          </w:p>
        </w:tc>
        <w:tc>
          <w:tcPr>
            <w:tcW w:w="2552" w:type="dxa"/>
            <w:tcBorders>
              <w:top w:val="nil"/>
              <w:left w:val="nil"/>
              <w:bottom w:val="single" w:sz="4" w:space="0" w:color="auto"/>
              <w:right w:val="single" w:sz="4" w:space="0" w:color="auto"/>
            </w:tcBorders>
            <w:vAlign w:val="center"/>
            <w:hideMark/>
          </w:tcPr>
          <w:p w:rsidR="00035C91" w:rsidRDefault="00632184">
            <w:pPr>
              <w:widowControl w:val="0"/>
              <w:spacing w:before="0"/>
              <w:ind w:left="20" w:right="20"/>
              <w:jc w:val="left"/>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NRA                                                                           </w:t>
            </w:r>
            <w:r>
              <w:rPr>
                <w:rFonts w:ascii="Times New Roman" w:eastAsia="Times New Roman" w:hAnsi="Times New Roman"/>
                <w:noProof/>
                <w:color w:val="000000"/>
                <w:sz w:val="24"/>
                <w:lang w:eastAsia="en-GB"/>
              </w:rPr>
              <w:t xml:space="preserve">      DPA                                                              Financial Authority</w:t>
            </w:r>
          </w:p>
        </w:tc>
      </w:tr>
    </w:tbl>
    <w:p w:rsidR="00035C91" w:rsidRDefault="00632184">
      <w:pPr>
        <w:widowControl w:val="0"/>
        <w:spacing w:before="0"/>
        <w:ind w:left="20" w:right="20"/>
        <w:rPr>
          <w:rFonts w:ascii="Times New Roman" w:eastAsia="Times New Roman" w:hAnsi="Times New Roman"/>
          <w:i/>
          <w:noProof/>
          <w:color w:val="000000"/>
          <w:szCs w:val="20"/>
          <w:lang w:eastAsia="en-GB"/>
        </w:rPr>
      </w:pPr>
      <w:r>
        <w:rPr>
          <w:rFonts w:ascii="Times New Roman" w:eastAsia="Times New Roman" w:hAnsi="Times New Roman"/>
          <w:i/>
          <w:noProof/>
          <w:color w:val="000000"/>
          <w:szCs w:val="20"/>
          <w:lang w:eastAsia="en-GB"/>
        </w:rPr>
        <w:t xml:space="preserve">Source: on the basis of European Commission Study carried out by Deloitte (2016), Evaluation and review of Directive 2002/58 on privacy and the electronic </w:t>
      </w:r>
      <w:r>
        <w:rPr>
          <w:rFonts w:ascii="Times New Roman" w:eastAsia="Times New Roman" w:hAnsi="Times New Roman"/>
          <w:i/>
          <w:noProof/>
          <w:color w:val="000000"/>
          <w:szCs w:val="20"/>
          <w:lang w:eastAsia="en-GB"/>
        </w:rPr>
        <w:t>communication sector (SMART 2016/0080).</w:t>
      </w:r>
    </w:p>
    <w:p w:rsidR="00035C91" w:rsidRDefault="00035C91">
      <w:pPr>
        <w:spacing w:before="0"/>
        <w:jc w:val="center"/>
        <w:rPr>
          <w:rFonts w:ascii="Times New Roman" w:eastAsia="Times New Roman" w:hAnsi="Times New Roman"/>
          <w:noProof/>
          <w:sz w:val="24"/>
          <w:lang w:eastAsia="en-GB"/>
        </w:rPr>
      </w:pPr>
    </w:p>
    <w:p w:rsidR="00035C91" w:rsidRDefault="00035C91">
      <w:pPr>
        <w:spacing w:before="0" w:after="0"/>
        <w:jc w:val="left"/>
        <w:rPr>
          <w:rFonts w:ascii="Times New Roman" w:eastAsia="Times New Roman" w:hAnsi="Times New Roman"/>
          <w:noProof/>
          <w:sz w:val="24"/>
          <w:lang w:eastAsia="en-GB"/>
        </w:rPr>
        <w:sectPr w:rsidR="00035C91">
          <w:headerReference w:type="even" r:id="rId51"/>
          <w:headerReference w:type="default" r:id="rId52"/>
          <w:footerReference w:type="even" r:id="rId53"/>
          <w:footerReference w:type="default" r:id="rId54"/>
          <w:headerReference w:type="first" r:id="rId55"/>
          <w:footerReference w:type="first" r:id="rId56"/>
          <w:pgSz w:w="11906" w:h="16838"/>
          <w:pgMar w:top="1020" w:right="1587" w:bottom="1020" w:left="1701" w:header="709" w:footer="709" w:gutter="0"/>
          <w:cols w:space="720"/>
          <w:docGrid w:linePitch="272"/>
        </w:sectPr>
      </w:pPr>
    </w:p>
    <w:p w:rsidR="00035C91" w:rsidRDefault="00632184">
      <w:pPr>
        <w:pStyle w:val="ManualHeading1"/>
        <w:pBdr>
          <w:top w:val="single" w:sz="4" w:space="0" w:color="auto"/>
        </w:pBdr>
      </w:pPr>
      <w:bookmarkStart w:id="100" w:name="_Toc468455387"/>
      <w:bookmarkStart w:id="101" w:name="_Toc468795244"/>
      <w:r>
        <w:t>Annex 12: Mapping of the policy options</w:t>
      </w:r>
      <w:bookmarkEnd w:id="100"/>
      <w:bookmarkEnd w:id="101"/>
    </w:p>
    <w:p w:rsidR="00035C91" w:rsidRDefault="00035C91">
      <w:pPr>
        <w:spacing w:before="0"/>
        <w:ind w:left="482"/>
        <w:rPr>
          <w:rFonts w:ascii="Times New Roman" w:eastAsia="Times New Roman" w:hAnsi="Times New Roman"/>
          <w:noProof/>
          <w:sz w:val="24"/>
        </w:rPr>
      </w:pPr>
    </w:p>
    <w:p w:rsidR="00035C91" w:rsidRDefault="00632184">
      <w:pPr>
        <w:spacing w:before="0"/>
        <w:ind w:left="482"/>
        <w:rPr>
          <w:rFonts w:ascii="Times New Roman" w:eastAsia="Times New Roman" w:hAnsi="Times New Roman"/>
          <w:noProof/>
          <w:sz w:val="24"/>
        </w:rPr>
      </w:pPr>
      <w:r>
        <w:rPr>
          <w:rFonts w:ascii="Times New Roman" w:eastAsia="Times New Roman" w:hAnsi="Times New Roman"/>
          <w:b/>
          <w:noProof/>
          <w:sz w:val="24"/>
          <w:szCs w:val="20"/>
        </w:rPr>
        <w:t>I.Table: Summary overview of Policy Options</w:t>
      </w:r>
    </w:p>
    <w:p w:rsidR="00035C91" w:rsidRDefault="00035C91">
      <w:pPr>
        <w:spacing w:before="0" w:after="0"/>
        <w:jc w:val="left"/>
        <w:rPr>
          <w:rFonts w:ascii="Times New Roman" w:eastAsia="Times New Roman" w:hAnsi="Times New Roman"/>
          <w:b/>
          <w:noProof/>
          <w:sz w:val="24"/>
        </w:rPr>
      </w:pPr>
    </w:p>
    <w:tbl>
      <w:tblPr>
        <w:tblStyle w:val="TableGrid"/>
        <w:tblW w:w="0" w:type="auto"/>
        <w:tblLook w:val="04A0" w:firstRow="1" w:lastRow="0" w:firstColumn="1" w:lastColumn="0" w:noHBand="0" w:noVBand="1"/>
      </w:tblPr>
      <w:tblGrid>
        <w:gridCol w:w="2248"/>
        <w:gridCol w:w="2243"/>
        <w:gridCol w:w="3174"/>
        <w:gridCol w:w="2321"/>
        <w:gridCol w:w="2116"/>
        <w:gridCol w:w="2116"/>
      </w:tblGrid>
      <w:tr w:rsidR="00035C91">
        <w:tc>
          <w:tcPr>
            <w:tcW w:w="2248" w:type="dxa"/>
          </w:tcPr>
          <w:p w:rsidR="00035C91" w:rsidRDefault="00035C91">
            <w:pPr>
              <w:spacing w:before="0" w:after="0"/>
              <w:jc w:val="center"/>
              <w:rPr>
                <w:rFonts w:ascii="Times New Roman" w:hAnsi="Times New Roman"/>
                <w:b/>
                <w:noProof/>
                <w:sz w:val="24"/>
              </w:rPr>
            </w:pPr>
          </w:p>
        </w:tc>
        <w:tc>
          <w:tcPr>
            <w:tcW w:w="2243" w:type="dxa"/>
          </w:tcPr>
          <w:p w:rsidR="00035C91" w:rsidRDefault="00632184">
            <w:pPr>
              <w:spacing w:before="0" w:after="0"/>
              <w:jc w:val="center"/>
              <w:rPr>
                <w:rFonts w:ascii="Times New Roman" w:hAnsi="Times New Roman"/>
                <w:b/>
                <w:noProof/>
                <w:sz w:val="24"/>
              </w:rPr>
            </w:pPr>
            <w:r>
              <w:rPr>
                <w:rFonts w:ascii="Times New Roman" w:hAnsi="Times New Roman"/>
                <w:b/>
                <w:noProof/>
                <w:sz w:val="24"/>
              </w:rPr>
              <w:t>Policy Option 1</w:t>
            </w:r>
          </w:p>
          <w:p w:rsidR="00035C91" w:rsidRDefault="00632184">
            <w:pPr>
              <w:spacing w:before="0" w:after="0"/>
              <w:jc w:val="center"/>
              <w:rPr>
                <w:rFonts w:ascii="Times New Roman" w:hAnsi="Times New Roman"/>
                <w:noProof/>
                <w:sz w:val="24"/>
              </w:rPr>
            </w:pPr>
            <w:r>
              <w:rPr>
                <w:rFonts w:ascii="Times New Roman" w:hAnsi="Times New Roman"/>
                <w:noProof/>
                <w:sz w:val="24"/>
              </w:rPr>
              <w:t>Soft law measures</w:t>
            </w:r>
          </w:p>
        </w:tc>
        <w:tc>
          <w:tcPr>
            <w:tcW w:w="3174" w:type="dxa"/>
          </w:tcPr>
          <w:p w:rsidR="00035C91" w:rsidRDefault="00632184">
            <w:pPr>
              <w:spacing w:before="0" w:after="0"/>
              <w:jc w:val="center"/>
              <w:rPr>
                <w:rFonts w:ascii="Times New Roman" w:hAnsi="Times New Roman"/>
                <w:b/>
                <w:noProof/>
                <w:sz w:val="24"/>
              </w:rPr>
            </w:pPr>
            <w:r>
              <w:rPr>
                <w:rFonts w:ascii="Times New Roman" w:hAnsi="Times New Roman"/>
                <w:b/>
                <w:noProof/>
                <w:sz w:val="24"/>
              </w:rPr>
              <w:t>Policy Option 2</w:t>
            </w:r>
          </w:p>
          <w:p w:rsidR="00035C91" w:rsidRDefault="00632184">
            <w:pPr>
              <w:spacing w:before="0" w:after="0"/>
              <w:jc w:val="center"/>
              <w:rPr>
                <w:rFonts w:ascii="Times New Roman" w:hAnsi="Times New Roman"/>
                <w:noProof/>
                <w:sz w:val="24"/>
              </w:rPr>
            </w:pPr>
            <w:r>
              <w:rPr>
                <w:rFonts w:ascii="Times New Roman" w:hAnsi="Times New Roman"/>
                <w:noProof/>
                <w:sz w:val="24"/>
              </w:rPr>
              <w:t xml:space="preserve">Limited reinforcement </w:t>
            </w:r>
            <w:r>
              <w:rPr>
                <w:rFonts w:ascii="Times New Roman" w:hAnsi="Times New Roman"/>
                <w:noProof/>
                <w:sz w:val="24"/>
              </w:rPr>
              <w:t>of privacy and harmonisation</w:t>
            </w:r>
          </w:p>
        </w:tc>
        <w:tc>
          <w:tcPr>
            <w:tcW w:w="2321" w:type="dxa"/>
          </w:tcPr>
          <w:p w:rsidR="00035C91" w:rsidRDefault="00632184">
            <w:pPr>
              <w:spacing w:before="0" w:after="0"/>
              <w:jc w:val="center"/>
              <w:rPr>
                <w:rFonts w:ascii="Times New Roman" w:hAnsi="Times New Roman"/>
                <w:b/>
                <w:noProof/>
                <w:sz w:val="24"/>
              </w:rPr>
            </w:pPr>
            <w:r>
              <w:rPr>
                <w:rFonts w:ascii="Times New Roman" w:hAnsi="Times New Roman"/>
                <w:b/>
                <w:noProof/>
                <w:sz w:val="24"/>
              </w:rPr>
              <w:t>Policy Option 3</w:t>
            </w:r>
          </w:p>
          <w:p w:rsidR="00035C91" w:rsidRDefault="00632184">
            <w:pPr>
              <w:spacing w:before="0" w:after="0"/>
              <w:jc w:val="center"/>
              <w:rPr>
                <w:rFonts w:ascii="Times New Roman" w:hAnsi="Times New Roman"/>
                <w:b/>
                <w:noProof/>
                <w:sz w:val="24"/>
              </w:rPr>
            </w:pPr>
            <w:r>
              <w:rPr>
                <w:rFonts w:ascii="Times New Roman" w:hAnsi="Times New Roman"/>
                <w:noProof/>
                <w:sz w:val="24"/>
              </w:rPr>
              <w:t>Measured reinforcement of privacy and harmonisation</w:t>
            </w:r>
          </w:p>
        </w:tc>
        <w:tc>
          <w:tcPr>
            <w:tcW w:w="2116" w:type="dxa"/>
          </w:tcPr>
          <w:p w:rsidR="00035C91" w:rsidRDefault="00632184">
            <w:pPr>
              <w:spacing w:before="0" w:after="0"/>
              <w:jc w:val="center"/>
              <w:rPr>
                <w:rFonts w:ascii="Times New Roman" w:hAnsi="Times New Roman"/>
                <w:b/>
                <w:noProof/>
                <w:sz w:val="24"/>
              </w:rPr>
            </w:pPr>
            <w:r>
              <w:rPr>
                <w:rFonts w:ascii="Times New Roman" w:hAnsi="Times New Roman"/>
                <w:b/>
                <w:noProof/>
                <w:sz w:val="24"/>
              </w:rPr>
              <w:t>Policy Option 4</w:t>
            </w:r>
          </w:p>
          <w:p w:rsidR="00035C91" w:rsidRDefault="00632184">
            <w:pPr>
              <w:spacing w:before="0" w:after="0"/>
              <w:jc w:val="center"/>
              <w:rPr>
                <w:rFonts w:ascii="Times New Roman" w:hAnsi="Times New Roman"/>
                <w:b/>
                <w:noProof/>
                <w:sz w:val="24"/>
              </w:rPr>
            </w:pPr>
            <w:r>
              <w:rPr>
                <w:rFonts w:ascii="Times New Roman" w:hAnsi="Times New Roman"/>
                <w:noProof/>
                <w:sz w:val="24"/>
              </w:rPr>
              <w:t>Far-reaching reinforcement of privacy and harmonisation</w:t>
            </w:r>
          </w:p>
        </w:tc>
        <w:tc>
          <w:tcPr>
            <w:tcW w:w="2116" w:type="dxa"/>
          </w:tcPr>
          <w:p w:rsidR="00035C91" w:rsidRDefault="00632184">
            <w:pPr>
              <w:spacing w:before="0" w:after="0"/>
              <w:jc w:val="center"/>
              <w:rPr>
                <w:rFonts w:ascii="Times New Roman" w:hAnsi="Times New Roman"/>
                <w:b/>
                <w:noProof/>
                <w:sz w:val="24"/>
              </w:rPr>
            </w:pPr>
            <w:r>
              <w:rPr>
                <w:rFonts w:ascii="Times New Roman" w:hAnsi="Times New Roman"/>
                <w:b/>
                <w:noProof/>
                <w:sz w:val="24"/>
              </w:rPr>
              <w:t>Policy Option 5</w:t>
            </w:r>
          </w:p>
          <w:p w:rsidR="00035C91" w:rsidRDefault="00632184">
            <w:pPr>
              <w:spacing w:before="0" w:after="0"/>
              <w:jc w:val="center"/>
              <w:rPr>
                <w:rFonts w:ascii="Times New Roman" w:hAnsi="Times New Roman"/>
                <w:noProof/>
                <w:sz w:val="24"/>
              </w:rPr>
            </w:pPr>
            <w:r>
              <w:rPr>
                <w:rFonts w:ascii="Times New Roman" w:hAnsi="Times New Roman"/>
                <w:noProof/>
                <w:sz w:val="24"/>
              </w:rPr>
              <w:t>Repeal of the ePD</w:t>
            </w:r>
          </w:p>
        </w:tc>
      </w:tr>
      <w:tr w:rsidR="00035C91">
        <w:tc>
          <w:tcPr>
            <w:tcW w:w="2248" w:type="dxa"/>
          </w:tcPr>
          <w:p w:rsidR="00035C91" w:rsidRDefault="00632184">
            <w:pPr>
              <w:spacing w:before="0" w:after="0"/>
              <w:jc w:val="left"/>
              <w:rPr>
                <w:rFonts w:ascii="Times New Roman" w:hAnsi="Times New Roman"/>
                <w:b/>
                <w:noProof/>
                <w:sz w:val="24"/>
              </w:rPr>
            </w:pPr>
            <w:r>
              <w:rPr>
                <w:rFonts w:ascii="Times New Roman" w:hAnsi="Times New Roman"/>
                <w:b/>
                <w:noProof/>
                <w:sz w:val="24"/>
              </w:rPr>
              <w:t>Objective 1 -</w:t>
            </w:r>
          </w:p>
          <w:p w:rsidR="00035C91" w:rsidRDefault="00632184">
            <w:pPr>
              <w:spacing w:before="0" w:after="0"/>
              <w:jc w:val="left"/>
              <w:rPr>
                <w:rFonts w:ascii="Times New Roman" w:hAnsi="Times New Roman"/>
                <w:b/>
                <w:noProof/>
                <w:sz w:val="24"/>
              </w:rPr>
            </w:pPr>
            <w:r>
              <w:rPr>
                <w:rFonts w:ascii="Times New Roman" w:hAnsi="Times New Roman"/>
                <w:i/>
                <w:noProof/>
                <w:sz w:val="22"/>
                <w:szCs w:val="22"/>
              </w:rPr>
              <w:t xml:space="preserve">Ensuring effective confidentiality of </w:t>
            </w:r>
            <w:r>
              <w:rPr>
                <w:rFonts w:ascii="Times New Roman" w:hAnsi="Times New Roman"/>
                <w:i/>
                <w:noProof/>
                <w:sz w:val="22"/>
                <w:szCs w:val="22"/>
              </w:rPr>
              <w:t>electronic communications</w:t>
            </w:r>
          </w:p>
        </w:tc>
        <w:tc>
          <w:tcPr>
            <w:tcW w:w="2243" w:type="dxa"/>
          </w:tcPr>
          <w:p w:rsidR="00035C91" w:rsidRDefault="00632184">
            <w:pPr>
              <w:numPr>
                <w:ilvl w:val="0"/>
                <w:numId w:val="101"/>
              </w:numPr>
              <w:spacing w:before="0" w:after="240"/>
              <w:rPr>
                <w:rFonts w:ascii="Times New Roman" w:hAnsi="Times New Roman"/>
                <w:noProof/>
                <w:sz w:val="22"/>
                <w:szCs w:val="22"/>
              </w:rPr>
            </w:pPr>
            <w:r>
              <w:rPr>
                <w:rFonts w:ascii="Times New Roman" w:hAnsi="Times New Roman"/>
                <w:b/>
                <w:noProof/>
                <w:sz w:val="22"/>
                <w:szCs w:val="22"/>
              </w:rPr>
              <w:t>Increased use of interpretative communications</w:t>
            </w:r>
            <w:r>
              <w:rPr>
                <w:rFonts w:ascii="Times New Roman" w:hAnsi="Times New Roman"/>
                <w:noProof/>
                <w:sz w:val="22"/>
                <w:szCs w:val="22"/>
              </w:rPr>
              <w:t xml:space="preserve">. </w:t>
            </w:r>
          </w:p>
          <w:p w:rsidR="00035C91" w:rsidRDefault="00632184">
            <w:pPr>
              <w:numPr>
                <w:ilvl w:val="0"/>
                <w:numId w:val="101"/>
              </w:numPr>
              <w:spacing w:before="0" w:after="240"/>
              <w:rPr>
                <w:rFonts w:ascii="Times New Roman" w:hAnsi="Times New Roman"/>
                <w:noProof/>
                <w:sz w:val="22"/>
                <w:szCs w:val="22"/>
              </w:rPr>
            </w:pPr>
            <w:r>
              <w:rPr>
                <w:rFonts w:ascii="Times New Roman" w:hAnsi="Times New Roman"/>
                <w:b/>
                <w:noProof/>
                <w:sz w:val="22"/>
                <w:szCs w:val="22"/>
              </w:rPr>
              <w:t>Support EU-wide self-regulatory initiatives</w:t>
            </w:r>
            <w:r>
              <w:rPr>
                <w:rFonts w:ascii="Times New Roman" w:hAnsi="Times New Roman"/>
                <w:noProof/>
                <w:sz w:val="22"/>
                <w:szCs w:val="22"/>
              </w:rPr>
              <w:t xml:space="preserve"> </w:t>
            </w:r>
          </w:p>
          <w:p w:rsidR="00035C91" w:rsidRDefault="00632184">
            <w:pPr>
              <w:numPr>
                <w:ilvl w:val="0"/>
                <w:numId w:val="101"/>
              </w:numPr>
              <w:spacing w:before="0" w:after="240"/>
              <w:rPr>
                <w:rFonts w:ascii="Times New Roman" w:hAnsi="Times New Roman"/>
                <w:noProof/>
                <w:sz w:val="22"/>
                <w:szCs w:val="22"/>
              </w:rPr>
            </w:pPr>
            <w:r>
              <w:rPr>
                <w:rFonts w:ascii="Times New Roman" w:hAnsi="Times New Roman"/>
                <w:b/>
                <w:noProof/>
                <w:sz w:val="22"/>
                <w:szCs w:val="22"/>
              </w:rPr>
              <w:t>Specify privacy by design requirements of terminal electronic equipment through EU standards</w:t>
            </w:r>
            <w:r>
              <w:rPr>
                <w:rFonts w:ascii="Times New Roman" w:hAnsi="Times New Roman"/>
                <w:noProof/>
                <w:sz w:val="22"/>
                <w:szCs w:val="22"/>
              </w:rPr>
              <w:t>.</w:t>
            </w:r>
          </w:p>
          <w:p w:rsidR="00035C91" w:rsidRDefault="00632184">
            <w:pPr>
              <w:numPr>
                <w:ilvl w:val="0"/>
                <w:numId w:val="101"/>
              </w:numPr>
              <w:spacing w:before="0" w:after="240"/>
              <w:rPr>
                <w:rFonts w:ascii="Times New Roman" w:hAnsi="Times New Roman"/>
                <w:noProof/>
                <w:sz w:val="22"/>
                <w:szCs w:val="22"/>
              </w:rPr>
            </w:pPr>
            <w:r>
              <w:rPr>
                <w:rFonts w:ascii="Times New Roman" w:hAnsi="Times New Roman"/>
                <w:b/>
                <w:noProof/>
                <w:sz w:val="22"/>
                <w:szCs w:val="22"/>
              </w:rPr>
              <w:t>Research and awareness-raising activities</w:t>
            </w:r>
            <w:r>
              <w:rPr>
                <w:rFonts w:ascii="Times New Roman" w:hAnsi="Times New Roman"/>
                <w:noProof/>
                <w:sz w:val="22"/>
                <w:szCs w:val="22"/>
              </w:rPr>
              <w:t xml:space="preserve">. </w:t>
            </w:r>
          </w:p>
          <w:p w:rsidR="00035C91" w:rsidRDefault="00035C91">
            <w:pPr>
              <w:spacing w:before="0" w:after="0"/>
              <w:jc w:val="left"/>
              <w:rPr>
                <w:rFonts w:ascii="Times New Roman" w:hAnsi="Times New Roman"/>
                <w:b/>
                <w:noProof/>
                <w:sz w:val="24"/>
              </w:rPr>
            </w:pPr>
          </w:p>
        </w:tc>
        <w:tc>
          <w:tcPr>
            <w:tcW w:w="3174" w:type="dxa"/>
          </w:tcPr>
          <w:p w:rsidR="00035C91" w:rsidRDefault="00632184">
            <w:pPr>
              <w:numPr>
                <w:ilvl w:val="0"/>
                <w:numId w:val="102"/>
              </w:numPr>
              <w:spacing w:before="0" w:after="240"/>
              <w:rPr>
                <w:rFonts w:ascii="Times New Roman" w:hAnsi="Times New Roman"/>
                <w:noProof/>
                <w:sz w:val="22"/>
                <w:szCs w:val="22"/>
              </w:rPr>
            </w:pPr>
            <w:r>
              <w:rPr>
                <w:rFonts w:ascii="Times New Roman" w:hAnsi="Times New Roman"/>
                <w:b/>
                <w:noProof/>
                <w:sz w:val="22"/>
                <w:szCs w:val="22"/>
              </w:rPr>
              <w:t>Extension of the scope</w:t>
            </w:r>
            <w:r>
              <w:rPr>
                <w:rFonts w:ascii="Times New Roman" w:hAnsi="Times New Roman"/>
                <w:noProof/>
                <w:sz w:val="22"/>
                <w:szCs w:val="22"/>
              </w:rPr>
              <w:t xml:space="preserve"> of the ePD to OTTs providing communications functions, such as webmail, Internet messaging, VoIP. </w:t>
            </w:r>
          </w:p>
          <w:p w:rsidR="00035C91" w:rsidRDefault="00632184">
            <w:pPr>
              <w:numPr>
                <w:ilvl w:val="0"/>
                <w:numId w:val="102"/>
              </w:numPr>
              <w:spacing w:before="0" w:after="240"/>
              <w:rPr>
                <w:rFonts w:ascii="Times New Roman" w:hAnsi="Times New Roman"/>
                <w:noProof/>
                <w:sz w:val="22"/>
                <w:szCs w:val="22"/>
              </w:rPr>
            </w:pPr>
            <w:r>
              <w:rPr>
                <w:rFonts w:ascii="Times New Roman" w:hAnsi="Times New Roman"/>
                <w:noProof/>
                <w:sz w:val="22"/>
                <w:szCs w:val="22"/>
              </w:rPr>
              <w:t xml:space="preserve">Clarify that the ePD applies to communication running over </w:t>
            </w:r>
            <w:r>
              <w:rPr>
                <w:rFonts w:ascii="Times New Roman" w:hAnsi="Times New Roman"/>
                <w:b/>
                <w:noProof/>
                <w:sz w:val="22"/>
                <w:szCs w:val="22"/>
              </w:rPr>
              <w:t>publicly available communications networks</w:t>
            </w:r>
            <w:r>
              <w:rPr>
                <w:rFonts w:ascii="Times New Roman" w:hAnsi="Times New Roman"/>
                <w:noProof/>
                <w:sz w:val="22"/>
                <w:szCs w:val="22"/>
              </w:rPr>
              <w:t>, such as in particular comme</w:t>
            </w:r>
            <w:r>
              <w:rPr>
                <w:rFonts w:ascii="Times New Roman" w:hAnsi="Times New Roman"/>
                <w:noProof/>
                <w:sz w:val="22"/>
                <w:szCs w:val="22"/>
              </w:rPr>
              <w:t xml:space="preserve">rcial Wi-Fi networks in stores, hospitals, airports, etc. </w:t>
            </w:r>
          </w:p>
          <w:p w:rsidR="00035C91" w:rsidRDefault="00632184">
            <w:pPr>
              <w:numPr>
                <w:ilvl w:val="0"/>
                <w:numId w:val="102"/>
              </w:numPr>
              <w:spacing w:before="0" w:after="240"/>
              <w:rPr>
                <w:rFonts w:ascii="Times New Roman" w:hAnsi="Times New Roman"/>
                <w:noProof/>
                <w:sz w:val="22"/>
                <w:szCs w:val="22"/>
              </w:rPr>
            </w:pPr>
            <w:r>
              <w:rPr>
                <w:rFonts w:ascii="Times New Roman" w:hAnsi="Times New Roman"/>
                <w:noProof/>
                <w:sz w:val="22"/>
                <w:szCs w:val="22"/>
              </w:rPr>
              <w:t>Specify that confidentiality rules, including of terminal equipment, apply to any machine that is connected to the network (including M2M communications, such as for example, a refrigerator connect</w:t>
            </w:r>
            <w:r>
              <w:rPr>
                <w:rFonts w:ascii="Times New Roman" w:hAnsi="Times New Roman"/>
                <w:noProof/>
                <w:sz w:val="22"/>
                <w:szCs w:val="22"/>
              </w:rPr>
              <w:t xml:space="preserve">ed to a grocery store web site). </w:t>
            </w:r>
          </w:p>
          <w:p w:rsidR="00035C91" w:rsidRDefault="00035C91">
            <w:pPr>
              <w:spacing w:before="0" w:after="0"/>
              <w:jc w:val="left"/>
              <w:rPr>
                <w:rFonts w:ascii="Times New Roman" w:hAnsi="Times New Roman"/>
                <w:b/>
                <w:noProof/>
                <w:sz w:val="24"/>
              </w:rPr>
            </w:pPr>
          </w:p>
        </w:tc>
        <w:tc>
          <w:tcPr>
            <w:tcW w:w="2321" w:type="dxa"/>
          </w:tcPr>
          <w:p w:rsidR="00035C91" w:rsidRDefault="00632184">
            <w:pPr>
              <w:numPr>
                <w:ilvl w:val="0"/>
                <w:numId w:val="103"/>
              </w:numPr>
              <w:spacing w:before="0" w:after="240"/>
              <w:rPr>
                <w:rFonts w:ascii="Times New Roman" w:hAnsi="Times New Roman"/>
                <w:noProof/>
                <w:sz w:val="22"/>
                <w:szCs w:val="22"/>
              </w:rPr>
            </w:pPr>
            <w:r>
              <w:rPr>
                <w:rFonts w:ascii="Times New Roman" w:hAnsi="Times New Roman"/>
                <w:noProof/>
                <w:sz w:val="22"/>
                <w:szCs w:val="22"/>
              </w:rPr>
              <w:t>Measures 1 to 3 of Option 2.</w:t>
            </w:r>
          </w:p>
          <w:p w:rsidR="00035C91" w:rsidRDefault="00632184">
            <w:pPr>
              <w:numPr>
                <w:ilvl w:val="0"/>
                <w:numId w:val="103"/>
              </w:numPr>
              <w:spacing w:before="0" w:after="240"/>
              <w:rPr>
                <w:rFonts w:ascii="Times New Roman" w:hAnsi="Times New Roman"/>
                <w:noProof/>
                <w:sz w:val="22"/>
                <w:szCs w:val="22"/>
              </w:rPr>
            </w:pPr>
            <w:r>
              <w:rPr>
                <w:rFonts w:ascii="Times New Roman" w:hAnsi="Times New Roman"/>
                <w:noProof/>
                <w:sz w:val="22"/>
                <w:szCs w:val="22"/>
              </w:rPr>
              <w:t xml:space="preserve">The new instrument would propose a technology neutral definition of electronic communications, encompassing all the additional elements under </w:t>
            </w:r>
            <w:r>
              <w:rPr>
                <w:rFonts w:ascii="Times New Roman" w:hAnsi="Times New Roman"/>
                <w:b/>
                <w:noProof/>
                <w:sz w:val="22"/>
                <w:szCs w:val="22"/>
              </w:rPr>
              <w:t>Option 2</w:t>
            </w:r>
            <w:r>
              <w:rPr>
                <w:rFonts w:ascii="Times New Roman" w:hAnsi="Times New Roman"/>
                <w:noProof/>
                <w:sz w:val="22"/>
                <w:szCs w:val="22"/>
              </w:rPr>
              <w:t xml:space="preserve"> (1, 2 and 3). </w:t>
            </w:r>
          </w:p>
          <w:p w:rsidR="00035C91" w:rsidRDefault="00632184">
            <w:pPr>
              <w:numPr>
                <w:ilvl w:val="0"/>
                <w:numId w:val="103"/>
              </w:numPr>
              <w:spacing w:before="0" w:after="240"/>
              <w:rPr>
                <w:rFonts w:ascii="Times New Roman" w:hAnsi="Times New Roman"/>
                <w:noProof/>
                <w:sz w:val="22"/>
                <w:szCs w:val="22"/>
              </w:rPr>
            </w:pPr>
            <w:r>
              <w:rPr>
                <w:rFonts w:ascii="Times New Roman" w:hAnsi="Times New Roman"/>
                <w:noProof/>
                <w:sz w:val="22"/>
                <w:szCs w:val="22"/>
              </w:rPr>
              <w:t>On the subject of confiden</w:t>
            </w:r>
            <w:r>
              <w:rPr>
                <w:rFonts w:ascii="Times New Roman" w:hAnsi="Times New Roman"/>
                <w:noProof/>
                <w:sz w:val="22"/>
                <w:szCs w:val="22"/>
              </w:rPr>
              <w:t xml:space="preserve">tiality of terminal equipment and tracking of online behaviour the envisaged proposal would reformulate and simplify the "cookie" centred approach in favour of a technology neutral approach applying to all forms of tracking of (or other interference with) </w:t>
            </w:r>
            <w:r>
              <w:rPr>
                <w:rFonts w:ascii="Times New Roman" w:hAnsi="Times New Roman"/>
                <w:noProof/>
                <w:sz w:val="22"/>
                <w:szCs w:val="22"/>
              </w:rPr>
              <w:t xml:space="preserve">users' online behaviour, irrespective of the technique employed. The proposal would clarify that </w:t>
            </w:r>
            <w:r>
              <w:rPr>
                <w:rFonts w:ascii="Times New Roman" w:hAnsi="Times New Roman"/>
                <w:b/>
                <w:noProof/>
                <w:sz w:val="22"/>
                <w:szCs w:val="22"/>
              </w:rPr>
              <w:t>consent can be given by means of the appropriate settings</w:t>
            </w:r>
            <w:r>
              <w:rPr>
                <w:rFonts w:ascii="Times New Roman" w:hAnsi="Times New Roman"/>
                <w:noProof/>
                <w:sz w:val="22"/>
                <w:szCs w:val="22"/>
              </w:rPr>
              <w:t xml:space="preserve"> of a browser or other application. The proposal would require certain software providers that support</w:t>
            </w:r>
            <w:r>
              <w:rPr>
                <w:rFonts w:ascii="Times New Roman" w:hAnsi="Times New Roman"/>
                <w:noProof/>
                <w:sz w:val="22"/>
                <w:szCs w:val="22"/>
              </w:rPr>
              <w:t xml:space="preserve"> a terminal equipment basic functions (e.g. Internet browsers and OSs) to provide their products with privacy friendly settings as a means to provide consent and to reinforce user's control over online tracking and the over the flow of data from and into t</w:t>
            </w:r>
            <w:r>
              <w:rPr>
                <w:rFonts w:ascii="Times New Roman" w:hAnsi="Times New Roman"/>
                <w:noProof/>
                <w:sz w:val="22"/>
                <w:szCs w:val="22"/>
              </w:rPr>
              <w:t xml:space="preserve">heir terminal equipment. </w:t>
            </w:r>
          </w:p>
          <w:p w:rsidR="00035C91" w:rsidRDefault="00632184">
            <w:pPr>
              <w:numPr>
                <w:ilvl w:val="0"/>
                <w:numId w:val="103"/>
              </w:numPr>
              <w:spacing w:before="0" w:after="240"/>
              <w:rPr>
                <w:rFonts w:ascii="Times New Roman" w:hAnsi="Times New Roman"/>
                <w:noProof/>
                <w:sz w:val="22"/>
                <w:szCs w:val="22"/>
              </w:rPr>
            </w:pPr>
            <w:r>
              <w:rPr>
                <w:rFonts w:ascii="Times New Roman" w:hAnsi="Times New Roman"/>
                <w:noProof/>
                <w:sz w:val="22"/>
                <w:szCs w:val="22"/>
              </w:rPr>
              <w:t xml:space="preserve">Impose </w:t>
            </w:r>
            <w:r>
              <w:rPr>
                <w:rFonts w:ascii="Times New Roman" w:hAnsi="Times New Roman"/>
                <w:b/>
                <w:noProof/>
                <w:sz w:val="22"/>
                <w:szCs w:val="22"/>
              </w:rPr>
              <w:t>enhanced transparency requirements</w:t>
            </w:r>
            <w:r>
              <w:rPr>
                <w:rFonts w:ascii="Times New Roman" w:hAnsi="Times New Roman"/>
                <w:noProof/>
                <w:sz w:val="22"/>
                <w:szCs w:val="22"/>
              </w:rPr>
              <w:t xml:space="preserve"> on entities processing communications data (e.g. websites, mobile apps and publicly available Wi-Fi private networks).</w:t>
            </w:r>
          </w:p>
          <w:p w:rsidR="00035C91" w:rsidRDefault="00632184">
            <w:pPr>
              <w:numPr>
                <w:ilvl w:val="0"/>
                <w:numId w:val="103"/>
              </w:numPr>
              <w:spacing w:before="0" w:after="240"/>
              <w:rPr>
                <w:rFonts w:ascii="Times New Roman" w:hAnsi="Times New Roman"/>
                <w:noProof/>
                <w:sz w:val="22"/>
                <w:szCs w:val="22"/>
              </w:rPr>
            </w:pPr>
            <w:r>
              <w:rPr>
                <w:rFonts w:ascii="Times New Roman" w:hAnsi="Times New Roman"/>
                <w:b/>
                <w:noProof/>
                <w:sz w:val="22"/>
                <w:szCs w:val="22"/>
              </w:rPr>
              <w:t>Reinforce and streamline enforcement powers</w:t>
            </w:r>
            <w:r>
              <w:rPr>
                <w:rFonts w:ascii="Times New Roman" w:hAnsi="Times New Roman"/>
                <w:noProof/>
                <w:sz w:val="22"/>
                <w:szCs w:val="20"/>
              </w:rPr>
              <w:t>:</w:t>
            </w:r>
            <w:r>
              <w:rPr>
                <w:rFonts w:ascii="Times New Roman" w:hAnsi="Times New Roman"/>
                <w:noProof/>
                <w:sz w:val="22"/>
                <w:szCs w:val="22"/>
              </w:rPr>
              <w:t xml:space="preserve"> The new instrument would</w:t>
            </w:r>
            <w:r>
              <w:rPr>
                <w:rFonts w:ascii="Times New Roman" w:hAnsi="Times New Roman"/>
                <w:noProof/>
                <w:sz w:val="22"/>
                <w:szCs w:val="22"/>
              </w:rPr>
              <w:t xml:space="preserve"> entrust the application and enforcement of the provisions of the ePrivacy instrument to the same independent supervisory authorities appointed under the GDPR.</w:t>
            </w:r>
          </w:p>
          <w:p w:rsidR="00035C91" w:rsidRDefault="00035C91">
            <w:pPr>
              <w:spacing w:before="0" w:after="0"/>
              <w:jc w:val="left"/>
              <w:rPr>
                <w:rFonts w:ascii="Times New Roman" w:hAnsi="Times New Roman"/>
                <w:b/>
                <w:noProof/>
                <w:sz w:val="24"/>
              </w:rPr>
            </w:pPr>
          </w:p>
        </w:tc>
        <w:tc>
          <w:tcPr>
            <w:tcW w:w="2116" w:type="dxa"/>
          </w:tcPr>
          <w:p w:rsidR="00035C91" w:rsidRDefault="00632184">
            <w:pPr>
              <w:numPr>
                <w:ilvl w:val="0"/>
                <w:numId w:val="106"/>
              </w:numPr>
              <w:pBdr>
                <w:top w:val="single" w:sz="4" w:space="1" w:color="auto"/>
                <w:left w:val="single" w:sz="4" w:space="4" w:color="auto"/>
                <w:bottom w:val="single" w:sz="4" w:space="1" w:color="auto"/>
                <w:right w:val="single" w:sz="4" w:space="4" w:color="auto"/>
              </w:pBdr>
              <w:spacing w:before="0" w:after="240"/>
              <w:rPr>
                <w:rFonts w:ascii="Times New Roman" w:hAnsi="Times New Roman"/>
                <w:noProof/>
                <w:sz w:val="22"/>
                <w:szCs w:val="22"/>
              </w:rPr>
            </w:pPr>
            <w:r>
              <w:rPr>
                <w:rFonts w:ascii="Times New Roman" w:hAnsi="Times New Roman"/>
                <w:noProof/>
                <w:sz w:val="22"/>
                <w:szCs w:val="22"/>
              </w:rPr>
              <w:t xml:space="preserve">All the measures under No 1, 2, 3 and 4 of </w:t>
            </w:r>
            <w:r>
              <w:rPr>
                <w:rFonts w:ascii="Times New Roman" w:hAnsi="Times New Roman"/>
                <w:b/>
                <w:noProof/>
                <w:sz w:val="22"/>
                <w:szCs w:val="22"/>
              </w:rPr>
              <w:t>Option 3</w:t>
            </w:r>
            <w:r>
              <w:rPr>
                <w:rFonts w:ascii="Times New Roman" w:hAnsi="Times New Roman"/>
                <w:noProof/>
                <w:sz w:val="22"/>
                <w:szCs w:val="22"/>
              </w:rPr>
              <w:t>.</w:t>
            </w:r>
          </w:p>
          <w:p w:rsidR="00035C91" w:rsidRDefault="00632184">
            <w:pPr>
              <w:numPr>
                <w:ilvl w:val="0"/>
                <w:numId w:val="106"/>
              </w:numPr>
              <w:pBdr>
                <w:top w:val="single" w:sz="4" w:space="1" w:color="auto"/>
                <w:left w:val="single" w:sz="4" w:space="4" w:color="auto"/>
                <w:bottom w:val="single" w:sz="4" w:space="1" w:color="auto"/>
                <w:right w:val="single" w:sz="4" w:space="4" w:color="auto"/>
              </w:pBdr>
              <w:spacing w:before="0" w:after="240"/>
              <w:rPr>
                <w:rFonts w:ascii="Times New Roman" w:hAnsi="Times New Roman"/>
                <w:noProof/>
                <w:sz w:val="22"/>
                <w:szCs w:val="22"/>
              </w:rPr>
            </w:pPr>
            <w:r>
              <w:rPr>
                <w:rFonts w:ascii="Times New Roman" w:hAnsi="Times New Roman"/>
                <w:noProof/>
                <w:sz w:val="22"/>
                <w:szCs w:val="22"/>
              </w:rPr>
              <w:t xml:space="preserve">Explicitly </w:t>
            </w:r>
            <w:r>
              <w:rPr>
                <w:rFonts w:ascii="Times New Roman" w:hAnsi="Times New Roman"/>
                <w:b/>
                <w:noProof/>
                <w:sz w:val="22"/>
                <w:szCs w:val="22"/>
              </w:rPr>
              <w:t xml:space="preserve">prohibit the practice of </w:t>
            </w:r>
            <w:r>
              <w:rPr>
                <w:rFonts w:ascii="Times New Roman" w:hAnsi="Times New Roman"/>
                <w:b/>
                <w:noProof/>
                <w:sz w:val="22"/>
                <w:szCs w:val="22"/>
              </w:rPr>
              <w:t>denying access to a website</w:t>
            </w:r>
            <w:r>
              <w:rPr>
                <w:rFonts w:ascii="Times New Roman" w:hAnsi="Times New Roman"/>
                <w:noProof/>
                <w:sz w:val="22"/>
                <w:szCs w:val="22"/>
              </w:rPr>
              <w:t xml:space="preserve"> or an </w:t>
            </w:r>
            <w:r>
              <w:rPr>
                <w:rFonts w:ascii="Times New Roman" w:hAnsi="Times New Roman"/>
                <w:b/>
                <w:noProof/>
                <w:sz w:val="22"/>
                <w:szCs w:val="22"/>
              </w:rPr>
              <w:t>online service</w:t>
            </w:r>
            <w:r>
              <w:rPr>
                <w:rFonts w:ascii="Times New Roman" w:hAnsi="Times New Roman"/>
                <w:noProof/>
                <w:sz w:val="22"/>
                <w:szCs w:val="22"/>
              </w:rPr>
              <w:t xml:space="preserve"> in case users do not provide consent to tracking (so-called cookie-wall).</w:t>
            </w:r>
          </w:p>
        </w:tc>
        <w:tc>
          <w:tcPr>
            <w:tcW w:w="2116" w:type="dxa"/>
          </w:tcPr>
          <w:p w:rsidR="00035C91" w:rsidRDefault="00632184">
            <w:pPr>
              <w:numPr>
                <w:ilvl w:val="0"/>
                <w:numId w:val="105"/>
              </w:numPr>
              <w:pBdr>
                <w:top w:val="single" w:sz="4" w:space="1" w:color="auto"/>
                <w:left w:val="single" w:sz="4" w:space="4" w:color="auto"/>
                <w:bottom w:val="single" w:sz="4" w:space="1" w:color="auto"/>
                <w:right w:val="single" w:sz="4" w:space="4" w:color="auto"/>
              </w:pBdr>
              <w:spacing w:before="0" w:after="240"/>
              <w:rPr>
                <w:rFonts w:ascii="Times New Roman" w:hAnsi="Times New Roman"/>
                <w:noProof/>
                <w:sz w:val="22"/>
                <w:szCs w:val="22"/>
              </w:rPr>
            </w:pPr>
            <w:r>
              <w:rPr>
                <w:rFonts w:ascii="Times New Roman" w:hAnsi="Times New Roman"/>
                <w:noProof/>
                <w:sz w:val="22"/>
                <w:szCs w:val="22"/>
              </w:rPr>
              <w:t>The GDPR provides for reinforced rights of individuals and the obligations of data controllers, which are in keeping up with the chal</w:t>
            </w:r>
            <w:r>
              <w:rPr>
                <w:rFonts w:ascii="Times New Roman" w:hAnsi="Times New Roman"/>
                <w:noProof/>
                <w:sz w:val="22"/>
                <w:szCs w:val="22"/>
              </w:rPr>
              <w:t xml:space="preserve">lenges of the digital age. The </w:t>
            </w:r>
            <w:r>
              <w:rPr>
                <w:rFonts w:ascii="Times New Roman" w:hAnsi="Times New Roman"/>
                <w:b/>
                <w:noProof/>
                <w:sz w:val="22"/>
                <w:szCs w:val="22"/>
              </w:rPr>
              <w:t>consent rule</w:t>
            </w:r>
            <w:r>
              <w:rPr>
                <w:rFonts w:ascii="Times New Roman" w:hAnsi="Times New Roman"/>
                <w:noProof/>
                <w:sz w:val="22"/>
                <w:szCs w:val="22"/>
              </w:rPr>
              <w:t xml:space="preserve"> under the GDPR has been in particular </w:t>
            </w:r>
            <w:r>
              <w:rPr>
                <w:rFonts w:ascii="Times New Roman" w:hAnsi="Times New Roman"/>
                <w:b/>
                <w:noProof/>
                <w:sz w:val="22"/>
                <w:szCs w:val="22"/>
              </w:rPr>
              <w:t>substantially strengthened</w:t>
            </w:r>
            <w:r>
              <w:rPr>
                <w:rFonts w:ascii="Times New Roman" w:hAnsi="Times New Roman"/>
                <w:noProof/>
                <w:sz w:val="22"/>
                <w:szCs w:val="22"/>
              </w:rPr>
              <w:t xml:space="preserve"> with a view to ensure that it is freely-given. The GDPR addressed the issue of unbalance of economic power between the controller and the processor</w:t>
            </w:r>
            <w:r>
              <w:rPr>
                <w:rFonts w:ascii="Times New Roman" w:hAnsi="Times New Roman"/>
                <w:noProof/>
                <w:sz w:val="22"/>
                <w:szCs w:val="22"/>
              </w:rPr>
              <w:t>, requesting that this aspect be taken into account in the assessment of the validity of consent.</w:t>
            </w:r>
          </w:p>
          <w:p w:rsidR="00035C91" w:rsidRDefault="00632184">
            <w:pPr>
              <w:numPr>
                <w:ilvl w:val="0"/>
                <w:numId w:val="105"/>
              </w:numPr>
              <w:pBdr>
                <w:top w:val="single" w:sz="4" w:space="1" w:color="auto"/>
                <w:left w:val="single" w:sz="4" w:space="4" w:color="auto"/>
                <w:bottom w:val="single" w:sz="4" w:space="1" w:color="auto"/>
                <w:right w:val="single" w:sz="4" w:space="4" w:color="auto"/>
              </w:pBdr>
              <w:spacing w:before="0" w:after="240"/>
              <w:rPr>
                <w:rFonts w:ascii="Times New Roman" w:hAnsi="Times New Roman"/>
                <w:noProof/>
                <w:sz w:val="22"/>
                <w:szCs w:val="22"/>
              </w:rPr>
            </w:pPr>
            <w:r>
              <w:rPr>
                <w:rFonts w:ascii="Times New Roman" w:hAnsi="Times New Roman"/>
                <w:noProof/>
                <w:sz w:val="22"/>
                <w:szCs w:val="22"/>
              </w:rPr>
              <w:t>The GDPR would guarantee more effective enforcement in view of the reinforced powers conferred on data protection authorities.</w:t>
            </w:r>
          </w:p>
        </w:tc>
      </w:tr>
      <w:tr w:rsidR="00035C91">
        <w:tc>
          <w:tcPr>
            <w:tcW w:w="2248" w:type="dxa"/>
          </w:tcPr>
          <w:p w:rsidR="00035C91" w:rsidRDefault="00632184">
            <w:pPr>
              <w:spacing w:before="0" w:after="0"/>
              <w:jc w:val="left"/>
              <w:rPr>
                <w:rFonts w:ascii="Times New Roman" w:hAnsi="Times New Roman"/>
                <w:b/>
                <w:noProof/>
                <w:sz w:val="24"/>
              </w:rPr>
            </w:pPr>
            <w:r>
              <w:rPr>
                <w:rFonts w:ascii="Times New Roman" w:hAnsi="Times New Roman"/>
                <w:b/>
                <w:noProof/>
                <w:sz w:val="24"/>
              </w:rPr>
              <w:t>Objective 2 -</w:t>
            </w:r>
          </w:p>
          <w:p w:rsidR="00035C91" w:rsidRDefault="00632184">
            <w:pPr>
              <w:spacing w:before="0" w:after="0"/>
              <w:jc w:val="left"/>
              <w:rPr>
                <w:rFonts w:ascii="Times New Roman" w:hAnsi="Times New Roman"/>
                <w:b/>
                <w:noProof/>
                <w:sz w:val="24"/>
              </w:rPr>
            </w:pPr>
            <w:r>
              <w:rPr>
                <w:rFonts w:ascii="Times New Roman" w:hAnsi="Times New Roman"/>
                <w:i/>
                <w:noProof/>
                <w:sz w:val="22"/>
                <w:szCs w:val="22"/>
              </w:rPr>
              <w:t>Ensuring effecti</w:t>
            </w:r>
            <w:r>
              <w:rPr>
                <w:rFonts w:ascii="Times New Roman" w:hAnsi="Times New Roman"/>
                <w:i/>
                <w:noProof/>
                <w:sz w:val="22"/>
                <w:szCs w:val="22"/>
              </w:rPr>
              <w:t>ve protection against unsolicited commercial communications</w:t>
            </w:r>
          </w:p>
        </w:tc>
        <w:tc>
          <w:tcPr>
            <w:tcW w:w="2243" w:type="dxa"/>
          </w:tcPr>
          <w:p w:rsidR="00035C91" w:rsidRDefault="00632184">
            <w:pPr>
              <w:numPr>
                <w:ilvl w:val="0"/>
                <w:numId w:val="100"/>
              </w:numPr>
              <w:spacing w:before="0" w:after="240"/>
              <w:rPr>
                <w:rFonts w:ascii="Times New Roman" w:hAnsi="Times New Roman"/>
                <w:noProof/>
                <w:sz w:val="22"/>
                <w:szCs w:val="22"/>
              </w:rPr>
            </w:pPr>
            <w:r>
              <w:rPr>
                <w:rFonts w:ascii="Times New Roman" w:hAnsi="Times New Roman"/>
                <w:b/>
                <w:noProof/>
                <w:sz w:val="22"/>
                <w:szCs w:val="22"/>
              </w:rPr>
              <w:t>Interpretative communications</w:t>
            </w:r>
            <w:r>
              <w:rPr>
                <w:rFonts w:ascii="Times New Roman" w:hAnsi="Times New Roman"/>
                <w:noProof/>
                <w:sz w:val="22"/>
                <w:szCs w:val="22"/>
              </w:rPr>
              <w:t>, clarifying the interpretation of unclear or ambiguous concepts.</w:t>
            </w:r>
          </w:p>
          <w:p w:rsidR="00035C91" w:rsidRDefault="00632184">
            <w:pPr>
              <w:numPr>
                <w:ilvl w:val="0"/>
                <w:numId w:val="100"/>
              </w:numPr>
              <w:spacing w:before="0" w:after="240"/>
              <w:rPr>
                <w:rFonts w:ascii="Times New Roman" w:hAnsi="Times New Roman"/>
                <w:noProof/>
                <w:sz w:val="22"/>
                <w:szCs w:val="22"/>
              </w:rPr>
            </w:pPr>
            <w:r>
              <w:rPr>
                <w:rFonts w:ascii="Times New Roman" w:hAnsi="Times New Roman"/>
                <w:b/>
                <w:noProof/>
                <w:sz w:val="22"/>
                <w:szCs w:val="22"/>
              </w:rPr>
              <w:t>Awareness-raising initiatives</w:t>
            </w:r>
            <w:r>
              <w:rPr>
                <w:rFonts w:ascii="Times New Roman" w:hAnsi="Times New Roman"/>
                <w:noProof/>
                <w:sz w:val="22"/>
                <w:szCs w:val="22"/>
              </w:rPr>
              <w:t xml:space="preserve"> instructing citizens on how to defend themselves, how to seek redress from national supervisory authorities.</w:t>
            </w:r>
          </w:p>
          <w:p w:rsidR="00035C91" w:rsidRDefault="00035C91">
            <w:pPr>
              <w:spacing w:before="0" w:after="0"/>
              <w:jc w:val="left"/>
              <w:rPr>
                <w:rFonts w:ascii="Times New Roman" w:hAnsi="Times New Roman"/>
                <w:b/>
                <w:noProof/>
                <w:sz w:val="24"/>
              </w:rPr>
            </w:pPr>
          </w:p>
        </w:tc>
        <w:tc>
          <w:tcPr>
            <w:tcW w:w="3174" w:type="dxa"/>
          </w:tcPr>
          <w:p w:rsidR="00035C91" w:rsidRDefault="00632184">
            <w:pPr>
              <w:numPr>
                <w:ilvl w:val="0"/>
                <w:numId w:val="102"/>
              </w:numPr>
              <w:spacing w:before="0" w:after="240"/>
              <w:rPr>
                <w:rFonts w:ascii="Times New Roman" w:hAnsi="Times New Roman"/>
                <w:noProof/>
                <w:sz w:val="22"/>
                <w:szCs w:val="22"/>
              </w:rPr>
            </w:pPr>
            <w:r>
              <w:rPr>
                <w:rFonts w:ascii="Times New Roman" w:hAnsi="Times New Roman"/>
                <w:b/>
                <w:noProof/>
                <w:sz w:val="22"/>
                <w:szCs w:val="22"/>
              </w:rPr>
              <w:t>Clarify the scope of the provision on unsolicited communications and make it technologically neutral</w:t>
            </w:r>
            <w:r>
              <w:rPr>
                <w:rFonts w:ascii="Times New Roman" w:hAnsi="Times New Roman"/>
                <w:noProof/>
                <w:sz w:val="22"/>
                <w:szCs w:val="22"/>
              </w:rPr>
              <w:t>: clarify that it applies to any form of unso</w:t>
            </w:r>
            <w:r>
              <w:rPr>
                <w:rFonts w:ascii="Times New Roman" w:hAnsi="Times New Roman"/>
                <w:noProof/>
                <w:sz w:val="22"/>
                <w:szCs w:val="22"/>
              </w:rPr>
              <w:t>licited electronic communication, irrespective of the technological means used (e.g. wallpapers, mailboxes, etc.).</w:t>
            </w:r>
          </w:p>
          <w:p w:rsidR="00035C91" w:rsidRDefault="00632184">
            <w:pPr>
              <w:numPr>
                <w:ilvl w:val="0"/>
                <w:numId w:val="102"/>
              </w:numPr>
              <w:spacing w:before="0" w:after="240"/>
              <w:rPr>
                <w:rFonts w:ascii="Times New Roman" w:hAnsi="Times New Roman"/>
                <w:noProof/>
                <w:sz w:val="22"/>
                <w:szCs w:val="22"/>
              </w:rPr>
            </w:pPr>
            <w:r>
              <w:rPr>
                <w:rFonts w:ascii="Times New Roman" w:hAnsi="Times New Roman"/>
                <w:b/>
                <w:noProof/>
                <w:sz w:val="22"/>
                <w:szCs w:val="22"/>
              </w:rPr>
              <w:t>Require for marketing calls the use of a special prefix</w:t>
            </w:r>
            <w:r>
              <w:rPr>
                <w:rFonts w:ascii="Times New Roman" w:hAnsi="Times New Roman"/>
                <w:noProof/>
                <w:sz w:val="22"/>
                <w:szCs w:val="22"/>
              </w:rPr>
              <w:t xml:space="preserve"> distinguishing direct marketing calls from other calls. </w:t>
            </w:r>
          </w:p>
          <w:p w:rsidR="00035C91" w:rsidRDefault="00035C91">
            <w:pPr>
              <w:spacing w:before="0" w:after="0"/>
              <w:jc w:val="left"/>
              <w:rPr>
                <w:rFonts w:ascii="Times New Roman" w:hAnsi="Times New Roman"/>
                <w:b/>
                <w:noProof/>
                <w:sz w:val="24"/>
              </w:rPr>
            </w:pPr>
          </w:p>
        </w:tc>
        <w:tc>
          <w:tcPr>
            <w:tcW w:w="2321" w:type="dxa"/>
          </w:tcPr>
          <w:p w:rsidR="00035C91" w:rsidRDefault="00632184">
            <w:pPr>
              <w:numPr>
                <w:ilvl w:val="0"/>
                <w:numId w:val="103"/>
              </w:numPr>
              <w:spacing w:before="0" w:after="240"/>
              <w:rPr>
                <w:rFonts w:ascii="Times New Roman" w:hAnsi="Times New Roman"/>
                <w:noProof/>
                <w:sz w:val="22"/>
                <w:szCs w:val="22"/>
              </w:rPr>
            </w:pPr>
            <w:r>
              <w:rPr>
                <w:rFonts w:ascii="Times New Roman" w:hAnsi="Times New Roman"/>
                <w:noProof/>
                <w:sz w:val="22"/>
                <w:szCs w:val="22"/>
              </w:rPr>
              <w:t xml:space="preserve">All the measures from 4 to </w:t>
            </w:r>
            <w:r>
              <w:rPr>
                <w:rFonts w:ascii="Times New Roman" w:hAnsi="Times New Roman"/>
                <w:noProof/>
                <w:sz w:val="22"/>
                <w:szCs w:val="22"/>
              </w:rPr>
              <w:t xml:space="preserve">5 under </w:t>
            </w:r>
            <w:r>
              <w:rPr>
                <w:rFonts w:ascii="Times New Roman" w:hAnsi="Times New Roman"/>
                <w:b/>
                <w:noProof/>
                <w:sz w:val="22"/>
                <w:szCs w:val="22"/>
              </w:rPr>
              <w:t>Option 2</w:t>
            </w:r>
            <w:r>
              <w:rPr>
                <w:rFonts w:ascii="Times New Roman" w:hAnsi="Times New Roman"/>
                <w:noProof/>
                <w:sz w:val="22"/>
                <w:szCs w:val="22"/>
              </w:rPr>
              <w:t>.</w:t>
            </w:r>
          </w:p>
          <w:p w:rsidR="00035C91" w:rsidRDefault="00632184">
            <w:pPr>
              <w:numPr>
                <w:ilvl w:val="0"/>
                <w:numId w:val="103"/>
              </w:numPr>
              <w:spacing w:before="0" w:after="240"/>
              <w:rPr>
                <w:rFonts w:ascii="Times New Roman" w:hAnsi="Times New Roman"/>
                <w:noProof/>
                <w:sz w:val="22"/>
                <w:szCs w:val="22"/>
              </w:rPr>
            </w:pPr>
            <w:r>
              <w:rPr>
                <w:rFonts w:ascii="Times New Roman" w:hAnsi="Times New Roman"/>
                <w:noProof/>
                <w:sz w:val="22"/>
                <w:szCs w:val="22"/>
              </w:rPr>
              <w:t xml:space="preserve">Require </w:t>
            </w:r>
            <w:r>
              <w:rPr>
                <w:rFonts w:ascii="Times New Roman" w:hAnsi="Times New Roman"/>
                <w:b/>
                <w:noProof/>
                <w:sz w:val="22"/>
                <w:szCs w:val="22"/>
              </w:rPr>
              <w:t>opt-in consent for all types of unsolicited communications covered by the current rules</w:t>
            </w:r>
            <w:r>
              <w:rPr>
                <w:rFonts w:ascii="Times New Roman" w:hAnsi="Times New Roman"/>
                <w:noProof/>
                <w:sz w:val="22"/>
                <w:szCs w:val="22"/>
              </w:rPr>
              <w:t>.</w:t>
            </w:r>
          </w:p>
          <w:p w:rsidR="00035C91" w:rsidRDefault="00632184">
            <w:pPr>
              <w:numPr>
                <w:ilvl w:val="0"/>
                <w:numId w:val="103"/>
              </w:numPr>
              <w:spacing w:before="0" w:after="240"/>
              <w:rPr>
                <w:rFonts w:ascii="Times New Roman" w:hAnsi="Times New Roman"/>
                <w:noProof/>
                <w:sz w:val="22"/>
                <w:szCs w:val="22"/>
              </w:rPr>
            </w:pPr>
            <w:r>
              <w:rPr>
                <w:rFonts w:ascii="Times New Roman" w:hAnsi="Times New Roman"/>
                <w:noProof/>
                <w:sz w:val="22"/>
                <w:szCs w:val="22"/>
              </w:rPr>
              <w:t xml:space="preserve">Clarify the provision on </w:t>
            </w:r>
            <w:r>
              <w:rPr>
                <w:rFonts w:ascii="Times New Roman" w:hAnsi="Times New Roman"/>
                <w:b/>
                <w:noProof/>
                <w:sz w:val="22"/>
                <w:szCs w:val="22"/>
              </w:rPr>
              <w:t>presentation of calling line identification</w:t>
            </w:r>
            <w:r>
              <w:rPr>
                <w:rFonts w:ascii="Times New Roman" w:hAnsi="Times New Roman"/>
                <w:noProof/>
                <w:sz w:val="22"/>
                <w:szCs w:val="22"/>
              </w:rPr>
              <w:t xml:space="preserve"> to include the right of users to reject calls from specific numbers (or </w:t>
            </w:r>
            <w:r>
              <w:rPr>
                <w:rFonts w:ascii="Times New Roman" w:hAnsi="Times New Roman"/>
                <w:noProof/>
                <w:sz w:val="22"/>
                <w:szCs w:val="22"/>
              </w:rPr>
              <w:t>categories of numbers).</w:t>
            </w:r>
          </w:p>
          <w:p w:rsidR="00035C91" w:rsidRDefault="00035C91">
            <w:pPr>
              <w:spacing w:before="0" w:after="0"/>
              <w:jc w:val="left"/>
              <w:rPr>
                <w:rFonts w:ascii="Times New Roman" w:hAnsi="Times New Roman"/>
                <w:b/>
                <w:noProof/>
                <w:sz w:val="24"/>
              </w:rPr>
            </w:pPr>
          </w:p>
        </w:tc>
        <w:tc>
          <w:tcPr>
            <w:tcW w:w="2116" w:type="dxa"/>
          </w:tcPr>
          <w:p w:rsidR="00035C91" w:rsidRDefault="00632184">
            <w:pPr>
              <w:numPr>
                <w:ilvl w:val="0"/>
                <w:numId w:val="104"/>
              </w:numPr>
              <w:pBdr>
                <w:top w:val="single" w:sz="4" w:space="1" w:color="auto"/>
                <w:left w:val="single" w:sz="4" w:space="4" w:color="auto"/>
                <w:bottom w:val="single" w:sz="4" w:space="1" w:color="auto"/>
                <w:right w:val="single" w:sz="4" w:space="4" w:color="auto"/>
              </w:pBdr>
              <w:spacing w:before="0" w:after="240"/>
              <w:rPr>
                <w:rFonts w:ascii="Times New Roman" w:hAnsi="Times New Roman"/>
                <w:noProof/>
                <w:sz w:val="22"/>
                <w:szCs w:val="22"/>
              </w:rPr>
            </w:pPr>
            <w:r>
              <w:rPr>
                <w:rFonts w:ascii="Times New Roman" w:hAnsi="Times New Roman"/>
                <w:noProof/>
                <w:sz w:val="22"/>
                <w:szCs w:val="22"/>
              </w:rPr>
              <w:t xml:space="preserve">All the measures under No 6 and 7 of </w:t>
            </w:r>
            <w:r>
              <w:rPr>
                <w:rFonts w:ascii="Times New Roman" w:hAnsi="Times New Roman"/>
                <w:b/>
                <w:noProof/>
                <w:sz w:val="22"/>
                <w:szCs w:val="22"/>
              </w:rPr>
              <w:t>Option 3</w:t>
            </w:r>
            <w:r>
              <w:rPr>
                <w:rFonts w:ascii="Times New Roman" w:hAnsi="Times New Roman"/>
                <w:noProof/>
                <w:sz w:val="22"/>
                <w:szCs w:val="22"/>
              </w:rPr>
              <w:t>.</w:t>
            </w:r>
          </w:p>
          <w:p w:rsidR="00035C91" w:rsidRDefault="00632184">
            <w:pPr>
              <w:numPr>
                <w:ilvl w:val="0"/>
                <w:numId w:val="104"/>
              </w:numPr>
              <w:pBdr>
                <w:top w:val="single" w:sz="4" w:space="1" w:color="auto"/>
                <w:left w:val="single" w:sz="4" w:space="4" w:color="auto"/>
                <w:bottom w:val="single" w:sz="4" w:space="1" w:color="auto"/>
                <w:right w:val="single" w:sz="4" w:space="4" w:color="auto"/>
              </w:pBdr>
              <w:spacing w:before="0" w:after="240"/>
              <w:rPr>
                <w:rFonts w:ascii="Times New Roman" w:hAnsi="Times New Roman"/>
                <w:b/>
                <w:noProof/>
                <w:sz w:val="24"/>
              </w:rPr>
            </w:pPr>
            <w:r>
              <w:rPr>
                <w:rFonts w:ascii="Times New Roman" w:hAnsi="Times New Roman"/>
                <w:noProof/>
                <w:sz w:val="22"/>
                <w:szCs w:val="22"/>
              </w:rPr>
              <w:t xml:space="preserve">Under this option, the Commission would </w:t>
            </w:r>
            <w:r>
              <w:rPr>
                <w:rFonts w:ascii="Times New Roman" w:hAnsi="Times New Roman"/>
                <w:b/>
                <w:noProof/>
                <w:sz w:val="22"/>
                <w:szCs w:val="22"/>
              </w:rPr>
              <w:t>repeal</w:t>
            </w:r>
            <w:r>
              <w:rPr>
                <w:rFonts w:ascii="Times New Roman" w:hAnsi="Times New Roman"/>
                <w:noProof/>
                <w:sz w:val="22"/>
                <w:szCs w:val="22"/>
              </w:rPr>
              <w:t xml:space="preserve"> the provision allowing direct marketers to send communications to subscribers and users when they have received their contact details in </w:t>
            </w:r>
            <w:r>
              <w:rPr>
                <w:rFonts w:ascii="Times New Roman" w:hAnsi="Times New Roman"/>
                <w:noProof/>
                <w:sz w:val="22"/>
                <w:szCs w:val="22"/>
              </w:rPr>
              <w:t xml:space="preserve">the context of a </w:t>
            </w:r>
            <w:r>
              <w:rPr>
                <w:rFonts w:ascii="Times New Roman" w:hAnsi="Times New Roman"/>
                <w:b/>
                <w:noProof/>
                <w:sz w:val="22"/>
                <w:szCs w:val="22"/>
              </w:rPr>
              <w:t>previous business relationship</w:t>
            </w:r>
          </w:p>
        </w:tc>
        <w:tc>
          <w:tcPr>
            <w:tcW w:w="2116" w:type="dxa"/>
          </w:tcPr>
          <w:p w:rsidR="00035C91" w:rsidRDefault="00632184">
            <w:pPr>
              <w:numPr>
                <w:ilvl w:val="0"/>
                <w:numId w:val="105"/>
              </w:numPr>
              <w:spacing w:before="0" w:after="240"/>
              <w:rPr>
                <w:rFonts w:ascii="Times New Roman" w:hAnsi="Times New Roman"/>
                <w:b/>
                <w:noProof/>
                <w:sz w:val="24"/>
              </w:rPr>
            </w:pPr>
            <w:r>
              <w:rPr>
                <w:rFonts w:ascii="Times New Roman" w:hAnsi="Times New Roman"/>
                <w:noProof/>
                <w:sz w:val="22"/>
                <w:szCs w:val="22"/>
              </w:rPr>
              <w:t xml:space="preserve">Unsolicited communications would be essentially regulated under a general </w:t>
            </w:r>
            <w:r>
              <w:rPr>
                <w:rFonts w:ascii="Times New Roman" w:hAnsi="Times New Roman"/>
                <w:b/>
                <w:noProof/>
                <w:sz w:val="22"/>
                <w:szCs w:val="22"/>
              </w:rPr>
              <w:t>opt-out</w:t>
            </w:r>
            <w:r>
              <w:rPr>
                <w:rFonts w:ascii="Times New Roman" w:hAnsi="Times New Roman"/>
                <w:noProof/>
                <w:sz w:val="22"/>
                <w:szCs w:val="22"/>
              </w:rPr>
              <w:t xml:space="preserve"> regime across 28 MS</w:t>
            </w:r>
          </w:p>
        </w:tc>
      </w:tr>
      <w:tr w:rsidR="00035C91">
        <w:tc>
          <w:tcPr>
            <w:tcW w:w="2248" w:type="dxa"/>
          </w:tcPr>
          <w:p w:rsidR="00035C91" w:rsidRDefault="00632184">
            <w:pPr>
              <w:spacing w:before="0" w:after="0"/>
              <w:jc w:val="left"/>
              <w:rPr>
                <w:rFonts w:ascii="Times New Roman" w:hAnsi="Times New Roman"/>
                <w:b/>
                <w:noProof/>
                <w:sz w:val="24"/>
              </w:rPr>
            </w:pPr>
            <w:r>
              <w:rPr>
                <w:rFonts w:ascii="Times New Roman" w:hAnsi="Times New Roman"/>
                <w:b/>
                <w:noProof/>
                <w:sz w:val="24"/>
              </w:rPr>
              <w:t>Objective 3 -</w:t>
            </w:r>
          </w:p>
          <w:p w:rsidR="00035C91" w:rsidRDefault="00632184">
            <w:pPr>
              <w:spacing w:before="0" w:after="0"/>
              <w:jc w:val="left"/>
              <w:rPr>
                <w:rFonts w:ascii="Times New Roman" w:hAnsi="Times New Roman"/>
                <w:b/>
                <w:noProof/>
                <w:sz w:val="24"/>
              </w:rPr>
            </w:pPr>
            <w:r>
              <w:rPr>
                <w:rFonts w:ascii="Times New Roman" w:hAnsi="Times New Roman"/>
                <w:i/>
                <w:noProof/>
                <w:sz w:val="22"/>
                <w:szCs w:val="22"/>
              </w:rPr>
              <w:t>Enhancing harmonisation and simplifying/updating the legal framework</w:t>
            </w:r>
          </w:p>
        </w:tc>
        <w:tc>
          <w:tcPr>
            <w:tcW w:w="2243" w:type="dxa"/>
          </w:tcPr>
          <w:p w:rsidR="00035C91" w:rsidRDefault="00632184">
            <w:pPr>
              <w:numPr>
                <w:ilvl w:val="0"/>
                <w:numId w:val="100"/>
              </w:numPr>
              <w:spacing w:before="0" w:after="240"/>
              <w:rPr>
                <w:rFonts w:ascii="Times New Roman" w:hAnsi="Times New Roman"/>
                <w:noProof/>
                <w:sz w:val="22"/>
                <w:szCs w:val="22"/>
              </w:rPr>
            </w:pPr>
            <w:r>
              <w:rPr>
                <w:rFonts w:ascii="Times New Roman" w:hAnsi="Times New Roman"/>
                <w:noProof/>
                <w:sz w:val="22"/>
                <w:szCs w:val="22"/>
              </w:rPr>
              <w:t xml:space="preserve">Issue </w:t>
            </w:r>
            <w:r>
              <w:rPr>
                <w:rFonts w:ascii="Times New Roman" w:hAnsi="Times New Roman"/>
                <w:b/>
                <w:noProof/>
                <w:sz w:val="22"/>
                <w:szCs w:val="22"/>
              </w:rPr>
              <w:t xml:space="preserve">interpretative </w:t>
            </w:r>
            <w:r>
              <w:rPr>
                <w:rFonts w:ascii="Times New Roman" w:hAnsi="Times New Roman"/>
                <w:b/>
                <w:noProof/>
                <w:sz w:val="22"/>
                <w:szCs w:val="22"/>
              </w:rPr>
              <w:t>communications</w:t>
            </w:r>
            <w:r>
              <w:rPr>
                <w:rFonts w:ascii="Times New Roman" w:hAnsi="Times New Roman"/>
                <w:noProof/>
                <w:sz w:val="22"/>
                <w:szCs w:val="22"/>
              </w:rPr>
              <w:t xml:space="preserve"> to promote an application of the current rules, which is business friendly, while preserving the essence of the protection of confidentiality of communications</w:t>
            </w:r>
          </w:p>
          <w:p w:rsidR="00035C91" w:rsidRDefault="00632184">
            <w:pPr>
              <w:numPr>
                <w:ilvl w:val="0"/>
                <w:numId w:val="100"/>
              </w:numPr>
              <w:spacing w:before="0" w:after="240"/>
              <w:rPr>
                <w:rFonts w:ascii="Times New Roman" w:hAnsi="Times New Roman"/>
                <w:noProof/>
                <w:sz w:val="22"/>
                <w:szCs w:val="22"/>
              </w:rPr>
            </w:pPr>
            <w:r>
              <w:rPr>
                <w:rFonts w:ascii="Times New Roman" w:hAnsi="Times New Roman"/>
                <w:noProof/>
                <w:sz w:val="22"/>
                <w:szCs w:val="22"/>
              </w:rPr>
              <w:t xml:space="preserve">Work closely with </w:t>
            </w:r>
            <w:r>
              <w:rPr>
                <w:rFonts w:ascii="Times New Roman" w:hAnsi="Times New Roman"/>
                <w:b/>
                <w:noProof/>
                <w:sz w:val="22"/>
                <w:szCs w:val="22"/>
              </w:rPr>
              <w:t>industry</w:t>
            </w:r>
            <w:r>
              <w:rPr>
                <w:rFonts w:ascii="Times New Roman" w:hAnsi="Times New Roman"/>
                <w:noProof/>
                <w:sz w:val="22"/>
                <w:szCs w:val="22"/>
              </w:rPr>
              <w:t xml:space="preserve"> in order to encourage the adoption of </w:t>
            </w:r>
            <w:r>
              <w:rPr>
                <w:rFonts w:ascii="Times New Roman" w:hAnsi="Times New Roman"/>
                <w:b/>
                <w:noProof/>
                <w:sz w:val="22"/>
                <w:szCs w:val="22"/>
              </w:rPr>
              <w:t>common best prac</w:t>
            </w:r>
            <w:r>
              <w:rPr>
                <w:rFonts w:ascii="Times New Roman" w:hAnsi="Times New Roman"/>
                <w:b/>
                <w:noProof/>
                <w:sz w:val="22"/>
                <w:szCs w:val="22"/>
              </w:rPr>
              <w:t>tices</w:t>
            </w:r>
            <w:r>
              <w:rPr>
                <w:rFonts w:ascii="Times New Roman" w:hAnsi="Times New Roman"/>
                <w:noProof/>
                <w:sz w:val="22"/>
                <w:szCs w:val="22"/>
              </w:rPr>
              <w:t>.</w:t>
            </w:r>
          </w:p>
          <w:p w:rsidR="00035C91" w:rsidRDefault="00632184">
            <w:pPr>
              <w:numPr>
                <w:ilvl w:val="0"/>
                <w:numId w:val="100"/>
              </w:numPr>
              <w:spacing w:before="0" w:after="240"/>
              <w:rPr>
                <w:rFonts w:ascii="Times New Roman" w:hAnsi="Times New Roman"/>
                <w:noProof/>
                <w:sz w:val="22"/>
                <w:szCs w:val="22"/>
              </w:rPr>
            </w:pPr>
            <w:r>
              <w:rPr>
                <w:rFonts w:ascii="Times New Roman" w:hAnsi="Times New Roman"/>
                <w:b/>
                <w:noProof/>
                <w:sz w:val="22"/>
                <w:szCs w:val="22"/>
              </w:rPr>
              <w:t>Support MS cooperation</w:t>
            </w:r>
            <w:r>
              <w:rPr>
                <w:rFonts w:ascii="Times New Roman" w:hAnsi="Times New Roman"/>
                <w:noProof/>
                <w:sz w:val="22"/>
                <w:szCs w:val="22"/>
              </w:rPr>
              <w:t xml:space="preserve"> to improve enforcement in cross-border cases as well as harmonised interpretation by organising meetings and workshops with authorities</w:t>
            </w:r>
          </w:p>
        </w:tc>
        <w:tc>
          <w:tcPr>
            <w:tcW w:w="3174" w:type="dxa"/>
          </w:tcPr>
          <w:p w:rsidR="00035C91" w:rsidRDefault="00632184">
            <w:pPr>
              <w:numPr>
                <w:ilvl w:val="0"/>
                <w:numId w:val="102"/>
              </w:numPr>
              <w:spacing w:before="0" w:after="240"/>
              <w:rPr>
                <w:rFonts w:ascii="Times New Roman" w:hAnsi="Times New Roman"/>
                <w:noProof/>
                <w:sz w:val="22"/>
                <w:szCs w:val="22"/>
              </w:rPr>
            </w:pPr>
            <w:r>
              <w:rPr>
                <w:rFonts w:ascii="Times New Roman" w:hAnsi="Times New Roman"/>
                <w:b/>
                <w:noProof/>
                <w:sz w:val="22"/>
                <w:szCs w:val="22"/>
              </w:rPr>
              <w:t>Reinforce cooperation obligations</w:t>
            </w:r>
            <w:r>
              <w:rPr>
                <w:rFonts w:ascii="Times New Roman" w:hAnsi="Times New Roman"/>
                <w:noProof/>
                <w:sz w:val="22"/>
                <w:szCs w:val="22"/>
              </w:rPr>
              <w:t xml:space="preserve"> among the competent authorities, including for cross-bor</w:t>
            </w:r>
            <w:r>
              <w:rPr>
                <w:rFonts w:ascii="Times New Roman" w:hAnsi="Times New Roman"/>
                <w:noProof/>
                <w:sz w:val="22"/>
                <w:szCs w:val="22"/>
              </w:rPr>
              <w:t>der enforcement. Under this option, the Commission would propose an obligation for supervisory authorities to cooperate with other supervisory authorities and provide each other with relevant information and mutual assistance.</w:t>
            </w:r>
          </w:p>
          <w:p w:rsidR="00035C91" w:rsidRDefault="00632184">
            <w:pPr>
              <w:numPr>
                <w:ilvl w:val="0"/>
                <w:numId w:val="102"/>
              </w:numPr>
              <w:spacing w:before="0" w:after="240"/>
              <w:rPr>
                <w:rFonts w:ascii="Times New Roman" w:hAnsi="Times New Roman"/>
                <w:noProof/>
                <w:sz w:val="22"/>
                <w:szCs w:val="22"/>
              </w:rPr>
            </w:pPr>
            <w:r>
              <w:rPr>
                <w:rFonts w:ascii="Times New Roman" w:hAnsi="Times New Roman"/>
                <w:b/>
                <w:noProof/>
                <w:sz w:val="22"/>
                <w:szCs w:val="20"/>
              </w:rPr>
              <w:t>R</w:t>
            </w:r>
            <w:r>
              <w:rPr>
                <w:rFonts w:ascii="Times New Roman" w:hAnsi="Times New Roman"/>
                <w:b/>
                <w:noProof/>
                <w:sz w:val="22"/>
                <w:szCs w:val="22"/>
              </w:rPr>
              <w:t xml:space="preserve">epeal of the security rules </w:t>
            </w:r>
            <w:r>
              <w:rPr>
                <w:rFonts w:ascii="Times New Roman" w:hAnsi="Times New Roman"/>
                <w:noProof/>
                <w:sz w:val="22"/>
                <w:szCs w:val="22"/>
              </w:rPr>
              <w:t>leaving the matter to be regulated by the corresponding rules in the Telecom Framework and the GDPR. The sole exception would be the rules on notification of users of security risks, which is indeed not covered by the latter instruments.</w:t>
            </w:r>
          </w:p>
        </w:tc>
        <w:tc>
          <w:tcPr>
            <w:tcW w:w="2321" w:type="dxa"/>
          </w:tcPr>
          <w:p w:rsidR="00035C91" w:rsidRDefault="00632184">
            <w:pPr>
              <w:keepNext/>
              <w:numPr>
                <w:ilvl w:val="0"/>
                <w:numId w:val="102"/>
              </w:numPr>
              <w:spacing w:before="0" w:after="240"/>
              <w:outlineLvl w:val="1"/>
              <w:rPr>
                <w:rFonts w:ascii="Times New Roman" w:hAnsi="Times New Roman"/>
                <w:noProof/>
                <w:sz w:val="22"/>
                <w:szCs w:val="22"/>
              </w:rPr>
            </w:pPr>
            <w:bookmarkStart w:id="102" w:name="_Toc468455388"/>
            <w:bookmarkStart w:id="103" w:name="_Toc468795245"/>
            <w:r>
              <w:rPr>
                <w:rFonts w:ascii="Times New Roman" w:hAnsi="Times New Roman"/>
                <w:noProof/>
                <w:sz w:val="22"/>
                <w:szCs w:val="22"/>
              </w:rPr>
              <w:t>Propose changes ai</w:t>
            </w:r>
            <w:r>
              <w:rPr>
                <w:rFonts w:ascii="Times New Roman" w:hAnsi="Times New Roman"/>
                <w:noProof/>
                <w:sz w:val="22"/>
                <w:szCs w:val="22"/>
              </w:rPr>
              <w:t xml:space="preserve">med at </w:t>
            </w:r>
            <w:r>
              <w:rPr>
                <w:rFonts w:ascii="Times New Roman" w:hAnsi="Times New Roman"/>
                <w:b/>
                <w:noProof/>
                <w:sz w:val="22"/>
                <w:szCs w:val="22"/>
              </w:rPr>
              <w:t>clarifying and minimising the margin of manoeuvre of certain provisions</w:t>
            </w:r>
            <w:r>
              <w:rPr>
                <w:rFonts w:ascii="Times New Roman" w:hAnsi="Times New Roman"/>
                <w:noProof/>
                <w:sz w:val="22"/>
                <w:szCs w:val="22"/>
              </w:rPr>
              <w:t xml:space="preserve"> identified by stakeholders as a source of confusion and legal uncertainty. This will be achieved e.g. by regulating applicable law and territorial scope, clarifying the scope of</w:t>
            </w:r>
            <w:r>
              <w:rPr>
                <w:rFonts w:ascii="Times New Roman" w:hAnsi="Times New Roman"/>
                <w:noProof/>
                <w:sz w:val="22"/>
                <w:szCs w:val="22"/>
              </w:rPr>
              <w:t xml:space="preserve"> the provisions concerning confidentiality of communications, the scope and requirements concerning confidentiality of terminal equipment and the rules on unsolicited advertising.</w:t>
            </w:r>
            <w:bookmarkEnd w:id="102"/>
            <w:bookmarkEnd w:id="103"/>
            <w:r>
              <w:rPr>
                <w:rFonts w:ascii="Times New Roman" w:hAnsi="Times New Roman"/>
                <w:noProof/>
                <w:sz w:val="22"/>
                <w:szCs w:val="22"/>
              </w:rPr>
              <w:t xml:space="preserve"> </w:t>
            </w:r>
          </w:p>
          <w:p w:rsidR="00035C91" w:rsidRDefault="00632184">
            <w:pPr>
              <w:keepNext/>
              <w:numPr>
                <w:ilvl w:val="0"/>
                <w:numId w:val="102"/>
              </w:numPr>
              <w:spacing w:before="0" w:after="240"/>
              <w:outlineLvl w:val="1"/>
              <w:rPr>
                <w:rFonts w:ascii="Times New Roman" w:hAnsi="Times New Roman"/>
                <w:noProof/>
                <w:sz w:val="22"/>
                <w:szCs w:val="22"/>
              </w:rPr>
            </w:pPr>
            <w:bookmarkStart w:id="104" w:name="_Toc468455389"/>
            <w:bookmarkStart w:id="105" w:name="_Toc468795246"/>
            <w:r>
              <w:rPr>
                <w:rFonts w:ascii="Times New Roman" w:hAnsi="Times New Roman"/>
                <w:noProof/>
                <w:sz w:val="22"/>
                <w:szCs w:val="22"/>
              </w:rPr>
              <w:t>Extend the application of the consistency mechanism established under the G</w:t>
            </w:r>
            <w:r>
              <w:rPr>
                <w:rFonts w:ascii="Times New Roman" w:hAnsi="Times New Roman"/>
                <w:noProof/>
                <w:sz w:val="22"/>
                <w:szCs w:val="22"/>
              </w:rPr>
              <w:t>DPR to the ePrivacy instrument.</w:t>
            </w:r>
            <w:bookmarkEnd w:id="104"/>
            <w:bookmarkEnd w:id="105"/>
          </w:p>
          <w:p w:rsidR="00035C91" w:rsidRDefault="00632184">
            <w:pPr>
              <w:keepNext/>
              <w:numPr>
                <w:ilvl w:val="0"/>
                <w:numId w:val="102"/>
              </w:numPr>
              <w:spacing w:before="0" w:after="240"/>
              <w:outlineLvl w:val="1"/>
              <w:rPr>
                <w:rFonts w:ascii="Times New Roman" w:hAnsi="Times New Roman"/>
                <w:noProof/>
                <w:sz w:val="22"/>
                <w:szCs w:val="22"/>
              </w:rPr>
            </w:pPr>
            <w:bookmarkStart w:id="106" w:name="_Toc468455390"/>
            <w:bookmarkStart w:id="107" w:name="_Toc468795247"/>
            <w:r>
              <w:rPr>
                <w:rFonts w:ascii="Times New Roman" w:hAnsi="Times New Roman"/>
                <w:noProof/>
                <w:sz w:val="22"/>
                <w:szCs w:val="22"/>
              </w:rPr>
              <w:t xml:space="preserve">Repeal provisions on </w:t>
            </w:r>
            <w:r>
              <w:rPr>
                <w:rFonts w:ascii="Times New Roman" w:hAnsi="Times New Roman"/>
                <w:b/>
                <w:noProof/>
                <w:sz w:val="22"/>
                <w:szCs w:val="22"/>
              </w:rPr>
              <w:t xml:space="preserve">security </w:t>
            </w:r>
            <w:r>
              <w:rPr>
                <w:rFonts w:ascii="Times New Roman" w:hAnsi="Times New Roman"/>
                <w:noProof/>
                <w:sz w:val="22"/>
                <w:szCs w:val="22"/>
              </w:rPr>
              <w:t xml:space="preserve">and the provisions on </w:t>
            </w:r>
            <w:r>
              <w:rPr>
                <w:rFonts w:ascii="Times New Roman" w:hAnsi="Times New Roman"/>
                <w:b/>
                <w:noProof/>
                <w:sz w:val="22"/>
                <w:szCs w:val="22"/>
              </w:rPr>
              <w:t>itemised billing.</w:t>
            </w:r>
            <w:bookmarkEnd w:id="106"/>
            <w:bookmarkEnd w:id="107"/>
          </w:p>
          <w:p w:rsidR="00035C91" w:rsidRDefault="00632184">
            <w:pPr>
              <w:keepNext/>
              <w:numPr>
                <w:ilvl w:val="0"/>
                <w:numId w:val="102"/>
              </w:numPr>
              <w:spacing w:before="0" w:after="240"/>
              <w:outlineLvl w:val="1"/>
              <w:rPr>
                <w:rFonts w:ascii="Times New Roman" w:hAnsi="Times New Roman"/>
                <w:noProof/>
                <w:sz w:val="22"/>
                <w:szCs w:val="22"/>
              </w:rPr>
            </w:pPr>
            <w:bookmarkStart w:id="108" w:name="_Toc468455391"/>
            <w:bookmarkStart w:id="109" w:name="_Toc468795248"/>
            <w:r>
              <w:rPr>
                <w:rFonts w:ascii="Times New Roman" w:hAnsi="Times New Roman"/>
                <w:noProof/>
                <w:sz w:val="22"/>
                <w:szCs w:val="22"/>
              </w:rPr>
              <w:t xml:space="preserve">Repeal the provisions on </w:t>
            </w:r>
            <w:r>
              <w:rPr>
                <w:rFonts w:ascii="Times New Roman" w:hAnsi="Times New Roman"/>
                <w:b/>
                <w:noProof/>
                <w:sz w:val="22"/>
                <w:szCs w:val="22"/>
              </w:rPr>
              <w:t>traffic data and location data.</w:t>
            </w:r>
            <w:r>
              <w:rPr>
                <w:rFonts w:ascii="Times New Roman" w:hAnsi="Times New Roman"/>
                <w:noProof/>
                <w:sz w:val="22"/>
                <w:szCs w:val="22"/>
              </w:rPr>
              <w:t xml:space="preserve"> The processing of traffic and location data will be regulated under the general provision of confidentiality of communications data.</w:t>
            </w:r>
            <w:bookmarkEnd w:id="108"/>
            <w:bookmarkEnd w:id="109"/>
            <w:r>
              <w:rPr>
                <w:rFonts w:ascii="Times New Roman" w:hAnsi="Times New Roman"/>
                <w:noProof/>
                <w:sz w:val="22"/>
                <w:szCs w:val="22"/>
              </w:rPr>
              <w:t xml:space="preserve"> </w:t>
            </w:r>
          </w:p>
          <w:p w:rsidR="00035C91" w:rsidRDefault="00632184">
            <w:pPr>
              <w:keepNext/>
              <w:numPr>
                <w:ilvl w:val="0"/>
                <w:numId w:val="102"/>
              </w:numPr>
              <w:spacing w:before="0" w:after="240"/>
              <w:outlineLvl w:val="1"/>
              <w:rPr>
                <w:rFonts w:ascii="Times New Roman" w:hAnsi="Times New Roman"/>
                <w:noProof/>
                <w:sz w:val="22"/>
                <w:szCs w:val="22"/>
              </w:rPr>
            </w:pPr>
            <w:bookmarkStart w:id="110" w:name="_Toc468455392"/>
            <w:bookmarkStart w:id="111" w:name="_Toc468795249"/>
            <w:r>
              <w:rPr>
                <w:rFonts w:ascii="Times New Roman" w:hAnsi="Times New Roman"/>
                <w:noProof/>
                <w:sz w:val="22"/>
                <w:szCs w:val="22"/>
              </w:rPr>
              <w:t xml:space="preserve">Specify that service providers can only process communications data with the consent of the users. Providing for </w:t>
            </w:r>
            <w:r>
              <w:rPr>
                <w:rFonts w:ascii="Times New Roman" w:hAnsi="Times New Roman"/>
                <w:b/>
                <w:noProof/>
                <w:sz w:val="22"/>
                <w:szCs w:val="22"/>
              </w:rPr>
              <w:t>addition</w:t>
            </w:r>
            <w:r>
              <w:rPr>
                <w:rFonts w:ascii="Times New Roman" w:hAnsi="Times New Roman"/>
                <w:b/>
                <w:noProof/>
                <w:sz w:val="22"/>
                <w:szCs w:val="22"/>
              </w:rPr>
              <w:t>al/broadened exceptions</w:t>
            </w:r>
            <w:r>
              <w:rPr>
                <w:rFonts w:ascii="Times New Roman" w:hAnsi="Times New Roman"/>
                <w:noProof/>
                <w:sz w:val="22"/>
                <w:szCs w:val="22"/>
              </w:rPr>
              <w:t xml:space="preserve"> to the consent and enhanced transparency rules for specific purposes which give rise to little or no privacy risks.</w:t>
            </w:r>
            <w:bookmarkEnd w:id="110"/>
            <w:bookmarkEnd w:id="111"/>
          </w:p>
        </w:tc>
        <w:tc>
          <w:tcPr>
            <w:tcW w:w="2116" w:type="dxa"/>
          </w:tcPr>
          <w:p w:rsidR="00035C91" w:rsidRDefault="00632184">
            <w:pPr>
              <w:numPr>
                <w:ilvl w:val="0"/>
                <w:numId w:val="102"/>
              </w:numPr>
              <w:pBdr>
                <w:top w:val="single" w:sz="4" w:space="1" w:color="auto"/>
                <w:left w:val="single" w:sz="4" w:space="4" w:color="auto"/>
                <w:bottom w:val="single" w:sz="4" w:space="1" w:color="auto"/>
                <w:right w:val="single" w:sz="4" w:space="4" w:color="auto"/>
              </w:pBdr>
              <w:spacing w:before="0" w:after="240"/>
              <w:rPr>
                <w:rFonts w:ascii="Times New Roman" w:hAnsi="Times New Roman"/>
                <w:noProof/>
                <w:sz w:val="22"/>
                <w:szCs w:val="22"/>
              </w:rPr>
            </w:pPr>
            <w:r>
              <w:rPr>
                <w:rFonts w:ascii="Times New Roman" w:hAnsi="Times New Roman"/>
                <w:noProof/>
                <w:sz w:val="22"/>
                <w:szCs w:val="22"/>
              </w:rPr>
              <w:t>Measures under No 8, 9, 10, 11 and 12 of Option 3.</w:t>
            </w:r>
          </w:p>
          <w:p w:rsidR="00035C91" w:rsidRDefault="00632184">
            <w:pPr>
              <w:numPr>
                <w:ilvl w:val="0"/>
                <w:numId w:val="102"/>
              </w:numPr>
              <w:pBdr>
                <w:top w:val="single" w:sz="4" w:space="1" w:color="auto"/>
                <w:left w:val="single" w:sz="4" w:space="4" w:color="auto"/>
                <w:bottom w:val="single" w:sz="4" w:space="1" w:color="auto"/>
                <w:right w:val="single" w:sz="4" w:space="4" w:color="auto"/>
              </w:pBdr>
              <w:spacing w:before="0" w:after="240"/>
              <w:rPr>
                <w:rFonts w:ascii="Times New Roman" w:hAnsi="Times New Roman"/>
                <w:noProof/>
                <w:sz w:val="22"/>
                <w:szCs w:val="22"/>
              </w:rPr>
            </w:pPr>
            <w:r>
              <w:rPr>
                <w:rFonts w:ascii="Times New Roman" w:hAnsi="Times New Roman"/>
                <w:noProof/>
                <w:sz w:val="22"/>
                <w:szCs w:val="22"/>
              </w:rPr>
              <w:t>Introduce Commission's implementing powers for deciding on the co</w:t>
            </w:r>
            <w:r>
              <w:rPr>
                <w:rFonts w:ascii="Times New Roman" w:hAnsi="Times New Roman"/>
                <w:noProof/>
                <w:sz w:val="22"/>
                <w:szCs w:val="22"/>
              </w:rPr>
              <w:t>rrect application of the ePrivacy rules. order to ensure correct and consistent application of the EU law.</w:t>
            </w:r>
          </w:p>
        </w:tc>
        <w:tc>
          <w:tcPr>
            <w:tcW w:w="2116" w:type="dxa"/>
          </w:tcPr>
          <w:p w:rsidR="00035C91" w:rsidRDefault="00632184">
            <w:pPr>
              <w:numPr>
                <w:ilvl w:val="0"/>
                <w:numId w:val="99"/>
              </w:numPr>
              <w:pBdr>
                <w:top w:val="single" w:sz="4" w:space="1" w:color="auto"/>
                <w:left w:val="single" w:sz="4" w:space="4" w:color="auto"/>
                <w:bottom w:val="single" w:sz="4" w:space="1" w:color="auto"/>
                <w:right w:val="single" w:sz="4" w:space="4" w:color="auto"/>
              </w:pBdr>
              <w:spacing w:before="0" w:after="240"/>
              <w:rPr>
                <w:rFonts w:ascii="Times New Roman" w:hAnsi="Times New Roman"/>
                <w:noProof/>
                <w:sz w:val="22"/>
                <w:szCs w:val="22"/>
              </w:rPr>
            </w:pPr>
            <w:r>
              <w:rPr>
                <w:rFonts w:ascii="Times New Roman" w:hAnsi="Times New Roman"/>
                <w:noProof/>
                <w:sz w:val="22"/>
                <w:szCs w:val="22"/>
              </w:rPr>
              <w:t xml:space="preserve">All providers of electronic communications will be subject to the </w:t>
            </w:r>
            <w:r>
              <w:rPr>
                <w:rFonts w:ascii="Times New Roman" w:hAnsi="Times New Roman"/>
                <w:b/>
                <w:noProof/>
                <w:sz w:val="22"/>
                <w:szCs w:val="22"/>
              </w:rPr>
              <w:t>same rules</w:t>
            </w:r>
            <w:r>
              <w:rPr>
                <w:rFonts w:ascii="Times New Roman" w:hAnsi="Times New Roman"/>
                <w:noProof/>
                <w:sz w:val="22"/>
                <w:szCs w:val="22"/>
              </w:rPr>
              <w:t xml:space="preserve"> without discrimination based on the technology used.</w:t>
            </w:r>
          </w:p>
          <w:p w:rsidR="00035C91" w:rsidRDefault="00632184">
            <w:pPr>
              <w:numPr>
                <w:ilvl w:val="0"/>
                <w:numId w:val="99"/>
              </w:numPr>
              <w:pBdr>
                <w:top w:val="single" w:sz="4" w:space="1" w:color="auto"/>
                <w:left w:val="single" w:sz="4" w:space="4" w:color="auto"/>
                <w:bottom w:val="single" w:sz="4" w:space="1" w:color="auto"/>
                <w:right w:val="single" w:sz="4" w:space="4" w:color="auto"/>
              </w:pBdr>
              <w:spacing w:before="0" w:after="240"/>
              <w:rPr>
                <w:rFonts w:ascii="Times New Roman" w:hAnsi="Times New Roman"/>
                <w:noProof/>
                <w:sz w:val="22"/>
                <w:szCs w:val="22"/>
              </w:rPr>
            </w:pPr>
            <w:r>
              <w:rPr>
                <w:rFonts w:ascii="Times New Roman" w:hAnsi="Times New Roman"/>
                <w:noProof/>
                <w:sz w:val="22"/>
                <w:szCs w:val="22"/>
              </w:rPr>
              <w:t>There would be no d</w:t>
            </w:r>
            <w:r>
              <w:rPr>
                <w:rFonts w:ascii="Times New Roman" w:hAnsi="Times New Roman"/>
                <w:noProof/>
                <w:sz w:val="22"/>
                <w:szCs w:val="22"/>
              </w:rPr>
              <w:t>uplication of rules in the security area and all the ePD provisions related to specific issues in the electronic communications sector (e.g. directories of subscribers) would be dealt with on the basis of the general data protection rules.</w:t>
            </w:r>
          </w:p>
        </w:tc>
      </w:tr>
    </w:tbl>
    <w:p w:rsidR="00035C91" w:rsidRDefault="00035C91">
      <w:pPr>
        <w:pBdr>
          <w:bottom w:val="single" w:sz="6" w:space="1" w:color="auto"/>
        </w:pBdr>
        <w:spacing w:before="0" w:after="0"/>
        <w:jc w:val="left"/>
        <w:rPr>
          <w:rFonts w:ascii="Times New Roman" w:eastAsia="Times New Roman" w:hAnsi="Times New Roman"/>
          <w:b/>
          <w:noProof/>
          <w:sz w:val="24"/>
        </w:rPr>
      </w:pPr>
    </w:p>
    <w:p w:rsidR="00035C91" w:rsidRDefault="00035C91">
      <w:pPr>
        <w:pBdr>
          <w:bottom w:val="single" w:sz="6" w:space="1" w:color="auto"/>
        </w:pBdr>
        <w:spacing w:before="0" w:after="0"/>
        <w:jc w:val="left"/>
        <w:rPr>
          <w:rFonts w:ascii="Times New Roman" w:eastAsia="Times New Roman" w:hAnsi="Times New Roman"/>
          <w:b/>
          <w:noProof/>
          <w:sz w:val="24"/>
        </w:rPr>
      </w:pPr>
    </w:p>
    <w:p w:rsidR="00035C91" w:rsidRDefault="00035C91">
      <w:pPr>
        <w:pBdr>
          <w:bottom w:val="single" w:sz="6" w:space="1" w:color="auto"/>
        </w:pBdr>
        <w:spacing w:before="0" w:after="0"/>
        <w:jc w:val="left"/>
        <w:rPr>
          <w:rFonts w:ascii="Times New Roman" w:eastAsia="Times New Roman" w:hAnsi="Times New Roman"/>
          <w:b/>
          <w:noProof/>
          <w:sz w:val="24"/>
        </w:rPr>
      </w:pPr>
    </w:p>
    <w:p w:rsidR="00035C91" w:rsidRDefault="00632184">
      <w:pPr>
        <w:pBdr>
          <w:bottom w:val="single" w:sz="6" w:space="1" w:color="auto"/>
        </w:pBdr>
        <w:spacing w:before="0" w:after="0"/>
        <w:jc w:val="left"/>
        <w:rPr>
          <w:rFonts w:ascii="Times New Roman" w:eastAsia="Times New Roman" w:hAnsi="Times New Roman"/>
          <w:b/>
          <w:noProof/>
          <w:sz w:val="24"/>
        </w:rPr>
      </w:pPr>
      <w:r>
        <w:rPr>
          <w:rFonts w:ascii="Times New Roman" w:eastAsia="Times New Roman" w:hAnsi="Times New Roman"/>
          <w:b/>
          <w:noProof/>
          <w:sz w:val="24"/>
        </w:rPr>
        <w:t>II.Visualisation of the various elements of the policy options in relation to the specific objectives</w:t>
      </w:r>
    </w:p>
    <w:p w:rsidR="00035C91" w:rsidRDefault="00035C91">
      <w:pPr>
        <w:pBdr>
          <w:bottom w:val="single" w:sz="6" w:space="1" w:color="auto"/>
        </w:pBdr>
        <w:spacing w:before="0" w:after="0"/>
        <w:jc w:val="left"/>
        <w:rPr>
          <w:rFonts w:ascii="Times New Roman" w:eastAsia="Times New Roman" w:hAnsi="Times New Roman"/>
          <w:b/>
          <w:noProof/>
          <w:sz w:val="24"/>
        </w:rPr>
      </w:pPr>
    </w:p>
    <w:p w:rsidR="00035C91" w:rsidRDefault="00035C91">
      <w:pPr>
        <w:pBdr>
          <w:bottom w:val="single" w:sz="6" w:space="1" w:color="auto"/>
        </w:pBdr>
        <w:spacing w:before="0" w:after="0"/>
        <w:jc w:val="left"/>
        <w:rPr>
          <w:rFonts w:ascii="Times New Roman" w:eastAsia="Times New Roman" w:hAnsi="Times New Roman"/>
          <w:b/>
          <w:noProof/>
          <w:sz w:val="24"/>
        </w:rPr>
      </w:pPr>
    </w:p>
    <w:p w:rsidR="00035C91" w:rsidRDefault="00632184">
      <w:pPr>
        <w:spacing w:before="0"/>
        <w:ind w:left="482"/>
        <w:jc w:val="center"/>
        <w:rPr>
          <w:rFonts w:ascii="Times New Roman" w:eastAsia="Times New Roman" w:hAnsi="Times New Roman"/>
          <w:noProof/>
          <w:sz w:val="24"/>
        </w:rPr>
      </w:pPr>
      <w:r>
        <w:rPr>
          <w:rFonts w:ascii="Times New Roman" w:eastAsia="Times New Roman" w:hAnsi="Times New Roman"/>
          <w:noProof/>
          <w:sz w:val="24"/>
          <w:lang w:eastAsia="zh-CN"/>
        </w:rPr>
        <w:drawing>
          <wp:inline distT="0" distB="0" distL="0" distR="0" wp14:anchorId="43B8E8FB" wp14:editId="27CECD30">
            <wp:extent cx="8139600" cy="5760000"/>
            <wp:effectExtent l="0" t="0" r="0" b="0"/>
            <wp:docPr id="534" name="Picture 534" descr="C:\Users\buskefe\AppData\Local\Microsoft\Windows\Temporary Internet Files\Content.Outlook\GE5M2P1H\MAPPING CONFIDENTI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skefe\AppData\Local\Microsoft\Windows\Temporary Internet Files\Content.Outlook\GE5M2P1H\MAPPING CONFIDENTIALITY.pn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8139600" cy="5760000"/>
                    </a:xfrm>
                    <a:prstGeom prst="rect">
                      <a:avLst/>
                    </a:prstGeom>
                    <a:noFill/>
                    <a:ln>
                      <a:noFill/>
                    </a:ln>
                  </pic:spPr>
                </pic:pic>
              </a:graphicData>
            </a:graphic>
          </wp:inline>
        </w:drawing>
      </w:r>
    </w:p>
    <w:p w:rsidR="00035C91" w:rsidRDefault="00632184">
      <w:pPr>
        <w:spacing w:before="0"/>
        <w:ind w:left="482"/>
        <w:jc w:val="center"/>
        <w:rPr>
          <w:rFonts w:ascii="Times New Roman" w:eastAsia="Times New Roman" w:hAnsi="Times New Roman"/>
          <w:noProof/>
          <w:sz w:val="24"/>
        </w:rPr>
      </w:pPr>
      <w:r>
        <w:rPr>
          <w:rFonts w:ascii="Times New Roman" w:eastAsia="Times New Roman" w:hAnsi="Times New Roman"/>
          <w:noProof/>
          <w:sz w:val="24"/>
          <w:lang w:eastAsia="zh-CN"/>
        </w:rPr>
        <w:drawing>
          <wp:inline distT="0" distB="0" distL="0" distR="0" wp14:anchorId="43A26269" wp14:editId="47A623EC">
            <wp:extent cx="8139600" cy="5760000"/>
            <wp:effectExtent l="0" t="0" r="0" b="0"/>
            <wp:docPr id="535" name="Picture 535" descr="C:\Users\buskefe\AppData\Local\Microsoft\Windows\Temporary Internet Files\Content.Outlook\GE5M2P1H\MAPPING UNSOLIC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skefe\AppData\Local\Microsoft\Windows\Temporary Internet Files\Content.Outlook\GE5M2P1H\MAPPING UNSOLICITED.pn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8139600" cy="5760000"/>
                    </a:xfrm>
                    <a:prstGeom prst="rect">
                      <a:avLst/>
                    </a:prstGeom>
                    <a:noFill/>
                    <a:ln>
                      <a:noFill/>
                    </a:ln>
                  </pic:spPr>
                </pic:pic>
              </a:graphicData>
            </a:graphic>
          </wp:inline>
        </w:drawing>
      </w:r>
    </w:p>
    <w:p w:rsidR="00035C91" w:rsidRDefault="00632184">
      <w:pPr>
        <w:spacing w:before="0"/>
        <w:ind w:left="482"/>
        <w:jc w:val="center"/>
        <w:rPr>
          <w:rFonts w:ascii="Times New Roman" w:eastAsia="Times New Roman" w:hAnsi="Times New Roman"/>
          <w:noProof/>
          <w:sz w:val="24"/>
        </w:rPr>
      </w:pPr>
      <w:r>
        <w:rPr>
          <w:rFonts w:ascii="Times New Roman" w:eastAsia="Times New Roman" w:hAnsi="Times New Roman"/>
          <w:noProof/>
          <w:sz w:val="24"/>
          <w:lang w:eastAsia="zh-CN"/>
        </w:rPr>
        <w:drawing>
          <wp:inline distT="0" distB="0" distL="0" distR="0" wp14:anchorId="4BBCDD0A" wp14:editId="2778AD57">
            <wp:extent cx="8143200" cy="5760000"/>
            <wp:effectExtent l="0" t="0" r="0" b="0"/>
            <wp:docPr id="536" name="Picture 536" descr="C:\Users\buskefe\AppData\Local\Microsoft\Windows\Temporary Internet Files\Content.Outlook\6MEZGGZG\MAPPING SIMPL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buskefe\AppData\Local\Microsoft\Windows\Temporary Internet Files\Content.Outlook\6MEZGGZG\MAPPING SIMPLIFICATION.pn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8143200" cy="5760000"/>
                    </a:xfrm>
                    <a:prstGeom prst="rect">
                      <a:avLst/>
                    </a:prstGeom>
                    <a:noFill/>
                    <a:ln>
                      <a:noFill/>
                    </a:ln>
                  </pic:spPr>
                </pic:pic>
              </a:graphicData>
            </a:graphic>
          </wp:inline>
        </w:drawing>
      </w:r>
    </w:p>
    <w:p w:rsidR="00035C91" w:rsidRDefault="00035C91">
      <w:pPr>
        <w:spacing w:before="0"/>
        <w:ind w:left="482"/>
        <w:jc w:val="center"/>
        <w:rPr>
          <w:rFonts w:ascii="Times New Roman" w:eastAsia="Times New Roman" w:hAnsi="Times New Roman"/>
          <w:noProof/>
          <w:sz w:val="24"/>
        </w:rPr>
        <w:sectPr w:rsidR="00035C91">
          <w:headerReference w:type="even" r:id="rId60"/>
          <w:headerReference w:type="default" r:id="rId61"/>
          <w:footerReference w:type="even" r:id="rId62"/>
          <w:footerReference w:type="default" r:id="rId63"/>
          <w:headerReference w:type="first" r:id="rId64"/>
          <w:footerReference w:type="first" r:id="rId65"/>
          <w:pgSz w:w="16838" w:h="11906" w:orient="landscape"/>
          <w:pgMar w:top="1135" w:right="1020" w:bottom="1701" w:left="1020" w:header="601" w:footer="1077" w:gutter="0"/>
          <w:cols w:space="720"/>
          <w:titlePg/>
          <w:docGrid w:linePitch="326"/>
        </w:sectPr>
      </w:pPr>
    </w:p>
    <w:p w:rsidR="00035C91" w:rsidRDefault="00632184">
      <w:pPr>
        <w:pStyle w:val="ManualHeading1"/>
        <w:pBdr>
          <w:top w:val="single" w:sz="4" w:space="0" w:color="auto"/>
        </w:pBdr>
      </w:pPr>
      <w:r>
        <w:tab/>
      </w:r>
      <w:r>
        <w:tab/>
      </w:r>
      <w:bookmarkStart w:id="112" w:name="_Toc468455393"/>
      <w:bookmarkStart w:id="113" w:name="_Toc468795250"/>
      <w:r>
        <w:t>Annex 13: Detailed comparison of policy options</w:t>
      </w:r>
      <w:bookmarkEnd w:id="112"/>
      <w:bookmarkEnd w:id="113"/>
    </w:p>
    <w:p w:rsidR="00035C91" w:rsidRDefault="00632184">
      <w:pPr>
        <w:tabs>
          <w:tab w:val="left" w:pos="2302"/>
        </w:tabs>
        <w:spacing w:before="0"/>
        <w:rPr>
          <w:rFonts w:ascii="Times New Roman" w:eastAsia="Times New Roman" w:hAnsi="Times New Roman"/>
          <w:b/>
          <w:noProof/>
          <w:sz w:val="24"/>
          <w:szCs w:val="20"/>
        </w:rPr>
      </w:pPr>
      <w:r>
        <w:rPr>
          <w:rFonts w:ascii="Times New Roman" w:eastAsia="Times New Roman" w:hAnsi="Times New Roman"/>
          <w:noProof/>
          <w:sz w:val="24"/>
          <w:szCs w:val="20"/>
        </w:rPr>
        <w:t xml:space="preserve">The following table reflects the assessment of the </w:t>
      </w:r>
      <w:r>
        <w:rPr>
          <w:rFonts w:ascii="Times New Roman" w:eastAsia="Times New Roman" w:hAnsi="Times New Roman"/>
          <w:b/>
          <w:noProof/>
          <w:sz w:val="24"/>
          <w:szCs w:val="20"/>
        </w:rPr>
        <w:t>effectiveness</w:t>
      </w:r>
      <w:r>
        <w:rPr>
          <w:rFonts w:ascii="Times New Roman" w:eastAsia="Times New Roman" w:hAnsi="Times New Roman"/>
          <w:noProof/>
          <w:sz w:val="24"/>
          <w:szCs w:val="20"/>
        </w:rPr>
        <w:t xml:space="preserve"> policy options as per Section 6.1.1 of the impact assessment report.</w:t>
      </w:r>
    </w:p>
    <w:p w:rsidR="00035C91" w:rsidRDefault="00632184">
      <w:pPr>
        <w:tabs>
          <w:tab w:val="left" w:pos="2302"/>
        </w:tabs>
        <w:spacing w:before="0"/>
        <w:rPr>
          <w:rFonts w:ascii="Times New Roman" w:eastAsia="Times New Roman" w:hAnsi="Times New Roman"/>
          <w:noProof/>
          <w:sz w:val="24"/>
          <w:szCs w:val="20"/>
        </w:rPr>
      </w:pPr>
      <w:r>
        <w:rPr>
          <w:rFonts w:ascii="Times New Roman" w:eastAsia="Times New Roman" w:hAnsi="Times New Roman"/>
          <w:b/>
          <w:noProof/>
          <w:sz w:val="24"/>
          <w:szCs w:val="20"/>
        </w:rPr>
        <w:t>Table 2</w:t>
      </w:r>
      <w:r>
        <w:rPr>
          <w:rFonts w:ascii="Times New Roman" w:eastAsia="Times New Roman" w:hAnsi="Times New Roman"/>
          <w:noProof/>
          <w:sz w:val="24"/>
          <w:szCs w:val="20"/>
        </w:rPr>
        <w:t xml:space="preserve">: </w:t>
      </w:r>
      <w:r>
        <w:rPr>
          <w:rFonts w:ascii="Times New Roman" w:eastAsia="Times New Roman" w:hAnsi="Times New Roman"/>
          <w:b/>
          <w:noProof/>
          <w:sz w:val="24"/>
          <w:szCs w:val="20"/>
        </w:rPr>
        <w:t>Comparison of options in terms of effectiveness</w:t>
      </w:r>
    </w:p>
    <w:tbl>
      <w:tblPr>
        <w:tblStyle w:val="TableGrid"/>
        <w:tblW w:w="8755" w:type="dxa"/>
        <w:tblLayout w:type="fixed"/>
        <w:tblLook w:val="04A0" w:firstRow="1" w:lastRow="0" w:firstColumn="1" w:lastColumn="0" w:noHBand="0" w:noVBand="1"/>
      </w:tblPr>
      <w:tblGrid>
        <w:gridCol w:w="1751"/>
        <w:gridCol w:w="1751"/>
        <w:gridCol w:w="1751"/>
        <w:gridCol w:w="1751"/>
        <w:gridCol w:w="1751"/>
      </w:tblGrid>
      <w:tr w:rsidR="00035C91">
        <w:tc>
          <w:tcPr>
            <w:tcW w:w="1751" w:type="dxa"/>
            <w:vAlign w:val="center"/>
          </w:tcPr>
          <w:p w:rsidR="00035C91" w:rsidRDefault="00035C91">
            <w:pPr>
              <w:tabs>
                <w:tab w:val="left" w:pos="2302"/>
              </w:tabs>
              <w:spacing w:before="0"/>
              <w:jc w:val="center"/>
              <w:rPr>
                <w:rFonts w:ascii="Times New Roman" w:hAnsi="Times New Roman"/>
                <w:b/>
                <w:noProof/>
                <w:szCs w:val="20"/>
              </w:rPr>
            </w:pP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Objective 1 - </w:t>
            </w:r>
            <w:r>
              <w:rPr>
                <w:rFonts w:ascii="Times New Roman" w:hAnsi="Times New Roman"/>
                <w:i/>
                <w:noProof/>
                <w:szCs w:val="20"/>
              </w:rPr>
              <w:t>Confidentiality</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Objective 2 – </w:t>
            </w:r>
            <w:r>
              <w:rPr>
                <w:rFonts w:ascii="Times New Roman" w:hAnsi="Times New Roman"/>
                <w:i/>
                <w:noProof/>
                <w:szCs w:val="20"/>
              </w:rPr>
              <w:t>Unsolicited communications</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Objective 3 – </w:t>
            </w:r>
            <w:r>
              <w:rPr>
                <w:rFonts w:ascii="Times New Roman" w:hAnsi="Times New Roman"/>
                <w:i/>
                <w:noProof/>
                <w:szCs w:val="20"/>
              </w:rPr>
              <w:t>Harmonisation/simplification</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T</w:t>
            </w:r>
            <w:r>
              <w:rPr>
                <w:rFonts w:ascii="Times New Roman" w:hAnsi="Times New Roman"/>
                <w:b/>
                <w:noProof/>
                <w:szCs w:val="20"/>
              </w:rPr>
              <w:t>otal</w:t>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0 -- </w:t>
            </w:r>
            <w:r>
              <w:rPr>
                <w:rFonts w:ascii="Times New Roman" w:hAnsi="Times New Roman"/>
                <w:i/>
                <w:noProof/>
                <w:szCs w:val="20"/>
              </w:rPr>
              <w:t>Baseline</w:t>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0</w:t>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0</w:t>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0</w:t>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0</w:t>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1 – </w:t>
            </w:r>
            <w:r>
              <w:rPr>
                <w:rFonts w:ascii="Times New Roman" w:hAnsi="Times New Roman"/>
                <w:i/>
                <w:noProof/>
                <w:szCs w:val="20"/>
              </w:rPr>
              <w:t>Soft law</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sym w:font="Wingdings" w:char="F0FC"/>
            </w:r>
            <w:r>
              <w:rPr>
                <w:rFonts w:ascii="Times New Roman" w:hAnsi="Times New Roman"/>
                <w:noProof/>
                <w:sz w:val="18"/>
                <w:szCs w:val="18"/>
              </w:rPr>
              <w:sym w:font="Wingdings" w:char="F0FC"/>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2 – </w:t>
            </w:r>
            <w:r>
              <w:rPr>
                <w:rFonts w:ascii="Times New Roman" w:hAnsi="Times New Roman"/>
                <w:i/>
                <w:noProof/>
                <w:szCs w:val="20"/>
              </w:rPr>
              <w:t>Limited reinforcement/harmonisation</w:t>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w:t>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3 – </w:t>
            </w:r>
            <w:r>
              <w:rPr>
                <w:rFonts w:ascii="Times New Roman" w:hAnsi="Times New Roman"/>
                <w:i/>
                <w:noProof/>
                <w:szCs w:val="20"/>
              </w:rPr>
              <w:t>Measured reinforcement/harmonisation</w:t>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4 – </w:t>
            </w:r>
            <w:r>
              <w:rPr>
                <w:rFonts w:ascii="Times New Roman" w:hAnsi="Times New Roman"/>
                <w:i/>
                <w:noProof/>
                <w:szCs w:val="20"/>
              </w:rPr>
              <w:t>Far-reaching reinforcement/harmonisation</w:t>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5 – </w:t>
            </w:r>
            <w:r>
              <w:rPr>
                <w:rFonts w:ascii="Times New Roman" w:hAnsi="Times New Roman"/>
                <w:i/>
                <w:noProof/>
                <w:szCs w:val="20"/>
              </w:rPr>
              <w:t>Repeal</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r>
              <w:rPr>
                <w:rFonts w:ascii="Times New Roman" w:hAnsi="Times New Roman"/>
                <w:noProof/>
                <w:sz w:val="18"/>
                <w:szCs w:val="18"/>
              </w:rPr>
              <w:sym w:font="Wingdings" w:char="F0FB"/>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w:t>
            </w:r>
          </w:p>
        </w:tc>
      </w:tr>
    </w:tbl>
    <w:p w:rsidR="00035C91" w:rsidRDefault="00632184">
      <w:pPr>
        <w:pBdr>
          <w:bottom w:val="single" w:sz="6" w:space="1" w:color="auto"/>
        </w:pBdr>
        <w:tabs>
          <w:tab w:val="left" w:pos="2302"/>
        </w:tabs>
        <w:spacing w:before="0"/>
        <w:rPr>
          <w:rFonts w:ascii="Times New Roman" w:eastAsia="Times New Roman" w:hAnsi="Times New Roman"/>
          <w:noProof/>
          <w:sz w:val="24"/>
          <w:szCs w:val="20"/>
        </w:rPr>
      </w:pPr>
      <w:r>
        <w:rPr>
          <w:rFonts w:ascii="Times New Roman" w:eastAsia="Times New Roman" w:hAnsi="Times New Roman"/>
          <w:noProof/>
          <w:sz w:val="18"/>
          <w:szCs w:val="18"/>
        </w:rPr>
        <w:t xml:space="preserve">Effectiveness of the various policy options vis-à-vis the specific objectives,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(Strong and positive–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 (Moderate and positive) –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 (Weak and positive)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(Strong and negative)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(Moderate and negative)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 (Weak and negative ) –  ≈  marginal  or neutral  - ? uncertain; n.a. not applicable. 0 no impact</w:t>
      </w:r>
    </w:p>
    <w:p w:rsidR="00035C91" w:rsidRDefault="00035C91">
      <w:pPr>
        <w:spacing w:before="0" w:after="240"/>
        <w:rPr>
          <w:rFonts w:ascii="Times New Roman" w:eastAsia="Times New Roman" w:hAnsi="Times New Roman"/>
          <w:noProof/>
          <w:sz w:val="24"/>
          <w:szCs w:val="20"/>
        </w:rPr>
      </w:pPr>
    </w:p>
    <w:p w:rsidR="00035C91" w:rsidRDefault="00632184">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The following table reflects the assessment of the </w:t>
      </w:r>
      <w:r>
        <w:rPr>
          <w:rFonts w:ascii="Times New Roman" w:eastAsia="Times New Roman" w:hAnsi="Times New Roman"/>
          <w:b/>
          <w:noProof/>
          <w:sz w:val="24"/>
          <w:szCs w:val="20"/>
        </w:rPr>
        <w:t>efficiency</w:t>
      </w:r>
      <w:r>
        <w:rPr>
          <w:rFonts w:ascii="Times New Roman" w:eastAsia="Times New Roman" w:hAnsi="Times New Roman"/>
          <w:noProof/>
          <w:sz w:val="24"/>
          <w:szCs w:val="20"/>
        </w:rPr>
        <w:t xml:space="preserve"> of the policy options as per Section 6.1.2 of the impact assessment </w:t>
      </w:r>
      <w:r>
        <w:rPr>
          <w:rFonts w:ascii="Times New Roman" w:eastAsia="Times New Roman" w:hAnsi="Times New Roman"/>
          <w:noProof/>
          <w:sz w:val="24"/>
          <w:szCs w:val="20"/>
        </w:rPr>
        <w:t>report.</w:t>
      </w:r>
    </w:p>
    <w:p w:rsidR="00035C91" w:rsidRDefault="00632184">
      <w:pPr>
        <w:tabs>
          <w:tab w:val="left" w:pos="2302"/>
        </w:tabs>
        <w:spacing w:before="0"/>
        <w:rPr>
          <w:rFonts w:ascii="Times New Roman" w:eastAsia="Times New Roman" w:hAnsi="Times New Roman"/>
          <w:b/>
          <w:noProof/>
          <w:sz w:val="24"/>
          <w:szCs w:val="20"/>
        </w:rPr>
      </w:pPr>
      <w:r>
        <w:rPr>
          <w:rFonts w:ascii="Times New Roman" w:eastAsia="Times New Roman" w:hAnsi="Times New Roman"/>
          <w:b/>
          <w:noProof/>
          <w:sz w:val="24"/>
          <w:szCs w:val="20"/>
        </w:rPr>
        <w:t>Table 3: Comparison of options in terms of efficiency</w:t>
      </w:r>
    </w:p>
    <w:tbl>
      <w:tblPr>
        <w:tblStyle w:val="TableGrid"/>
        <w:tblW w:w="8755" w:type="dxa"/>
        <w:tblLayout w:type="fixed"/>
        <w:tblLook w:val="04A0" w:firstRow="1" w:lastRow="0" w:firstColumn="1" w:lastColumn="0" w:noHBand="0" w:noVBand="1"/>
      </w:tblPr>
      <w:tblGrid>
        <w:gridCol w:w="1751"/>
        <w:gridCol w:w="1751"/>
        <w:gridCol w:w="1751"/>
        <w:gridCol w:w="1751"/>
        <w:gridCol w:w="1751"/>
      </w:tblGrid>
      <w:tr w:rsidR="00035C91">
        <w:tc>
          <w:tcPr>
            <w:tcW w:w="1751" w:type="dxa"/>
            <w:vAlign w:val="center"/>
          </w:tcPr>
          <w:p w:rsidR="00035C91" w:rsidRDefault="00035C91">
            <w:pPr>
              <w:tabs>
                <w:tab w:val="left" w:pos="2302"/>
              </w:tabs>
              <w:spacing w:before="0"/>
              <w:jc w:val="center"/>
              <w:rPr>
                <w:rFonts w:ascii="Times New Roman" w:hAnsi="Times New Roman"/>
                <w:b/>
                <w:noProof/>
                <w:szCs w:val="20"/>
              </w:rPr>
            </w:pP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Compliance cost (incl. for public administration)</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Administrative burden</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Opportunity Cost</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Total</w:t>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0 – </w:t>
            </w:r>
            <w:r>
              <w:rPr>
                <w:rFonts w:ascii="Times New Roman" w:hAnsi="Times New Roman"/>
                <w:i/>
                <w:noProof/>
                <w:szCs w:val="20"/>
              </w:rPr>
              <w:t>Baseline</w:t>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0</w:t>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0</w:t>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0</w:t>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0</w:t>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1 – </w:t>
            </w:r>
            <w:r>
              <w:rPr>
                <w:rFonts w:ascii="Times New Roman" w:hAnsi="Times New Roman"/>
                <w:i/>
                <w:noProof/>
                <w:szCs w:val="20"/>
              </w:rPr>
              <w:t>Soft law</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n.a.</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n.a.</w:t>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sym w:font="Wingdings" w:char="F0FB"/>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2 – </w:t>
            </w:r>
            <w:r>
              <w:rPr>
                <w:rFonts w:ascii="Times New Roman" w:hAnsi="Times New Roman"/>
                <w:i/>
                <w:noProof/>
                <w:szCs w:val="20"/>
              </w:rPr>
              <w:t xml:space="preserve">Limited </w:t>
            </w:r>
            <w:r>
              <w:rPr>
                <w:rFonts w:ascii="Times New Roman" w:hAnsi="Times New Roman"/>
                <w:i/>
                <w:noProof/>
                <w:szCs w:val="20"/>
              </w:rPr>
              <w:t>reinforcement/harmonisation</w:t>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w:t>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r>
              <w:rPr>
                <w:rFonts w:ascii="Times New Roman" w:hAnsi="Times New Roman"/>
                <w:noProof/>
                <w:sz w:val="18"/>
                <w:szCs w:val="18"/>
              </w:rPr>
              <w:sym w:font="Wingdings" w:char="F0FB"/>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sym w:font="Wingdings" w:char="F0FB"/>
            </w:r>
            <w:r>
              <w:rPr>
                <w:rFonts w:ascii="Times New Roman" w:hAnsi="Times New Roman"/>
                <w:noProof/>
                <w:sz w:val="18"/>
                <w:szCs w:val="18"/>
              </w:rPr>
              <w:sym w:font="Wingdings" w:char="F0FB"/>
            </w:r>
            <w:r>
              <w:rPr>
                <w:rFonts w:ascii="Times New Roman" w:hAnsi="Times New Roman"/>
                <w:noProof/>
                <w:sz w:val="18"/>
                <w:szCs w:val="18"/>
              </w:rPr>
              <w:sym w:font="Wingdings" w:char="F0FB"/>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3 – </w:t>
            </w:r>
            <w:r>
              <w:rPr>
                <w:rFonts w:ascii="Times New Roman" w:hAnsi="Times New Roman"/>
                <w:i/>
                <w:noProof/>
                <w:szCs w:val="20"/>
              </w:rPr>
              <w:t>Measured reinforcement/harmonisation</w:t>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751"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w:t>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r>
              <w:rPr>
                <w:rFonts w:ascii="Times New Roman" w:hAnsi="Times New Roman"/>
                <w:noProof/>
                <w:sz w:val="18"/>
                <w:szCs w:val="18"/>
              </w:rPr>
              <w:sym w:font="Wingdings" w:char="F0FB"/>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4 – </w:t>
            </w:r>
            <w:r>
              <w:rPr>
                <w:rFonts w:ascii="Times New Roman" w:hAnsi="Times New Roman"/>
                <w:i/>
                <w:noProof/>
                <w:szCs w:val="20"/>
              </w:rPr>
              <w:t>Far-reaching reinforcement/harmonisation</w:t>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r>
              <w:rPr>
                <w:rFonts w:ascii="Times New Roman" w:hAnsi="Times New Roman"/>
                <w:noProof/>
                <w:sz w:val="18"/>
                <w:szCs w:val="18"/>
              </w:rPr>
              <w:sym w:font="Wingdings" w:char="F0FB"/>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w:t>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r>
              <w:rPr>
                <w:rFonts w:ascii="Times New Roman" w:hAnsi="Times New Roman"/>
                <w:noProof/>
                <w:sz w:val="18"/>
                <w:szCs w:val="18"/>
              </w:rPr>
              <w:sym w:font="Wingdings" w:char="F0FB"/>
            </w:r>
            <w:r>
              <w:rPr>
                <w:rFonts w:ascii="Times New Roman" w:hAnsi="Times New Roman"/>
                <w:noProof/>
                <w:sz w:val="18"/>
                <w:szCs w:val="18"/>
              </w:rPr>
              <w:sym w:font="Wingdings" w:char="F0FB"/>
            </w:r>
          </w:p>
        </w:tc>
        <w:tc>
          <w:tcPr>
            <w:tcW w:w="1751"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r>
              <w:rPr>
                <w:rFonts w:ascii="Times New Roman" w:hAnsi="Times New Roman"/>
                <w:noProof/>
                <w:sz w:val="18"/>
                <w:szCs w:val="18"/>
              </w:rPr>
              <w:sym w:font="Wingdings" w:char="F0FB"/>
            </w:r>
            <w:r>
              <w:rPr>
                <w:rFonts w:ascii="Times New Roman" w:hAnsi="Times New Roman"/>
                <w:noProof/>
                <w:sz w:val="18"/>
                <w:szCs w:val="18"/>
              </w:rPr>
              <w:sym w:font="Wingdings" w:char="F0FB"/>
            </w:r>
            <w:r>
              <w:rPr>
                <w:rFonts w:ascii="Times New Roman" w:hAnsi="Times New Roman"/>
                <w:noProof/>
                <w:sz w:val="18"/>
                <w:szCs w:val="18"/>
              </w:rPr>
              <w:sym w:font="Wingdings" w:char="F0FB"/>
            </w:r>
            <w:r>
              <w:rPr>
                <w:rFonts w:ascii="Times New Roman" w:hAnsi="Times New Roman"/>
                <w:noProof/>
                <w:sz w:val="18"/>
                <w:szCs w:val="18"/>
              </w:rPr>
              <w:sym w:font="Wingdings" w:char="F0FB"/>
            </w:r>
          </w:p>
        </w:tc>
      </w:tr>
      <w:tr w:rsidR="00035C91">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5 – </w:t>
            </w:r>
            <w:r>
              <w:rPr>
                <w:rFonts w:ascii="Times New Roman" w:hAnsi="Times New Roman"/>
                <w:i/>
                <w:noProof/>
                <w:szCs w:val="20"/>
              </w:rPr>
              <w:t>Repeal</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n.a.</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n.a.</w:t>
            </w:r>
          </w:p>
        </w:tc>
        <w:tc>
          <w:tcPr>
            <w:tcW w:w="1751"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751"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r>
    </w:tbl>
    <w:p w:rsidR="00035C91" w:rsidRDefault="00035C91">
      <w:pPr>
        <w:autoSpaceDE w:val="0"/>
        <w:autoSpaceDN w:val="0"/>
        <w:adjustRightInd w:val="0"/>
        <w:spacing w:before="0" w:after="0"/>
        <w:rPr>
          <w:rFonts w:ascii="Times New Roman" w:eastAsia="Times New Roman" w:hAnsi="Times New Roman"/>
          <w:noProof/>
          <w:sz w:val="18"/>
          <w:szCs w:val="18"/>
        </w:rPr>
      </w:pPr>
    </w:p>
    <w:p w:rsidR="00035C91" w:rsidRDefault="00632184">
      <w:pPr>
        <w:autoSpaceDE w:val="0"/>
        <w:autoSpaceDN w:val="0"/>
        <w:adjustRightInd w:val="0"/>
        <w:spacing w:before="0" w:after="0"/>
        <w:rPr>
          <w:rFonts w:ascii="Times New Roman" w:eastAsia="Times New Roman" w:hAnsi="Times New Roman"/>
          <w:noProof/>
          <w:sz w:val="18"/>
          <w:szCs w:val="18"/>
        </w:rPr>
      </w:pPr>
      <w:r>
        <w:rPr>
          <w:rFonts w:ascii="Times New Roman" w:eastAsia="Times New Roman" w:hAnsi="Times New Roman"/>
          <w:noProof/>
          <w:sz w:val="18"/>
          <w:szCs w:val="18"/>
        </w:rPr>
        <w:t xml:space="preserve">Impact on cost/efficiency of the various policy options,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(Strong and positive–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 (Moderate and positive) –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 (Weak and positive)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(Strong and negative)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(Moderate and negative)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 (Weak and negative ) –  ≈  marginal  or neutral  - ? uncertain; </w:t>
      </w:r>
      <w:r>
        <w:rPr>
          <w:rFonts w:ascii="Times New Roman" w:eastAsia="Times New Roman" w:hAnsi="Times New Roman"/>
          <w:noProof/>
          <w:sz w:val="18"/>
          <w:szCs w:val="18"/>
        </w:rPr>
        <w:t>n.a. not applicable. 0 no impact</w:t>
      </w:r>
    </w:p>
    <w:p w:rsidR="00035C91" w:rsidRDefault="00035C91">
      <w:pPr>
        <w:pBdr>
          <w:bottom w:val="single" w:sz="6" w:space="1" w:color="auto"/>
        </w:pBdr>
        <w:spacing w:before="0" w:after="240"/>
        <w:rPr>
          <w:rFonts w:ascii="Times New Roman" w:eastAsia="Times New Roman" w:hAnsi="Times New Roman"/>
          <w:noProof/>
          <w:sz w:val="24"/>
          <w:szCs w:val="20"/>
        </w:rPr>
      </w:pPr>
    </w:p>
    <w:p w:rsidR="00035C91" w:rsidRDefault="00632184">
      <w:pPr>
        <w:tabs>
          <w:tab w:val="left" w:pos="2302"/>
        </w:tabs>
        <w:spacing w:before="0"/>
        <w:rPr>
          <w:rFonts w:ascii="Times New Roman" w:eastAsia="Times New Roman" w:hAnsi="Times New Roman"/>
          <w:noProof/>
          <w:sz w:val="24"/>
          <w:szCs w:val="20"/>
        </w:rPr>
      </w:pPr>
      <w:r>
        <w:rPr>
          <w:rFonts w:ascii="Times New Roman" w:eastAsia="Times New Roman" w:hAnsi="Times New Roman"/>
          <w:noProof/>
          <w:sz w:val="24"/>
          <w:szCs w:val="20"/>
        </w:rPr>
        <w:t xml:space="preserve">The following table reflects the assessment of the </w:t>
      </w:r>
      <w:r>
        <w:rPr>
          <w:rFonts w:ascii="Times New Roman" w:eastAsia="Times New Roman" w:hAnsi="Times New Roman"/>
          <w:b/>
          <w:noProof/>
          <w:sz w:val="24"/>
          <w:szCs w:val="20"/>
        </w:rPr>
        <w:t>coherence</w:t>
      </w:r>
      <w:r>
        <w:rPr>
          <w:rFonts w:ascii="Times New Roman" w:eastAsia="Times New Roman" w:hAnsi="Times New Roman"/>
          <w:noProof/>
          <w:sz w:val="24"/>
          <w:szCs w:val="20"/>
        </w:rPr>
        <w:t xml:space="preserve"> of policy options as per Section 6.1.3 of the impact assessment report.</w:t>
      </w:r>
    </w:p>
    <w:p w:rsidR="00035C91" w:rsidRDefault="00632184">
      <w:pPr>
        <w:tabs>
          <w:tab w:val="left" w:pos="2302"/>
        </w:tabs>
        <w:spacing w:before="0"/>
        <w:rPr>
          <w:rFonts w:ascii="Times New Roman" w:eastAsia="Times New Roman" w:hAnsi="Times New Roman"/>
          <w:b/>
          <w:noProof/>
          <w:sz w:val="24"/>
          <w:szCs w:val="20"/>
        </w:rPr>
      </w:pPr>
      <w:r>
        <w:rPr>
          <w:rFonts w:ascii="Times New Roman" w:eastAsia="Times New Roman" w:hAnsi="Times New Roman"/>
          <w:b/>
          <w:noProof/>
          <w:sz w:val="24"/>
          <w:szCs w:val="20"/>
        </w:rPr>
        <w:t>Table 4: Comparison of options in terms of coherence</w:t>
      </w:r>
    </w:p>
    <w:tbl>
      <w:tblPr>
        <w:tblStyle w:val="TableGrid"/>
        <w:tblW w:w="8755" w:type="dxa"/>
        <w:tblLayout w:type="fixed"/>
        <w:tblLook w:val="04A0" w:firstRow="1" w:lastRow="0" w:firstColumn="1" w:lastColumn="0" w:noHBand="0" w:noVBand="1"/>
      </w:tblPr>
      <w:tblGrid>
        <w:gridCol w:w="1459"/>
        <w:gridCol w:w="1459"/>
        <w:gridCol w:w="1459"/>
        <w:gridCol w:w="1459"/>
        <w:gridCol w:w="1459"/>
        <w:gridCol w:w="1460"/>
      </w:tblGrid>
      <w:tr w:rsidR="00035C91">
        <w:tc>
          <w:tcPr>
            <w:tcW w:w="1459" w:type="dxa"/>
            <w:vAlign w:val="center"/>
          </w:tcPr>
          <w:p w:rsidR="00035C91" w:rsidRDefault="00035C91">
            <w:pPr>
              <w:tabs>
                <w:tab w:val="left" w:pos="2302"/>
              </w:tabs>
              <w:spacing w:before="0"/>
              <w:jc w:val="center"/>
              <w:rPr>
                <w:rFonts w:ascii="Times New Roman" w:hAnsi="Times New Roman"/>
                <w:b/>
                <w:noProof/>
                <w:szCs w:val="20"/>
              </w:rPr>
            </w:pPr>
          </w:p>
        </w:tc>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Internal coherence</w:t>
            </w:r>
          </w:p>
        </w:tc>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Telecom </w:t>
            </w:r>
            <w:r>
              <w:rPr>
                <w:rFonts w:ascii="Times New Roman" w:hAnsi="Times New Roman"/>
                <w:b/>
                <w:noProof/>
                <w:szCs w:val="20"/>
              </w:rPr>
              <w:t>framework</w:t>
            </w:r>
          </w:p>
        </w:tc>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GDPR</w:t>
            </w:r>
          </w:p>
        </w:tc>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RED</w:t>
            </w:r>
          </w:p>
        </w:tc>
        <w:tc>
          <w:tcPr>
            <w:tcW w:w="1460"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Total</w:t>
            </w:r>
          </w:p>
        </w:tc>
      </w:tr>
      <w:tr w:rsidR="00035C91">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0 -- </w:t>
            </w:r>
            <w:r>
              <w:rPr>
                <w:rFonts w:ascii="Times New Roman" w:hAnsi="Times New Roman"/>
                <w:i/>
                <w:noProof/>
                <w:szCs w:val="20"/>
              </w:rPr>
              <w:t>Baseline</w:t>
            </w:r>
          </w:p>
        </w:tc>
        <w:tc>
          <w:tcPr>
            <w:tcW w:w="1459"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0</w:t>
            </w:r>
          </w:p>
        </w:tc>
        <w:tc>
          <w:tcPr>
            <w:tcW w:w="1459"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t>0</w:t>
            </w:r>
          </w:p>
        </w:tc>
        <w:tc>
          <w:tcPr>
            <w:tcW w:w="1459"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sym w:font="Wingdings" w:char="F0FB"/>
            </w:r>
          </w:p>
        </w:tc>
        <w:tc>
          <w:tcPr>
            <w:tcW w:w="1459" w:type="dxa"/>
            <w:vAlign w:val="center"/>
          </w:tcPr>
          <w:p w:rsidR="00035C91" w:rsidRDefault="00632184">
            <w:pPr>
              <w:tabs>
                <w:tab w:val="left" w:pos="2302"/>
              </w:tabs>
              <w:spacing w:before="0"/>
              <w:jc w:val="center"/>
              <w:rPr>
                <w:rFonts w:ascii="Times New Roman" w:hAnsi="Times New Roman"/>
                <w:b/>
                <w:noProof/>
                <w:sz w:val="18"/>
                <w:szCs w:val="18"/>
              </w:rPr>
            </w:pPr>
            <w:r>
              <w:rPr>
                <w:rFonts w:ascii="Times New Roman" w:hAnsi="Times New Roman"/>
                <w:b/>
                <w:noProof/>
                <w:sz w:val="18"/>
                <w:szCs w:val="18"/>
              </w:rPr>
              <w:t>0</w:t>
            </w:r>
          </w:p>
        </w:tc>
        <w:tc>
          <w:tcPr>
            <w:tcW w:w="1460"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sym w:font="Wingdings" w:char="F0FB"/>
            </w:r>
          </w:p>
        </w:tc>
      </w:tr>
      <w:tr w:rsidR="00035C91">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1 – </w:t>
            </w:r>
            <w:r>
              <w:rPr>
                <w:rFonts w:ascii="Times New Roman" w:hAnsi="Times New Roman"/>
                <w:i/>
                <w:noProof/>
                <w:szCs w:val="20"/>
              </w:rPr>
              <w:t>Soft law</w:t>
            </w:r>
          </w:p>
        </w:tc>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p>
        </w:tc>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p>
        </w:tc>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p>
        </w:tc>
        <w:tc>
          <w:tcPr>
            <w:tcW w:w="1459" w:type="dxa"/>
            <w:vAlign w:val="center"/>
          </w:tcPr>
          <w:p w:rsidR="00035C91" w:rsidRDefault="00632184">
            <w:pPr>
              <w:tabs>
                <w:tab w:val="left" w:pos="2302"/>
              </w:tabs>
              <w:spacing w:before="0"/>
              <w:jc w:val="center"/>
              <w:rPr>
                <w:rFonts w:ascii="Times New Roman" w:hAnsi="Times New Roman"/>
                <w:b/>
                <w:noProof/>
                <w:sz w:val="18"/>
                <w:szCs w:val="18"/>
              </w:rPr>
            </w:pPr>
            <w:r>
              <w:rPr>
                <w:rFonts w:ascii="Times New Roman" w:hAnsi="Times New Roman"/>
                <w:b/>
                <w:noProof/>
                <w:sz w:val="18"/>
                <w:szCs w:val="18"/>
              </w:rPr>
              <w:t>0</w:t>
            </w:r>
          </w:p>
        </w:tc>
        <w:tc>
          <w:tcPr>
            <w:tcW w:w="1460"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sym w:font="Wingdings" w:char="F0FB"/>
            </w:r>
            <w:r>
              <w:rPr>
                <w:rFonts w:ascii="Times New Roman" w:hAnsi="Times New Roman"/>
                <w:noProof/>
                <w:sz w:val="18"/>
                <w:szCs w:val="18"/>
              </w:rPr>
              <w:sym w:font="Wingdings" w:char="F0FB"/>
            </w:r>
            <w:r>
              <w:rPr>
                <w:rFonts w:ascii="Times New Roman" w:hAnsi="Times New Roman"/>
                <w:noProof/>
                <w:sz w:val="18"/>
                <w:szCs w:val="18"/>
              </w:rPr>
              <w:sym w:font="Wingdings" w:char="F0FB"/>
            </w:r>
          </w:p>
        </w:tc>
      </w:tr>
      <w:tr w:rsidR="00035C91">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2 – </w:t>
            </w:r>
            <w:r>
              <w:rPr>
                <w:rFonts w:ascii="Times New Roman" w:hAnsi="Times New Roman"/>
                <w:i/>
                <w:noProof/>
                <w:szCs w:val="20"/>
              </w:rPr>
              <w:t>Limited reinforcement/harmonisation</w:t>
            </w:r>
          </w:p>
        </w:tc>
        <w:tc>
          <w:tcPr>
            <w:tcW w:w="1459"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459"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459"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459"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 w:val="18"/>
                <w:szCs w:val="18"/>
              </w:rPr>
            </w:pPr>
            <w:r>
              <w:rPr>
                <w:rFonts w:ascii="Times New Roman" w:hAnsi="Times New Roman"/>
                <w:b/>
                <w:noProof/>
                <w:sz w:val="18"/>
                <w:szCs w:val="18"/>
              </w:rPr>
              <w:t>0</w:t>
            </w:r>
          </w:p>
        </w:tc>
        <w:tc>
          <w:tcPr>
            <w:tcW w:w="1460"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r>
      <w:tr w:rsidR="00035C91">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3 – </w:t>
            </w:r>
            <w:r>
              <w:rPr>
                <w:rFonts w:ascii="Times New Roman" w:hAnsi="Times New Roman"/>
                <w:i/>
                <w:noProof/>
                <w:szCs w:val="20"/>
              </w:rPr>
              <w:t>Measured reinforcement/harmonisation</w:t>
            </w:r>
          </w:p>
        </w:tc>
        <w:tc>
          <w:tcPr>
            <w:tcW w:w="1459"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p>
        </w:tc>
        <w:tc>
          <w:tcPr>
            <w:tcW w:w="1459"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459"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459"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w:t>
            </w:r>
          </w:p>
        </w:tc>
        <w:tc>
          <w:tcPr>
            <w:tcW w:w="1460"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r>
      <w:tr w:rsidR="00035C91">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4 – </w:t>
            </w:r>
            <w:r>
              <w:rPr>
                <w:rFonts w:ascii="Times New Roman" w:hAnsi="Times New Roman"/>
                <w:i/>
                <w:noProof/>
                <w:szCs w:val="20"/>
              </w:rPr>
              <w:t xml:space="preserve">Far-reaching </w:t>
            </w:r>
            <w:r>
              <w:rPr>
                <w:rFonts w:ascii="Times New Roman" w:hAnsi="Times New Roman"/>
                <w:i/>
                <w:noProof/>
                <w:szCs w:val="20"/>
              </w:rPr>
              <w:t>reinforcement/harmonisation</w:t>
            </w:r>
          </w:p>
        </w:tc>
        <w:tc>
          <w:tcPr>
            <w:tcW w:w="1459"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459"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459"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459" w:type="dxa"/>
            <w:vAlign w:val="center"/>
          </w:tcPr>
          <w:p w:rsidR="00035C91" w:rsidRDefault="00035C91">
            <w:pPr>
              <w:tabs>
                <w:tab w:val="left" w:pos="2302"/>
              </w:tabs>
              <w:spacing w:before="0"/>
              <w:jc w:val="center"/>
              <w:rPr>
                <w:rFonts w:ascii="Times New Roman" w:hAnsi="Times New Roman"/>
                <w:noProof/>
                <w:sz w:val="18"/>
                <w:szCs w:val="18"/>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t>≈</w:t>
            </w:r>
          </w:p>
        </w:tc>
        <w:tc>
          <w:tcPr>
            <w:tcW w:w="1460" w:type="dxa"/>
            <w:vAlign w:val="center"/>
          </w:tcPr>
          <w:p w:rsidR="00035C91" w:rsidRDefault="00035C91">
            <w:pPr>
              <w:tabs>
                <w:tab w:val="left" w:pos="2302"/>
              </w:tabs>
              <w:spacing w:before="0"/>
              <w:jc w:val="center"/>
              <w:rPr>
                <w:rFonts w:ascii="Times New Roman" w:hAnsi="Times New Roman"/>
                <w:b/>
                <w:noProof/>
                <w:szCs w:val="20"/>
              </w:rPr>
            </w:pPr>
          </w:p>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r>
              <w:rPr>
                <w:rFonts w:ascii="Times New Roman" w:hAnsi="Times New Roman"/>
                <w:noProof/>
                <w:sz w:val="18"/>
                <w:szCs w:val="18"/>
              </w:rPr>
              <w:sym w:font="Wingdings" w:char="F0FC"/>
            </w:r>
            <w:r>
              <w:rPr>
                <w:rFonts w:ascii="Times New Roman" w:hAnsi="Times New Roman"/>
                <w:noProof/>
                <w:sz w:val="18"/>
                <w:szCs w:val="18"/>
              </w:rPr>
              <w:sym w:font="Wingdings" w:char="F0FC"/>
            </w:r>
          </w:p>
        </w:tc>
      </w:tr>
      <w:tr w:rsidR="00035C91">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b/>
                <w:noProof/>
                <w:szCs w:val="20"/>
              </w:rPr>
              <w:t xml:space="preserve">Option 5 – </w:t>
            </w:r>
            <w:r>
              <w:rPr>
                <w:rFonts w:ascii="Times New Roman" w:hAnsi="Times New Roman"/>
                <w:i/>
                <w:noProof/>
                <w:szCs w:val="20"/>
              </w:rPr>
              <w:t>Repeal</w:t>
            </w:r>
          </w:p>
        </w:tc>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B"/>
            </w:r>
          </w:p>
        </w:tc>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459" w:type="dxa"/>
            <w:vAlign w:val="center"/>
          </w:tcPr>
          <w:p w:rsidR="00035C91" w:rsidRDefault="00632184">
            <w:pPr>
              <w:tabs>
                <w:tab w:val="left" w:pos="2302"/>
              </w:tabs>
              <w:spacing w:before="0"/>
              <w:jc w:val="center"/>
              <w:rPr>
                <w:rFonts w:ascii="Times New Roman" w:hAnsi="Times New Roman"/>
                <w:b/>
                <w:noProof/>
                <w:szCs w:val="20"/>
              </w:rPr>
            </w:pPr>
            <w:r>
              <w:rPr>
                <w:rFonts w:ascii="Times New Roman" w:hAnsi="Times New Roman"/>
                <w:noProof/>
                <w:sz w:val="18"/>
                <w:szCs w:val="18"/>
              </w:rPr>
              <w:sym w:font="Wingdings" w:char="F0FC"/>
            </w:r>
          </w:p>
        </w:tc>
        <w:tc>
          <w:tcPr>
            <w:tcW w:w="1459" w:type="dxa"/>
            <w:vAlign w:val="center"/>
          </w:tcPr>
          <w:p w:rsidR="00035C91" w:rsidRDefault="00632184">
            <w:pPr>
              <w:tabs>
                <w:tab w:val="left" w:pos="2302"/>
              </w:tabs>
              <w:spacing w:before="0"/>
              <w:jc w:val="center"/>
              <w:rPr>
                <w:rFonts w:ascii="Times New Roman" w:hAnsi="Times New Roman"/>
                <w:b/>
                <w:noProof/>
                <w:sz w:val="18"/>
                <w:szCs w:val="18"/>
              </w:rPr>
            </w:pPr>
            <w:r>
              <w:rPr>
                <w:rFonts w:ascii="Times New Roman" w:hAnsi="Times New Roman"/>
                <w:b/>
                <w:noProof/>
                <w:sz w:val="18"/>
                <w:szCs w:val="18"/>
              </w:rPr>
              <w:t>0</w:t>
            </w:r>
          </w:p>
        </w:tc>
        <w:tc>
          <w:tcPr>
            <w:tcW w:w="1460" w:type="dxa"/>
            <w:vAlign w:val="center"/>
          </w:tcPr>
          <w:p w:rsidR="00035C91" w:rsidRDefault="00632184">
            <w:pPr>
              <w:tabs>
                <w:tab w:val="left" w:pos="2302"/>
              </w:tabs>
              <w:spacing w:before="0"/>
              <w:jc w:val="center"/>
              <w:rPr>
                <w:rFonts w:ascii="Times New Roman" w:hAnsi="Times New Roman"/>
                <w:noProof/>
                <w:sz w:val="18"/>
                <w:szCs w:val="18"/>
              </w:rPr>
            </w:pPr>
            <w:r>
              <w:rPr>
                <w:rFonts w:ascii="Times New Roman" w:hAnsi="Times New Roman"/>
                <w:noProof/>
                <w:sz w:val="18"/>
                <w:szCs w:val="18"/>
              </w:rPr>
              <w:sym w:font="Wingdings" w:char="F0FC"/>
            </w:r>
          </w:p>
        </w:tc>
      </w:tr>
    </w:tbl>
    <w:p w:rsidR="00035C91" w:rsidRDefault="00632184">
      <w:pPr>
        <w:autoSpaceDE w:val="0"/>
        <w:autoSpaceDN w:val="0"/>
        <w:adjustRightInd w:val="0"/>
        <w:spacing w:before="0" w:after="0"/>
        <w:rPr>
          <w:rFonts w:ascii="Times New Roman" w:eastAsia="Times New Roman" w:hAnsi="Times New Roman"/>
          <w:noProof/>
          <w:sz w:val="18"/>
          <w:szCs w:val="18"/>
        </w:rPr>
      </w:pPr>
      <w:r>
        <w:rPr>
          <w:rFonts w:ascii="Times New Roman" w:eastAsia="Times New Roman" w:hAnsi="Times New Roman"/>
          <w:noProof/>
          <w:sz w:val="18"/>
          <w:szCs w:val="18"/>
        </w:rPr>
        <w:t xml:space="preserve">Impact on coherence,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(Strong and positive–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 (Moderate and positive) –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 (Weak and positive)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(Strong and negative)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(Moderate and negative)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 (Weak and negative ) –  ≈  marginal  or neutral  - ? uncertain; n.a. not applicable. 0 no impact</w:t>
      </w:r>
    </w:p>
    <w:p w:rsidR="00035C91" w:rsidRDefault="00035C91">
      <w:pPr>
        <w:autoSpaceDE w:val="0"/>
        <w:autoSpaceDN w:val="0"/>
        <w:adjustRightInd w:val="0"/>
        <w:spacing w:before="0" w:after="0"/>
        <w:rPr>
          <w:rFonts w:ascii="Times New Roman" w:eastAsia="Times New Roman" w:hAnsi="Times New Roman"/>
          <w:noProof/>
          <w:sz w:val="18"/>
          <w:szCs w:val="18"/>
        </w:rPr>
      </w:pPr>
    </w:p>
    <w:p w:rsidR="00035C91" w:rsidRDefault="00632184">
      <w:pPr>
        <w:keepNext/>
        <w:numPr>
          <w:ilvl w:val="0"/>
          <w:numId w:val="43"/>
        </w:numPr>
        <w:spacing w:before="0" w:after="240"/>
        <w:ind w:left="0" w:right="-29" w:firstLine="0"/>
        <w:outlineLvl w:val="1"/>
        <w:rPr>
          <w:rFonts w:ascii="Times New Roman" w:eastAsia="Times New Roman" w:hAnsi="Times New Roman"/>
          <w:b/>
          <w:noProof/>
          <w:sz w:val="24"/>
          <w:szCs w:val="20"/>
        </w:rPr>
      </w:pPr>
      <w:bookmarkStart w:id="114" w:name="_Toc468455394"/>
      <w:bookmarkStart w:id="115" w:name="_Toc468795251"/>
      <w:r>
        <w:rPr>
          <w:rFonts w:ascii="Times New Roman" w:eastAsia="Times New Roman" w:hAnsi="Times New Roman"/>
          <w:b/>
          <w:noProof/>
          <w:sz w:val="24"/>
          <w:szCs w:val="20"/>
        </w:rPr>
        <w:t>Comparison of options with respect to their impact on different stakeholders</w:t>
      </w:r>
      <w:bookmarkEnd w:id="114"/>
      <w:bookmarkEnd w:id="115"/>
    </w:p>
    <w:p w:rsidR="00035C91" w:rsidRDefault="00632184">
      <w:pPr>
        <w:numPr>
          <w:ilvl w:val="0"/>
          <w:numId w:val="89"/>
        </w:numPr>
        <w:spacing w:before="0" w:after="240"/>
        <w:rPr>
          <w:rFonts w:ascii="Times New Roman" w:eastAsia="Times New Roman" w:hAnsi="Times New Roman"/>
          <w:noProof/>
          <w:sz w:val="24"/>
        </w:rPr>
      </w:pPr>
      <w:r>
        <w:rPr>
          <w:rFonts w:ascii="Times New Roman" w:eastAsia="Times New Roman" w:hAnsi="Times New Roman"/>
          <w:noProof/>
          <w:sz w:val="24"/>
        </w:rPr>
        <w:t xml:space="preserve">Option 1 to 4 will benefit </w:t>
      </w:r>
      <w:r>
        <w:rPr>
          <w:rFonts w:ascii="Times New Roman" w:eastAsia="Times New Roman" w:hAnsi="Times New Roman"/>
          <w:b/>
          <w:noProof/>
          <w:sz w:val="24"/>
        </w:rPr>
        <w:t>Citizens</w:t>
      </w:r>
      <w:r>
        <w:rPr>
          <w:rFonts w:ascii="Times New Roman" w:eastAsia="Times New Roman" w:hAnsi="Times New Roman"/>
          <w:noProof/>
          <w:sz w:val="24"/>
        </w:rPr>
        <w:t xml:space="preserve"> (both individuals and legal persons) in increasing magnitude due to the reinforcement of the protection of their privacy. </w:t>
      </w:r>
      <w:r>
        <w:rPr>
          <w:rFonts w:ascii="Times New Roman" w:eastAsia="Times New Roman" w:hAnsi="Times New Roman"/>
          <w:b/>
          <w:noProof/>
          <w:sz w:val="24"/>
        </w:rPr>
        <w:t>Option 1</w:t>
      </w:r>
      <w:r>
        <w:rPr>
          <w:rFonts w:ascii="Times New Roman" w:eastAsia="Times New Roman" w:hAnsi="Times New Roman"/>
          <w:noProof/>
          <w:sz w:val="24"/>
        </w:rPr>
        <w:t xml:space="preserve"> will have a slightly positive effect, through the dissemination of guidance, best practices, standardisation and awareness-r</w:t>
      </w:r>
      <w:r>
        <w:rPr>
          <w:rFonts w:ascii="Times New Roman" w:eastAsia="Times New Roman" w:hAnsi="Times New Roman"/>
          <w:noProof/>
          <w:sz w:val="24"/>
        </w:rPr>
        <w:t xml:space="preserve">aising initiatives. </w:t>
      </w:r>
      <w:r>
        <w:rPr>
          <w:rFonts w:ascii="Times New Roman" w:eastAsia="Times New Roman" w:hAnsi="Times New Roman"/>
          <w:b/>
          <w:noProof/>
          <w:sz w:val="24"/>
        </w:rPr>
        <w:t>Option 2</w:t>
      </w:r>
      <w:r>
        <w:rPr>
          <w:rFonts w:ascii="Times New Roman" w:eastAsia="Times New Roman" w:hAnsi="Times New Roman"/>
          <w:noProof/>
          <w:sz w:val="24"/>
        </w:rPr>
        <w:t xml:space="preserve"> will have a positive effect, thanks in particular to the extension of the scope of the protection. </w:t>
      </w:r>
      <w:r>
        <w:rPr>
          <w:rFonts w:ascii="Times New Roman" w:eastAsia="Times New Roman" w:hAnsi="Times New Roman"/>
          <w:b/>
          <w:noProof/>
          <w:sz w:val="24"/>
        </w:rPr>
        <w:t>Option 3</w:t>
      </w:r>
      <w:r>
        <w:rPr>
          <w:rFonts w:ascii="Times New Roman" w:eastAsia="Times New Roman" w:hAnsi="Times New Roman"/>
          <w:noProof/>
          <w:sz w:val="24"/>
        </w:rPr>
        <w:t xml:space="preserve"> will have greater positive effects thanks to the introduction of mandatory centralised privacy settings. </w:t>
      </w:r>
      <w:r>
        <w:rPr>
          <w:rFonts w:ascii="Times New Roman" w:eastAsia="Times New Roman" w:hAnsi="Times New Roman"/>
          <w:b/>
          <w:noProof/>
          <w:sz w:val="24"/>
        </w:rPr>
        <w:t>Option 4</w:t>
      </w:r>
      <w:r>
        <w:rPr>
          <w:rFonts w:ascii="Times New Roman" w:eastAsia="Times New Roman" w:hAnsi="Times New Roman"/>
          <w:noProof/>
          <w:sz w:val="24"/>
        </w:rPr>
        <w:t xml:space="preserve"> will </w:t>
      </w:r>
      <w:r>
        <w:rPr>
          <w:rFonts w:ascii="Times New Roman" w:eastAsia="Times New Roman" w:hAnsi="Times New Roman"/>
          <w:noProof/>
          <w:sz w:val="24"/>
        </w:rPr>
        <w:t xml:space="preserve">further increase the level of protection, but may indirectly penalise citizens by excessively limiting OBA based offers. </w:t>
      </w:r>
      <w:r>
        <w:rPr>
          <w:rFonts w:ascii="Times New Roman" w:eastAsia="Times New Roman" w:hAnsi="Times New Roman"/>
          <w:b/>
          <w:noProof/>
          <w:sz w:val="24"/>
        </w:rPr>
        <w:t>Option 5</w:t>
      </w:r>
      <w:r>
        <w:rPr>
          <w:rFonts w:ascii="Times New Roman" w:eastAsia="Times New Roman" w:hAnsi="Times New Roman"/>
          <w:noProof/>
          <w:sz w:val="24"/>
        </w:rPr>
        <w:t xml:space="preserve"> would remove the specific protection of privacy and confidentiality in the electronic communications secor and in this respect</w:t>
      </w:r>
      <w:r>
        <w:rPr>
          <w:rFonts w:ascii="Times New Roman" w:eastAsia="Times New Roman" w:hAnsi="Times New Roman"/>
          <w:noProof/>
          <w:sz w:val="24"/>
        </w:rPr>
        <w:t xml:space="preserve"> may penalise citizens. </w:t>
      </w:r>
      <w:r>
        <w:rPr>
          <w:rFonts w:ascii="Times New Roman" w:eastAsia="Times New Roman" w:hAnsi="Times New Roman"/>
          <w:b/>
          <w:noProof/>
          <w:sz w:val="24"/>
        </w:rPr>
        <w:t>Option 3</w:t>
      </w:r>
      <w:r>
        <w:rPr>
          <w:rFonts w:ascii="Times New Roman" w:eastAsia="Times New Roman" w:hAnsi="Times New Roman"/>
          <w:noProof/>
          <w:sz w:val="24"/>
        </w:rPr>
        <w:t xml:space="preserve"> is the best option for citizens.</w:t>
      </w:r>
    </w:p>
    <w:p w:rsidR="00035C91" w:rsidRDefault="00632184">
      <w:pPr>
        <w:numPr>
          <w:ilvl w:val="0"/>
          <w:numId w:val="89"/>
        </w:numPr>
        <w:spacing w:before="0" w:after="240"/>
        <w:rPr>
          <w:rFonts w:ascii="Times New Roman" w:eastAsia="Times New Roman" w:hAnsi="Times New Roman"/>
          <w:noProof/>
          <w:sz w:val="24"/>
        </w:rPr>
      </w:pPr>
      <w:r>
        <w:rPr>
          <w:rFonts w:ascii="Times New Roman" w:eastAsia="Times New Roman" w:hAnsi="Times New Roman"/>
          <w:b/>
          <w:noProof/>
          <w:sz w:val="24"/>
        </w:rPr>
        <w:t xml:space="preserve">Businesses: </w:t>
      </w:r>
      <w:r>
        <w:rPr>
          <w:rFonts w:ascii="Times New Roman" w:eastAsia="Times New Roman" w:hAnsi="Times New Roman"/>
          <w:noProof/>
          <w:sz w:val="24"/>
        </w:rPr>
        <w:t>the following</w:t>
      </w:r>
      <w:r>
        <w:rPr>
          <w:rFonts w:ascii="Times New Roman" w:eastAsia="Times New Roman" w:hAnsi="Times New Roman"/>
          <w:b/>
          <w:noProof/>
          <w:sz w:val="24"/>
        </w:rPr>
        <w:t xml:space="preserve"> </w:t>
      </w:r>
      <w:r>
        <w:rPr>
          <w:rFonts w:ascii="Times New Roman" w:eastAsia="Times New Roman" w:hAnsi="Times New Roman"/>
          <w:noProof/>
          <w:sz w:val="24"/>
        </w:rPr>
        <w:t>main cateogories of different undertakings would be affected by the new rules in the following way:</w:t>
      </w:r>
    </w:p>
    <w:p w:rsidR="00035C91" w:rsidRDefault="00632184">
      <w:pPr>
        <w:numPr>
          <w:ilvl w:val="0"/>
          <w:numId w:val="61"/>
        </w:numPr>
        <w:spacing w:before="0" w:after="240"/>
        <w:rPr>
          <w:rFonts w:ascii="Times New Roman" w:eastAsia="Times New Roman" w:hAnsi="Times New Roman"/>
          <w:noProof/>
          <w:sz w:val="24"/>
        </w:rPr>
      </w:pPr>
      <w:r>
        <w:rPr>
          <w:rFonts w:ascii="Times New Roman" w:eastAsia="Times New Roman" w:hAnsi="Times New Roman"/>
          <w:b/>
          <w:noProof/>
          <w:sz w:val="24"/>
        </w:rPr>
        <w:t>ECS providers</w:t>
      </w:r>
      <w:r>
        <w:rPr>
          <w:rFonts w:ascii="Times New Roman" w:eastAsia="Times New Roman" w:hAnsi="Times New Roman"/>
          <w:noProof/>
          <w:sz w:val="24"/>
        </w:rPr>
        <w:t xml:space="preserve">: </w:t>
      </w:r>
      <w:r>
        <w:rPr>
          <w:rFonts w:ascii="Times New Roman" w:eastAsia="Times New Roman" w:hAnsi="Times New Roman"/>
          <w:b/>
          <w:noProof/>
          <w:sz w:val="24"/>
        </w:rPr>
        <w:t>Option 1</w:t>
      </w:r>
      <w:r>
        <w:rPr>
          <w:rFonts w:ascii="Times New Roman" w:eastAsia="Times New Roman" w:hAnsi="Times New Roman"/>
          <w:noProof/>
          <w:sz w:val="24"/>
        </w:rPr>
        <w:t xml:space="preserve"> does not affect ECS providers much. ECS </w:t>
      </w:r>
      <w:r>
        <w:rPr>
          <w:rFonts w:ascii="Times New Roman" w:eastAsia="Times New Roman" w:hAnsi="Times New Roman"/>
          <w:noProof/>
          <w:sz w:val="24"/>
        </w:rPr>
        <w:t xml:space="preserve">providers would benefit from the level playing field introduced by </w:t>
      </w:r>
      <w:r>
        <w:rPr>
          <w:rFonts w:ascii="Times New Roman" w:eastAsia="Times New Roman" w:hAnsi="Times New Roman"/>
          <w:b/>
          <w:noProof/>
          <w:sz w:val="24"/>
        </w:rPr>
        <w:t>Options 2, 3</w:t>
      </w:r>
      <w:r>
        <w:rPr>
          <w:rFonts w:ascii="Times New Roman" w:eastAsia="Times New Roman" w:hAnsi="Times New Roman"/>
          <w:noProof/>
          <w:sz w:val="24"/>
        </w:rPr>
        <w:t xml:space="preserve"> and </w:t>
      </w:r>
      <w:r>
        <w:rPr>
          <w:rFonts w:ascii="Times New Roman" w:eastAsia="Times New Roman" w:hAnsi="Times New Roman"/>
          <w:b/>
          <w:noProof/>
          <w:sz w:val="24"/>
        </w:rPr>
        <w:t>4</w:t>
      </w:r>
      <w:r>
        <w:rPr>
          <w:rFonts w:ascii="Times New Roman" w:eastAsia="Times New Roman" w:hAnsi="Times New Roman"/>
          <w:noProof/>
          <w:sz w:val="24"/>
        </w:rPr>
        <w:t xml:space="preserve">. </w:t>
      </w:r>
      <w:r>
        <w:rPr>
          <w:rFonts w:ascii="Times New Roman" w:eastAsia="Times New Roman" w:hAnsi="Times New Roman"/>
          <w:b/>
          <w:noProof/>
          <w:sz w:val="24"/>
        </w:rPr>
        <w:t>Option 5</w:t>
      </w:r>
      <w:r>
        <w:rPr>
          <w:rFonts w:ascii="Times New Roman" w:eastAsia="Times New Roman" w:hAnsi="Times New Roman"/>
          <w:noProof/>
          <w:sz w:val="24"/>
        </w:rPr>
        <w:t xml:space="preserve"> would benefit ECS providers the most, as it would simplify the rules applicable to them and eliminate the specific restrictions concerning traffic and location </w:t>
      </w:r>
      <w:r>
        <w:rPr>
          <w:rFonts w:ascii="Times New Roman" w:eastAsia="Times New Roman" w:hAnsi="Times New Roman"/>
          <w:noProof/>
          <w:sz w:val="24"/>
        </w:rPr>
        <w:t xml:space="preserve">data. </w:t>
      </w:r>
      <w:r>
        <w:rPr>
          <w:rFonts w:ascii="Times New Roman" w:eastAsia="Times New Roman" w:hAnsi="Times New Roman"/>
          <w:b/>
          <w:noProof/>
          <w:sz w:val="24"/>
        </w:rPr>
        <w:t>Option 5</w:t>
      </w:r>
      <w:r>
        <w:rPr>
          <w:rFonts w:ascii="Times New Roman" w:eastAsia="Times New Roman" w:hAnsi="Times New Roman"/>
          <w:noProof/>
          <w:sz w:val="24"/>
        </w:rPr>
        <w:t xml:space="preserve"> is the best option for ECS providers. Between </w:t>
      </w:r>
      <w:r>
        <w:rPr>
          <w:rFonts w:ascii="Times New Roman" w:eastAsia="Times New Roman" w:hAnsi="Times New Roman"/>
          <w:b/>
          <w:noProof/>
          <w:sz w:val="24"/>
        </w:rPr>
        <w:t>Option 2</w:t>
      </w:r>
      <w:r>
        <w:rPr>
          <w:rFonts w:ascii="Times New Roman" w:eastAsia="Times New Roman" w:hAnsi="Times New Roman"/>
          <w:noProof/>
          <w:sz w:val="24"/>
        </w:rPr>
        <w:t xml:space="preserve"> and </w:t>
      </w:r>
      <w:r>
        <w:rPr>
          <w:rFonts w:ascii="Times New Roman" w:eastAsia="Times New Roman" w:hAnsi="Times New Roman"/>
          <w:b/>
          <w:noProof/>
          <w:sz w:val="24"/>
        </w:rPr>
        <w:t>3</w:t>
      </w:r>
      <w:r>
        <w:rPr>
          <w:rFonts w:ascii="Times New Roman" w:eastAsia="Times New Roman" w:hAnsi="Times New Roman"/>
          <w:noProof/>
          <w:sz w:val="24"/>
        </w:rPr>
        <w:t xml:space="preserve">, ECS providers would prefer </w:t>
      </w:r>
      <w:r>
        <w:rPr>
          <w:rFonts w:ascii="Times New Roman" w:eastAsia="Times New Roman" w:hAnsi="Times New Roman"/>
          <w:b/>
          <w:noProof/>
          <w:sz w:val="24"/>
        </w:rPr>
        <w:t>Option 3</w:t>
      </w:r>
      <w:r>
        <w:rPr>
          <w:rFonts w:ascii="Times New Roman" w:eastAsia="Times New Roman" w:hAnsi="Times New Roman"/>
          <w:noProof/>
          <w:sz w:val="24"/>
        </w:rPr>
        <w:t xml:space="preserve"> as it would introduce elements of flexibility compared to the present regime. </w:t>
      </w:r>
    </w:p>
    <w:p w:rsidR="00035C91" w:rsidRDefault="00632184">
      <w:pPr>
        <w:numPr>
          <w:ilvl w:val="0"/>
          <w:numId w:val="61"/>
        </w:numPr>
        <w:spacing w:before="0" w:after="240"/>
        <w:rPr>
          <w:rFonts w:ascii="Times New Roman" w:eastAsia="Times New Roman" w:hAnsi="Times New Roman"/>
          <w:noProof/>
          <w:sz w:val="24"/>
        </w:rPr>
      </w:pPr>
      <w:r>
        <w:rPr>
          <w:rFonts w:ascii="Times New Roman" w:eastAsia="Times New Roman" w:hAnsi="Times New Roman"/>
          <w:b/>
          <w:noProof/>
          <w:sz w:val="24"/>
        </w:rPr>
        <w:t>OTTs</w:t>
      </w:r>
      <w:r>
        <w:rPr>
          <w:rFonts w:ascii="Times New Roman" w:eastAsia="Times New Roman" w:hAnsi="Times New Roman"/>
          <w:noProof/>
          <w:sz w:val="24"/>
        </w:rPr>
        <w:t xml:space="preserve">: </w:t>
      </w:r>
      <w:r>
        <w:rPr>
          <w:rFonts w:ascii="Times New Roman" w:eastAsia="Times New Roman" w:hAnsi="Times New Roman"/>
          <w:b/>
          <w:noProof/>
          <w:sz w:val="24"/>
        </w:rPr>
        <w:t>Option 1</w:t>
      </w:r>
      <w:r>
        <w:rPr>
          <w:rFonts w:ascii="Times New Roman" w:eastAsia="Times New Roman" w:hAnsi="Times New Roman"/>
          <w:noProof/>
          <w:sz w:val="24"/>
        </w:rPr>
        <w:t xml:space="preserve"> and </w:t>
      </w:r>
      <w:r>
        <w:rPr>
          <w:rFonts w:ascii="Times New Roman" w:eastAsia="Times New Roman" w:hAnsi="Times New Roman"/>
          <w:b/>
          <w:noProof/>
          <w:sz w:val="24"/>
        </w:rPr>
        <w:t>5</w:t>
      </w:r>
      <w:r>
        <w:rPr>
          <w:rFonts w:ascii="Times New Roman" w:eastAsia="Times New Roman" w:hAnsi="Times New Roman"/>
          <w:noProof/>
          <w:sz w:val="24"/>
        </w:rPr>
        <w:t xml:space="preserve"> are the most favourable solutions for them,</w:t>
      </w:r>
      <w:r>
        <w:rPr>
          <w:rFonts w:ascii="Times New Roman" w:eastAsia="Times New Roman" w:hAnsi="Times New Roman"/>
          <w:noProof/>
          <w:sz w:val="24"/>
        </w:rPr>
        <w:t xml:space="preserve"> with possibly a preference for Option 1 given that this option would maintain their regulatory advantage over ECS providers. </w:t>
      </w:r>
      <w:r>
        <w:rPr>
          <w:rFonts w:ascii="Times New Roman" w:eastAsia="Times New Roman" w:hAnsi="Times New Roman"/>
          <w:b/>
          <w:noProof/>
          <w:sz w:val="24"/>
        </w:rPr>
        <w:t>Option 2, 3</w:t>
      </w:r>
      <w:r>
        <w:rPr>
          <w:rFonts w:ascii="Times New Roman" w:eastAsia="Times New Roman" w:hAnsi="Times New Roman"/>
          <w:noProof/>
          <w:sz w:val="24"/>
        </w:rPr>
        <w:t xml:space="preserve"> and </w:t>
      </w:r>
      <w:r>
        <w:rPr>
          <w:rFonts w:ascii="Times New Roman" w:eastAsia="Times New Roman" w:hAnsi="Times New Roman"/>
          <w:b/>
          <w:noProof/>
          <w:sz w:val="24"/>
        </w:rPr>
        <w:t>4</w:t>
      </w:r>
      <w:r>
        <w:rPr>
          <w:rFonts w:ascii="Times New Roman" w:eastAsia="Times New Roman" w:hAnsi="Times New Roman"/>
          <w:noProof/>
          <w:sz w:val="24"/>
        </w:rPr>
        <w:t xml:space="preserve"> would significantly affect OTTs as they will have to comply with the ePrivacy rules. Between these, </w:t>
      </w:r>
      <w:r>
        <w:rPr>
          <w:rFonts w:ascii="Times New Roman" w:eastAsia="Times New Roman" w:hAnsi="Times New Roman"/>
          <w:b/>
          <w:noProof/>
          <w:sz w:val="24"/>
        </w:rPr>
        <w:t>Option 3</w:t>
      </w:r>
      <w:r>
        <w:rPr>
          <w:rFonts w:ascii="Times New Roman" w:eastAsia="Times New Roman" w:hAnsi="Times New Roman"/>
          <w:noProof/>
          <w:sz w:val="24"/>
        </w:rPr>
        <w:t xml:space="preserve"> is </w:t>
      </w:r>
      <w:r>
        <w:rPr>
          <w:rFonts w:ascii="Times New Roman" w:eastAsia="Times New Roman" w:hAnsi="Times New Roman"/>
          <w:noProof/>
          <w:sz w:val="24"/>
        </w:rPr>
        <w:t xml:space="preserve">to be preferred due to the greater flexibility, whereas </w:t>
      </w:r>
      <w:r>
        <w:rPr>
          <w:rFonts w:ascii="Times New Roman" w:eastAsia="Times New Roman" w:hAnsi="Times New Roman"/>
          <w:b/>
          <w:noProof/>
          <w:sz w:val="24"/>
        </w:rPr>
        <w:t>Option 4</w:t>
      </w:r>
      <w:r>
        <w:rPr>
          <w:rFonts w:ascii="Times New Roman" w:eastAsia="Times New Roman" w:hAnsi="Times New Roman"/>
          <w:noProof/>
          <w:sz w:val="24"/>
        </w:rPr>
        <w:t xml:space="preserve"> is the most restrictive. </w:t>
      </w:r>
    </w:p>
    <w:p w:rsidR="00035C91" w:rsidRDefault="00632184">
      <w:pPr>
        <w:numPr>
          <w:ilvl w:val="0"/>
          <w:numId w:val="61"/>
        </w:numPr>
        <w:spacing w:before="0" w:after="240"/>
        <w:rPr>
          <w:rFonts w:ascii="Times New Roman" w:eastAsia="Times New Roman" w:hAnsi="Times New Roman"/>
          <w:noProof/>
          <w:sz w:val="24"/>
        </w:rPr>
      </w:pPr>
      <w:r>
        <w:rPr>
          <w:rFonts w:ascii="Times New Roman" w:eastAsia="Times New Roman" w:hAnsi="Times New Roman"/>
          <w:b/>
          <w:noProof/>
          <w:sz w:val="24"/>
        </w:rPr>
        <w:t xml:space="preserve">Website operators </w:t>
      </w:r>
      <w:r>
        <w:rPr>
          <w:rFonts w:ascii="Times New Roman" w:eastAsia="Times New Roman" w:hAnsi="Times New Roman"/>
          <w:noProof/>
          <w:sz w:val="24"/>
        </w:rPr>
        <w:t>and</w:t>
      </w:r>
      <w:r>
        <w:rPr>
          <w:rFonts w:ascii="Times New Roman" w:eastAsia="Times New Roman" w:hAnsi="Times New Roman"/>
          <w:b/>
          <w:noProof/>
          <w:sz w:val="24"/>
        </w:rPr>
        <w:t xml:space="preserve"> online advertisers</w:t>
      </w:r>
      <w:r>
        <w:rPr>
          <w:rFonts w:ascii="Times New Roman" w:eastAsia="Times New Roman" w:hAnsi="Times New Roman"/>
          <w:noProof/>
          <w:sz w:val="24"/>
        </w:rPr>
        <w:t>:</w:t>
      </w:r>
      <w:r>
        <w:rPr>
          <w:rFonts w:ascii="Times New Roman" w:eastAsia="Times New Roman" w:hAnsi="Times New Roman"/>
          <w:b/>
          <w:noProof/>
          <w:sz w:val="24"/>
        </w:rPr>
        <w:t xml:space="preserve"> Options 1 </w:t>
      </w:r>
      <w:r>
        <w:rPr>
          <w:rFonts w:ascii="Times New Roman" w:eastAsia="Times New Roman" w:hAnsi="Times New Roman"/>
          <w:noProof/>
          <w:sz w:val="24"/>
        </w:rPr>
        <w:t xml:space="preserve">and </w:t>
      </w:r>
      <w:r>
        <w:rPr>
          <w:rFonts w:ascii="Times New Roman" w:eastAsia="Times New Roman" w:hAnsi="Times New Roman"/>
          <w:b/>
          <w:noProof/>
          <w:sz w:val="24"/>
        </w:rPr>
        <w:t>2</w:t>
      </w:r>
      <w:r>
        <w:rPr>
          <w:rFonts w:ascii="Times New Roman" w:eastAsia="Times New Roman" w:hAnsi="Times New Roman"/>
          <w:noProof/>
          <w:sz w:val="24"/>
        </w:rPr>
        <w:t xml:space="preserve"> would not change anything for these operators. </w:t>
      </w:r>
      <w:r>
        <w:rPr>
          <w:rFonts w:ascii="Times New Roman" w:eastAsia="Times New Roman" w:hAnsi="Times New Roman"/>
          <w:b/>
          <w:noProof/>
          <w:sz w:val="24"/>
        </w:rPr>
        <w:t>Option 3</w:t>
      </w:r>
      <w:r>
        <w:rPr>
          <w:rFonts w:ascii="Times New Roman" w:eastAsia="Times New Roman" w:hAnsi="Times New Roman"/>
          <w:noProof/>
          <w:sz w:val="24"/>
        </w:rPr>
        <w:t xml:space="preserve"> would present some advantages in terms of cost redu</w:t>
      </w:r>
      <w:r>
        <w:rPr>
          <w:rFonts w:ascii="Times New Roman" w:eastAsia="Times New Roman" w:hAnsi="Times New Roman"/>
          <w:noProof/>
          <w:sz w:val="24"/>
        </w:rPr>
        <w:t xml:space="preserve">ction and some disadvantages relating to the binding browser privacy settings greater transparency of tracking. </w:t>
      </w:r>
      <w:r>
        <w:rPr>
          <w:rFonts w:ascii="Times New Roman" w:eastAsia="Times New Roman" w:hAnsi="Times New Roman"/>
          <w:b/>
          <w:noProof/>
          <w:sz w:val="24"/>
        </w:rPr>
        <w:t>Option 4</w:t>
      </w:r>
      <w:r>
        <w:rPr>
          <w:rFonts w:ascii="Times New Roman" w:eastAsia="Times New Roman" w:hAnsi="Times New Roman"/>
          <w:noProof/>
          <w:sz w:val="24"/>
        </w:rPr>
        <w:t xml:space="preserve"> would seriously affect them by banning the cookie wall. </w:t>
      </w:r>
      <w:r>
        <w:rPr>
          <w:rFonts w:ascii="Times New Roman" w:eastAsia="Times New Roman" w:hAnsi="Times New Roman"/>
          <w:b/>
          <w:noProof/>
          <w:sz w:val="24"/>
        </w:rPr>
        <w:t>Option 5</w:t>
      </w:r>
      <w:r>
        <w:rPr>
          <w:rFonts w:ascii="Times New Roman" w:eastAsia="Times New Roman" w:hAnsi="Times New Roman"/>
          <w:noProof/>
          <w:sz w:val="24"/>
        </w:rPr>
        <w:t xml:space="preserve"> is the best option for them as it would basically imply removal of the</w:t>
      </w:r>
      <w:r>
        <w:rPr>
          <w:rFonts w:ascii="Times New Roman" w:eastAsia="Times New Roman" w:hAnsi="Times New Roman"/>
          <w:noProof/>
          <w:sz w:val="24"/>
        </w:rPr>
        <w:t xml:space="preserve"> current rules.</w:t>
      </w:r>
      <w:r>
        <w:rPr>
          <w:rFonts w:ascii="Times New Roman" w:eastAsia="Times New Roman" w:hAnsi="Times New Roman"/>
          <w:b/>
          <w:noProof/>
          <w:sz w:val="24"/>
        </w:rPr>
        <w:t xml:space="preserve"> </w:t>
      </w:r>
    </w:p>
    <w:p w:rsidR="00035C91" w:rsidRDefault="00632184">
      <w:pPr>
        <w:numPr>
          <w:ilvl w:val="0"/>
          <w:numId w:val="61"/>
        </w:numPr>
        <w:spacing w:before="0" w:after="240"/>
        <w:rPr>
          <w:rFonts w:ascii="Times New Roman" w:eastAsia="Times New Roman" w:hAnsi="Times New Roman"/>
          <w:noProof/>
          <w:sz w:val="24"/>
        </w:rPr>
      </w:pPr>
      <w:r>
        <w:rPr>
          <w:rFonts w:ascii="Times New Roman" w:eastAsia="Times New Roman" w:hAnsi="Times New Roman"/>
          <w:b/>
          <w:noProof/>
          <w:sz w:val="24"/>
        </w:rPr>
        <w:t>Providers of browsers, operating systems and app stores</w:t>
      </w:r>
      <w:r>
        <w:rPr>
          <w:rFonts w:ascii="Times New Roman" w:eastAsia="Times New Roman" w:hAnsi="Times New Roman"/>
          <w:noProof/>
          <w:sz w:val="24"/>
        </w:rPr>
        <w:t xml:space="preserve"> are only affected by </w:t>
      </w:r>
      <w:r>
        <w:rPr>
          <w:rFonts w:ascii="Times New Roman" w:eastAsia="Times New Roman" w:hAnsi="Times New Roman"/>
          <w:b/>
          <w:noProof/>
          <w:sz w:val="24"/>
        </w:rPr>
        <w:t>Option 3</w:t>
      </w:r>
      <w:r>
        <w:rPr>
          <w:rFonts w:ascii="Times New Roman" w:eastAsia="Times New Roman" w:hAnsi="Times New Roman"/>
          <w:noProof/>
          <w:sz w:val="24"/>
        </w:rPr>
        <w:t xml:space="preserve"> in relation to the obligation to provide for general privacy settings. However, the related cost is not expected to be excessively high, considering that</w:t>
      </w:r>
      <w:r>
        <w:rPr>
          <w:rFonts w:ascii="Times New Roman" w:eastAsia="Times New Roman" w:hAnsi="Times New Roman"/>
          <w:noProof/>
          <w:sz w:val="24"/>
        </w:rPr>
        <w:t xml:space="preserve"> the few operators concerned already have developed some solutions in this direction. </w:t>
      </w:r>
    </w:p>
    <w:p w:rsidR="00035C91" w:rsidRDefault="00632184">
      <w:pPr>
        <w:numPr>
          <w:ilvl w:val="0"/>
          <w:numId w:val="61"/>
        </w:numPr>
        <w:spacing w:before="0" w:after="240"/>
        <w:rPr>
          <w:rFonts w:ascii="Times New Roman" w:eastAsia="Times New Roman" w:hAnsi="Times New Roman"/>
          <w:noProof/>
          <w:sz w:val="24"/>
        </w:rPr>
      </w:pPr>
      <w:r>
        <w:rPr>
          <w:rFonts w:ascii="Times New Roman" w:eastAsia="Times New Roman" w:hAnsi="Times New Roman"/>
          <w:b/>
          <w:noProof/>
          <w:sz w:val="24"/>
        </w:rPr>
        <w:t>Direct marketers</w:t>
      </w:r>
      <w:r>
        <w:rPr>
          <w:rFonts w:ascii="Times New Roman" w:eastAsia="Times New Roman" w:hAnsi="Times New Roman"/>
          <w:noProof/>
          <w:sz w:val="24"/>
        </w:rPr>
        <w:t xml:space="preserve"> would not be significantly affected by </w:t>
      </w:r>
      <w:r>
        <w:rPr>
          <w:rFonts w:ascii="Times New Roman" w:eastAsia="Times New Roman" w:hAnsi="Times New Roman"/>
          <w:b/>
          <w:noProof/>
          <w:sz w:val="24"/>
        </w:rPr>
        <w:t>Option 1</w:t>
      </w:r>
      <w:r>
        <w:rPr>
          <w:rFonts w:ascii="Times New Roman" w:eastAsia="Times New Roman" w:hAnsi="Times New Roman"/>
          <w:noProof/>
          <w:sz w:val="24"/>
        </w:rPr>
        <w:t xml:space="preserve">. They would be affected in increasing magnitude by </w:t>
      </w:r>
      <w:r>
        <w:rPr>
          <w:rFonts w:ascii="Times New Roman" w:eastAsia="Times New Roman" w:hAnsi="Times New Roman"/>
          <w:b/>
          <w:noProof/>
          <w:sz w:val="24"/>
        </w:rPr>
        <w:t>Option 2, 3</w:t>
      </w:r>
      <w:r>
        <w:rPr>
          <w:rFonts w:ascii="Times New Roman" w:eastAsia="Times New Roman" w:hAnsi="Times New Roman"/>
          <w:noProof/>
          <w:sz w:val="24"/>
        </w:rPr>
        <w:t xml:space="preserve"> and </w:t>
      </w:r>
      <w:r>
        <w:rPr>
          <w:rFonts w:ascii="Times New Roman" w:eastAsia="Times New Roman" w:hAnsi="Times New Roman"/>
          <w:b/>
          <w:noProof/>
          <w:sz w:val="24"/>
        </w:rPr>
        <w:t>4</w:t>
      </w:r>
      <w:r>
        <w:rPr>
          <w:rFonts w:ascii="Times New Roman" w:eastAsia="Times New Roman" w:hAnsi="Times New Roman"/>
          <w:noProof/>
          <w:sz w:val="24"/>
        </w:rPr>
        <w:t xml:space="preserve">. </w:t>
      </w:r>
      <w:r>
        <w:rPr>
          <w:rFonts w:ascii="Times New Roman" w:eastAsia="Times New Roman" w:hAnsi="Times New Roman"/>
          <w:b/>
          <w:noProof/>
          <w:sz w:val="24"/>
        </w:rPr>
        <w:t>Option 5</w:t>
      </w:r>
      <w:r>
        <w:rPr>
          <w:rFonts w:ascii="Times New Roman" w:eastAsia="Times New Roman" w:hAnsi="Times New Roman"/>
          <w:noProof/>
          <w:sz w:val="24"/>
        </w:rPr>
        <w:t xml:space="preserve"> is their most favourite option, as it would remove at least in part the restrictions regarding unsolicited marketing. </w:t>
      </w:r>
    </w:p>
    <w:p w:rsidR="00035C91" w:rsidRDefault="00632184">
      <w:pPr>
        <w:numPr>
          <w:ilvl w:val="0"/>
          <w:numId w:val="61"/>
        </w:numPr>
        <w:spacing w:before="0" w:after="240"/>
        <w:rPr>
          <w:rFonts w:ascii="Times New Roman" w:eastAsia="Times New Roman" w:hAnsi="Times New Roman"/>
          <w:noProof/>
          <w:sz w:val="24"/>
        </w:rPr>
      </w:pPr>
      <w:r>
        <w:rPr>
          <w:rFonts w:ascii="Times New Roman" w:eastAsia="Times New Roman" w:hAnsi="Times New Roman"/>
          <w:b/>
          <w:noProof/>
          <w:sz w:val="24"/>
        </w:rPr>
        <w:t>SMEs</w:t>
      </w:r>
      <w:r>
        <w:rPr>
          <w:rFonts w:ascii="Times New Roman" w:eastAsia="Times New Roman" w:hAnsi="Times New Roman"/>
          <w:noProof/>
          <w:sz w:val="24"/>
        </w:rPr>
        <w:t xml:space="preserve"> who are OTTs would be affected significantly by </w:t>
      </w:r>
      <w:r>
        <w:rPr>
          <w:rFonts w:ascii="Times New Roman" w:eastAsia="Times New Roman" w:hAnsi="Times New Roman"/>
          <w:b/>
          <w:noProof/>
          <w:sz w:val="24"/>
        </w:rPr>
        <w:t>Option 2</w:t>
      </w:r>
      <w:r>
        <w:rPr>
          <w:rFonts w:ascii="Times New Roman" w:eastAsia="Times New Roman" w:hAnsi="Times New Roman"/>
          <w:noProof/>
          <w:sz w:val="24"/>
        </w:rPr>
        <w:t xml:space="preserve">, </w:t>
      </w:r>
      <w:r>
        <w:rPr>
          <w:rFonts w:ascii="Times New Roman" w:eastAsia="Times New Roman" w:hAnsi="Times New Roman"/>
          <w:b/>
          <w:noProof/>
          <w:sz w:val="24"/>
        </w:rPr>
        <w:t>3</w:t>
      </w:r>
      <w:r>
        <w:rPr>
          <w:rFonts w:ascii="Times New Roman" w:eastAsia="Times New Roman" w:hAnsi="Times New Roman"/>
          <w:noProof/>
          <w:sz w:val="24"/>
        </w:rPr>
        <w:t xml:space="preserve">, and </w:t>
      </w:r>
      <w:r>
        <w:rPr>
          <w:rFonts w:ascii="Times New Roman" w:eastAsia="Times New Roman" w:hAnsi="Times New Roman"/>
          <w:b/>
          <w:noProof/>
          <w:sz w:val="24"/>
        </w:rPr>
        <w:t>4</w:t>
      </w:r>
      <w:r>
        <w:rPr>
          <w:rFonts w:ascii="Times New Roman" w:eastAsia="Times New Roman" w:hAnsi="Times New Roman"/>
          <w:noProof/>
          <w:sz w:val="24"/>
        </w:rPr>
        <w:t xml:space="preserve"> given the extension of the scope. Compared to large businesses, </w:t>
      </w:r>
      <w:r>
        <w:rPr>
          <w:rFonts w:ascii="Times New Roman" w:eastAsia="Times New Roman" w:hAnsi="Times New Roman"/>
          <w:noProof/>
          <w:sz w:val="24"/>
        </w:rPr>
        <w:t xml:space="preserve">they would feel in proportion more the burden of the new ePrivacy rules. However, some flexibility and simplification mechanisms included in Option would significantly reduce such burden. </w:t>
      </w:r>
    </w:p>
    <w:p w:rsidR="00035C91" w:rsidRDefault="00632184">
      <w:pPr>
        <w:numPr>
          <w:ilvl w:val="0"/>
          <w:numId w:val="91"/>
        </w:numPr>
        <w:spacing w:before="0" w:after="240"/>
        <w:rPr>
          <w:rFonts w:ascii="Times New Roman" w:eastAsia="Times New Roman" w:hAnsi="Times New Roman"/>
          <w:noProof/>
          <w:sz w:val="24"/>
          <w:szCs w:val="20"/>
        </w:rPr>
      </w:pPr>
      <w:r>
        <w:rPr>
          <w:rFonts w:ascii="Times New Roman" w:eastAsia="Times New Roman" w:hAnsi="Times New Roman"/>
          <w:b/>
          <w:noProof/>
          <w:sz w:val="24"/>
        </w:rPr>
        <w:t>Competent authorities</w:t>
      </w:r>
      <w:r>
        <w:rPr>
          <w:rFonts w:ascii="Times New Roman" w:eastAsia="Times New Roman" w:hAnsi="Times New Roman"/>
          <w:noProof/>
          <w:sz w:val="24"/>
        </w:rPr>
        <w:t xml:space="preserve">: </w:t>
      </w:r>
      <w:r>
        <w:rPr>
          <w:rFonts w:ascii="Times New Roman" w:eastAsia="Times New Roman" w:hAnsi="Times New Roman"/>
          <w:b/>
          <w:noProof/>
          <w:sz w:val="24"/>
        </w:rPr>
        <w:t>Option 3</w:t>
      </w:r>
      <w:r>
        <w:rPr>
          <w:rFonts w:ascii="Times New Roman" w:eastAsia="Times New Roman" w:hAnsi="Times New Roman"/>
          <w:noProof/>
          <w:sz w:val="24"/>
        </w:rPr>
        <w:t xml:space="preserve"> and </w:t>
      </w:r>
      <w:r>
        <w:rPr>
          <w:rFonts w:ascii="Times New Roman" w:eastAsia="Times New Roman" w:hAnsi="Times New Roman"/>
          <w:b/>
          <w:noProof/>
          <w:sz w:val="24"/>
        </w:rPr>
        <w:t>4</w:t>
      </w:r>
      <w:r>
        <w:rPr>
          <w:rFonts w:ascii="Times New Roman" w:eastAsia="Times New Roman" w:hAnsi="Times New Roman"/>
          <w:noProof/>
          <w:sz w:val="24"/>
        </w:rPr>
        <w:t xml:space="preserve"> will have significant effects</w:t>
      </w:r>
      <w:r>
        <w:rPr>
          <w:rFonts w:ascii="Times New Roman" w:eastAsia="Times New Roman" w:hAnsi="Times New Roman"/>
          <w:noProof/>
          <w:sz w:val="24"/>
        </w:rPr>
        <w:t xml:space="preserve"> on national authorities. </w:t>
      </w:r>
      <w:r>
        <w:rPr>
          <w:rFonts w:ascii="Times New Roman" w:eastAsia="Times New Roman" w:hAnsi="Times New Roman"/>
          <w:b/>
          <w:noProof/>
          <w:sz w:val="24"/>
        </w:rPr>
        <w:t>Option 3</w:t>
      </w:r>
      <w:r>
        <w:rPr>
          <w:rFonts w:ascii="Times New Roman" w:eastAsia="Times New Roman" w:hAnsi="Times New Roman"/>
          <w:noProof/>
          <w:sz w:val="24"/>
        </w:rPr>
        <w:t xml:space="preserve"> would entail some reorganisation costs for those authorities that are currently not equipped with appropriate powers and adequate resources for exercising supervision. </w:t>
      </w:r>
    </w:p>
    <w:p w:rsidR="00035C91" w:rsidRDefault="00632184">
      <w:pPr>
        <w:numPr>
          <w:ilvl w:val="0"/>
          <w:numId w:val="91"/>
        </w:numPr>
        <w:spacing w:before="0" w:after="240"/>
        <w:rPr>
          <w:rFonts w:ascii="Times New Roman" w:eastAsia="Times New Roman" w:hAnsi="Times New Roman"/>
          <w:noProof/>
          <w:sz w:val="24"/>
          <w:szCs w:val="20"/>
        </w:rPr>
      </w:pPr>
      <w:r>
        <w:rPr>
          <w:rFonts w:ascii="Times New Roman" w:eastAsia="Times New Roman" w:hAnsi="Times New Roman"/>
          <w:noProof/>
          <w:sz w:val="24"/>
        </w:rPr>
        <w:t xml:space="preserve">The </w:t>
      </w:r>
      <w:r>
        <w:rPr>
          <w:rFonts w:ascii="Times New Roman" w:eastAsia="Times New Roman" w:hAnsi="Times New Roman"/>
          <w:b/>
          <w:noProof/>
          <w:sz w:val="24"/>
        </w:rPr>
        <w:t>Commission</w:t>
      </w:r>
      <w:r>
        <w:rPr>
          <w:rFonts w:ascii="Times New Roman" w:eastAsia="Times New Roman" w:hAnsi="Times New Roman"/>
          <w:noProof/>
          <w:sz w:val="24"/>
        </w:rPr>
        <w:t xml:space="preserve"> will have to bear some costs relating</w:t>
      </w:r>
      <w:r>
        <w:rPr>
          <w:rFonts w:ascii="Times New Roman" w:eastAsia="Times New Roman" w:hAnsi="Times New Roman"/>
          <w:noProof/>
          <w:sz w:val="24"/>
        </w:rPr>
        <w:t xml:space="preserve"> to the various soft-law initiatives in </w:t>
      </w:r>
      <w:r>
        <w:rPr>
          <w:rFonts w:ascii="Times New Roman" w:eastAsia="Times New Roman" w:hAnsi="Times New Roman"/>
          <w:b/>
          <w:noProof/>
          <w:sz w:val="24"/>
        </w:rPr>
        <w:t>Option 1</w:t>
      </w:r>
      <w:r>
        <w:rPr>
          <w:rFonts w:ascii="Times New Roman" w:eastAsia="Times New Roman" w:hAnsi="Times New Roman"/>
          <w:noProof/>
          <w:sz w:val="24"/>
        </w:rPr>
        <w:t xml:space="preserve">. The costs for the Commission are low in </w:t>
      </w:r>
      <w:r>
        <w:rPr>
          <w:rFonts w:ascii="Times New Roman" w:eastAsia="Times New Roman" w:hAnsi="Times New Roman"/>
          <w:b/>
          <w:noProof/>
          <w:sz w:val="24"/>
        </w:rPr>
        <w:t>Option 2</w:t>
      </w:r>
      <w:r>
        <w:rPr>
          <w:rFonts w:ascii="Times New Roman" w:eastAsia="Times New Roman" w:hAnsi="Times New Roman"/>
          <w:noProof/>
          <w:sz w:val="24"/>
        </w:rPr>
        <w:t xml:space="preserve"> and </w:t>
      </w:r>
      <w:r>
        <w:rPr>
          <w:rFonts w:ascii="Times New Roman" w:eastAsia="Times New Roman" w:hAnsi="Times New Roman"/>
          <w:b/>
          <w:noProof/>
          <w:sz w:val="24"/>
        </w:rPr>
        <w:t>3</w:t>
      </w:r>
      <w:r>
        <w:rPr>
          <w:rFonts w:ascii="Times New Roman" w:eastAsia="Times New Roman" w:hAnsi="Times New Roman"/>
          <w:noProof/>
          <w:sz w:val="24"/>
        </w:rPr>
        <w:t xml:space="preserve"> and essentially coinciding with the conduct of the legislative process. In addition, the Commission would have to bear some variable running costs for </w:t>
      </w:r>
      <w:r>
        <w:rPr>
          <w:rFonts w:ascii="Times New Roman" w:eastAsia="Times New Roman" w:hAnsi="Times New Roman"/>
          <w:noProof/>
          <w:sz w:val="24"/>
        </w:rPr>
        <w:t xml:space="preserve">the implementing measures in </w:t>
      </w:r>
      <w:r>
        <w:rPr>
          <w:rFonts w:ascii="Times New Roman" w:eastAsia="Times New Roman" w:hAnsi="Times New Roman"/>
          <w:b/>
          <w:noProof/>
          <w:sz w:val="24"/>
        </w:rPr>
        <w:t>Option 4</w:t>
      </w:r>
      <w:r>
        <w:rPr>
          <w:rFonts w:ascii="Times New Roman" w:eastAsia="Times New Roman" w:hAnsi="Times New Roman"/>
          <w:noProof/>
          <w:sz w:val="24"/>
        </w:rPr>
        <w:t>.</w:t>
      </w:r>
    </w:p>
    <w:p w:rsidR="00035C91" w:rsidRDefault="00632184">
      <w:pPr>
        <w:tabs>
          <w:tab w:val="left" w:pos="2302"/>
        </w:tabs>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The above analysis shows that </w:t>
      </w:r>
      <w:r>
        <w:rPr>
          <w:rFonts w:ascii="Times New Roman" w:eastAsia="Times New Roman" w:hAnsi="Times New Roman"/>
          <w:b/>
          <w:noProof/>
          <w:sz w:val="24"/>
          <w:szCs w:val="20"/>
        </w:rPr>
        <w:t>Option 3</w:t>
      </w:r>
      <w:r>
        <w:rPr>
          <w:rFonts w:ascii="Times New Roman" w:eastAsia="Times New Roman" w:hAnsi="Times New Roman"/>
          <w:noProof/>
          <w:sz w:val="24"/>
          <w:szCs w:val="20"/>
        </w:rPr>
        <w:t xml:space="preserve"> is the best option for citizens, while </w:t>
      </w:r>
      <w:r>
        <w:rPr>
          <w:rFonts w:ascii="Times New Roman" w:eastAsia="Times New Roman" w:hAnsi="Times New Roman"/>
          <w:b/>
          <w:noProof/>
          <w:sz w:val="24"/>
          <w:szCs w:val="20"/>
        </w:rPr>
        <w:t>Option 5</w:t>
      </w:r>
      <w:r>
        <w:rPr>
          <w:rFonts w:ascii="Times New Roman" w:eastAsia="Times New Roman" w:hAnsi="Times New Roman"/>
          <w:noProof/>
          <w:sz w:val="24"/>
          <w:szCs w:val="20"/>
        </w:rPr>
        <w:t xml:space="preserve"> is the worst. By contrast, </w:t>
      </w:r>
      <w:r>
        <w:rPr>
          <w:rFonts w:ascii="Times New Roman" w:eastAsia="Times New Roman" w:hAnsi="Times New Roman"/>
          <w:b/>
          <w:noProof/>
          <w:sz w:val="24"/>
          <w:szCs w:val="20"/>
        </w:rPr>
        <w:t>Option 5</w:t>
      </w:r>
      <w:r>
        <w:rPr>
          <w:rFonts w:ascii="Times New Roman" w:eastAsia="Times New Roman" w:hAnsi="Times New Roman"/>
          <w:noProof/>
          <w:sz w:val="24"/>
          <w:szCs w:val="20"/>
        </w:rPr>
        <w:t xml:space="preserve"> is the best option for businesses overall (the second best option for OTTs) and </w:t>
      </w:r>
      <w:r>
        <w:rPr>
          <w:rFonts w:ascii="Times New Roman" w:eastAsia="Times New Roman" w:hAnsi="Times New Roman"/>
          <w:b/>
          <w:noProof/>
          <w:sz w:val="24"/>
          <w:szCs w:val="20"/>
        </w:rPr>
        <w:t>Option 4</w:t>
      </w:r>
      <w:r>
        <w:rPr>
          <w:rFonts w:ascii="Times New Roman" w:eastAsia="Times New Roman" w:hAnsi="Times New Roman"/>
          <w:noProof/>
          <w:sz w:val="24"/>
          <w:szCs w:val="20"/>
        </w:rPr>
        <w:t xml:space="preserve"> the w</w:t>
      </w:r>
      <w:r>
        <w:rPr>
          <w:rFonts w:ascii="Times New Roman" w:eastAsia="Times New Roman" w:hAnsi="Times New Roman"/>
          <w:noProof/>
          <w:sz w:val="24"/>
          <w:szCs w:val="20"/>
        </w:rPr>
        <w:t xml:space="preserve">orst. </w:t>
      </w:r>
      <w:r>
        <w:rPr>
          <w:rFonts w:ascii="Times New Roman" w:eastAsia="Times New Roman" w:hAnsi="Times New Roman"/>
          <w:b/>
          <w:noProof/>
          <w:sz w:val="24"/>
          <w:szCs w:val="20"/>
        </w:rPr>
        <w:t>Option 4</w:t>
      </w:r>
      <w:r>
        <w:rPr>
          <w:rFonts w:ascii="Times New Roman" w:eastAsia="Times New Roman" w:hAnsi="Times New Roman"/>
          <w:noProof/>
          <w:sz w:val="24"/>
          <w:szCs w:val="20"/>
        </w:rPr>
        <w:t xml:space="preserve"> and </w:t>
      </w:r>
      <w:r>
        <w:rPr>
          <w:rFonts w:ascii="Times New Roman" w:eastAsia="Times New Roman" w:hAnsi="Times New Roman"/>
          <w:b/>
          <w:noProof/>
          <w:sz w:val="24"/>
          <w:szCs w:val="20"/>
        </w:rPr>
        <w:t>5</w:t>
      </w:r>
      <w:r>
        <w:rPr>
          <w:rFonts w:ascii="Times New Roman" w:eastAsia="Times New Roman" w:hAnsi="Times New Roman"/>
          <w:noProof/>
          <w:sz w:val="24"/>
          <w:szCs w:val="20"/>
        </w:rPr>
        <w:t xml:space="preserve"> being excluded as extreme solutions, </w:t>
      </w:r>
      <w:r>
        <w:rPr>
          <w:rFonts w:ascii="Times New Roman" w:eastAsia="Times New Roman" w:hAnsi="Times New Roman"/>
          <w:b/>
          <w:noProof/>
          <w:sz w:val="24"/>
          <w:szCs w:val="20"/>
        </w:rPr>
        <w:t>Option 3</w:t>
      </w:r>
      <w:r>
        <w:rPr>
          <w:rFonts w:ascii="Times New Roman" w:eastAsia="Times New Roman" w:hAnsi="Times New Roman"/>
          <w:noProof/>
          <w:sz w:val="24"/>
          <w:szCs w:val="20"/>
        </w:rPr>
        <w:t xml:space="preserve"> is overall a preferable solution to Option </w:t>
      </w:r>
      <w:r>
        <w:rPr>
          <w:rFonts w:ascii="Times New Roman" w:eastAsia="Times New Roman" w:hAnsi="Times New Roman"/>
          <w:b/>
          <w:noProof/>
          <w:sz w:val="24"/>
          <w:szCs w:val="20"/>
        </w:rPr>
        <w:t>2</w:t>
      </w:r>
      <w:r>
        <w:rPr>
          <w:rFonts w:ascii="Times New Roman" w:eastAsia="Times New Roman" w:hAnsi="Times New Roman"/>
          <w:noProof/>
          <w:sz w:val="24"/>
          <w:szCs w:val="20"/>
        </w:rPr>
        <w:t xml:space="preserve"> for both citizens and businesses (except some browsers providers). For MS authorities, </w:t>
      </w:r>
      <w:r>
        <w:rPr>
          <w:rFonts w:ascii="Times New Roman" w:eastAsia="Times New Roman" w:hAnsi="Times New Roman"/>
          <w:b/>
          <w:noProof/>
          <w:sz w:val="24"/>
          <w:szCs w:val="20"/>
        </w:rPr>
        <w:t>Option 3</w:t>
      </w:r>
      <w:r>
        <w:rPr>
          <w:rFonts w:ascii="Times New Roman" w:eastAsia="Times New Roman" w:hAnsi="Times New Roman"/>
          <w:noProof/>
          <w:sz w:val="24"/>
          <w:szCs w:val="20"/>
        </w:rPr>
        <w:t xml:space="preserve"> presents non-insignificant reorganizational cost</w:t>
      </w:r>
      <w:r>
        <w:rPr>
          <w:rFonts w:ascii="Times New Roman" w:eastAsia="Times New Roman" w:hAnsi="Times New Roman"/>
          <w:noProof/>
          <w:sz w:val="24"/>
          <w:szCs w:val="20"/>
        </w:rPr>
        <w:t>s.</w:t>
      </w:r>
    </w:p>
    <w:p w:rsidR="00035C91" w:rsidRDefault="00632184">
      <w:pPr>
        <w:tabs>
          <w:tab w:val="left" w:pos="2302"/>
        </w:tabs>
        <w:spacing w:before="0" w:after="240"/>
        <w:rPr>
          <w:rFonts w:ascii="Times New Roman" w:eastAsia="Times New Roman" w:hAnsi="Times New Roman"/>
          <w:b/>
          <w:noProof/>
          <w:sz w:val="24"/>
          <w:szCs w:val="20"/>
        </w:rPr>
      </w:pPr>
      <w:r>
        <w:rPr>
          <w:rFonts w:ascii="Times New Roman" w:eastAsia="Times New Roman" w:hAnsi="Times New Roman"/>
          <w:b/>
          <w:noProof/>
          <w:sz w:val="24"/>
          <w:szCs w:val="20"/>
        </w:rPr>
        <w:t>Table 5 – Comparison of options in terms of impact on stakeholders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0"/>
        <w:gridCol w:w="1251"/>
        <w:gridCol w:w="1251"/>
        <w:gridCol w:w="1250"/>
        <w:gridCol w:w="1251"/>
        <w:gridCol w:w="1251"/>
        <w:gridCol w:w="1251"/>
      </w:tblGrid>
      <w:tr w:rsidR="00035C91">
        <w:trPr>
          <w:trHeight w:val="753"/>
        </w:trPr>
        <w:tc>
          <w:tcPr>
            <w:tcW w:w="1250" w:type="dxa"/>
            <w:shd w:val="clear" w:color="auto" w:fill="00B050"/>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Impacts</w:t>
            </w:r>
          </w:p>
        </w:tc>
        <w:tc>
          <w:tcPr>
            <w:tcW w:w="1251"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Option 0</w:t>
            </w:r>
          </w:p>
        </w:tc>
        <w:tc>
          <w:tcPr>
            <w:tcW w:w="1251"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Option 1 (soft law)</w:t>
            </w:r>
          </w:p>
          <w:p w:rsidR="00035C91" w:rsidRDefault="00035C91">
            <w:pPr>
              <w:spacing w:before="0"/>
              <w:ind w:right="-29"/>
              <w:jc w:val="center"/>
              <w:rPr>
                <w:rFonts w:ascii="Times New Roman" w:eastAsia="Times New Roman" w:hAnsi="Times New Roman"/>
                <w:b/>
                <w:noProof/>
                <w:sz w:val="22"/>
                <w:szCs w:val="22"/>
              </w:rPr>
            </w:pPr>
          </w:p>
        </w:tc>
        <w:tc>
          <w:tcPr>
            <w:tcW w:w="1250"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Option 2 (limited)</w:t>
            </w:r>
          </w:p>
        </w:tc>
        <w:tc>
          <w:tcPr>
            <w:tcW w:w="1251"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Option 3 (measured)</w:t>
            </w:r>
          </w:p>
        </w:tc>
        <w:tc>
          <w:tcPr>
            <w:tcW w:w="1251"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Option 4 (far-reaching)</w:t>
            </w:r>
          </w:p>
        </w:tc>
        <w:tc>
          <w:tcPr>
            <w:tcW w:w="1251"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Option 5 (repeal)</w:t>
            </w:r>
          </w:p>
        </w:tc>
      </w:tr>
      <w:tr w:rsidR="00035C91">
        <w:trPr>
          <w:trHeight w:val="548"/>
        </w:trPr>
        <w:tc>
          <w:tcPr>
            <w:tcW w:w="1250"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Citizens</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c>
          <w:tcPr>
            <w:tcW w:w="1250"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C"/>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b/>
                <w:noProof/>
                <w:sz w:val="22"/>
                <w:szCs w:val="22"/>
              </w:rPr>
              <w:t>/</w:t>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r>
      <w:tr w:rsidR="00035C91">
        <w:trPr>
          <w:trHeight w:val="501"/>
        </w:trPr>
        <w:tc>
          <w:tcPr>
            <w:tcW w:w="1250"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ECS</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c>
          <w:tcPr>
            <w:tcW w:w="1250"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C"/>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C"/>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p>
        </w:tc>
      </w:tr>
      <w:tr w:rsidR="00035C91">
        <w:trPr>
          <w:trHeight w:val="465"/>
        </w:trPr>
        <w:tc>
          <w:tcPr>
            <w:tcW w:w="1250"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OTTs</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Cs w:val="20"/>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Cs w:val="20"/>
              </w:rPr>
              <w:t>0</w:t>
            </w:r>
          </w:p>
        </w:tc>
        <w:tc>
          <w:tcPr>
            <w:tcW w:w="1250"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r>
      <w:tr w:rsidR="00035C91">
        <w:trPr>
          <w:trHeight w:val="557"/>
        </w:trPr>
        <w:tc>
          <w:tcPr>
            <w:tcW w:w="1250"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Websites/OBA</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c>
          <w:tcPr>
            <w:tcW w:w="1250"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noProof/>
                <w:szCs w:val="20"/>
              </w:rPr>
              <w:t>/</w:t>
            </w: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p>
        </w:tc>
      </w:tr>
      <w:tr w:rsidR="00035C91">
        <w:trPr>
          <w:trHeight w:val="551"/>
        </w:trPr>
        <w:tc>
          <w:tcPr>
            <w:tcW w:w="1250"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Browsers/OS</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0"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Cs w:val="20"/>
              </w:rPr>
              <w:t>0</w:t>
            </w:r>
          </w:p>
        </w:tc>
      </w:tr>
      <w:tr w:rsidR="00035C91">
        <w:trPr>
          <w:trHeight w:val="511"/>
        </w:trPr>
        <w:tc>
          <w:tcPr>
            <w:tcW w:w="1250"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Direct marketers</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c>
          <w:tcPr>
            <w:tcW w:w="1250" w:type="dxa"/>
            <w:shd w:val="clear" w:color="auto" w:fill="FFFFFF" w:themeFill="background1"/>
            <w:vAlign w:val="center"/>
          </w:tcPr>
          <w:p w:rsidR="00035C91" w:rsidRDefault="00632184">
            <w:pPr>
              <w:spacing w:before="0"/>
              <w:ind w:right="-29"/>
              <w:jc w:val="center"/>
              <w:rPr>
                <w:rFonts w:ascii="Times New Roman" w:eastAsia="Times New Roman" w:hAnsi="Times New Roman"/>
                <w:noProof/>
                <w:sz w:val="22"/>
                <w:szCs w:val="22"/>
              </w:rPr>
            </w:pP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noProof/>
                <w:sz w:val="22"/>
                <w:szCs w:val="22"/>
              </w:rPr>
            </w:pP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noProof/>
                <w:sz w:val="22"/>
                <w:szCs w:val="22"/>
              </w:rPr>
            </w:pP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noProof/>
                <w:sz w:val="22"/>
                <w:szCs w:val="22"/>
              </w:rPr>
            </w:pP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p>
        </w:tc>
      </w:tr>
      <w:tr w:rsidR="00035C91">
        <w:trPr>
          <w:trHeight w:val="593"/>
        </w:trPr>
        <w:tc>
          <w:tcPr>
            <w:tcW w:w="1250"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SMEs</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c>
          <w:tcPr>
            <w:tcW w:w="1250" w:type="dxa"/>
            <w:shd w:val="clear" w:color="auto" w:fill="FFFFFF" w:themeFill="background1"/>
            <w:vAlign w:val="center"/>
          </w:tcPr>
          <w:p w:rsidR="00035C91" w:rsidRDefault="00632184">
            <w:pPr>
              <w:spacing w:before="0"/>
              <w:ind w:right="-29"/>
              <w:jc w:val="center"/>
              <w:rPr>
                <w:rFonts w:ascii="Times New Roman" w:eastAsia="Times New Roman" w:hAnsi="Times New Roman"/>
                <w:noProof/>
                <w:sz w:val="22"/>
                <w:szCs w:val="22"/>
              </w:rPr>
            </w:pP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noProof/>
                <w:sz w:val="22"/>
                <w:szCs w:val="22"/>
              </w:rPr>
            </w:pP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noProof/>
                <w:szCs w:val="20"/>
              </w:rPr>
              <w:t>/</w:t>
            </w: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noProof/>
                <w:sz w:val="22"/>
                <w:szCs w:val="22"/>
              </w:rPr>
            </w:pP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noProof/>
                <w:szCs w:val="20"/>
              </w:rPr>
              <w:t>/</w:t>
            </w:r>
            <w:r>
              <w:rPr>
                <w:rFonts w:ascii="Times New Roman" w:eastAsia="Times New Roman" w:hAnsi="Times New Roman"/>
                <w:noProof/>
                <w:szCs w:val="20"/>
              </w:rPr>
              <w:sym w:font="Wingdings" w:char="F0FB"/>
            </w: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noProof/>
                <w:sz w:val="22"/>
                <w:szCs w:val="22"/>
              </w:rPr>
            </w:pP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r>
              <w:rPr>
                <w:rFonts w:ascii="Times New Roman" w:eastAsia="Times New Roman" w:hAnsi="Times New Roman"/>
                <w:noProof/>
                <w:szCs w:val="20"/>
              </w:rPr>
              <w:sym w:font="Wingdings" w:char="F0FC"/>
            </w:r>
          </w:p>
        </w:tc>
      </w:tr>
      <w:tr w:rsidR="00035C91">
        <w:trPr>
          <w:trHeight w:val="417"/>
        </w:trPr>
        <w:tc>
          <w:tcPr>
            <w:tcW w:w="1250"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National authorities</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c>
          <w:tcPr>
            <w:tcW w:w="1250"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w:t>
            </w:r>
          </w:p>
        </w:tc>
      </w:tr>
      <w:tr w:rsidR="00035C91">
        <w:trPr>
          <w:trHeight w:val="527"/>
        </w:trPr>
        <w:tc>
          <w:tcPr>
            <w:tcW w:w="1250" w:type="dxa"/>
            <w:shd w:val="clear" w:color="auto" w:fill="C6D9F1" w:themeFill="text2" w:themeFillTint="33"/>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Commission</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b/>
                <w:noProof/>
                <w:sz w:val="22"/>
                <w:szCs w:val="22"/>
              </w:rPr>
              <w:t>0</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p>
        </w:tc>
        <w:tc>
          <w:tcPr>
            <w:tcW w:w="1250"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Cs w:val="20"/>
              </w:rPr>
              <w:sym w:font="Wingdings" w:char="F0FB"/>
            </w:r>
          </w:p>
        </w:tc>
        <w:tc>
          <w:tcPr>
            <w:tcW w:w="1251" w:type="dxa"/>
            <w:shd w:val="clear" w:color="auto" w:fill="FFFFFF" w:themeFill="background1"/>
            <w:vAlign w:val="center"/>
          </w:tcPr>
          <w:p w:rsidR="00035C91" w:rsidRDefault="00632184">
            <w:pPr>
              <w:spacing w:before="0"/>
              <w:ind w:right="-29"/>
              <w:jc w:val="center"/>
              <w:rPr>
                <w:rFonts w:ascii="Times New Roman" w:eastAsia="Times New Roman" w:hAnsi="Times New Roman"/>
                <w:b/>
                <w:noProof/>
                <w:sz w:val="22"/>
                <w:szCs w:val="22"/>
              </w:rPr>
            </w:pPr>
            <w:r>
              <w:rPr>
                <w:rFonts w:ascii="Times New Roman" w:eastAsia="Times New Roman" w:hAnsi="Times New Roman"/>
                <w:noProof/>
                <w:sz w:val="18"/>
                <w:szCs w:val="18"/>
              </w:rPr>
              <w:t>≈</w:t>
            </w:r>
          </w:p>
        </w:tc>
      </w:tr>
    </w:tbl>
    <w:p w:rsidR="00035C91" w:rsidRDefault="00035C91">
      <w:pPr>
        <w:autoSpaceDE w:val="0"/>
        <w:autoSpaceDN w:val="0"/>
        <w:adjustRightInd w:val="0"/>
        <w:spacing w:before="0" w:after="0"/>
        <w:rPr>
          <w:rFonts w:ascii="Times New Roman" w:eastAsia="Times New Roman" w:hAnsi="Times New Roman"/>
          <w:noProof/>
          <w:sz w:val="18"/>
          <w:szCs w:val="18"/>
        </w:rPr>
      </w:pPr>
    </w:p>
    <w:p w:rsidR="00035C91" w:rsidRDefault="00632184">
      <w:pPr>
        <w:tabs>
          <w:tab w:val="left" w:pos="2302"/>
        </w:tabs>
        <w:spacing w:before="0" w:after="240"/>
        <w:rPr>
          <w:rFonts w:ascii="Times New Roman" w:eastAsia="Times New Roman" w:hAnsi="Times New Roman"/>
          <w:noProof/>
          <w:sz w:val="18"/>
          <w:szCs w:val="18"/>
        </w:rPr>
      </w:pPr>
      <w:r>
        <w:rPr>
          <w:rFonts w:ascii="Times New Roman" w:eastAsia="Times New Roman" w:hAnsi="Times New Roman"/>
          <w:noProof/>
          <w:sz w:val="18"/>
          <w:szCs w:val="18"/>
        </w:rPr>
        <w:t xml:space="preserve">Impact on various categories of stakeholders,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(Strong and positive–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 (Moderate and positive) –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 xml:space="preserve"> (Weak and positive)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(Strong and negative)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(Moderate and negative) – </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 (Weak and negative ) –  ≈  marginal  or neutral  - ? uncertain; n.a. not applicable. 0 no impact --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 </w:t>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sym w:font="Wingdings" w:char="F0FC"/>
      </w:r>
      <w:r>
        <w:rPr>
          <w:rFonts w:ascii="Times New Roman" w:eastAsia="Times New Roman" w:hAnsi="Times New Roman"/>
          <w:noProof/>
          <w:sz w:val="18"/>
          <w:szCs w:val="18"/>
        </w:rPr>
        <w:t>/</w:t>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sym w:font="Wingdings" w:char="F0FB"/>
      </w:r>
      <w:r>
        <w:rPr>
          <w:rFonts w:ascii="Times New Roman" w:eastAsia="Times New Roman" w:hAnsi="Times New Roman"/>
          <w:noProof/>
          <w:sz w:val="18"/>
          <w:szCs w:val="18"/>
        </w:rPr>
        <w:t xml:space="preserve"> (mix</w:t>
      </w:r>
      <w:r>
        <w:rPr>
          <w:rFonts w:ascii="Times New Roman" w:eastAsia="Times New Roman" w:hAnsi="Times New Roman"/>
          <w:noProof/>
          <w:sz w:val="18"/>
          <w:szCs w:val="18"/>
        </w:rPr>
        <w:t>ed impact: positive + moderate impact at the same time)</w:t>
      </w:r>
    </w:p>
    <w:p w:rsidR="00035C91" w:rsidRDefault="00035C91">
      <w:pPr>
        <w:tabs>
          <w:tab w:val="left" w:pos="2302"/>
        </w:tabs>
        <w:spacing w:before="0" w:after="240"/>
        <w:rPr>
          <w:rFonts w:ascii="Times New Roman" w:eastAsia="Times New Roman" w:hAnsi="Times New Roman"/>
          <w:noProof/>
          <w:sz w:val="18"/>
          <w:szCs w:val="18"/>
        </w:rPr>
        <w:sectPr w:rsidR="00035C91">
          <w:headerReference w:type="even" r:id="rId66"/>
          <w:headerReference w:type="default" r:id="rId67"/>
          <w:footerReference w:type="even" r:id="rId68"/>
          <w:footerReference w:type="default" r:id="rId69"/>
          <w:headerReference w:type="first" r:id="rId70"/>
          <w:footerReference w:type="first" r:id="rId71"/>
          <w:pgSz w:w="11906" w:h="16838"/>
          <w:pgMar w:top="1135" w:right="1417" w:bottom="1417" w:left="1417" w:header="601" w:footer="1077" w:gutter="0"/>
          <w:cols w:space="720"/>
          <w:titlePg/>
          <w:docGrid w:linePitch="326"/>
        </w:sectPr>
      </w:pPr>
    </w:p>
    <w:p w:rsidR="00035C91" w:rsidRDefault="00632184">
      <w:pPr>
        <w:pStyle w:val="ManualHeading1"/>
        <w:pBdr>
          <w:top w:val="single" w:sz="4" w:space="0" w:color="auto"/>
        </w:pBdr>
      </w:pPr>
      <w:r>
        <w:tab/>
      </w:r>
      <w:r>
        <w:tab/>
      </w:r>
      <w:bookmarkStart w:id="116" w:name="_Toc468455395"/>
      <w:bookmarkStart w:id="117" w:name="_Toc468795252"/>
      <w:r>
        <w:t>Annex 14: Glossary</w:t>
      </w:r>
      <w:bookmarkEnd w:id="116"/>
      <w:bookmarkEnd w:id="117"/>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b/>
          <w:noProof/>
          <w:color w:val="000000"/>
          <w:sz w:val="24"/>
          <w:lang w:eastAsia="en-GB"/>
        </w:rPr>
        <w:t>Article 29 Working Party 29</w:t>
      </w:r>
    </w:p>
    <w:p w:rsidR="00035C91" w:rsidRDefault="00632184">
      <w:pPr>
        <w:widowControl w:val="0"/>
        <w:spacing w:before="0"/>
        <w:ind w:left="20" w:right="2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 xml:space="preserve">The </w:t>
      </w:r>
      <w:r>
        <w:rPr>
          <w:rFonts w:ascii="Times New Roman" w:eastAsia="Times New Roman" w:hAnsi="Times New Roman"/>
          <w:noProof/>
          <w:color w:val="000000"/>
          <w:sz w:val="24"/>
          <w:lang w:eastAsia="en-GB"/>
        </w:rPr>
        <w:t>Article 29 Data Protection Working Party</w:t>
      </w:r>
      <w:r>
        <w:rPr>
          <w:rFonts w:ascii="Times New Roman" w:eastAsia="Times New Roman" w:hAnsi="Times New Roman"/>
          <w:bCs/>
          <w:noProof/>
          <w:color w:val="000000"/>
          <w:sz w:val="24"/>
          <w:lang w:eastAsia="en-GB"/>
        </w:rPr>
        <w:t xml:space="preserve"> was set up under the Directive 95/46/EC of the European Parliament and of the Council of 24 October 1995 on the </w:t>
      </w:r>
      <w:r>
        <w:rPr>
          <w:rFonts w:ascii="Times New Roman" w:eastAsia="Times New Roman" w:hAnsi="Times New Roman"/>
          <w:noProof/>
          <w:color w:val="000000"/>
          <w:sz w:val="24"/>
          <w:lang w:eastAsia="en-GB"/>
        </w:rPr>
        <w:t>protection of individuals</w:t>
      </w:r>
      <w:r>
        <w:rPr>
          <w:rFonts w:ascii="Times New Roman" w:eastAsia="Times New Roman" w:hAnsi="Times New Roman"/>
          <w:bCs/>
          <w:noProof/>
          <w:color w:val="000000"/>
          <w:sz w:val="24"/>
          <w:lang w:eastAsia="en-GB"/>
        </w:rPr>
        <w:t xml:space="preserve"> with regard to the </w:t>
      </w:r>
      <w:hyperlink r:id="rId72" w:history="1">
        <w:r>
          <w:rPr>
            <w:rFonts w:ascii="Times New Roman" w:eastAsia="Times New Roman" w:hAnsi="Times New Roman"/>
            <w:bCs/>
            <w:noProof/>
            <w:color w:val="000000"/>
            <w:sz w:val="24"/>
            <w:lang w:eastAsia="en-GB"/>
          </w:rPr>
          <w:t>pro</w:t>
        </w:r>
        <w:r>
          <w:rPr>
            <w:rFonts w:ascii="Times New Roman" w:eastAsia="Times New Roman" w:hAnsi="Times New Roman"/>
            <w:bCs/>
            <w:noProof/>
            <w:color w:val="000000"/>
            <w:sz w:val="24"/>
            <w:lang w:eastAsia="en-GB"/>
          </w:rPr>
          <w:t>cessing of personal data</w:t>
        </w:r>
      </w:hyperlink>
      <w:r>
        <w:rPr>
          <w:rFonts w:ascii="Times New Roman" w:eastAsia="Times New Roman" w:hAnsi="Times New Roman"/>
          <w:bCs/>
          <w:noProof/>
          <w:color w:val="000000"/>
          <w:sz w:val="24"/>
          <w:lang w:eastAsia="en-GB"/>
        </w:rPr>
        <w:t xml:space="preserve"> and on the </w:t>
      </w:r>
      <w:r>
        <w:rPr>
          <w:rFonts w:ascii="Times New Roman" w:eastAsia="Times New Roman" w:hAnsi="Times New Roman"/>
          <w:noProof/>
          <w:color w:val="000000"/>
          <w:sz w:val="24"/>
          <w:lang w:eastAsia="en-GB"/>
        </w:rPr>
        <w:t>free movement</w:t>
      </w:r>
      <w:r>
        <w:rPr>
          <w:rFonts w:ascii="Times New Roman" w:eastAsia="Times New Roman" w:hAnsi="Times New Roman"/>
          <w:bCs/>
          <w:noProof/>
          <w:color w:val="000000"/>
          <w:sz w:val="24"/>
          <w:lang w:eastAsia="en-GB"/>
        </w:rPr>
        <w:t xml:space="preserve"> of such data.</w:t>
      </w:r>
    </w:p>
    <w:p w:rsidR="00035C91" w:rsidRDefault="00632184">
      <w:pPr>
        <w:widowControl w:val="0"/>
        <w:spacing w:before="0"/>
        <w:ind w:left="20" w:right="2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It has advisory status concerning the application of the national measures adopted under this Directive in order to contribute to the uniform application of such measures. It acts independentl</w:t>
      </w:r>
      <w:r>
        <w:rPr>
          <w:rFonts w:ascii="Times New Roman" w:eastAsia="Times New Roman" w:hAnsi="Times New Roman"/>
          <w:bCs/>
          <w:noProof/>
          <w:color w:val="000000"/>
          <w:sz w:val="24"/>
          <w:lang w:eastAsia="en-GB"/>
        </w:rPr>
        <w:t>y. It is composed of:</w:t>
      </w:r>
    </w:p>
    <w:p w:rsidR="00035C91" w:rsidRDefault="00632184">
      <w:pPr>
        <w:widowControl w:val="0"/>
        <w:numPr>
          <w:ilvl w:val="0"/>
          <w:numId w:val="86"/>
        </w:numPr>
        <w:spacing w:before="0" w:after="240"/>
        <w:ind w:right="20"/>
        <w:rPr>
          <w:rFonts w:ascii="Times New Roman" w:eastAsia="Times New Roman" w:hAnsi="Times New Roman"/>
          <w:bCs/>
          <w:noProof/>
          <w:color w:val="000000"/>
          <w:sz w:val="24"/>
          <w:lang w:eastAsia="en-GB"/>
        </w:rPr>
      </w:pPr>
      <w:r>
        <w:rPr>
          <w:rFonts w:ascii="Times New Roman" w:eastAsia="Times New Roman" w:hAnsi="Times New Roman"/>
          <w:noProof/>
          <w:color w:val="000000"/>
          <w:sz w:val="24"/>
          <w:lang w:eastAsia="en-GB"/>
        </w:rPr>
        <w:t>a representative of the supervisory authority (ies)</w:t>
      </w:r>
      <w:r>
        <w:rPr>
          <w:rFonts w:ascii="Times New Roman" w:eastAsia="Times New Roman" w:hAnsi="Times New Roman"/>
          <w:bCs/>
          <w:noProof/>
          <w:color w:val="000000"/>
          <w:sz w:val="24"/>
          <w:lang w:eastAsia="en-GB"/>
        </w:rPr>
        <w:t xml:space="preserve"> designated by each EU country;</w:t>
      </w:r>
    </w:p>
    <w:p w:rsidR="00035C91" w:rsidRDefault="00632184">
      <w:pPr>
        <w:widowControl w:val="0"/>
        <w:numPr>
          <w:ilvl w:val="0"/>
          <w:numId w:val="86"/>
        </w:numPr>
        <w:spacing w:before="0" w:after="240"/>
        <w:ind w:right="20"/>
        <w:rPr>
          <w:rFonts w:ascii="Times New Roman" w:eastAsia="Times New Roman" w:hAnsi="Times New Roman"/>
          <w:bCs/>
          <w:noProof/>
          <w:color w:val="000000"/>
          <w:sz w:val="24"/>
          <w:lang w:eastAsia="en-GB"/>
        </w:rPr>
      </w:pPr>
      <w:r>
        <w:rPr>
          <w:rFonts w:ascii="Times New Roman" w:eastAsia="Times New Roman" w:hAnsi="Times New Roman"/>
          <w:noProof/>
          <w:color w:val="000000"/>
          <w:sz w:val="24"/>
          <w:lang w:eastAsia="en-GB"/>
        </w:rPr>
        <w:t>a representative of the authority (ies)</w:t>
      </w:r>
      <w:r>
        <w:rPr>
          <w:rFonts w:ascii="Times New Roman" w:eastAsia="Times New Roman" w:hAnsi="Times New Roman"/>
          <w:bCs/>
          <w:noProof/>
          <w:color w:val="000000"/>
          <w:sz w:val="24"/>
          <w:lang w:eastAsia="en-GB"/>
        </w:rPr>
        <w:t xml:space="preserve"> established for the EU institutions and bodies;</w:t>
      </w:r>
    </w:p>
    <w:p w:rsidR="00035C91" w:rsidRDefault="00632184">
      <w:pPr>
        <w:widowControl w:val="0"/>
        <w:numPr>
          <w:ilvl w:val="0"/>
          <w:numId w:val="86"/>
        </w:numPr>
        <w:spacing w:before="0" w:after="240"/>
        <w:ind w:right="20"/>
        <w:rPr>
          <w:rFonts w:ascii="Times New Roman" w:eastAsia="Times New Roman" w:hAnsi="Times New Roman"/>
          <w:bCs/>
          <w:noProof/>
          <w:color w:val="000000"/>
          <w:sz w:val="24"/>
          <w:lang w:eastAsia="en-GB"/>
        </w:rPr>
      </w:pPr>
      <w:r>
        <w:rPr>
          <w:rFonts w:ascii="Times New Roman" w:eastAsia="Times New Roman" w:hAnsi="Times New Roman"/>
          <w:noProof/>
          <w:color w:val="000000"/>
          <w:sz w:val="24"/>
          <w:lang w:eastAsia="en-GB"/>
        </w:rPr>
        <w:t>a representative of the European Commission.</w:t>
      </w:r>
      <w:r>
        <w:rPr>
          <w:rFonts w:ascii="Times New Roman" w:eastAsia="Times New Roman" w:hAnsi="Times New Roman"/>
          <w:bCs/>
          <w:noProof/>
          <w:color w:val="000000"/>
          <w:sz w:val="24"/>
          <w:lang w:eastAsia="en-GB"/>
        </w:rPr>
        <w:t xml:space="preserve"> </w:t>
      </w:r>
    </w:p>
    <w:p w:rsidR="00035C91" w:rsidRDefault="00632184">
      <w:pPr>
        <w:widowControl w:val="0"/>
        <w:spacing w:before="0"/>
        <w:ind w:left="20" w:right="2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The Working Party</w:t>
      </w:r>
      <w:r>
        <w:rPr>
          <w:rFonts w:ascii="Times New Roman" w:eastAsia="Times New Roman" w:hAnsi="Times New Roman"/>
          <w:bCs/>
          <w:noProof/>
          <w:color w:val="000000"/>
          <w:sz w:val="24"/>
          <w:lang w:eastAsia="en-GB"/>
        </w:rPr>
        <w:t xml:space="preserve"> elects its </w:t>
      </w:r>
      <w:hyperlink r:id="rId73" w:history="1">
        <w:r>
          <w:rPr>
            <w:rFonts w:ascii="Times New Roman" w:eastAsia="Times New Roman" w:hAnsi="Times New Roman"/>
            <w:bCs/>
            <w:noProof/>
            <w:color w:val="000000"/>
            <w:sz w:val="24"/>
            <w:lang w:eastAsia="en-GB"/>
          </w:rPr>
          <w:t>chairman</w:t>
        </w:r>
      </w:hyperlink>
      <w:r>
        <w:rPr>
          <w:rFonts w:ascii="Times New Roman" w:eastAsia="Times New Roman" w:hAnsi="Times New Roman"/>
          <w:bCs/>
          <w:noProof/>
          <w:color w:val="000000"/>
          <w:sz w:val="24"/>
          <w:lang w:eastAsia="en-GB"/>
        </w:rPr>
        <w:t xml:space="preserve"> and </w:t>
      </w:r>
      <w:hyperlink r:id="rId74" w:history="1">
        <w:r>
          <w:rPr>
            <w:rFonts w:ascii="Times New Roman" w:eastAsia="Times New Roman" w:hAnsi="Times New Roman"/>
            <w:bCs/>
            <w:noProof/>
            <w:color w:val="000000"/>
            <w:sz w:val="24"/>
            <w:lang w:eastAsia="en-GB"/>
          </w:rPr>
          <w:t>vice-chairmen</w:t>
        </w:r>
      </w:hyperlink>
      <w:r>
        <w:rPr>
          <w:rFonts w:ascii="Times New Roman" w:eastAsia="Times New Roman" w:hAnsi="Times New Roman"/>
          <w:bCs/>
          <w:noProof/>
          <w:color w:val="000000"/>
          <w:sz w:val="24"/>
          <w:lang w:eastAsia="en-GB"/>
        </w:rPr>
        <w:t>. The c</w:t>
      </w:r>
      <w:r>
        <w:rPr>
          <w:rFonts w:ascii="Times New Roman" w:eastAsia="Times New Roman" w:hAnsi="Times New Roman"/>
          <w:bCs/>
          <w:noProof/>
          <w:color w:val="000000"/>
          <w:sz w:val="24"/>
          <w:lang w:eastAsia="en-GB"/>
        </w:rPr>
        <w:t>hairman's and vice-chairmen's term of office is two years. Their appointment is renewable.</w:t>
      </w:r>
    </w:p>
    <w:p w:rsidR="00035C91" w:rsidRDefault="00632184">
      <w:pPr>
        <w:widowControl w:val="0"/>
        <w:spacing w:before="0"/>
        <w:ind w:left="20" w:right="2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The Working Party's secretariat is provided by the Commission</w:t>
      </w:r>
    </w:p>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Communication</w:t>
      </w:r>
    </w:p>
    <w:p w:rsidR="00035C91" w:rsidRDefault="00632184">
      <w:pPr>
        <w:widowControl w:val="0"/>
        <w:spacing w:before="0"/>
        <w:ind w:left="20" w:right="2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Communication means any information exchanged or conveyed between a finite number of part</w:t>
      </w:r>
      <w:r>
        <w:rPr>
          <w:rFonts w:ascii="Times New Roman" w:eastAsia="Times New Roman" w:hAnsi="Times New Roman"/>
          <w:bCs/>
          <w:noProof/>
          <w:color w:val="000000"/>
          <w:sz w:val="24"/>
          <w:lang w:eastAsia="en-GB"/>
        </w:rPr>
        <w:t>ies by means of a publicly available electronic communications service. This does not include any information conveyed as part of a broadcasting service to the public over an electronic communications network except to the extent that the information can b</w:t>
      </w:r>
      <w:r>
        <w:rPr>
          <w:rFonts w:ascii="Times New Roman" w:eastAsia="Times New Roman" w:hAnsi="Times New Roman"/>
          <w:bCs/>
          <w:noProof/>
          <w:color w:val="000000"/>
          <w:sz w:val="24"/>
          <w:lang w:eastAsia="en-GB"/>
        </w:rPr>
        <w:t>e related to the identifiable subscriber or user receiving the information</w:t>
      </w:r>
      <w:r>
        <w:rPr>
          <w:rFonts w:ascii="Times New Roman" w:eastAsia="Times New Roman" w:hAnsi="Times New Roman"/>
          <w:bCs/>
          <w:noProof/>
          <w:color w:val="000000"/>
          <w:sz w:val="24"/>
          <w:vertAlign w:val="superscript"/>
          <w:lang w:eastAsia="en-GB"/>
        </w:rPr>
        <w:footnoteReference w:id="35"/>
      </w:r>
      <w:r>
        <w:rPr>
          <w:rFonts w:ascii="Times New Roman" w:eastAsia="Times New Roman" w:hAnsi="Times New Roman"/>
          <w:bCs/>
          <w:noProof/>
          <w:color w:val="000000"/>
          <w:sz w:val="24"/>
          <w:lang w:eastAsia="en-GB"/>
        </w:rPr>
        <w:t>.</w:t>
      </w:r>
    </w:p>
    <w:p w:rsidR="00035C91" w:rsidRDefault="00632184">
      <w:pPr>
        <w:widowControl w:val="0"/>
        <w:spacing w:before="0"/>
        <w:ind w:left="20"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Cookie</w:t>
      </w:r>
    </w:p>
    <w:p w:rsidR="00035C91" w:rsidRDefault="00632184">
      <w:pPr>
        <w:widowControl w:val="0"/>
        <w:spacing w:before="0"/>
        <w:ind w:left="20" w:right="2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A cookie is information saved by the user's web browser, the software program used to visit the web. When visiting a website, the site might store cookies to recognise the user's device in the future when he comes back on the page. By keeping track of a us</w:t>
      </w:r>
      <w:r>
        <w:rPr>
          <w:rFonts w:ascii="Times New Roman" w:eastAsia="Times New Roman" w:hAnsi="Times New Roman"/>
          <w:noProof/>
          <w:color w:val="000000"/>
          <w:sz w:val="24"/>
          <w:lang w:eastAsia="en-GB"/>
        </w:rPr>
        <w:t xml:space="preserve">er over time, cookies can be used to customize a user's browsing experience, or to deliver targeted ads. </w:t>
      </w:r>
      <w:r>
        <w:rPr>
          <w:rFonts w:ascii="Times New Roman" w:eastAsia="Times New Roman" w:hAnsi="Times New Roman"/>
          <w:b/>
          <w:bCs/>
          <w:noProof/>
          <w:color w:val="000000"/>
          <w:sz w:val="24"/>
          <w:lang w:eastAsia="en-GB"/>
        </w:rPr>
        <w:t>First-party cookies</w:t>
      </w:r>
      <w:r>
        <w:rPr>
          <w:rFonts w:ascii="Times New Roman" w:eastAsia="Times New Roman" w:hAnsi="Times New Roman"/>
          <w:noProof/>
          <w:color w:val="000000"/>
          <w:sz w:val="24"/>
          <w:lang w:eastAsia="en-GB"/>
        </w:rPr>
        <w:t xml:space="preserve"> are placed by the website visited to make experience on the web more efficient. For example, they help sites remember items in the </w:t>
      </w:r>
      <w:r>
        <w:rPr>
          <w:rFonts w:ascii="Times New Roman" w:eastAsia="Times New Roman" w:hAnsi="Times New Roman"/>
          <w:noProof/>
          <w:color w:val="000000"/>
          <w:sz w:val="24"/>
          <w:lang w:eastAsia="en-GB"/>
        </w:rPr>
        <w:t xml:space="preserve">user shopping cart or his log-in name. </w:t>
      </w:r>
      <w:r>
        <w:rPr>
          <w:rFonts w:ascii="Times New Roman" w:eastAsia="Times New Roman" w:hAnsi="Times New Roman"/>
          <w:b/>
          <w:bCs/>
          <w:noProof/>
          <w:color w:val="000000"/>
          <w:sz w:val="24"/>
          <w:lang w:eastAsia="en-GB"/>
        </w:rPr>
        <w:t>Third-party cookies</w:t>
      </w:r>
      <w:r>
        <w:rPr>
          <w:rFonts w:ascii="Times New Roman" w:eastAsia="Times New Roman" w:hAnsi="Times New Roman"/>
          <w:noProof/>
          <w:color w:val="000000"/>
          <w:sz w:val="24"/>
          <w:lang w:eastAsia="en-GB"/>
        </w:rPr>
        <w:t xml:space="preserve"> are placed by someone other than the site you are on (e.g. an advertising network to deliver ads to the online user) for instance in his browser to monitor his behaviour over time.</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b/>
          <w:noProof/>
          <w:color w:val="000000"/>
          <w:sz w:val="24"/>
          <w:lang w:eastAsia="en-GB"/>
        </w:rPr>
        <w:t>Do Not Track sta</w:t>
      </w:r>
      <w:r>
        <w:rPr>
          <w:rFonts w:ascii="Times New Roman" w:eastAsia="Times New Roman" w:hAnsi="Times New Roman"/>
          <w:b/>
          <w:noProof/>
          <w:color w:val="000000"/>
          <w:sz w:val="24"/>
          <w:lang w:eastAsia="en-GB"/>
        </w:rPr>
        <w:t>ndard</w:t>
      </w:r>
    </w:p>
    <w:p w:rsidR="00035C91" w:rsidRDefault="00632184">
      <w:pPr>
        <w:widowControl w:val="0"/>
        <w:spacing w:before="0"/>
        <w:ind w:left="20" w:right="2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The Do Not Track (DNT) policy is an opt-out approach for users to notify web servers about their web tracking preferences. It is opt-out since users have to explicitly state they do not want to be tracked by the website. The DNT policy is implemented</w:t>
      </w:r>
      <w:r>
        <w:rPr>
          <w:rFonts w:ascii="Times New Roman" w:eastAsia="Times New Roman" w:hAnsi="Times New Roman"/>
          <w:noProof/>
          <w:color w:val="000000"/>
          <w:sz w:val="24"/>
          <w:lang w:eastAsia="en-GB"/>
        </w:rPr>
        <w:t xml:space="preserve"> technically using an HTTP header field binary option where </w:t>
      </w:r>
      <w:r>
        <w:rPr>
          <w:rFonts w:ascii="Times New Roman" w:eastAsia="Times New Roman" w:hAnsi="Times New Roman"/>
          <w:b/>
          <w:noProof/>
          <w:color w:val="000000"/>
          <w:sz w:val="24"/>
          <w:lang w:eastAsia="en-GB"/>
        </w:rPr>
        <w:t>1</w:t>
      </w:r>
      <w:r>
        <w:rPr>
          <w:rFonts w:ascii="Times New Roman" w:eastAsia="Times New Roman" w:hAnsi="Times New Roman"/>
          <w:noProof/>
          <w:color w:val="000000"/>
          <w:sz w:val="24"/>
          <w:lang w:eastAsia="en-GB"/>
        </w:rPr>
        <w:t xml:space="preserve"> means the user does not want to be tracked and </w:t>
      </w:r>
      <w:r>
        <w:rPr>
          <w:rFonts w:ascii="Times New Roman" w:eastAsia="Times New Roman" w:hAnsi="Times New Roman"/>
          <w:b/>
          <w:noProof/>
          <w:color w:val="000000"/>
          <w:sz w:val="24"/>
          <w:lang w:eastAsia="en-GB"/>
        </w:rPr>
        <w:t>0</w:t>
      </w:r>
      <w:r>
        <w:rPr>
          <w:rFonts w:ascii="Times New Roman" w:eastAsia="Times New Roman" w:hAnsi="Times New Roman"/>
          <w:noProof/>
          <w:color w:val="000000"/>
          <w:sz w:val="24"/>
          <w:lang w:eastAsia="en-GB"/>
        </w:rPr>
        <w:t xml:space="preserve"> (default) means the user allows tracking in the website. Web servers can also communicate their tracking status, for example, they only track use</w:t>
      </w:r>
      <w:r>
        <w:rPr>
          <w:rFonts w:ascii="Times New Roman" w:eastAsia="Times New Roman" w:hAnsi="Times New Roman"/>
          <w:noProof/>
          <w:color w:val="000000"/>
          <w:sz w:val="24"/>
          <w:lang w:eastAsia="en-GB"/>
        </w:rPr>
        <w:t>rs with consent, they track users anyway, they disregard the DNT header, etc.</w:t>
      </w:r>
    </w:p>
    <w:p w:rsidR="00035C91" w:rsidRDefault="00632184">
      <w:pPr>
        <w:autoSpaceDE w:val="0"/>
        <w:autoSpaceDN w:val="0"/>
        <w:adjustRightInd w:val="0"/>
        <w:spacing w:before="0"/>
        <w:rPr>
          <w:rFonts w:ascii="Times New Roman" w:eastAsia="Times New Roman" w:hAnsi="Times New Roman"/>
          <w:b/>
          <w:noProof/>
          <w:sz w:val="24"/>
        </w:rPr>
      </w:pPr>
      <w:r>
        <w:rPr>
          <w:rFonts w:ascii="Times New Roman" w:eastAsia="Times New Roman" w:hAnsi="Times New Roman"/>
          <w:b/>
          <w:noProof/>
          <w:sz w:val="24"/>
        </w:rPr>
        <w:t>Electronic communications service (“ECS”)</w:t>
      </w:r>
    </w:p>
    <w:p w:rsidR="00035C91" w:rsidRDefault="00632184">
      <w:pPr>
        <w:autoSpaceDE w:val="0"/>
        <w:autoSpaceDN w:val="0"/>
        <w:adjustRightInd w:val="0"/>
        <w:spacing w:before="0"/>
        <w:rPr>
          <w:rFonts w:ascii="Times New Roman" w:eastAsia="Times New Roman" w:hAnsi="Times New Roman"/>
          <w:noProof/>
          <w:sz w:val="24"/>
        </w:rPr>
      </w:pPr>
      <w:r>
        <w:rPr>
          <w:rFonts w:ascii="Times New Roman" w:eastAsia="Times New Roman" w:hAnsi="Times New Roman"/>
          <w:noProof/>
          <w:sz w:val="24"/>
        </w:rPr>
        <w:t>Electronic communications service means a service normally provided for remuneration which consists wholly or mainly in the conveyance o</w:t>
      </w:r>
      <w:r>
        <w:rPr>
          <w:rFonts w:ascii="Times New Roman" w:eastAsia="Times New Roman" w:hAnsi="Times New Roman"/>
          <w:noProof/>
          <w:sz w:val="24"/>
        </w:rPr>
        <w:t>f signals on electronic communications networks, including telecommunications services and transmission services in networks used for broadcasting, but exclude services providing, or exercising editorial control over, content transmitted using electronic c</w:t>
      </w:r>
      <w:r>
        <w:rPr>
          <w:rFonts w:ascii="Times New Roman" w:eastAsia="Times New Roman" w:hAnsi="Times New Roman"/>
          <w:noProof/>
          <w:sz w:val="24"/>
        </w:rPr>
        <w:t>ommunications networks and services; it does not include information society services, as defined in Article 1 of Directive 98/34/EC, which do not consist wholly or mainly in the conveyance of signals on electronic communications networks</w:t>
      </w:r>
      <w:r>
        <w:rPr>
          <w:rFonts w:ascii="Times New Roman" w:eastAsia="Times New Roman" w:hAnsi="Times New Roman"/>
          <w:noProof/>
          <w:sz w:val="24"/>
          <w:vertAlign w:val="superscript"/>
        </w:rPr>
        <w:footnoteReference w:id="36"/>
      </w:r>
      <w:r>
        <w:rPr>
          <w:rFonts w:ascii="Times New Roman" w:eastAsia="Times New Roman" w:hAnsi="Times New Roman"/>
          <w:noProof/>
          <w:sz w:val="24"/>
        </w:rPr>
        <w:t>.</w:t>
      </w:r>
    </w:p>
    <w:p w:rsidR="00035C91" w:rsidRDefault="00632184">
      <w:pPr>
        <w:autoSpaceDE w:val="0"/>
        <w:autoSpaceDN w:val="0"/>
        <w:adjustRightInd w:val="0"/>
        <w:spacing w:before="0"/>
        <w:rPr>
          <w:rFonts w:ascii="Times New Roman" w:eastAsia="Times New Roman" w:hAnsi="Times New Roman"/>
          <w:b/>
          <w:noProof/>
          <w:sz w:val="24"/>
        </w:rPr>
      </w:pPr>
      <w:r>
        <w:rPr>
          <w:rFonts w:ascii="Times New Roman" w:eastAsia="Times New Roman" w:hAnsi="Times New Roman"/>
          <w:b/>
          <w:noProof/>
          <w:sz w:val="24"/>
        </w:rPr>
        <w:t>European Data P</w:t>
      </w:r>
      <w:r>
        <w:rPr>
          <w:rFonts w:ascii="Times New Roman" w:eastAsia="Times New Roman" w:hAnsi="Times New Roman"/>
          <w:b/>
          <w:noProof/>
          <w:sz w:val="24"/>
        </w:rPr>
        <w:t>rotection Board</w:t>
      </w:r>
    </w:p>
    <w:p w:rsidR="00035C91" w:rsidRDefault="00632184">
      <w:pPr>
        <w:autoSpaceDE w:val="0"/>
        <w:autoSpaceDN w:val="0"/>
        <w:adjustRightInd w:val="0"/>
        <w:spacing w:before="0"/>
        <w:rPr>
          <w:rFonts w:ascii="Times New Roman" w:eastAsia="Times New Roman" w:hAnsi="Times New Roman"/>
          <w:noProof/>
          <w:sz w:val="24"/>
        </w:rPr>
      </w:pPr>
      <w:r>
        <w:rPr>
          <w:rFonts w:ascii="Times New Roman" w:eastAsia="Times New Roman" w:hAnsi="Times New Roman"/>
          <w:noProof/>
          <w:sz w:val="24"/>
        </w:rPr>
        <w:t>The General Data Protection Regulation (GDPR) has transformed the Article 29 Working Party into the “European Data Protection Board” (“</w:t>
      </w:r>
      <w:r>
        <w:rPr>
          <w:rFonts w:ascii="Times New Roman" w:eastAsia="Times New Roman" w:hAnsi="Times New Roman"/>
          <w:b/>
          <w:noProof/>
          <w:sz w:val="24"/>
        </w:rPr>
        <w:t>EDPB</w:t>
      </w:r>
      <w:r>
        <w:rPr>
          <w:rFonts w:ascii="Times New Roman" w:eastAsia="Times New Roman" w:hAnsi="Times New Roman"/>
          <w:noProof/>
          <w:sz w:val="24"/>
        </w:rPr>
        <w:t xml:space="preserve">”). The Members of the Board are those of the Working Party, except the Commission who has the right </w:t>
      </w:r>
      <w:r>
        <w:rPr>
          <w:rFonts w:ascii="Times New Roman" w:eastAsia="Times New Roman" w:hAnsi="Times New Roman"/>
          <w:noProof/>
          <w:sz w:val="24"/>
        </w:rPr>
        <w:t>to participate, and its secretariat is ensured by the European Data Protection Supervisor. The EDPB has been given powers aimed at ensuring consistent approaches by national DPAs, provide advice and guidance.</w:t>
      </w:r>
    </w:p>
    <w:p w:rsidR="00035C91" w:rsidRDefault="00632184">
      <w:pPr>
        <w:widowControl w:val="0"/>
        <w:spacing w:before="0"/>
        <w:ind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European Data Protection Supervisor (“EDPS”)</w:t>
      </w:r>
    </w:p>
    <w:p w:rsidR="00035C91" w:rsidRDefault="00632184">
      <w:pPr>
        <w:autoSpaceDE w:val="0"/>
        <w:autoSpaceDN w:val="0"/>
        <w:adjustRightInd w:val="0"/>
        <w:spacing w:before="0"/>
        <w:rPr>
          <w:rFonts w:ascii="Times New Roman" w:eastAsia="Times New Roman" w:hAnsi="Times New Roman"/>
          <w:noProof/>
          <w:sz w:val="24"/>
        </w:rPr>
      </w:pPr>
      <w:r>
        <w:rPr>
          <w:rFonts w:ascii="Times New Roman" w:eastAsia="Times New Roman" w:hAnsi="Times New Roman"/>
          <w:noProof/>
          <w:sz w:val="24"/>
        </w:rPr>
        <w:t>The European Data Protection Supervisor is the independent supervisory authority at EU level with responsibility for: (1) monitoring the processing of personal data by the EU institutions and bodies; (2) advising on policies and legislation that affect pri</w:t>
      </w:r>
      <w:r>
        <w:rPr>
          <w:rFonts w:ascii="Times New Roman" w:eastAsia="Times New Roman" w:hAnsi="Times New Roman"/>
          <w:noProof/>
          <w:sz w:val="24"/>
        </w:rPr>
        <w:t>vacy; (3) cooperating with similar authorities to ensure consistent data protection.</w:t>
      </w:r>
    </w:p>
    <w:p w:rsidR="00035C91" w:rsidRDefault="00632184">
      <w:pPr>
        <w:widowControl w:val="0"/>
        <w:spacing w:before="0"/>
        <w:ind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Internet of Things (IoT)</w:t>
      </w:r>
    </w:p>
    <w:p w:rsidR="00035C91" w:rsidRDefault="00632184">
      <w:pPr>
        <w:widowControl w:val="0"/>
        <w:spacing w:before="0"/>
        <w:ind w:left="20" w:right="2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Internet of Things (IoT) represents the next step towards the digitisation of our society and economy, where objects and people are interconnected</w:t>
      </w:r>
      <w:r>
        <w:rPr>
          <w:rFonts w:ascii="Times New Roman" w:eastAsia="Times New Roman" w:hAnsi="Times New Roman"/>
          <w:noProof/>
          <w:color w:val="000000"/>
          <w:sz w:val="24"/>
          <w:lang w:eastAsia="en-GB"/>
        </w:rPr>
        <w:t xml:space="preserve"> through communication networks and report about their status and/or the surrounding environment.</w:t>
      </w:r>
    </w:p>
    <w:p w:rsidR="00035C91" w:rsidRDefault="00632184">
      <w:pPr>
        <w:widowControl w:val="0"/>
        <w:spacing w:before="0"/>
        <w:ind w:right="20"/>
        <w:rPr>
          <w:rFonts w:ascii="Times New Roman" w:eastAsia="Times New Roman" w:hAnsi="Times New Roman"/>
          <w:b/>
          <w:bCs/>
          <w:noProof/>
          <w:color w:val="000000"/>
          <w:sz w:val="24"/>
          <w:lang w:eastAsia="en-GB"/>
        </w:rPr>
      </w:pPr>
      <w:r>
        <w:rPr>
          <w:rFonts w:ascii="Times New Roman" w:eastAsia="Times New Roman" w:hAnsi="Times New Roman"/>
          <w:b/>
          <w:bCs/>
          <w:noProof/>
          <w:color w:val="000000"/>
          <w:sz w:val="24"/>
          <w:lang w:eastAsia="en-GB"/>
        </w:rPr>
        <w:t>Online Behavioural Advertising (“OBA”)</w:t>
      </w:r>
    </w:p>
    <w:p w:rsidR="00035C91" w:rsidRDefault="00632184">
      <w:pPr>
        <w:widowControl w:val="0"/>
        <w:spacing w:before="0"/>
        <w:ind w:left="20" w:right="2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Online behavioural advertising involves the tracking of consumers’ online activities in order to deliver tailored </w:t>
      </w:r>
      <w:r>
        <w:rPr>
          <w:rFonts w:ascii="Times New Roman" w:eastAsia="Times New Roman" w:hAnsi="Times New Roman"/>
          <w:noProof/>
          <w:color w:val="000000"/>
          <w:sz w:val="24"/>
          <w:lang w:eastAsia="en-GB"/>
        </w:rPr>
        <w:t xml:space="preserve">advertising. The practice, which is typically invisible to consumers, allows businesses to align their ads more closely to the inferred interests of their audience. In many cases, the information collected is not personally identifiable in the traditional </w:t>
      </w:r>
      <w:r>
        <w:rPr>
          <w:rFonts w:ascii="Times New Roman" w:eastAsia="Times New Roman" w:hAnsi="Times New Roman"/>
          <w:noProof/>
          <w:color w:val="000000"/>
          <w:sz w:val="24"/>
          <w:lang w:eastAsia="en-GB"/>
        </w:rPr>
        <w:t xml:space="preserve">sense – that is, the information does not include the consumer’s name, physical address, or similar identifier that could be used to identify the consumer in the offline world. Instead, businesses generally use “cookies” to track consumers’ activities and </w:t>
      </w:r>
      <w:r>
        <w:rPr>
          <w:rFonts w:ascii="Times New Roman" w:eastAsia="Times New Roman" w:hAnsi="Times New Roman"/>
          <w:noProof/>
          <w:color w:val="000000"/>
          <w:sz w:val="24"/>
          <w:lang w:eastAsia="en-GB"/>
        </w:rPr>
        <w:t>associate those activities with a particular computer or device. Many of the companies engaged in behavioural advertising are so-called “network advertisers,” companies that select and deliver advertisements across the Internet at websites that participate</w:t>
      </w:r>
      <w:r>
        <w:rPr>
          <w:rFonts w:ascii="Times New Roman" w:eastAsia="Times New Roman" w:hAnsi="Times New Roman"/>
          <w:noProof/>
          <w:color w:val="000000"/>
          <w:sz w:val="24"/>
          <w:lang w:eastAsia="en-GB"/>
        </w:rPr>
        <w:t xml:space="preserve"> in their networks.</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b/>
          <w:noProof/>
          <w:color w:val="000000"/>
          <w:sz w:val="24"/>
          <w:lang w:eastAsia="en-GB"/>
        </w:rPr>
        <w:t>Over The Top Provider s (OTTs)</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noProof/>
          <w:sz w:val="24"/>
          <w:szCs w:val="20"/>
        </w:rPr>
        <w:t xml:space="preserve">An over-the-top (OTT) service provider is essentially an Internet platform that allows communications to be exchanged by the members of the platform, in the form of voice, text or data. These providers do </w:t>
      </w:r>
      <w:r>
        <w:rPr>
          <w:rFonts w:ascii="Times New Roman" w:eastAsia="Times New Roman" w:hAnsi="Times New Roman"/>
          <w:noProof/>
          <w:sz w:val="24"/>
          <w:szCs w:val="20"/>
        </w:rPr>
        <w:t>not control the transmission of the messages, but rely on end-users' internet connections for the messages to be relayed.</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b/>
          <w:noProof/>
          <w:color w:val="000000"/>
          <w:sz w:val="24"/>
          <w:lang w:eastAsia="en-GB"/>
        </w:rPr>
        <w:t>Location data</w:t>
      </w:r>
    </w:p>
    <w:p w:rsidR="00035C91" w:rsidRDefault="00632184">
      <w:pPr>
        <w:widowControl w:val="0"/>
        <w:spacing w:before="0"/>
        <w:ind w:left="20" w:right="2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Location data means any data processed in an electronic communications network or by an electronic communications servic</w:t>
      </w:r>
      <w:r>
        <w:rPr>
          <w:rFonts w:ascii="Times New Roman" w:eastAsia="Times New Roman" w:hAnsi="Times New Roman"/>
          <w:noProof/>
          <w:color w:val="000000"/>
          <w:sz w:val="24"/>
          <w:lang w:eastAsia="en-GB"/>
        </w:rPr>
        <w:t>e, indicating the geographic position of the terminal equipment of a user of a publicly available electronic communications service.</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b/>
          <w:noProof/>
          <w:color w:val="000000"/>
          <w:sz w:val="24"/>
          <w:lang w:eastAsia="en-GB"/>
        </w:rPr>
        <w:t>Personal data breach</w:t>
      </w:r>
    </w:p>
    <w:p w:rsidR="00035C91" w:rsidRDefault="00632184">
      <w:pPr>
        <w:widowControl w:val="0"/>
        <w:spacing w:before="0"/>
        <w:ind w:left="20" w:right="2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Personal data breach means a breach of security leading to the accidental or unlawful destruction, los</w:t>
      </w:r>
      <w:r>
        <w:rPr>
          <w:rFonts w:ascii="Times New Roman" w:eastAsia="Times New Roman" w:hAnsi="Times New Roman"/>
          <w:noProof/>
          <w:color w:val="000000"/>
          <w:sz w:val="24"/>
          <w:lang w:eastAsia="en-GB"/>
        </w:rPr>
        <w:t>s, alteration, unauthorised disclosure of, or access to, personal data transmitted, stored or otherwise processed in connection with the provision of a publicly available electronic communications service</w:t>
      </w:r>
      <w:r>
        <w:rPr>
          <w:rFonts w:ascii="Times New Roman" w:eastAsia="Times New Roman" w:hAnsi="Times New Roman"/>
          <w:noProof/>
          <w:color w:val="000000"/>
          <w:sz w:val="24"/>
          <w:vertAlign w:val="superscript"/>
          <w:lang w:eastAsia="en-GB"/>
        </w:rPr>
        <w:footnoteReference w:id="37"/>
      </w:r>
      <w:r>
        <w:rPr>
          <w:rFonts w:ascii="Times New Roman" w:eastAsia="Times New Roman" w:hAnsi="Times New Roman"/>
          <w:noProof/>
          <w:color w:val="000000"/>
          <w:sz w:val="24"/>
          <w:lang w:eastAsia="en-GB"/>
        </w:rPr>
        <w:t>.</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b/>
          <w:noProof/>
          <w:color w:val="000000"/>
          <w:sz w:val="24"/>
          <w:lang w:eastAsia="en-GB"/>
        </w:rPr>
        <w:t>Robinson lists (or opt-out lists)</w:t>
      </w:r>
    </w:p>
    <w:p w:rsidR="00035C91" w:rsidRDefault="00632184">
      <w:pPr>
        <w:widowControl w:val="0"/>
        <w:spacing w:before="0"/>
        <w:ind w:left="20" w:right="20"/>
        <w:rPr>
          <w:rFonts w:ascii="Times New Roman" w:eastAsia="Times New Roman" w:hAnsi="Times New Roman"/>
          <w:noProof/>
          <w:color w:val="000000"/>
          <w:sz w:val="24"/>
          <w:lang w:eastAsia="en-GB"/>
        </w:rPr>
      </w:pPr>
      <w:r>
        <w:rPr>
          <w:rFonts w:ascii="Times New Roman" w:eastAsia="Times New Roman" w:hAnsi="Times New Roman"/>
          <w:noProof/>
          <w:sz w:val="24"/>
          <w:szCs w:val="20"/>
          <w:lang w:val="en"/>
        </w:rPr>
        <w:t xml:space="preserve">A </w:t>
      </w:r>
      <w:r>
        <w:rPr>
          <w:rFonts w:ascii="Times New Roman" w:eastAsia="Times New Roman" w:hAnsi="Times New Roman"/>
          <w:bCs/>
          <w:noProof/>
          <w:sz w:val="24"/>
          <w:szCs w:val="20"/>
          <w:lang w:val="en"/>
        </w:rPr>
        <w:t>Robinson list</w:t>
      </w:r>
      <w:r>
        <w:rPr>
          <w:rFonts w:ascii="Times New Roman" w:eastAsia="Times New Roman" w:hAnsi="Times New Roman"/>
          <w:noProof/>
          <w:sz w:val="24"/>
          <w:szCs w:val="20"/>
          <w:lang w:val="en"/>
        </w:rPr>
        <w:t xml:space="preserve"> or </w:t>
      </w:r>
      <w:r>
        <w:rPr>
          <w:rFonts w:ascii="Times New Roman" w:eastAsia="Times New Roman" w:hAnsi="Times New Roman"/>
          <w:bCs/>
          <w:noProof/>
          <w:sz w:val="24"/>
          <w:szCs w:val="20"/>
          <w:lang w:val="en"/>
        </w:rPr>
        <w:t>Mail Preference Service (MPS) list</w:t>
      </w:r>
      <w:r>
        <w:rPr>
          <w:rFonts w:ascii="Times New Roman" w:eastAsia="Times New Roman" w:hAnsi="Times New Roman"/>
          <w:noProof/>
          <w:sz w:val="24"/>
          <w:szCs w:val="20"/>
          <w:lang w:val="en"/>
        </w:rPr>
        <w:t xml:space="preserve"> is </w:t>
      </w:r>
      <w:r>
        <w:rPr>
          <w:rFonts w:ascii="Times New Roman" w:eastAsia="Times New Roman" w:hAnsi="Times New Roman"/>
          <w:noProof/>
          <w:color w:val="000000"/>
          <w:sz w:val="24"/>
          <w:lang w:eastAsia="en-GB"/>
        </w:rPr>
        <w:t xml:space="preserve">an </w:t>
      </w:r>
      <w:hyperlink r:id="rId75" w:tooltip="Opt-out" w:history="1">
        <w:r>
          <w:rPr>
            <w:rFonts w:ascii="Times New Roman" w:eastAsia="Times New Roman" w:hAnsi="Times New Roman"/>
            <w:noProof/>
            <w:color w:val="000000"/>
            <w:sz w:val="24"/>
            <w:lang w:eastAsia="en-GB"/>
          </w:rPr>
          <w:t>opt-out</w:t>
        </w:r>
      </w:hyperlink>
      <w:r>
        <w:rPr>
          <w:rFonts w:ascii="Times New Roman" w:eastAsia="Times New Roman" w:hAnsi="Times New Roman"/>
          <w:noProof/>
          <w:color w:val="000000"/>
          <w:sz w:val="24"/>
          <w:lang w:eastAsia="en-GB"/>
        </w:rPr>
        <w:t xml:space="preserve"> list of people who do not wish to receive marketing transmissions. The marketing can be via </w:t>
      </w:r>
      <w:hyperlink r:id="rId76" w:tooltip="E-mail" w:history="1">
        <w:r>
          <w:rPr>
            <w:rFonts w:ascii="Times New Roman" w:eastAsia="Times New Roman" w:hAnsi="Times New Roman"/>
            <w:noProof/>
            <w:color w:val="000000"/>
            <w:sz w:val="24"/>
            <w:lang w:eastAsia="en-GB"/>
          </w:rPr>
          <w:t>e-mail</w:t>
        </w:r>
      </w:hyperlink>
      <w:r>
        <w:rPr>
          <w:rFonts w:ascii="Times New Roman" w:eastAsia="Times New Roman" w:hAnsi="Times New Roman"/>
          <w:noProof/>
          <w:color w:val="000000"/>
          <w:sz w:val="24"/>
          <w:lang w:eastAsia="en-GB"/>
        </w:rPr>
        <w:t xml:space="preserve">, </w:t>
      </w:r>
      <w:hyperlink r:id="rId77" w:tooltip="Postal mail" w:history="1">
        <w:r>
          <w:rPr>
            <w:rFonts w:ascii="Times New Roman" w:eastAsia="Times New Roman" w:hAnsi="Times New Roman"/>
            <w:noProof/>
            <w:color w:val="000000"/>
            <w:sz w:val="24"/>
            <w:lang w:eastAsia="en-GB"/>
          </w:rPr>
          <w:t>postal mail</w:t>
        </w:r>
      </w:hyperlink>
      <w:r>
        <w:rPr>
          <w:rFonts w:ascii="Times New Roman" w:eastAsia="Times New Roman" w:hAnsi="Times New Roman"/>
          <w:noProof/>
          <w:color w:val="000000"/>
          <w:sz w:val="24"/>
          <w:lang w:eastAsia="en-GB"/>
        </w:rPr>
        <w:t xml:space="preserve">, </w:t>
      </w:r>
      <w:hyperlink r:id="rId78" w:tooltip="Telephone" w:history="1">
        <w:r>
          <w:rPr>
            <w:rFonts w:ascii="Times New Roman" w:eastAsia="Times New Roman" w:hAnsi="Times New Roman"/>
            <w:noProof/>
            <w:color w:val="000000"/>
            <w:sz w:val="24"/>
            <w:lang w:eastAsia="en-GB"/>
          </w:rPr>
          <w:t>telephone</w:t>
        </w:r>
      </w:hyperlink>
      <w:r>
        <w:rPr>
          <w:rFonts w:ascii="Times New Roman" w:eastAsia="Times New Roman" w:hAnsi="Times New Roman"/>
          <w:noProof/>
          <w:color w:val="000000"/>
          <w:sz w:val="24"/>
          <w:lang w:eastAsia="en-GB"/>
        </w:rPr>
        <w:t xml:space="preserve">, or </w:t>
      </w:r>
      <w:hyperlink r:id="rId79" w:tooltip="Fax" w:history="1">
        <w:r>
          <w:rPr>
            <w:rFonts w:ascii="Times New Roman" w:eastAsia="Times New Roman" w:hAnsi="Times New Roman"/>
            <w:noProof/>
            <w:color w:val="000000"/>
            <w:sz w:val="24"/>
            <w:lang w:eastAsia="en-GB"/>
          </w:rPr>
          <w:t>fax</w:t>
        </w:r>
      </w:hyperlink>
      <w:r>
        <w:rPr>
          <w:rFonts w:ascii="Times New Roman" w:eastAsia="Times New Roman" w:hAnsi="Times New Roman"/>
          <w:noProof/>
          <w:color w:val="000000"/>
          <w:sz w:val="24"/>
          <w:lang w:eastAsia="en-GB"/>
        </w:rPr>
        <w:t xml:space="preserve">. In each case, contact details will be placed on a </w:t>
      </w:r>
      <w:hyperlink r:id="rId80" w:tooltip="Blacklist" w:history="1">
        <w:r>
          <w:rPr>
            <w:rFonts w:ascii="Times New Roman" w:eastAsia="Times New Roman" w:hAnsi="Times New Roman"/>
            <w:noProof/>
            <w:color w:val="000000"/>
            <w:sz w:val="24"/>
            <w:lang w:eastAsia="en-GB"/>
          </w:rPr>
          <w:t>blacklist</w:t>
        </w:r>
      </w:hyperlink>
      <w:r>
        <w:rPr>
          <w:rFonts w:ascii="Times New Roman" w:eastAsia="Times New Roman" w:hAnsi="Times New Roman"/>
          <w:noProof/>
          <w:color w:val="000000"/>
          <w:sz w:val="24"/>
          <w:vertAlign w:val="superscript"/>
          <w:lang w:eastAsia="en-GB"/>
        </w:rPr>
        <w:footnoteReference w:id="38"/>
      </w:r>
      <w:r>
        <w:rPr>
          <w:rFonts w:ascii="Times New Roman" w:eastAsia="Times New Roman" w:hAnsi="Times New Roman"/>
          <w:noProof/>
          <w:color w:val="000000"/>
          <w:sz w:val="24"/>
          <w:lang w:eastAsia="en-GB"/>
        </w:rPr>
        <w:t>.</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b/>
          <w:noProof/>
          <w:color w:val="000000"/>
          <w:sz w:val="24"/>
          <w:lang w:eastAsia="en-GB"/>
        </w:rPr>
        <w:t>Subscriber</w:t>
      </w:r>
    </w:p>
    <w:p w:rsidR="00035C91" w:rsidRDefault="00632184">
      <w:pPr>
        <w:widowControl w:val="0"/>
        <w:spacing w:before="0"/>
        <w:ind w:left="20" w:right="2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Subscriber means any natural person or legal entity who or which is party to a contract with the provi</w:t>
      </w:r>
      <w:r>
        <w:rPr>
          <w:rFonts w:ascii="Times New Roman" w:eastAsia="Times New Roman" w:hAnsi="Times New Roman"/>
          <w:noProof/>
          <w:color w:val="000000"/>
          <w:sz w:val="24"/>
          <w:lang w:eastAsia="en-GB"/>
        </w:rPr>
        <w:t>der of publicly available electronic communications services for the supply of such services</w:t>
      </w:r>
      <w:r>
        <w:rPr>
          <w:rFonts w:ascii="Times New Roman" w:eastAsia="Times New Roman" w:hAnsi="Times New Roman"/>
          <w:noProof/>
          <w:color w:val="000000"/>
          <w:sz w:val="24"/>
          <w:vertAlign w:val="superscript"/>
          <w:lang w:eastAsia="en-GB"/>
        </w:rPr>
        <w:footnoteReference w:id="39"/>
      </w:r>
      <w:r>
        <w:rPr>
          <w:rFonts w:ascii="Times New Roman" w:eastAsia="Times New Roman" w:hAnsi="Times New Roman"/>
          <w:noProof/>
          <w:color w:val="000000"/>
          <w:sz w:val="24"/>
          <w:lang w:eastAsia="en-GB"/>
        </w:rPr>
        <w:t>.</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b/>
          <w:noProof/>
          <w:color w:val="000000"/>
          <w:sz w:val="24"/>
          <w:lang w:eastAsia="en-GB"/>
        </w:rPr>
        <w:t>Traffic data</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noProof/>
          <w:color w:val="000000"/>
          <w:sz w:val="24"/>
          <w:lang w:eastAsia="en-GB"/>
        </w:rPr>
        <w:t>Traffic data means any data processed for the purpose of the conveyance of a communication on an electronic communications network or for the billin</w:t>
      </w:r>
      <w:r>
        <w:rPr>
          <w:rFonts w:ascii="Times New Roman" w:eastAsia="Times New Roman" w:hAnsi="Times New Roman"/>
          <w:noProof/>
          <w:color w:val="000000"/>
          <w:sz w:val="24"/>
          <w:lang w:eastAsia="en-GB"/>
        </w:rPr>
        <w:t>g thereof</w:t>
      </w:r>
      <w:r>
        <w:rPr>
          <w:rFonts w:ascii="Times New Roman" w:eastAsia="Times New Roman" w:hAnsi="Times New Roman"/>
          <w:noProof/>
          <w:color w:val="000000"/>
          <w:sz w:val="24"/>
          <w:vertAlign w:val="superscript"/>
          <w:lang w:eastAsia="en-GB"/>
        </w:rPr>
        <w:footnoteReference w:id="40"/>
      </w:r>
      <w:r>
        <w:rPr>
          <w:rFonts w:ascii="Times New Roman" w:eastAsia="Times New Roman" w:hAnsi="Times New Roman"/>
          <w:noProof/>
          <w:color w:val="000000"/>
          <w:sz w:val="24"/>
          <w:lang w:eastAsia="en-GB"/>
        </w:rPr>
        <w:t>.</w:t>
      </w:r>
      <w:r>
        <w:rPr>
          <w:rFonts w:ascii="Times New Roman" w:eastAsia="Times New Roman" w:hAnsi="Times New Roman"/>
          <w:b/>
          <w:noProof/>
          <w:color w:val="000000"/>
          <w:sz w:val="24"/>
          <w:lang w:eastAsia="en-GB"/>
        </w:rPr>
        <w:t xml:space="preserve"> </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b/>
          <w:noProof/>
          <w:color w:val="000000"/>
          <w:sz w:val="24"/>
          <w:lang w:eastAsia="en-GB"/>
        </w:rPr>
        <w:t>User</w:t>
      </w:r>
    </w:p>
    <w:p w:rsidR="00035C91" w:rsidRDefault="00632184">
      <w:pPr>
        <w:widowControl w:val="0"/>
        <w:spacing w:before="0"/>
        <w:ind w:left="20" w:right="2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User means any natural person using a publicly available electronic communications service, for private or business purposes, without necessarily having subscribed to this service</w:t>
      </w:r>
      <w:r>
        <w:rPr>
          <w:rFonts w:ascii="Times New Roman" w:eastAsia="Times New Roman" w:hAnsi="Times New Roman"/>
          <w:noProof/>
          <w:color w:val="000000"/>
          <w:sz w:val="24"/>
          <w:vertAlign w:val="superscript"/>
          <w:lang w:eastAsia="en-GB"/>
        </w:rPr>
        <w:footnoteReference w:id="41"/>
      </w:r>
      <w:r>
        <w:rPr>
          <w:rFonts w:ascii="Times New Roman" w:eastAsia="Times New Roman" w:hAnsi="Times New Roman"/>
          <w:noProof/>
          <w:color w:val="000000"/>
          <w:sz w:val="24"/>
          <w:lang w:eastAsia="en-GB"/>
        </w:rPr>
        <w:t>.</w:t>
      </w:r>
    </w:p>
    <w:p w:rsidR="00035C91" w:rsidRDefault="00632184">
      <w:pPr>
        <w:widowControl w:val="0"/>
        <w:spacing w:before="0"/>
        <w:ind w:left="20" w:right="20"/>
        <w:rPr>
          <w:rFonts w:ascii="Times New Roman" w:eastAsia="Times New Roman" w:hAnsi="Times New Roman"/>
          <w:b/>
          <w:noProof/>
          <w:color w:val="000000"/>
          <w:sz w:val="24"/>
          <w:lang w:eastAsia="en-GB"/>
        </w:rPr>
      </w:pPr>
      <w:r>
        <w:rPr>
          <w:rFonts w:ascii="Times New Roman" w:eastAsia="Times New Roman" w:hAnsi="Times New Roman"/>
          <w:b/>
          <w:noProof/>
          <w:color w:val="000000"/>
          <w:sz w:val="24"/>
          <w:lang w:eastAsia="en-GB"/>
        </w:rPr>
        <w:t>Value added service</w:t>
      </w:r>
    </w:p>
    <w:p w:rsidR="00035C91" w:rsidRDefault="00632184">
      <w:pPr>
        <w:widowControl w:val="0"/>
        <w:spacing w:before="0"/>
        <w:ind w:left="20" w:right="2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Value added service means any </w:t>
      </w:r>
      <w:r>
        <w:rPr>
          <w:rFonts w:ascii="Times New Roman" w:eastAsia="Times New Roman" w:hAnsi="Times New Roman"/>
          <w:noProof/>
          <w:color w:val="000000"/>
          <w:sz w:val="24"/>
          <w:lang w:eastAsia="en-GB"/>
        </w:rPr>
        <w:t>service which requires the processing of traffic data or location data other than traffic data beyond what is necessary for the transmission of a communication or the billing thereof</w:t>
      </w:r>
      <w:r>
        <w:rPr>
          <w:rFonts w:ascii="Times New Roman" w:eastAsia="Times New Roman" w:hAnsi="Times New Roman"/>
          <w:noProof/>
          <w:color w:val="000000"/>
          <w:sz w:val="24"/>
          <w:vertAlign w:val="superscript"/>
          <w:lang w:eastAsia="en-GB"/>
        </w:rPr>
        <w:footnoteReference w:id="42"/>
      </w:r>
      <w:r>
        <w:rPr>
          <w:rFonts w:ascii="Times New Roman" w:eastAsia="Times New Roman" w:hAnsi="Times New Roman"/>
          <w:noProof/>
          <w:color w:val="000000"/>
          <w:sz w:val="24"/>
          <w:lang w:eastAsia="en-GB"/>
        </w:rPr>
        <w:t>.</w:t>
      </w:r>
    </w:p>
    <w:p w:rsidR="00035C91" w:rsidRDefault="00035C91">
      <w:pPr>
        <w:widowControl w:val="0"/>
        <w:spacing w:before="0"/>
        <w:ind w:left="20" w:right="20"/>
        <w:rPr>
          <w:rFonts w:ascii="Times New Roman" w:eastAsia="Times New Roman" w:hAnsi="Times New Roman"/>
          <w:noProof/>
          <w:color w:val="000000"/>
          <w:sz w:val="24"/>
          <w:lang w:eastAsia="en-GB"/>
        </w:rPr>
      </w:pPr>
    </w:p>
    <w:p w:rsidR="00035C91" w:rsidRDefault="00035C91">
      <w:pPr>
        <w:widowControl w:val="0"/>
        <w:spacing w:before="0"/>
        <w:ind w:left="20" w:right="20"/>
        <w:rPr>
          <w:rFonts w:ascii="Times New Roman" w:eastAsia="Times New Roman" w:hAnsi="Times New Roman"/>
          <w:noProof/>
          <w:color w:val="000000"/>
          <w:sz w:val="24"/>
          <w:lang w:eastAsia="en-GB"/>
        </w:rPr>
      </w:pPr>
    </w:p>
    <w:p w:rsidR="00035C91" w:rsidRDefault="00035C91">
      <w:pPr>
        <w:widowControl w:val="0"/>
        <w:spacing w:before="0"/>
        <w:ind w:left="20" w:right="20"/>
        <w:rPr>
          <w:rFonts w:ascii="Times New Roman" w:eastAsia="Times New Roman" w:hAnsi="Times New Roman"/>
          <w:noProof/>
          <w:color w:val="000000"/>
          <w:sz w:val="24"/>
          <w:lang w:eastAsia="en-GB"/>
        </w:rPr>
      </w:pPr>
    </w:p>
    <w:p w:rsidR="00035C91" w:rsidRDefault="00035C91">
      <w:pPr>
        <w:widowControl w:val="0"/>
        <w:spacing w:before="0"/>
        <w:ind w:left="20" w:right="20"/>
        <w:rPr>
          <w:rFonts w:ascii="Times New Roman" w:eastAsia="Times New Roman" w:hAnsi="Times New Roman"/>
          <w:noProof/>
          <w:color w:val="000000"/>
          <w:sz w:val="24"/>
          <w:lang w:eastAsia="en-GB"/>
        </w:rPr>
      </w:pPr>
    </w:p>
    <w:p w:rsidR="00035C91" w:rsidRDefault="00035C91">
      <w:pPr>
        <w:widowControl w:val="0"/>
        <w:spacing w:before="0"/>
        <w:ind w:left="20" w:right="20"/>
        <w:rPr>
          <w:rFonts w:ascii="Times New Roman" w:eastAsia="Times New Roman" w:hAnsi="Times New Roman"/>
          <w:noProof/>
          <w:color w:val="000000"/>
          <w:sz w:val="24"/>
          <w:lang w:eastAsia="en-GB"/>
        </w:rPr>
      </w:pPr>
    </w:p>
    <w:p w:rsidR="00035C91" w:rsidRDefault="00035C91">
      <w:pPr>
        <w:widowControl w:val="0"/>
        <w:spacing w:before="0"/>
        <w:ind w:left="20" w:right="20"/>
        <w:rPr>
          <w:rFonts w:ascii="Times New Roman" w:eastAsia="Times New Roman" w:hAnsi="Times New Roman"/>
          <w:noProof/>
          <w:color w:val="000000"/>
          <w:sz w:val="24"/>
          <w:lang w:eastAsia="en-GB"/>
        </w:rPr>
      </w:pPr>
    </w:p>
    <w:p w:rsidR="00035C91" w:rsidRDefault="00035C91">
      <w:pPr>
        <w:widowControl w:val="0"/>
        <w:spacing w:before="0"/>
        <w:ind w:left="20" w:right="20"/>
        <w:rPr>
          <w:rFonts w:ascii="Times New Roman" w:eastAsia="Times New Roman" w:hAnsi="Times New Roman"/>
          <w:noProof/>
          <w:color w:val="000000"/>
          <w:sz w:val="24"/>
          <w:lang w:eastAsia="en-GB"/>
        </w:rPr>
      </w:pPr>
    </w:p>
    <w:p w:rsidR="00035C91" w:rsidRDefault="00035C91">
      <w:pPr>
        <w:widowControl w:val="0"/>
        <w:spacing w:before="0"/>
        <w:ind w:left="20" w:right="20"/>
        <w:rPr>
          <w:rFonts w:ascii="Times New Roman" w:eastAsia="Times New Roman" w:hAnsi="Times New Roman"/>
          <w:noProof/>
          <w:color w:val="000000"/>
          <w:sz w:val="24"/>
          <w:lang w:eastAsia="en-GB"/>
        </w:rPr>
      </w:pPr>
    </w:p>
    <w:p w:rsidR="00035C91" w:rsidRDefault="00035C91">
      <w:pPr>
        <w:widowControl w:val="0"/>
        <w:spacing w:before="0"/>
        <w:ind w:left="20" w:right="20"/>
        <w:rPr>
          <w:rFonts w:ascii="Times New Roman" w:eastAsia="Times New Roman" w:hAnsi="Times New Roman"/>
          <w:noProof/>
          <w:color w:val="000000"/>
          <w:sz w:val="24"/>
          <w:lang w:eastAsia="en-GB"/>
        </w:rPr>
      </w:pPr>
    </w:p>
    <w:p w:rsidR="00035C91" w:rsidRDefault="00035C91">
      <w:pPr>
        <w:widowControl w:val="0"/>
        <w:spacing w:before="0"/>
        <w:ind w:left="20" w:right="20"/>
        <w:rPr>
          <w:rFonts w:ascii="Times New Roman" w:eastAsia="Times New Roman" w:hAnsi="Times New Roman"/>
          <w:noProof/>
          <w:color w:val="000000"/>
          <w:sz w:val="24"/>
          <w:lang w:eastAsia="en-GB"/>
        </w:rPr>
      </w:pPr>
    </w:p>
    <w:sectPr w:rsidR="00035C91">
      <w:headerReference w:type="even" r:id="rId81"/>
      <w:headerReference w:type="default" r:id="rId82"/>
      <w:footerReference w:type="even" r:id="rId83"/>
      <w:footerReference w:type="default" r:id="rId84"/>
      <w:headerReference w:type="first" r:id="rId85"/>
      <w:footerReference w:type="first" r:id="rId86"/>
      <w:footnotePr>
        <w:numStart w:val="117"/>
      </w:footnotePr>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C91" w:rsidRDefault="00632184">
      <w:r>
        <w:separator/>
      </w:r>
    </w:p>
  </w:endnote>
  <w:endnote w:type="continuationSeparator" w:id="0">
    <w:p w:rsidR="00035C91" w:rsidRDefault="00632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EC Square Sans Pro Medium">
    <w:panose1 w:val="020B0500000000020004"/>
    <w:charset w:val="00"/>
    <w:family w:val="swiss"/>
    <w:pitch w:val="variable"/>
    <w:sig w:usb0="A00002BF" w:usb1="5000E0FB" w:usb2="00000000" w:usb3="00000000" w:csb0="0000019F" w:csb1="00000000"/>
  </w:font>
  <w:font w:name="EC Square Sans Pro">
    <w:altName w:val="EC Square Sans Pro"/>
    <w:panose1 w:val="020B050604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TradeGothic">
    <w:altName w:val="TradeGoth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184" w:rsidRPr="00632184" w:rsidRDefault="00632184" w:rsidP="0063218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880533"/>
      <w:docPartObj>
        <w:docPartGallery w:val="Page Numbers (Bottom of Page)"/>
        <w:docPartUnique/>
      </w:docPartObj>
    </w:sdtPr>
    <w:sdtEndPr/>
    <w:sdtContent>
      <w:p w:rsidR="00035C91" w:rsidRDefault="00632184">
        <w:pPr>
          <w:pStyle w:val="Footer"/>
          <w:jc w:val="center"/>
        </w:pPr>
        <w:r>
          <w:fldChar w:fldCharType="begin"/>
        </w:r>
        <w:r>
          <w:instrText>PAGE   \* MERGEFORMAT</w:instrText>
        </w:r>
        <w:r>
          <w:fldChar w:fldCharType="separate"/>
        </w:r>
        <w:r>
          <w:rPr>
            <w:noProof/>
          </w:rPr>
          <w:t>132</w:t>
        </w:r>
        <w:r>
          <w:fldChar w:fldCharType="end"/>
        </w:r>
      </w:p>
    </w:sdtContent>
  </w:sdt>
  <w:p w:rsidR="00035C91" w:rsidRDefault="00035C9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09984"/>
      <w:docPartObj>
        <w:docPartGallery w:val="Page Numbers (Bottom of Page)"/>
        <w:docPartUnique/>
      </w:docPartObj>
    </w:sdtPr>
    <w:sdtEndPr/>
    <w:sdtContent>
      <w:p w:rsidR="00035C91" w:rsidRDefault="00632184">
        <w:pPr>
          <w:pStyle w:val="Footer"/>
          <w:jc w:val="center"/>
        </w:pPr>
        <w:r>
          <w:fldChar w:fldCharType="begin"/>
        </w:r>
        <w:r>
          <w:instrText>PAGE   \* MERGEFORMAT</w:instrText>
        </w:r>
        <w:r>
          <w:fldChar w:fldCharType="separate"/>
        </w:r>
        <w:r>
          <w:rPr>
            <w:noProof/>
          </w:rPr>
          <w:t>135</w:t>
        </w:r>
        <w:r>
          <w:fldChar w:fldCharType="end"/>
        </w:r>
      </w:p>
    </w:sdtContent>
  </w:sdt>
  <w:p w:rsidR="00035C91" w:rsidRDefault="00035C9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643318"/>
      <w:docPartObj>
        <w:docPartGallery w:val="Page Numbers (Bottom of Page)"/>
        <w:docPartUnique/>
      </w:docPartObj>
    </w:sdtPr>
    <w:sdtEndPr/>
    <w:sdtContent>
      <w:p w:rsidR="00035C91" w:rsidRDefault="00632184">
        <w:pPr>
          <w:pStyle w:val="Footer"/>
          <w:jc w:val="center"/>
        </w:pPr>
        <w:r>
          <w:fldChar w:fldCharType="begin"/>
        </w:r>
        <w:r>
          <w:instrText>PAGE   \* MERGEFORMAT</w:instrText>
        </w:r>
        <w:r>
          <w:fldChar w:fldCharType="separate"/>
        </w:r>
        <w:r>
          <w:rPr>
            <w:noProof/>
          </w:rPr>
          <w:t>139</w:t>
        </w:r>
        <w:r>
          <w:fldChar w:fldCharType="end"/>
        </w:r>
      </w:p>
    </w:sdtContent>
  </w:sdt>
  <w:p w:rsidR="00035C91" w:rsidRDefault="00035C9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184" w:rsidRPr="00632184" w:rsidRDefault="00632184" w:rsidP="00632184">
    <w:pPr>
      <w:pStyle w:val="FooterCoverPage"/>
      <w:rPr>
        <w:rFonts w:ascii="Arial" w:hAnsi="Arial" w:cs="Arial"/>
        <w:b/>
        <w:sz w:val="48"/>
      </w:rPr>
    </w:pPr>
    <w:r w:rsidRPr="00632184">
      <w:rPr>
        <w:rFonts w:ascii="Arial" w:hAnsi="Arial" w:cs="Arial"/>
        <w:b/>
        <w:sz w:val="48"/>
      </w:rPr>
      <w:t>EN</w:t>
    </w:r>
    <w:r w:rsidRPr="00632184">
      <w:rPr>
        <w:rFonts w:ascii="Arial" w:hAnsi="Arial" w:cs="Arial"/>
        <w:b/>
        <w:sz w:val="48"/>
      </w:rPr>
      <w:tab/>
    </w:r>
    <w:r w:rsidRPr="00632184">
      <w:rPr>
        <w:rFonts w:ascii="Arial" w:hAnsi="Arial" w:cs="Arial"/>
        <w:b/>
        <w:sz w:val="48"/>
      </w:rPr>
      <w:tab/>
    </w:r>
    <w:fldSimple w:instr=" DOCVARIABLE &quot;LW_Confidence&quot; \* MERGEFORMAT ">
      <w:r>
        <w:t xml:space="preserve"> </w:t>
      </w:r>
    </w:fldSimple>
    <w:r w:rsidRPr="00632184">
      <w:tab/>
    </w:r>
    <w:r w:rsidRPr="00632184">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534432"/>
      <w:docPartObj>
        <w:docPartGallery w:val="Page Numbers (Bottom of Page)"/>
        <w:docPartUnique/>
      </w:docPartObj>
    </w:sdtPr>
    <w:sdtEndPr/>
    <w:sdtContent>
      <w:p w:rsidR="00035C91" w:rsidRDefault="00632184">
        <w:pPr>
          <w:pStyle w:val="Footer"/>
          <w:jc w:val="center"/>
        </w:pPr>
        <w:r>
          <w:fldChar w:fldCharType="begin"/>
        </w:r>
        <w:r>
          <w:instrText>PAGE   \* MERGEFORMAT</w:instrText>
        </w:r>
        <w:r>
          <w:fldChar w:fldCharType="separate"/>
        </w:r>
        <w:r>
          <w:rPr>
            <w:noProof/>
          </w:rPr>
          <w:t>142</w:t>
        </w:r>
        <w:r>
          <w:fldChar w:fldCharType="end"/>
        </w:r>
      </w:p>
    </w:sdtContent>
  </w:sdt>
  <w:p w:rsidR="00035C91" w:rsidRDefault="00035C9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632184">
    <w:pPr>
      <w:pStyle w:val="Footer"/>
      <w:jc w:val="center"/>
    </w:pPr>
    <w:r>
      <w:fldChar w:fldCharType="begin"/>
    </w:r>
    <w:r>
      <w:instrText>PAGE</w:instrText>
    </w:r>
    <w:r>
      <w:fldChar w:fldCharType="separate"/>
    </w:r>
    <w:r>
      <w:rPr>
        <w:noProof/>
      </w:rPr>
      <w:t>152</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rPr>
        <w:sz w:val="12"/>
        <w:szCs w:val="1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632184">
    <w:pPr>
      <w:pStyle w:val="Footer"/>
      <w:jc w:val="center"/>
    </w:pPr>
    <w:r>
      <w:fldChar w:fldCharType="begin"/>
    </w:r>
    <w:r>
      <w:instrText>PAGE</w:instrText>
    </w:r>
    <w:r>
      <w:fldChar w:fldCharType="separate"/>
    </w:r>
    <w:r>
      <w:rPr>
        <w:noProof/>
      </w:rPr>
      <w:t>156</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rPr>
        <w:sz w:val="12"/>
        <w:szCs w:val="1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632184">
    <w:pPr>
      <w:pStyle w:val="Footer"/>
      <w:jc w:val="center"/>
    </w:pPr>
    <w:r>
      <w:fldChar w:fldCharType="begin"/>
    </w:r>
    <w:r>
      <w:instrText>PAGE</w:instrText>
    </w:r>
    <w:r>
      <w:fldChar w:fldCharType="separate"/>
    </w:r>
    <w:r>
      <w:rPr>
        <w:noProof/>
      </w:rPr>
      <w:t>160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184" w:rsidRPr="00632184" w:rsidRDefault="00632184" w:rsidP="00632184">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rPr>
        <w:sz w:val="12"/>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821287"/>
      <w:docPartObj>
        <w:docPartGallery w:val="Page Numbers (Bottom of Page)"/>
        <w:docPartUnique/>
      </w:docPartObj>
    </w:sdtPr>
    <w:sdtEndPr/>
    <w:sdtContent>
      <w:p w:rsidR="00035C91" w:rsidRDefault="00632184">
        <w:pPr>
          <w:pStyle w:val="Footer"/>
          <w:jc w:val="center"/>
        </w:pPr>
        <w:r>
          <w:fldChar w:fldCharType="begin"/>
        </w:r>
        <w:r>
          <w:instrText>PAGE   \* MERGEFORMAT</w:instrText>
        </w:r>
        <w:r>
          <w:fldChar w:fldCharType="separate"/>
        </w:r>
        <w:r>
          <w:rPr>
            <w:noProof/>
          </w:rPr>
          <w:t>107</w:t>
        </w:r>
        <w:r>
          <w:fldChar w:fldCharType="end"/>
        </w:r>
      </w:p>
    </w:sdtContent>
  </w:sdt>
  <w:p w:rsidR="00035C91" w:rsidRDefault="00035C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830715"/>
      <w:docPartObj>
        <w:docPartGallery w:val="Page Numbers (Bottom of Page)"/>
        <w:docPartUnique/>
      </w:docPartObj>
    </w:sdtPr>
    <w:sdtEndPr/>
    <w:sdtContent>
      <w:p w:rsidR="00035C91" w:rsidRDefault="00632184">
        <w:pPr>
          <w:pStyle w:val="Footer"/>
          <w:jc w:val="center"/>
        </w:pPr>
        <w:r>
          <w:fldChar w:fldCharType="begin"/>
        </w:r>
        <w:r>
          <w:instrText>PAGE   \* MERGEFORMAT</w:instrText>
        </w:r>
        <w:r>
          <w:fldChar w:fldCharType="separate"/>
        </w:r>
        <w:r>
          <w:rPr>
            <w:noProof/>
          </w:rPr>
          <w:t>124</w:t>
        </w:r>
        <w:r>
          <w:fldChar w:fldCharType="end"/>
        </w:r>
      </w:p>
    </w:sdtContent>
  </w:sdt>
  <w:p w:rsidR="00035C91" w:rsidRDefault="00035C9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C91" w:rsidRDefault="00632184">
      <w:r>
        <w:separator/>
      </w:r>
    </w:p>
  </w:footnote>
  <w:footnote w:type="continuationSeparator" w:id="0">
    <w:p w:rsidR="00035C91" w:rsidRDefault="00632184">
      <w:r>
        <w:continuationSeparator/>
      </w:r>
    </w:p>
  </w:footnote>
  <w:footnote w:id="1">
    <w:p w:rsidR="00035C91" w:rsidRDefault="00632184">
      <w:pPr>
        <w:pStyle w:val="FootnoteText"/>
        <w:rPr>
          <w:rFonts w:ascii="Times New Roman" w:hAnsi="Times New Roman"/>
        </w:rPr>
      </w:pPr>
      <w:r>
        <w:rPr>
          <w:rStyle w:val="FootnoteReference"/>
        </w:rPr>
        <w:footnoteRef/>
      </w:r>
      <w:r>
        <w:rPr>
          <w:rFonts w:ascii="Times New Roman" w:hAnsi="Times New Roman"/>
        </w:rPr>
        <w:t xml:space="preserve"> Deloitte, Evaluation and review of Directive 2002/58 on privacy and the electronic communication sector (SMART 2016/0080).</w:t>
      </w:r>
    </w:p>
  </w:footnote>
  <w:footnote w:id="2">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As will also be shown below, the projections should not be regarded as “exact calculations” but rather as projections based on (ve</w:t>
      </w:r>
      <w:r>
        <w:rPr>
          <w:rFonts w:ascii="Times New Roman" w:hAnsi="Times New Roman"/>
        </w:rPr>
        <w:t>ry) limited quantitative data in relation to what the situation is today, what it was before, and what it will be in the future.</w:t>
      </w:r>
    </w:p>
  </w:footnote>
  <w:footnote w:id="3">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Costs concerning other Articles, are expected to be comparatively insignificant today and/or have already been written off si</w:t>
      </w:r>
      <w:r>
        <w:rPr>
          <w:rFonts w:ascii="Times New Roman" w:hAnsi="Times New Roman"/>
        </w:rPr>
        <w:t>nce the adoption of the ePD in 2002.</w:t>
      </w:r>
    </w:p>
  </w:footnote>
  <w:footnote w:id="4">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According to the Better Regulation Guidelines (see section 2.5.3, page 27), only the most significant impacts should be quantified if possible, i.e. if they are susceptible of being quantitatively estimated through a </w:t>
      </w:r>
      <w:r>
        <w:rPr>
          <w:rFonts w:ascii="Times New Roman" w:hAnsi="Times New Roman"/>
        </w:rPr>
        <w:t>sound methodology and if the required data exists and can be collected at a proportionate cost.</w:t>
      </w:r>
    </w:p>
  </w:footnote>
  <w:footnote w:id="5">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 2016 study by the Open Rights Group, for instance,[ REFERS TO ANOTHER STUDY WHICH] estimates that that by 2016 UK mobile operators could be making over half</w:t>
      </w:r>
      <w:r>
        <w:rPr>
          <w:rFonts w:ascii="Times New Roman" w:hAnsi="Times New Roman"/>
        </w:rPr>
        <w:t xml:space="preserve"> a billion pounds a year just from monetising the location of their customers. In terms of opportunity costs, this means that if such direct monetisation would depend on the prior consent of consumers, UK mobile operators alone (i.e. not the retailers who </w:t>
      </w:r>
      <w:r>
        <w:rPr>
          <w:rFonts w:ascii="Times New Roman" w:hAnsi="Times New Roman"/>
        </w:rPr>
        <w:t>could monetise location data of their customers) could miss roughly 600 million Euro per year in revenue. See: https://www.openrightsgroup.org/assets/files/pdfs/reports/mobile-report-2016.pdf</w:t>
      </w:r>
    </w:p>
  </w:footnote>
  <w:footnote w:id="6">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Non-EU businesses that are active in the EU and have websites fall under the ePD. Therefore, it is important not to discard them as part of the quantitative assessments.</w:t>
      </w:r>
    </w:p>
  </w:footnote>
  <w:footnote w:id="7">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Flash Eurobarometer Survey 443 on ePrivacy.</w:t>
      </w:r>
    </w:p>
  </w:footnote>
  <w:footnote w:id="8">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eastAsia="de-DE"/>
        </w:rPr>
        <w:t>In addition, account has been taken o</w:t>
      </w:r>
      <w:r>
        <w:rPr>
          <w:rFonts w:ascii="Times New Roman" w:hAnsi="Times New Roman"/>
          <w:lang w:eastAsia="de-DE"/>
        </w:rPr>
        <w:t>f the approx. years in which major OTTs (WhatsApp, Facebook, and Skype etc.) were introduced in the EU markets. This means that usage rates increase by a larger margin since then.</w:t>
      </w:r>
    </w:p>
  </w:footnote>
  <w:footnote w:id="9">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w:t>
      </w:r>
      <w:hyperlink r:id="rId1" w:history="1">
        <w:r>
          <w:rPr>
            <w:rStyle w:val="Hyperlink"/>
            <w:rFonts w:ascii="Times New Roman" w:hAnsi="Times New Roman"/>
          </w:rPr>
          <w:t>http://www.cisco.com/c/dam/en/us/solutions/collateral/service-provider/visual-networking-index-vni/complete-white-paper-c11-481360.pdf</w:t>
        </w:r>
      </w:hyperlink>
      <w:r>
        <w:rPr>
          <w:rFonts w:ascii="Times New Roman" w:hAnsi="Times New Roman"/>
        </w:rPr>
        <w:t>, page 14.</w:t>
      </w:r>
    </w:p>
  </w:footnote>
  <w:footnote w:id="10">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http://www.telecomsmar</w:t>
      </w:r>
      <w:r>
        <w:rPr>
          <w:rFonts w:ascii="Times New Roman" w:hAnsi="Times New Roman"/>
        </w:rPr>
        <w:t>ketresearch.com/reports/itm_Mobile_Messaging_extract_LR.pdf</w:t>
      </w:r>
    </w:p>
  </w:footnote>
  <w:footnote w:id="11">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http://www.telecomsmarketresearch.com/reports/itm_Mobile_Messaging_extract_LR.pdf</w:t>
      </w:r>
    </w:p>
  </w:footnote>
  <w:footnote w:id="12">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https://www.linkedin.com/pulse/20140911043449-339157087-voip-services-market-is-growing-at-a-cagr-of</w:t>
      </w:r>
      <w:r>
        <w:rPr>
          <w:rFonts w:ascii="Times New Roman" w:hAnsi="Times New Roman"/>
        </w:rPr>
        <w:t>-9-7-from-2014-to-2020</w:t>
      </w:r>
    </w:p>
  </w:footnote>
  <w:footnote w:id="13">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With specific regard to Art. 13, it should be noted that the number of businesses affected is independent of Member States having enacted an opt-in or opt-out solution in national legislation, as e.g. the Robinson lists are checked</w:t>
      </w:r>
      <w:r>
        <w:rPr>
          <w:rFonts w:ascii="Times New Roman" w:hAnsi="Times New Roman"/>
        </w:rPr>
        <w:t xml:space="preserve"> by each business anyway on a regular basis.</w:t>
      </w:r>
    </w:p>
  </w:footnote>
  <w:footnote w:id="14">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Overall, the model estimates costs for businesses in relation to Art. 5(3) and Art. 13. Information on costs in relation to other Articles is generally scarce and has, as much as possible, been reflected in th</w:t>
      </w:r>
      <w:r>
        <w:rPr>
          <w:rFonts w:ascii="Times New Roman" w:hAnsi="Times New Roman"/>
        </w:rPr>
        <w:t>e report qualitatively.</w:t>
      </w:r>
    </w:p>
  </w:footnote>
  <w:footnote w:id="15">
    <w:p w:rsidR="00035C91" w:rsidRDefault="00632184">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[isoc_ci_eu_en2]. Last updated on 9 June 2016.</w:t>
      </w:r>
    </w:p>
  </w:footnote>
  <w:footnote w:id="16">
    <w:p w:rsidR="00035C91" w:rsidRDefault="00632184">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https://w3techs.com/technologies/details/ce-cookies/all/all</w:t>
      </w:r>
    </w:p>
  </w:footnote>
  <w:footnote w:id="17">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w:t>
      </w:r>
      <w:hyperlink r:id="rId2" w:history="1">
        <w:r>
          <w:rPr>
            <w:rStyle w:val="Hyperlink"/>
            <w:rFonts w:ascii="Times New Roman" w:hAnsi="Times New Roman"/>
          </w:rPr>
          <w:t>http://ec.europa.eu/justice/data-protection/article-29/documentation/opinion-recommendation/files/2015/wp229_en.pdf</w:t>
        </w:r>
      </w:hyperlink>
    </w:p>
  </w:footnote>
  <w:footnote w:id="18">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w:t>
      </w:r>
      <w:hyperlink r:id="rId3" w:history="1">
        <w:r>
          <w:rPr>
            <w:rStyle w:val="Hyperlink"/>
            <w:rFonts w:ascii="Times New Roman" w:hAnsi="Times New Roman"/>
          </w:rPr>
          <w:t>http://www2.itif.org/2014-economic-costs-eu-cookie.pdf</w:t>
        </w:r>
      </w:hyperlink>
      <w:r>
        <w:rPr>
          <w:rFonts w:ascii="Times New Roman" w:hAnsi="Times New Roman"/>
        </w:rPr>
        <w:t>, page 4.</w:t>
      </w:r>
    </w:p>
  </w:footnote>
  <w:footnote w:id="19">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In fact, the ITIF report itself indicates that the 900 EUR number was chosen based on </w:t>
      </w:r>
      <w:r>
        <w:rPr>
          <w:rFonts w:ascii="Times New Roman" w:hAnsi="Times New Roman"/>
          <w:i/>
        </w:rPr>
        <w:t>feedback from European colleagues</w:t>
      </w:r>
      <w:r>
        <w:rPr>
          <w:rFonts w:ascii="Times New Roman" w:hAnsi="Times New Roman"/>
        </w:rPr>
        <w:t xml:space="preserve"> and </w:t>
      </w:r>
      <w:r>
        <w:rPr>
          <w:rFonts w:ascii="Times New Roman" w:hAnsi="Times New Roman"/>
          <w:i/>
        </w:rPr>
        <w:t>personal correspondence with a European think tank</w:t>
      </w:r>
      <w:r>
        <w:rPr>
          <w:rFonts w:ascii="Times New Roman" w:hAnsi="Times New Roman"/>
        </w:rPr>
        <w:t>.</w:t>
      </w:r>
    </w:p>
  </w:footnote>
  <w:footnote w:id="20">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As part of t</w:t>
      </w:r>
      <w:r>
        <w:rPr>
          <w:rFonts w:ascii="Times New Roman" w:hAnsi="Times New Roman"/>
        </w:rPr>
        <w:t>he interviews, feedback was received that businesses e.g. check the Robinson lists irrespective of whether or not a Member State has implemented an opt-out solution because you citizens may opt-in at the start and then afterwards withdraw their consent thr</w:t>
      </w:r>
      <w:r>
        <w:rPr>
          <w:rFonts w:ascii="Times New Roman" w:hAnsi="Times New Roman"/>
        </w:rPr>
        <w:t>ough an opt-out again. This means that although consumers might need to opt in at the start by default they can still withdraw their consent (even one second after they opted in theoretically).</w:t>
      </w:r>
    </w:p>
  </w:footnote>
  <w:footnote w:id="21">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e.g.: http://ec.europa.eu/eurostat/statistics-explained/</w:t>
      </w:r>
      <w:r>
        <w:rPr>
          <w:rFonts w:ascii="Times New Roman" w:hAnsi="Times New Roman"/>
        </w:rPr>
        <w:t>images/a/ac/Estimated_hourly_labour_costs%2C_2015_%28%C2%B9%29_%28EUR%29_YB16.png</w:t>
      </w:r>
    </w:p>
  </w:footnote>
  <w:footnote w:id="22">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also the Commission Staff Working Document -- Impact Assessment in relation to the GDPR proposal, page 101.</w:t>
      </w:r>
    </w:p>
  </w:footnote>
  <w:footnote w:id="23">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eastAsia="de-DE"/>
        </w:rPr>
        <w:t>Information obligations in relation to data breach notific</w:t>
      </w:r>
      <w:r>
        <w:rPr>
          <w:rFonts w:ascii="Times New Roman" w:hAnsi="Times New Roman"/>
          <w:lang w:eastAsia="de-DE"/>
        </w:rPr>
        <w:t>ations are rare on an individual company-by-company basis – in relation to both subscribers and users, as well as public authorities. This is not due to the non-existence of data breaches but mostly due to the limited severity (i.e. do not affect users’ pr</w:t>
      </w:r>
      <w:r>
        <w:rPr>
          <w:rFonts w:ascii="Times New Roman" w:hAnsi="Times New Roman"/>
          <w:lang w:eastAsia="de-DE"/>
        </w:rPr>
        <w:t>ivacy).</w:t>
      </w:r>
    </w:p>
  </w:footnote>
  <w:footnote w:id="24">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In the UK and especially IE there are higher number of security breaches compared to other Member States. However, it can reasonably be assumed that it would be a significant share if seen in relation to the total number of businesses in those countries. </w:t>
      </w:r>
      <w:r>
        <w:rPr>
          <w:rFonts w:ascii="Times New Roman" w:hAnsi="Times New Roman"/>
        </w:rPr>
        <w:t>As a consequence, this this sentence applies to the whole EU, including UK and IE.</w:t>
      </w:r>
    </w:p>
  </w:footnote>
  <w:footnote w:id="25">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page 377 of the Better Regulation Toolbox. The Better Regulation Guidelines also indicate that a lower discount rate could be applied for costs in order to account for</w:t>
      </w:r>
      <w:r>
        <w:rPr>
          <w:rFonts w:ascii="Times New Roman" w:hAnsi="Times New Roman"/>
        </w:rPr>
        <w:t xml:space="preserve"> social benefits achieved through policy intervention. However, for the sake of comparability as emphasised by the Better Regulation Guidelines, 4% have been used.</w:t>
      </w:r>
    </w:p>
  </w:footnote>
  <w:footnote w:id="26">
    <w:p w:rsidR="00035C91" w:rsidRDefault="00632184">
      <w:pPr>
        <w:pStyle w:val="FootnoteText"/>
        <w:rPr>
          <w:rFonts w:ascii="Times New Roman" w:hAnsi="Times New Roman"/>
          <w:lang w:eastAsia="de-DE"/>
        </w:rPr>
      </w:pPr>
      <w:r>
        <w:rPr>
          <w:rStyle w:val="FootnoteReference"/>
          <w:rFonts w:ascii="Times New Roman" w:hAnsi="Times New Roman"/>
        </w:rPr>
        <w:footnoteRef/>
      </w:r>
      <w:r>
        <w:rPr>
          <w:rFonts w:ascii="Times New Roman" w:hAnsi="Times New Roman"/>
        </w:rPr>
        <w:t xml:space="preserve"> There is no explicit </w:t>
      </w:r>
      <w:r>
        <w:rPr>
          <w:rFonts w:ascii="Times New Roman" w:hAnsi="Times New Roman"/>
          <w:lang w:eastAsia="de-DE"/>
        </w:rPr>
        <w:t>methodology to assess the impact on administrations and other economi</w:t>
      </w:r>
      <w:r>
        <w:rPr>
          <w:rFonts w:ascii="Times New Roman" w:hAnsi="Times New Roman"/>
          <w:lang w:eastAsia="de-DE"/>
        </w:rPr>
        <w:t>c impact, we have not drafted separate chapters for this.</w:t>
      </w:r>
    </w:p>
  </w:footnote>
  <w:footnote w:id="27">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eastAsia="de-DE"/>
        </w:rPr>
        <w:t>The number of citizens is a key component of our estimates although it is not subject to change under the policy options (as presented in the main body of the report). The reason why for still kee</w:t>
      </w:r>
      <w:r>
        <w:rPr>
          <w:rFonts w:ascii="Times New Roman" w:hAnsi="Times New Roman"/>
          <w:lang w:eastAsia="de-DE"/>
        </w:rPr>
        <w:t>ping this estimate is that it shows that although POs may be introduced, privacy threats to citizens will still exist in the future as the POs change the set-up of how they are dealt with – but do not solve the issue that citizens may be subject to privacy</w:t>
      </w:r>
      <w:r>
        <w:rPr>
          <w:rFonts w:ascii="Times New Roman" w:hAnsi="Times New Roman"/>
          <w:lang w:eastAsia="de-DE"/>
        </w:rPr>
        <w:t xml:space="preserve"> breaches.</w:t>
      </w:r>
    </w:p>
  </w:footnote>
  <w:footnote w:id="28">
    <w:p w:rsidR="00035C91" w:rsidRDefault="00632184">
      <w:pPr>
        <w:pStyle w:val="FootnoteText"/>
      </w:pPr>
      <w:r>
        <w:rPr>
          <w:rStyle w:val="FootnoteReference"/>
          <w:rFonts w:ascii="Times New Roman" w:hAnsi="Times New Roman"/>
        </w:rPr>
        <w:footnoteRef/>
      </w:r>
      <w:r>
        <w:rPr>
          <w:rFonts w:ascii="Times New Roman" w:hAnsi="Times New Roman"/>
        </w:rPr>
        <w:t xml:space="preserve"> </w:t>
      </w:r>
      <w:r>
        <w:rPr>
          <w:rFonts w:ascii="Times New Roman" w:hAnsi="Times New Roman"/>
          <w:lang w:eastAsia="de-DE"/>
        </w:rPr>
        <w:t>As presented above and in the main body of the report, we have used a standard rating scale from -3 to +3 so indeed the ratings are comparable amongst the policy options for each criterion. The criteria itself are naturally not fully comparabl</w:t>
      </w:r>
      <w:r>
        <w:rPr>
          <w:rFonts w:ascii="Times New Roman" w:hAnsi="Times New Roman"/>
          <w:lang w:eastAsia="de-DE"/>
        </w:rPr>
        <w:t>e with each other</w:t>
      </w:r>
      <w:r>
        <w:rPr>
          <w:rFonts w:ascii="Times New Roman" w:hAnsi="Times New Roman"/>
        </w:rPr>
        <w:t xml:space="preserve"> (e.g. effectiveness vs. efficiency). The ratings of specific (elements of the) POs are provided in the respective tables in the main body of the report. The main body of the report also provides comparative tables of the POs.</w:t>
      </w:r>
    </w:p>
  </w:footnote>
  <w:footnote w:id="29">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number</w:t>
      </w:r>
      <w:r>
        <w:rPr>
          <w:rFonts w:ascii="Times New Roman" w:hAnsi="Times New Roman"/>
        </w:rPr>
        <w:t xml:space="preserve"> of citizens “potentially” affected is always the same across all policy options, as it can always be that – although there are measures in place – citizens are affected by privacy breaches. the question is about the group that is potentially affected, not</w:t>
      </w:r>
      <w:r>
        <w:rPr>
          <w:rFonts w:ascii="Times New Roman" w:hAnsi="Times New Roman"/>
        </w:rPr>
        <w:t xml:space="preserve"> those that are actually affected (in case of citizens e.g. those that suffer from privacy breaches and in case of businesses those that could actually exploit data for their own purposes).</w:t>
      </w:r>
    </w:p>
  </w:footnote>
  <w:footnote w:id="30">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As part of this model, it was not possible to estimate reasonabl</w:t>
      </w:r>
      <w:r>
        <w:rPr>
          <w:rFonts w:ascii="Times New Roman" w:hAnsi="Times New Roman"/>
        </w:rPr>
        <w:t>e average compliance costs and costs from administrative burden for businesses for the “browser” and the “tracking companies solution” of policy option 3. The reason for this is that the average costs are calculated on the basis of all businesses affected,</w:t>
      </w:r>
      <w:r>
        <w:rPr>
          <w:rFonts w:ascii="Times New Roman" w:hAnsi="Times New Roman"/>
        </w:rPr>
        <w:t xml:space="preserve"> i.e. also those that would incur higher costs than others and vice versa. As part of these two solutions, however, a very small share of businesses would have to bear the largest share of costs (i.e. browser operators and tracking companies) while the cos</w:t>
      </w:r>
      <w:r>
        <w:rPr>
          <w:rFonts w:ascii="Times New Roman" w:hAnsi="Times New Roman"/>
        </w:rPr>
        <w:t>ts would be significantly lower for others. Therefore, it is not appropriate to indicate an “average amount per business” as this would return misleading estimates.</w:t>
      </w:r>
    </w:p>
  </w:footnote>
  <w:footnote w:id="31">
    <w:p w:rsidR="00035C91" w:rsidRDefault="00632184">
      <w:pPr>
        <w:pStyle w:val="FootnoteText"/>
        <w:rPr>
          <w:rFonts w:ascii="Times New Roman" w:eastAsia="Times" w:hAnsi="Times New Roman"/>
        </w:rPr>
      </w:pPr>
      <w:r>
        <w:rPr>
          <w:rStyle w:val="FootnoteReference"/>
          <w:rFonts w:ascii="Times New Roman" w:hAnsi="Times New Roman"/>
        </w:rPr>
        <w:footnoteRef/>
      </w:r>
      <w:r>
        <w:rPr>
          <w:rFonts w:ascii="Times New Roman" w:hAnsi="Times New Roman"/>
        </w:rPr>
        <w:t xml:space="preserve"> Swedish Post and Telecom Agency (PTS), “Which services and networks are subject to the El</w:t>
      </w:r>
      <w:r>
        <w:rPr>
          <w:rFonts w:ascii="Times New Roman" w:hAnsi="Times New Roman"/>
        </w:rPr>
        <w:t>ectronic Communications Act”, guidance, 11 March 2009, Stockholm, p. 16.</w:t>
      </w:r>
    </w:p>
  </w:footnote>
  <w:footnote w:id="32">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Source: Deloitte (SMART 2016/0080)</w:t>
      </w:r>
      <w:r>
        <w:rPr>
          <w:rFonts w:ascii="Times New Roman" w:hAnsi="Times New Roman"/>
        </w:rPr>
        <w:t>.</w:t>
      </w:r>
    </w:p>
  </w:footnote>
  <w:footnote w:id="33">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sum of the percentages is higher than 100%, as traders is some countries (Denmark, Germany, Slovakia) are subject to both opt-in and opt-ou</w:t>
      </w:r>
      <w:r>
        <w:rPr>
          <w:rFonts w:ascii="Times New Roman" w:hAnsi="Times New Roman"/>
        </w:rPr>
        <w:t>t, depending on the type of addressee (e.g., natural or legal persons).</w:t>
      </w:r>
    </w:p>
  </w:footnote>
  <w:footnote w:id="34">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 xml:space="preserve">Source: European Commission, tabulation by Deloitte (SMART 2016/0080) </w:t>
      </w:r>
      <w:r>
        <w:rPr>
          <w:rFonts w:ascii="Times New Roman" w:hAnsi="Times New Roman"/>
          <w:i/>
          <w:vertAlign w:val="superscript"/>
          <w:lang w:eastAsia="de-DE"/>
        </w:rPr>
        <w:t>1</w:t>
      </w:r>
      <w:r>
        <w:rPr>
          <w:rFonts w:ascii="Times New Roman" w:hAnsi="Times New Roman"/>
          <w:i/>
          <w:lang w:eastAsia="de-DE"/>
        </w:rPr>
        <w:t xml:space="preserve">For 'consumers'; </w:t>
      </w:r>
      <w:r>
        <w:rPr>
          <w:rFonts w:ascii="Times New Roman" w:hAnsi="Times New Roman"/>
          <w:i/>
          <w:vertAlign w:val="superscript"/>
          <w:lang w:eastAsia="de-DE"/>
        </w:rPr>
        <w:t>2</w:t>
      </w:r>
      <w:r>
        <w:rPr>
          <w:rFonts w:ascii="Times New Roman" w:hAnsi="Times New Roman"/>
          <w:i/>
          <w:lang w:eastAsia="de-DE"/>
        </w:rPr>
        <w:t xml:space="preserve">For 'businesses'; </w:t>
      </w:r>
      <w:r>
        <w:rPr>
          <w:rFonts w:ascii="Times New Roman" w:hAnsi="Times New Roman"/>
          <w:i/>
          <w:vertAlign w:val="superscript"/>
          <w:lang w:eastAsia="de-DE"/>
        </w:rPr>
        <w:t>3</w:t>
      </w:r>
      <w:r>
        <w:rPr>
          <w:rFonts w:ascii="Times New Roman" w:hAnsi="Times New Roman"/>
          <w:i/>
          <w:lang w:eastAsia="de-DE"/>
        </w:rPr>
        <w:t>For 'other market players'. Statistical data from taken from Eurostat (mos</w:t>
      </w:r>
      <w:r>
        <w:rPr>
          <w:rFonts w:ascii="Times New Roman" w:hAnsi="Times New Roman"/>
          <w:i/>
          <w:lang w:eastAsia="de-DE"/>
        </w:rPr>
        <w:t>t recent data from 2014). Some exceptions apply to the opt-in consent rule for consumers in Denmark.</w:t>
      </w:r>
    </w:p>
  </w:footnote>
  <w:footnote w:id="35">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2d of the ePD.</w:t>
      </w:r>
    </w:p>
  </w:footnote>
  <w:footnote w:id="36">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2c of the Framework Directive 2002/21/EC.</w:t>
      </w:r>
    </w:p>
  </w:footnote>
  <w:footnote w:id="37">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2i of the ePD.</w:t>
      </w:r>
    </w:p>
  </w:footnote>
  <w:footnote w:id="38">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Wikipedia.org.</w:t>
      </w:r>
    </w:p>
  </w:footnote>
  <w:footnote w:id="39">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2k of the Framework Direct</w:t>
      </w:r>
      <w:r>
        <w:rPr>
          <w:rFonts w:ascii="Times New Roman" w:hAnsi="Times New Roman"/>
        </w:rPr>
        <w:t>ive 2002/21/EC.</w:t>
      </w:r>
    </w:p>
  </w:footnote>
  <w:footnote w:id="40">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2b of the ePD.</w:t>
      </w:r>
    </w:p>
  </w:footnote>
  <w:footnote w:id="41">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2a of the ePD.</w:t>
      </w:r>
    </w:p>
  </w:footnote>
  <w:footnote w:id="42">
    <w:p w:rsidR="00035C91" w:rsidRDefault="0063218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2g of the ePD.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184" w:rsidRPr="00632184" w:rsidRDefault="00632184" w:rsidP="0063218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184" w:rsidRPr="00632184" w:rsidRDefault="00632184" w:rsidP="00632184">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spacing w:after="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spacing w:after="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184" w:rsidRPr="00632184" w:rsidRDefault="00632184" w:rsidP="00632184">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91" w:rsidRDefault="00035C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15pt;height:12.15pt" o:bullet="t">
        <v:imagedata r:id="rId1" o:title="Deloitte Green Bullet"/>
      </v:shape>
    </w:pict>
  </w:numPicBullet>
  <w:numPicBullet w:numPicBulletId="1">
    <w:pict>
      <v:shape id="_x0000_i1043" type="#_x0000_t75" style="width:12.15pt;height:12.15pt" o:bullet="t">
        <v:imagedata r:id="rId2" o:title="EU Mid Blue Bullet"/>
      </v:shape>
    </w:pict>
  </w:numPicBullet>
  <w:numPicBullet w:numPicBulletId="2">
    <w:pict>
      <v:shape id="_x0000_i1044" type="#_x0000_t75" style="width:12.15pt;height:12.15pt" o:bullet="t">
        <v:imagedata r:id="rId3" o:title="EU Blue Bullet"/>
      </v:shape>
    </w:pict>
  </w:numPicBullet>
  <w:numPicBullet w:numPicBulletId="3">
    <w:pict>
      <v:shape id="_x0000_i1045" type="#_x0000_t75" style="width:12.15pt;height:12.15pt" o:bullet="t">
        <v:imagedata r:id="rId4" o:title="EU Dark Green Bullet"/>
      </v:shape>
    </w:pict>
  </w:numPicBullet>
  <w:numPicBullet w:numPicBulletId="4">
    <w:pict>
      <v:shape id="_x0000_i1046" type="#_x0000_t75" style="width:12.15pt;height:12.15pt" o:bullet="t">
        <v:imagedata r:id="rId5" o:title="EU Light Green Bullet"/>
      </v:shape>
    </w:pict>
  </w:numPicBullet>
  <w:numPicBullet w:numPicBulletId="5">
    <w:pict>
      <v:shape id="_x0000_i1047" type="#_x0000_t75" style="width:12.15pt;height:12.15pt" o:bullet="t">
        <v:imagedata r:id="rId6" o:title="EU Light Blue Bullet"/>
      </v:shape>
    </w:pict>
  </w:numPicBullet>
  <w:numPicBullet w:numPicBulletId="6">
    <w:pict>
      <v:shape id="_x0000_i1048" type="#_x0000_t75" style="width:19.4pt;height:20.2pt" o:bullet="t">
        <v:imagedata r:id="rId7" o:title="clip_image001"/>
      </v:shape>
    </w:pict>
  </w:numPicBullet>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C4F6C3E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4927E8"/>
    <w:multiLevelType w:val="hybridMultilevel"/>
    <w:tmpl w:val="BA50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515EFB"/>
    <w:multiLevelType w:val="multilevel"/>
    <w:tmpl w:val="22266CAE"/>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3969"/>
        </w:tabs>
        <w:ind w:left="5046" w:hanging="1077"/>
      </w:pPr>
      <w:rPr>
        <w:rFonts w:ascii="Calibri" w:hAnsi="Calibri" w:hint="default"/>
        <w:color w:val="0067AC"/>
      </w:rPr>
    </w:lvl>
    <w:lvl w:ilvl="6">
      <w:start w:val="1"/>
      <w:numFmt w:val="decimal"/>
      <w:lvlRestart w:val="1"/>
      <w:lvlText w:val="Table %1.%7"/>
      <w:lvlJc w:val="left"/>
      <w:pPr>
        <w:tabs>
          <w:tab w:val="num" w:pos="709"/>
        </w:tabs>
        <w:ind w:left="1786"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5">
    <w:nsid w:val="05275268"/>
    <w:multiLevelType w:val="hybridMultilevel"/>
    <w:tmpl w:val="71F0872C"/>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060B0EC5"/>
    <w:multiLevelType w:val="hybridMultilevel"/>
    <w:tmpl w:val="5DD8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3769D0"/>
    <w:multiLevelType w:val="hybridMultilevel"/>
    <w:tmpl w:val="256ABD9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8B82251"/>
    <w:multiLevelType w:val="hybridMultilevel"/>
    <w:tmpl w:val="5AEEDF88"/>
    <w:lvl w:ilvl="0" w:tplc="0E0C4BB4">
      <w:start w:val="1"/>
      <w:numFmt w:val="decimal"/>
      <w:lvlText w:val="(%1)"/>
      <w:lvlJc w:val="left"/>
      <w:pPr>
        <w:ind w:left="750" w:hanging="390"/>
      </w:pPr>
      <w:rPr>
        <w:rFonts w:hint="default"/>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08DE61A8"/>
    <w:multiLevelType w:val="hybridMultilevel"/>
    <w:tmpl w:val="686A40CA"/>
    <w:name w:val="LegalNumParListTemplate3"/>
    <w:lvl w:ilvl="0" w:tplc="A588FCC0">
      <w:start w:val="1"/>
      <w:numFmt w:val="decimal"/>
      <w:pStyle w:val="LegalNumPar"/>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5541FE"/>
    <w:multiLevelType w:val="hybridMultilevel"/>
    <w:tmpl w:val="D21639FE"/>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0CEF51A5"/>
    <w:multiLevelType w:val="hybridMultilevel"/>
    <w:tmpl w:val="BA98F61C"/>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0D386296"/>
    <w:multiLevelType w:val="hybridMultilevel"/>
    <w:tmpl w:val="9A96D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EF5FF6"/>
    <w:multiLevelType w:val="hybridMultilevel"/>
    <w:tmpl w:val="671C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9A69C8"/>
    <w:multiLevelType w:val="hybridMultilevel"/>
    <w:tmpl w:val="62B2E260"/>
    <w:styleLink w:val="NumbLstBTBullet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2D2230"/>
    <w:multiLevelType w:val="hybridMultilevel"/>
    <w:tmpl w:val="140C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B6181A"/>
    <w:multiLevelType w:val="hybridMultilevel"/>
    <w:tmpl w:val="8CC2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664344D"/>
    <w:multiLevelType w:val="hybridMultilevel"/>
    <w:tmpl w:val="41B4F796"/>
    <w:lvl w:ilvl="0" w:tplc="0407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97051D"/>
    <w:multiLevelType w:val="multilevel"/>
    <w:tmpl w:val="E7FC4010"/>
    <w:numStyleLink w:val="NumbLstTableBullet"/>
  </w:abstractNum>
  <w:abstractNum w:abstractNumId="19">
    <w:nsid w:val="19076146"/>
    <w:multiLevelType w:val="hybridMultilevel"/>
    <w:tmpl w:val="70284F5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1A001513"/>
    <w:multiLevelType w:val="hybridMultilevel"/>
    <w:tmpl w:val="5D340E3A"/>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1A3649B2"/>
    <w:multiLevelType w:val="hybridMultilevel"/>
    <w:tmpl w:val="79C60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E44DBC"/>
    <w:multiLevelType w:val="hybridMultilevel"/>
    <w:tmpl w:val="9954CE86"/>
    <w:lvl w:ilvl="0" w:tplc="08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1B234BA4"/>
    <w:multiLevelType w:val="hybridMultilevel"/>
    <w:tmpl w:val="439AF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6">
    <w:nsid w:val="1C0F170D"/>
    <w:multiLevelType w:val="hybridMultilevel"/>
    <w:tmpl w:val="1DB05F1A"/>
    <w:lvl w:ilvl="0" w:tplc="349E1C2A">
      <w:start w:val="1"/>
      <w:numFmt w:val="decimal"/>
      <w:lvlText w:val="%1."/>
      <w:lvlJc w:val="left"/>
      <w:pPr>
        <w:ind w:left="36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06E61EB"/>
    <w:multiLevelType w:val="hybridMultilevel"/>
    <w:tmpl w:val="2F6CA9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nsid w:val="209C2FCB"/>
    <w:multiLevelType w:val="hybridMultilevel"/>
    <w:tmpl w:val="1DB05F1A"/>
    <w:lvl w:ilvl="0" w:tplc="349E1C2A">
      <w:start w:val="1"/>
      <w:numFmt w:val="decimal"/>
      <w:lvlText w:val="%1."/>
      <w:lvlJc w:val="left"/>
      <w:pPr>
        <w:ind w:left="36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13478CE"/>
    <w:multiLevelType w:val="hybridMultilevel"/>
    <w:tmpl w:val="869C9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22DD3599"/>
    <w:multiLevelType w:val="multilevel"/>
    <w:tmpl w:val="4EAA5BA6"/>
    <w:styleLink w:val="NumbLstBTBullet"/>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23CF794F"/>
    <w:multiLevelType w:val="hybridMultilevel"/>
    <w:tmpl w:val="4732A93A"/>
    <w:lvl w:ilvl="0" w:tplc="3D0C4376">
      <w:start w:val="1"/>
      <w:numFmt w:val="bullet"/>
      <w:lvlText w:val=""/>
      <w:lvlJc w:val="left"/>
      <w:pPr>
        <w:ind w:left="360" w:hanging="360"/>
      </w:pPr>
      <w:rPr>
        <w:rFonts w:ascii="Wingdings" w:hAnsi="Wingdings" w:hint="default"/>
        <w:color w:val="00B05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nsid w:val="252C38D6"/>
    <w:multiLevelType w:val="hybridMultilevel"/>
    <w:tmpl w:val="39D8A3FC"/>
    <w:lvl w:ilvl="0" w:tplc="0809000F">
      <w:start w:val="1"/>
      <w:numFmt w:val="decimal"/>
      <w:lvlText w:val="%1."/>
      <w:lvlJc w:val="left"/>
      <w:pPr>
        <w:ind w:left="720" w:hanging="360"/>
      </w:pPr>
    </w:lvl>
    <w:lvl w:ilvl="1" w:tplc="B778FB24">
      <w:start w:val="1"/>
      <w:numFmt w:val="decimal"/>
      <w:lvlText w:val="(%2)"/>
      <w:lvlJc w:val="left"/>
      <w:pPr>
        <w:ind w:left="644"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72B4D9D"/>
    <w:multiLevelType w:val="hybridMultilevel"/>
    <w:tmpl w:val="49968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9363500"/>
    <w:multiLevelType w:val="hybridMultilevel"/>
    <w:tmpl w:val="1B644E9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5">
    <w:nsid w:val="296542E8"/>
    <w:multiLevelType w:val="hybridMultilevel"/>
    <w:tmpl w:val="1DB05F1A"/>
    <w:lvl w:ilvl="0" w:tplc="349E1C2A">
      <w:start w:val="1"/>
      <w:numFmt w:val="decimal"/>
      <w:lvlText w:val="%1."/>
      <w:lvlJc w:val="left"/>
      <w:pPr>
        <w:ind w:left="36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9">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0">
    <w:nsid w:val="2EF06172"/>
    <w:multiLevelType w:val="hybridMultilevel"/>
    <w:tmpl w:val="1BF60D2A"/>
    <w:lvl w:ilvl="0" w:tplc="08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F65430"/>
    <w:multiLevelType w:val="hybridMultilevel"/>
    <w:tmpl w:val="F2204314"/>
    <w:lvl w:ilvl="0" w:tplc="3D0C4376">
      <w:start w:val="1"/>
      <w:numFmt w:val="bullet"/>
      <w:lvlText w:val=""/>
      <w:lvlJc w:val="left"/>
      <w:pPr>
        <w:ind w:left="360" w:hanging="360"/>
      </w:pPr>
      <w:rPr>
        <w:rFonts w:ascii="Wingdings" w:hAnsi="Wingdings" w:hint="default"/>
        <w:color w:val="00B05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nsid w:val="31BD5688"/>
    <w:multiLevelType w:val="hybridMultilevel"/>
    <w:tmpl w:val="BCB88E72"/>
    <w:lvl w:ilvl="0" w:tplc="F760AA9C">
      <w:start w:val="1"/>
      <w:numFmt w:val="bullet"/>
      <w:lvlText w:val=""/>
      <w:lvlPicBulletId w:val="6"/>
      <w:lvlJc w:val="left"/>
      <w:pPr>
        <w:tabs>
          <w:tab w:val="num" w:pos="720"/>
        </w:tabs>
        <w:ind w:left="720" w:hanging="360"/>
      </w:pPr>
      <w:rPr>
        <w:rFonts w:ascii="Symbol" w:hAnsi="Symbol" w:hint="default"/>
        <w:color w:val="auto"/>
      </w:rPr>
    </w:lvl>
    <w:lvl w:ilvl="1" w:tplc="A192CBF4">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33394D0B"/>
    <w:multiLevelType w:val="hybridMultilevel"/>
    <w:tmpl w:val="BA26B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38832EF"/>
    <w:multiLevelType w:val="multilevel"/>
    <w:tmpl w:val="4A040AEA"/>
    <w:styleLink w:val="BulletEU"/>
    <w:lvl w:ilvl="0">
      <w:start w:val="1"/>
      <w:numFmt w:val="bullet"/>
      <w:lvlText w:val=""/>
      <w:lvlPicBulletId w:val="0"/>
      <w:lvlJc w:val="left"/>
      <w:pPr>
        <w:tabs>
          <w:tab w:val="num" w:pos="360"/>
        </w:tabs>
        <w:ind w:left="680" w:hanging="226"/>
      </w:pPr>
      <w:rPr>
        <w:rFonts w:ascii="Arial" w:hAnsi="Arial" w:hint="default"/>
        <w:color w:val="auto"/>
      </w:rPr>
    </w:lvl>
    <w:lvl w:ilvl="1">
      <w:start w:val="1"/>
      <w:numFmt w:val="bullet"/>
      <w:lvlText w:val=""/>
      <w:lvlPicBulletId w:val="1"/>
      <w:lvlJc w:val="left"/>
      <w:pPr>
        <w:tabs>
          <w:tab w:val="num" w:pos="1040"/>
        </w:tabs>
        <w:ind w:left="1360" w:hanging="226"/>
      </w:pPr>
      <w:rPr>
        <w:rFonts w:ascii="Symbol" w:hAnsi="Symbol" w:hint="default"/>
        <w:color w:val="auto"/>
      </w:rPr>
    </w:lvl>
    <w:lvl w:ilvl="2">
      <w:start w:val="1"/>
      <w:numFmt w:val="bullet"/>
      <w:lvlText w:val=""/>
      <w:lvlPicBulletId w:val="2"/>
      <w:lvlJc w:val="left"/>
      <w:pPr>
        <w:tabs>
          <w:tab w:val="num" w:pos="1720"/>
        </w:tabs>
        <w:ind w:left="2040" w:hanging="226"/>
      </w:pPr>
      <w:rPr>
        <w:rFonts w:ascii="Symbol" w:hAnsi="Symbol" w:hint="default"/>
        <w:color w:val="auto"/>
      </w:rPr>
    </w:lvl>
    <w:lvl w:ilvl="3">
      <w:start w:val="1"/>
      <w:numFmt w:val="bullet"/>
      <w:lvlText w:val=""/>
      <w:lvlPicBulletId w:val="3"/>
      <w:lvlJc w:val="left"/>
      <w:pPr>
        <w:tabs>
          <w:tab w:val="num" w:pos="2400"/>
        </w:tabs>
        <w:ind w:left="2720" w:hanging="226"/>
      </w:pPr>
      <w:rPr>
        <w:rFonts w:ascii="Symbol" w:hAnsi="Symbol" w:hint="default"/>
        <w:color w:val="auto"/>
      </w:rPr>
    </w:lvl>
    <w:lvl w:ilvl="4">
      <w:start w:val="1"/>
      <w:numFmt w:val="bullet"/>
      <w:lvlText w:val=""/>
      <w:lvlPicBulletId w:val="4"/>
      <w:lvlJc w:val="left"/>
      <w:pPr>
        <w:tabs>
          <w:tab w:val="num" w:pos="3080"/>
        </w:tabs>
        <w:ind w:left="3400" w:hanging="226"/>
      </w:pPr>
      <w:rPr>
        <w:rFonts w:ascii="Symbol" w:hAnsi="Symbol" w:hint="default"/>
        <w:color w:val="auto"/>
      </w:rPr>
    </w:lvl>
    <w:lvl w:ilvl="5">
      <w:start w:val="1"/>
      <w:numFmt w:val="bullet"/>
      <w:lvlText w:val=""/>
      <w:lvlPicBulletId w:val="5"/>
      <w:lvlJc w:val="left"/>
      <w:pPr>
        <w:tabs>
          <w:tab w:val="num" w:pos="3760"/>
        </w:tabs>
        <w:ind w:left="4080" w:hanging="226"/>
      </w:pPr>
      <w:rPr>
        <w:rFonts w:ascii="Symbol" w:hAnsi="Symbol" w:hint="default"/>
        <w:color w:val="auto"/>
      </w:rPr>
    </w:lvl>
    <w:lvl w:ilvl="6">
      <w:start w:val="1"/>
      <w:numFmt w:val="bullet"/>
      <w:lvlText w:val=""/>
      <w:lvlJc w:val="left"/>
      <w:pPr>
        <w:tabs>
          <w:tab w:val="num" w:pos="4440"/>
        </w:tabs>
        <w:ind w:left="4760" w:hanging="226"/>
      </w:pPr>
      <w:rPr>
        <w:rFonts w:ascii="Symbol" w:hAnsi="Symbol" w:hint="default"/>
      </w:rPr>
    </w:lvl>
    <w:lvl w:ilvl="7">
      <w:start w:val="1"/>
      <w:numFmt w:val="bullet"/>
      <w:lvlText w:val="o"/>
      <w:lvlJc w:val="left"/>
      <w:pPr>
        <w:tabs>
          <w:tab w:val="num" w:pos="5120"/>
        </w:tabs>
        <w:ind w:left="5440" w:hanging="226"/>
      </w:pPr>
      <w:rPr>
        <w:rFonts w:ascii="Courier New" w:hAnsi="Courier New" w:cs="Courier New" w:hint="default"/>
      </w:rPr>
    </w:lvl>
    <w:lvl w:ilvl="8">
      <w:start w:val="1"/>
      <w:numFmt w:val="bullet"/>
      <w:lvlText w:val=""/>
      <w:lvlJc w:val="left"/>
      <w:pPr>
        <w:tabs>
          <w:tab w:val="num" w:pos="5800"/>
        </w:tabs>
        <w:ind w:left="6120" w:hanging="226"/>
      </w:pPr>
      <w:rPr>
        <w:rFonts w:ascii="Wingdings" w:hAnsi="Wingdings" w:hint="default"/>
      </w:rPr>
    </w:lvl>
  </w:abstractNum>
  <w:abstractNum w:abstractNumId="4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4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36F63817"/>
    <w:multiLevelType w:val="hybridMultilevel"/>
    <w:tmpl w:val="B082E262"/>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9801475"/>
    <w:multiLevelType w:val="multilevel"/>
    <w:tmpl w:val="321482F0"/>
    <w:styleLink w:val="NumbLstBTBullet1"/>
    <w:lvl w:ilvl="0">
      <w:start w:val="1"/>
      <w:numFmt w:val="bullet"/>
      <w:lvlText w:val=""/>
      <w:lvlJc w:val="left"/>
      <w:pPr>
        <w:tabs>
          <w:tab w:val="num" w:pos="1191"/>
        </w:tabs>
        <w:ind w:left="1191" w:hanging="340"/>
      </w:pPr>
      <w:rPr>
        <w:rFonts w:ascii="Symbol" w:hAnsi="Symbol" w:hint="default"/>
        <w:color w:val="0067AC"/>
      </w:rPr>
    </w:lvl>
    <w:lvl w:ilvl="1">
      <w:start w:val="1"/>
      <w:numFmt w:val="bullet"/>
      <w:lvlText w:val="–"/>
      <w:lvlJc w:val="left"/>
      <w:pPr>
        <w:tabs>
          <w:tab w:val="num" w:pos="1531"/>
        </w:tabs>
        <w:ind w:left="1531" w:hanging="340"/>
      </w:pPr>
      <w:rPr>
        <w:rFonts w:ascii="Arial" w:hAnsi="Arial" w:hint="default"/>
        <w:color w:val="0067AC"/>
      </w:rPr>
    </w:lvl>
    <w:lvl w:ilvl="2">
      <w:start w:val="1"/>
      <w:numFmt w:val="bullet"/>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4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50">
    <w:nsid w:val="3C1A6BA6"/>
    <w:multiLevelType w:val="hybridMultilevel"/>
    <w:tmpl w:val="0918629A"/>
    <w:styleLink w:val="NumbLstBTBullet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E144406"/>
    <w:multiLevelType w:val="multilevel"/>
    <w:tmpl w:val="85BCEBDA"/>
    <w:styleLink w:val="NumbLstBullet"/>
    <w:lvl w:ilvl="0">
      <w:start w:val="1"/>
      <w:numFmt w:val="bullet"/>
      <w:lvlText w:val="■"/>
      <w:lvlJc w:val="left"/>
      <w:pPr>
        <w:tabs>
          <w:tab w:val="num" w:pos="340"/>
        </w:tabs>
        <w:ind w:left="340" w:hanging="340"/>
      </w:pPr>
      <w:rPr>
        <w:rFonts w:ascii="Arial" w:hAnsi="Arial" w:hint="default"/>
        <w:color w:val="0067AC"/>
        <w:sz w:val="18"/>
      </w:rPr>
    </w:lvl>
    <w:lvl w:ilvl="1">
      <w:start w:val="1"/>
      <w:numFmt w:val="bullet"/>
      <w:lvlText w:val="–"/>
      <w:lvlJc w:val="left"/>
      <w:pPr>
        <w:tabs>
          <w:tab w:val="num" w:pos="680"/>
        </w:tabs>
        <w:ind w:left="680" w:hanging="340"/>
      </w:pPr>
      <w:rPr>
        <w:rFonts w:ascii="Arial" w:hAnsi="Arial" w:hint="default"/>
        <w:color w:val="0067AC"/>
      </w:rPr>
    </w:lvl>
    <w:lvl w:ilvl="2">
      <w:start w:val="1"/>
      <w:numFmt w:val="bullet"/>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52">
    <w:nsid w:val="3EB607DE"/>
    <w:multiLevelType w:val="hybridMultilevel"/>
    <w:tmpl w:val="E53A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EE04FB4"/>
    <w:multiLevelType w:val="hybridMultilevel"/>
    <w:tmpl w:val="F6EE9CCA"/>
    <w:lvl w:ilvl="0" w:tplc="349E1C2A">
      <w:start w:val="1"/>
      <w:numFmt w:val="decimal"/>
      <w:lvlText w:val="%1."/>
      <w:lvlJc w:val="left"/>
      <w:pPr>
        <w:ind w:left="360" w:hanging="360"/>
      </w:pPr>
      <w:rPr>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3F1F4E45"/>
    <w:multiLevelType w:val="hybridMultilevel"/>
    <w:tmpl w:val="CCAC6D90"/>
    <w:lvl w:ilvl="0" w:tplc="F760AA9C">
      <w:start w:val="1"/>
      <w:numFmt w:val="bullet"/>
      <w:lvlText w:val=""/>
      <w:lvlPicBulletId w:val="6"/>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3F5C7292"/>
    <w:multiLevelType w:val="hybridMultilevel"/>
    <w:tmpl w:val="1974BDFA"/>
    <w:lvl w:ilvl="0" w:tplc="FFFFFFFF">
      <w:start w:val="1"/>
      <w:numFmt w:val="bullet"/>
      <w:pStyle w:val="Bullet"/>
      <w:lvlText w:val=""/>
      <w:lvlJc w:val="left"/>
      <w:pPr>
        <w:tabs>
          <w:tab w:val="num" w:pos="1264"/>
        </w:tabs>
        <w:ind w:left="1267" w:hanging="360"/>
      </w:pPr>
      <w:rPr>
        <w:rFonts w:ascii="Wingdings" w:hAnsi="Wingdings" w:hint="default"/>
      </w:rPr>
    </w:lvl>
    <w:lvl w:ilvl="1" w:tplc="FFFFFFFF">
      <w:start w:val="1"/>
      <w:numFmt w:val="bullet"/>
      <w:lvlText w:val="o"/>
      <w:lvlJc w:val="left"/>
      <w:pPr>
        <w:tabs>
          <w:tab w:val="num" w:pos="2347"/>
        </w:tabs>
        <w:ind w:left="2347" w:hanging="360"/>
      </w:pPr>
      <w:rPr>
        <w:rFonts w:ascii="Courier New" w:hAnsi="Courier New" w:hint="default"/>
      </w:rPr>
    </w:lvl>
    <w:lvl w:ilvl="2" w:tplc="FFFFFFFF" w:tentative="1">
      <w:start w:val="1"/>
      <w:numFmt w:val="bullet"/>
      <w:lvlText w:val=""/>
      <w:lvlJc w:val="left"/>
      <w:pPr>
        <w:tabs>
          <w:tab w:val="num" w:pos="3067"/>
        </w:tabs>
        <w:ind w:left="3067" w:hanging="360"/>
      </w:pPr>
      <w:rPr>
        <w:rFonts w:ascii="Wingdings" w:hAnsi="Wingdings" w:hint="default"/>
      </w:rPr>
    </w:lvl>
    <w:lvl w:ilvl="3" w:tplc="FFFFFFFF" w:tentative="1">
      <w:start w:val="1"/>
      <w:numFmt w:val="bullet"/>
      <w:lvlText w:val=""/>
      <w:lvlJc w:val="left"/>
      <w:pPr>
        <w:tabs>
          <w:tab w:val="num" w:pos="3787"/>
        </w:tabs>
        <w:ind w:left="3787" w:hanging="360"/>
      </w:pPr>
      <w:rPr>
        <w:rFonts w:ascii="Symbol" w:hAnsi="Symbol" w:hint="default"/>
      </w:rPr>
    </w:lvl>
    <w:lvl w:ilvl="4" w:tplc="FFFFFFFF" w:tentative="1">
      <w:start w:val="1"/>
      <w:numFmt w:val="bullet"/>
      <w:lvlText w:val="o"/>
      <w:lvlJc w:val="left"/>
      <w:pPr>
        <w:tabs>
          <w:tab w:val="num" w:pos="4507"/>
        </w:tabs>
        <w:ind w:left="4507" w:hanging="360"/>
      </w:pPr>
      <w:rPr>
        <w:rFonts w:ascii="Courier New" w:hAnsi="Courier New" w:hint="default"/>
      </w:rPr>
    </w:lvl>
    <w:lvl w:ilvl="5" w:tplc="FFFFFFFF" w:tentative="1">
      <w:start w:val="1"/>
      <w:numFmt w:val="bullet"/>
      <w:lvlText w:val=""/>
      <w:lvlJc w:val="left"/>
      <w:pPr>
        <w:tabs>
          <w:tab w:val="num" w:pos="5227"/>
        </w:tabs>
        <w:ind w:left="5227" w:hanging="360"/>
      </w:pPr>
      <w:rPr>
        <w:rFonts w:ascii="Wingdings" w:hAnsi="Wingdings" w:hint="default"/>
      </w:rPr>
    </w:lvl>
    <w:lvl w:ilvl="6" w:tplc="FFFFFFFF" w:tentative="1">
      <w:start w:val="1"/>
      <w:numFmt w:val="bullet"/>
      <w:lvlText w:val=""/>
      <w:lvlJc w:val="left"/>
      <w:pPr>
        <w:tabs>
          <w:tab w:val="num" w:pos="5947"/>
        </w:tabs>
        <w:ind w:left="5947" w:hanging="360"/>
      </w:pPr>
      <w:rPr>
        <w:rFonts w:ascii="Symbol" w:hAnsi="Symbol" w:hint="default"/>
      </w:rPr>
    </w:lvl>
    <w:lvl w:ilvl="7" w:tplc="FFFFFFFF" w:tentative="1">
      <w:start w:val="1"/>
      <w:numFmt w:val="bullet"/>
      <w:lvlText w:val="o"/>
      <w:lvlJc w:val="left"/>
      <w:pPr>
        <w:tabs>
          <w:tab w:val="num" w:pos="6667"/>
        </w:tabs>
        <w:ind w:left="6667" w:hanging="360"/>
      </w:pPr>
      <w:rPr>
        <w:rFonts w:ascii="Courier New" w:hAnsi="Courier New" w:hint="default"/>
      </w:rPr>
    </w:lvl>
    <w:lvl w:ilvl="8" w:tplc="FFFFFFFF" w:tentative="1">
      <w:start w:val="1"/>
      <w:numFmt w:val="bullet"/>
      <w:lvlText w:val=""/>
      <w:lvlJc w:val="left"/>
      <w:pPr>
        <w:tabs>
          <w:tab w:val="num" w:pos="7387"/>
        </w:tabs>
        <w:ind w:left="7387" w:hanging="360"/>
      </w:pPr>
      <w:rPr>
        <w:rFonts w:ascii="Wingdings" w:hAnsi="Wingdings" w:hint="default"/>
      </w:rPr>
    </w:lvl>
  </w:abstractNum>
  <w:abstractNum w:abstractNumId="56">
    <w:nsid w:val="41DF54E6"/>
    <w:multiLevelType w:val="hybridMultilevel"/>
    <w:tmpl w:val="FDC2C0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8">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9">
    <w:nsid w:val="44ED7A42"/>
    <w:multiLevelType w:val="hybridMultilevel"/>
    <w:tmpl w:val="00423CE0"/>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6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62">
    <w:nsid w:val="48A06C76"/>
    <w:multiLevelType w:val="hybridMultilevel"/>
    <w:tmpl w:val="5DEC97AA"/>
    <w:lvl w:ilvl="0" w:tplc="08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497C5E09"/>
    <w:multiLevelType w:val="multilevel"/>
    <w:tmpl w:val="E7FC4010"/>
    <w:styleLink w:val="NumbLstTableBullet"/>
    <w:lvl w:ilvl="0">
      <w:start w:val="1"/>
      <w:numFmt w:val="bullet"/>
      <w:pStyle w:val="TableBullet"/>
      <w:lvlText w:val="■"/>
      <w:lvlJc w:val="left"/>
      <w:pPr>
        <w:tabs>
          <w:tab w:val="num" w:pos="397"/>
        </w:tabs>
        <w:ind w:left="397" w:hanging="340"/>
      </w:pPr>
      <w:rPr>
        <w:rFonts w:ascii="Arial" w:hAnsi="Arial" w:cs="Arial" w:hint="default"/>
        <w:color w:val="0067AC"/>
      </w:rPr>
    </w:lvl>
    <w:lvl w:ilvl="1">
      <w:start w:val="1"/>
      <w:numFmt w:val="bullet"/>
      <w:lvlText w:val="–"/>
      <w:lvlJc w:val="left"/>
      <w:pPr>
        <w:tabs>
          <w:tab w:val="num" w:pos="737"/>
        </w:tabs>
        <w:ind w:left="737" w:hanging="340"/>
      </w:pPr>
      <w:rPr>
        <w:rFonts w:ascii="Arial" w:hAnsi="Arial" w:cs="Arial" w:hint="default"/>
        <w:color w:val="1F497D"/>
      </w:rPr>
    </w:lvl>
    <w:lvl w:ilvl="2">
      <w:start w:val="1"/>
      <w:numFmt w:val="bullet"/>
      <w:lvlText w:val="○"/>
      <w:lvlJc w:val="left"/>
      <w:pPr>
        <w:tabs>
          <w:tab w:val="num" w:pos="1077"/>
        </w:tabs>
        <w:ind w:left="1077" w:hanging="340"/>
      </w:pPr>
      <w:rPr>
        <w:rFonts w:ascii="Arial" w:hAnsi="Arial" w:cs="Arial" w:hint="default"/>
        <w:color w:val="1F497D"/>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64">
    <w:nsid w:val="49DC479C"/>
    <w:multiLevelType w:val="hybridMultilevel"/>
    <w:tmpl w:val="C52EEE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F7A3C4A"/>
    <w:multiLevelType w:val="hybridMultilevel"/>
    <w:tmpl w:val="694AC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FA7122E"/>
    <w:multiLevelType w:val="hybridMultilevel"/>
    <w:tmpl w:val="47864FEA"/>
    <w:lvl w:ilvl="0" w:tplc="3D0C4376">
      <w:start w:val="1"/>
      <w:numFmt w:val="bullet"/>
      <w:lvlText w:val=""/>
      <w:lvlJc w:val="left"/>
      <w:pPr>
        <w:ind w:left="360" w:hanging="360"/>
      </w:pPr>
      <w:rPr>
        <w:rFonts w:ascii="Wingdings" w:hAnsi="Wingdings" w:hint="default"/>
        <w:color w:val="00B05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7">
    <w:nsid w:val="504936E5"/>
    <w:multiLevelType w:val="multilevel"/>
    <w:tmpl w:val="4EAA5BA6"/>
    <w:numStyleLink w:val="NumbLstBTBullet"/>
  </w:abstractNum>
  <w:abstractNum w:abstractNumId="68">
    <w:nsid w:val="51821DC2"/>
    <w:multiLevelType w:val="hybridMultilevel"/>
    <w:tmpl w:val="AA7CF3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70">
    <w:nsid w:val="556E1D63"/>
    <w:multiLevelType w:val="singleLevel"/>
    <w:tmpl w:val="493AAFF0"/>
    <w:name w:val="Bullet 4"/>
    <w:styleLink w:val="BulletEU1"/>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1">
    <w:nsid w:val="585F058A"/>
    <w:multiLevelType w:val="hybridMultilevel"/>
    <w:tmpl w:val="4C6AEF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A134F14"/>
    <w:multiLevelType w:val="hybridMultilevel"/>
    <w:tmpl w:val="1DB05F1A"/>
    <w:lvl w:ilvl="0" w:tplc="349E1C2A">
      <w:start w:val="1"/>
      <w:numFmt w:val="decimal"/>
      <w:lvlText w:val="%1."/>
      <w:lvlJc w:val="left"/>
      <w:pPr>
        <w:ind w:left="36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A786CF8"/>
    <w:multiLevelType w:val="hybridMultilevel"/>
    <w:tmpl w:val="54D603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75">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76">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78">
    <w:nsid w:val="5FEF1F2B"/>
    <w:multiLevelType w:val="hybridMultilevel"/>
    <w:tmpl w:val="D3C841CA"/>
    <w:styleLink w:val="NumbLstBullet1"/>
    <w:lvl w:ilvl="0" w:tplc="08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80">
    <w:nsid w:val="61FA7335"/>
    <w:multiLevelType w:val="hybridMultilevel"/>
    <w:tmpl w:val="65BC624E"/>
    <w:lvl w:ilvl="0" w:tplc="0809000D">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82">
    <w:nsid w:val="62854AC5"/>
    <w:multiLevelType w:val="hybridMultilevel"/>
    <w:tmpl w:val="2FA8989C"/>
    <w:lvl w:ilvl="0" w:tplc="FD7283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nsid w:val="63D65142"/>
    <w:multiLevelType w:val="hybridMultilevel"/>
    <w:tmpl w:val="37E6D69A"/>
    <w:lvl w:ilvl="0" w:tplc="08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4572EA3"/>
    <w:multiLevelType w:val="hybridMultilevel"/>
    <w:tmpl w:val="0866B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64596592"/>
    <w:multiLevelType w:val="hybridMultilevel"/>
    <w:tmpl w:val="ACE07F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nsid w:val="65041D85"/>
    <w:multiLevelType w:val="hybridMultilevel"/>
    <w:tmpl w:val="5FC6827A"/>
    <w:lvl w:ilvl="0" w:tplc="FD7283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nsid w:val="66824E5D"/>
    <w:multiLevelType w:val="hybridMultilevel"/>
    <w:tmpl w:val="374E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68F3A4A"/>
    <w:multiLevelType w:val="multilevel"/>
    <w:tmpl w:val="EB7A4D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9">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90">
    <w:nsid w:val="68C87F1B"/>
    <w:multiLevelType w:val="hybridMultilevel"/>
    <w:tmpl w:val="090A0E3A"/>
    <w:lvl w:ilvl="0" w:tplc="F760AA9C">
      <w:start w:val="1"/>
      <w:numFmt w:val="bullet"/>
      <w:lvlText w:val=""/>
      <w:lvlPicBulletId w:val="6"/>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nsid w:val="68DE5947"/>
    <w:multiLevelType w:val="hybridMultilevel"/>
    <w:tmpl w:val="D194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92739B7"/>
    <w:multiLevelType w:val="hybridMultilevel"/>
    <w:tmpl w:val="09FA162A"/>
    <w:lvl w:ilvl="0" w:tplc="7D00D2C6">
      <w:start w:val="1"/>
      <w:numFmt w:val="bullet"/>
      <w:lvlText w:val=""/>
      <w:lvlPicBulletId w:val="6"/>
      <w:lvlJc w:val="left"/>
      <w:pPr>
        <w:ind w:left="720" w:hanging="360"/>
      </w:pPr>
      <w:rPr>
        <w:rFonts w:ascii="Symbol" w:hAnsi="Symbol" w:hint="default"/>
        <w:color w:val="auto"/>
      </w:rPr>
    </w:lvl>
    <w:lvl w:ilvl="1" w:tplc="98ACA012">
      <w:numFmt w:val="bullet"/>
      <w:lvlText w:val="•"/>
      <w:lvlJc w:val="left"/>
      <w:pPr>
        <w:ind w:left="1800" w:hanging="720"/>
      </w:pPr>
      <w:rPr>
        <w:rFonts w:ascii="Arial" w:eastAsia="Times"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nsid w:val="69C02722"/>
    <w:multiLevelType w:val="hybridMultilevel"/>
    <w:tmpl w:val="0E567AF6"/>
    <w:lvl w:ilvl="0" w:tplc="F760AA9C">
      <w:start w:val="1"/>
      <w:numFmt w:val="bullet"/>
      <w:lvlText w:val=""/>
      <w:lvlPicBulletId w:val="6"/>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6ACE3FE8"/>
    <w:multiLevelType w:val="hybridMultilevel"/>
    <w:tmpl w:val="CA1C2D94"/>
    <w:styleLink w:val="NumbLstTableBulle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B114475"/>
    <w:multiLevelType w:val="hybridMultilevel"/>
    <w:tmpl w:val="5FC6827A"/>
    <w:lvl w:ilvl="0" w:tplc="FD7283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nsid w:val="6C44477F"/>
    <w:multiLevelType w:val="hybridMultilevel"/>
    <w:tmpl w:val="31E20B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DAD50D9"/>
    <w:multiLevelType w:val="hybridMultilevel"/>
    <w:tmpl w:val="CFA68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99">
    <w:nsid w:val="6ED950A6"/>
    <w:multiLevelType w:val="hybridMultilevel"/>
    <w:tmpl w:val="68727560"/>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0">
    <w:nsid w:val="6F333E15"/>
    <w:multiLevelType w:val="hybridMultilevel"/>
    <w:tmpl w:val="25CAF98E"/>
    <w:styleLink w:val="NumbLstMain1"/>
    <w:lvl w:ilvl="0" w:tplc="08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F5D14DF"/>
    <w:multiLevelType w:val="hybridMultilevel"/>
    <w:tmpl w:val="2F8A3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nsid w:val="72CA7362"/>
    <w:multiLevelType w:val="hybridMultilevel"/>
    <w:tmpl w:val="6A8E6B32"/>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4">
    <w:nsid w:val="747B6940"/>
    <w:multiLevelType w:val="hybridMultilevel"/>
    <w:tmpl w:val="2B4C5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4BD3BF2"/>
    <w:multiLevelType w:val="hybridMultilevel"/>
    <w:tmpl w:val="D6701012"/>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5981274"/>
    <w:multiLevelType w:val="hybridMultilevel"/>
    <w:tmpl w:val="A410A168"/>
    <w:lvl w:ilvl="0" w:tplc="0E0C4BB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7">
    <w:nsid w:val="75E2374C"/>
    <w:multiLevelType w:val="hybridMultilevel"/>
    <w:tmpl w:val="4D2C1A7C"/>
    <w:lvl w:ilvl="0" w:tplc="3D0C4376">
      <w:start w:val="1"/>
      <w:numFmt w:val="bullet"/>
      <w:lvlText w:val=""/>
      <w:lvlJc w:val="left"/>
      <w:pPr>
        <w:ind w:left="360" w:hanging="360"/>
      </w:pPr>
      <w:rPr>
        <w:rFonts w:ascii="Wingdings" w:hAnsi="Wingdings" w:hint="default"/>
        <w:color w:val="00B05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8">
    <w:nsid w:val="76A26850"/>
    <w:multiLevelType w:val="hybridMultilevel"/>
    <w:tmpl w:val="4A3E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72C14E5"/>
    <w:multiLevelType w:val="hybridMultilevel"/>
    <w:tmpl w:val="950435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77E90534"/>
    <w:multiLevelType w:val="hybridMultilevel"/>
    <w:tmpl w:val="9F8C2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9225A09"/>
    <w:multiLevelType w:val="hybridMultilevel"/>
    <w:tmpl w:val="8974A894"/>
    <w:lvl w:ilvl="0" w:tplc="B878728C">
      <w:start w:val="1"/>
      <w:numFmt w:val="upperLetter"/>
      <w:pStyle w:val="AnnexChapter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BC21584"/>
    <w:multiLevelType w:val="hybridMultilevel"/>
    <w:tmpl w:val="099C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14">
    <w:nsid w:val="7DCD6F56"/>
    <w:multiLevelType w:val="hybridMultilevel"/>
    <w:tmpl w:val="CEF8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E987116"/>
    <w:multiLevelType w:val="hybridMultilevel"/>
    <w:tmpl w:val="62EED654"/>
    <w:lvl w:ilvl="0" w:tplc="3D0C4376">
      <w:start w:val="1"/>
      <w:numFmt w:val="bullet"/>
      <w:lvlText w:val=""/>
      <w:lvlJc w:val="left"/>
      <w:pPr>
        <w:ind w:left="360" w:hanging="360"/>
      </w:pPr>
      <w:rPr>
        <w:rFonts w:ascii="Wingdings" w:hAnsi="Wingdings" w:hint="default"/>
        <w:color w:val="00B05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
    <w:nsid w:val="7F4E2C0A"/>
    <w:multiLevelType w:val="hybridMultilevel"/>
    <w:tmpl w:val="7E645AB4"/>
    <w:lvl w:ilvl="0" w:tplc="F760AA9C">
      <w:start w:val="1"/>
      <w:numFmt w:val="bullet"/>
      <w:lvlText w:val=""/>
      <w:lvlPicBulletId w:val="6"/>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0"/>
  </w:num>
  <w:num w:numId="2">
    <w:abstractNumId w:val="88"/>
  </w:num>
  <w:num w:numId="3">
    <w:abstractNumId w:val="105"/>
  </w:num>
  <w:num w:numId="4">
    <w:abstractNumId w:val="71"/>
  </w:num>
  <w:num w:numId="5">
    <w:abstractNumId w:val="22"/>
  </w:num>
  <w:num w:numId="6">
    <w:abstractNumId w:val="40"/>
  </w:num>
  <w:num w:numId="7">
    <w:abstractNumId w:val="83"/>
  </w:num>
  <w:num w:numId="8">
    <w:abstractNumId w:val="96"/>
  </w:num>
  <w:num w:numId="9">
    <w:abstractNumId w:val="104"/>
  </w:num>
  <w:num w:numId="10">
    <w:abstractNumId w:val="19"/>
  </w:num>
  <w:num w:numId="11">
    <w:abstractNumId w:val="15"/>
  </w:num>
  <w:num w:numId="12">
    <w:abstractNumId w:val="84"/>
  </w:num>
  <w:num w:numId="13">
    <w:abstractNumId w:val="24"/>
  </w:num>
  <w:num w:numId="14">
    <w:abstractNumId w:val="110"/>
  </w:num>
  <w:num w:numId="15">
    <w:abstractNumId w:val="62"/>
  </w:num>
  <w:num w:numId="16">
    <w:abstractNumId w:val="52"/>
  </w:num>
  <w:num w:numId="17">
    <w:abstractNumId w:val="78"/>
  </w:num>
  <w:num w:numId="18">
    <w:abstractNumId w:val="94"/>
  </w:num>
  <w:num w:numId="19">
    <w:abstractNumId w:val="13"/>
  </w:num>
  <w:num w:numId="20">
    <w:abstractNumId w:val="21"/>
  </w:num>
  <w:num w:numId="21">
    <w:abstractNumId w:val="14"/>
  </w:num>
  <w:num w:numId="22">
    <w:abstractNumId w:val="100"/>
  </w:num>
  <w:num w:numId="23">
    <w:abstractNumId w:val="47"/>
  </w:num>
  <w:num w:numId="24">
    <w:abstractNumId w:val="64"/>
  </w:num>
  <w:num w:numId="25">
    <w:abstractNumId w:val="56"/>
  </w:num>
  <w:num w:numId="26">
    <w:abstractNumId w:val="101"/>
  </w:num>
  <w:num w:numId="27">
    <w:abstractNumId w:val="1"/>
  </w:num>
  <w:num w:numId="28">
    <w:abstractNumId w:val="0"/>
  </w:num>
  <w:num w:numId="29">
    <w:abstractNumId w:val="36"/>
  </w:num>
  <w:num w:numId="30">
    <w:abstractNumId w:val="49"/>
  </w:num>
  <w:num w:numId="31">
    <w:abstractNumId w:val="81"/>
  </w:num>
  <w:num w:numId="32">
    <w:abstractNumId w:val="98"/>
  </w:num>
  <w:num w:numId="33">
    <w:abstractNumId w:val="45"/>
  </w:num>
  <w:num w:numId="34">
    <w:abstractNumId w:val="79"/>
  </w:num>
  <w:num w:numId="35">
    <w:abstractNumId w:val="77"/>
  </w:num>
  <w:num w:numId="36">
    <w:abstractNumId w:val="61"/>
  </w:num>
  <w:num w:numId="37">
    <w:abstractNumId w:val="69"/>
  </w:num>
  <w:num w:numId="38">
    <w:abstractNumId w:val="30"/>
  </w:num>
  <w:num w:numId="39">
    <w:abstractNumId w:val="46"/>
  </w:num>
  <w:num w:numId="40">
    <w:abstractNumId w:val="23"/>
  </w:num>
  <w:num w:numId="41">
    <w:abstractNumId w:val="37"/>
  </w:num>
  <w:num w:numId="42">
    <w:abstractNumId w:val="102"/>
  </w:num>
  <w:num w:numId="43">
    <w:abstractNumId w:val="9"/>
  </w:num>
  <w:num w:numId="44">
    <w:abstractNumId w:val="76"/>
  </w:num>
  <w:num w:numId="45">
    <w:abstractNumId w:val="57"/>
  </w:num>
  <w:num w:numId="46">
    <w:abstractNumId w:val="89"/>
  </w:num>
  <w:num w:numId="47">
    <w:abstractNumId w:val="39"/>
  </w:num>
  <w:num w:numId="48">
    <w:abstractNumId w:val="58"/>
  </w:num>
  <w:num w:numId="49">
    <w:abstractNumId w:val="25"/>
  </w:num>
  <w:num w:numId="50">
    <w:abstractNumId w:val="60"/>
  </w:num>
  <w:num w:numId="51">
    <w:abstractNumId w:val="74"/>
  </w:num>
  <w:num w:numId="52">
    <w:abstractNumId w:val="75"/>
  </w:num>
  <w:num w:numId="53">
    <w:abstractNumId w:val="38"/>
  </w:num>
  <w:num w:numId="54">
    <w:abstractNumId w:val="70"/>
  </w:num>
  <w:num w:numId="55">
    <w:abstractNumId w:val="113"/>
  </w:num>
  <w:num w:numId="56">
    <w:abstractNumId w:val="67"/>
  </w:num>
  <w:num w:numId="57">
    <w:abstractNumId w:val="55"/>
  </w:num>
  <w:num w:numId="58">
    <w:abstractNumId w:val="51"/>
  </w:num>
  <w:num w:numId="59">
    <w:abstractNumId w:val="63"/>
  </w:num>
  <w:num w:numId="60">
    <w:abstractNumId w:val="18"/>
  </w:num>
  <w:num w:numId="61">
    <w:abstractNumId w:val="80"/>
  </w:num>
  <w:num w:numId="62">
    <w:abstractNumId w:val="48"/>
  </w:num>
  <w:num w:numId="63">
    <w:abstractNumId w:val="4"/>
  </w:num>
  <w:num w:numId="64">
    <w:abstractNumId w:val="6"/>
  </w:num>
  <w:num w:numId="65">
    <w:abstractNumId w:val="65"/>
  </w:num>
  <w:num w:numId="66">
    <w:abstractNumId w:val="3"/>
  </w:num>
  <w:num w:numId="67">
    <w:abstractNumId w:val="87"/>
  </w:num>
  <w:num w:numId="68">
    <w:abstractNumId w:val="91"/>
  </w:num>
  <w:num w:numId="69">
    <w:abstractNumId w:val="16"/>
  </w:num>
  <w:num w:numId="70">
    <w:abstractNumId w:val="32"/>
  </w:num>
  <w:num w:numId="71">
    <w:abstractNumId w:val="68"/>
  </w:num>
  <w:num w:numId="72">
    <w:abstractNumId w:val="95"/>
  </w:num>
  <w:num w:numId="73">
    <w:abstractNumId w:val="107"/>
  </w:num>
  <w:num w:numId="74">
    <w:abstractNumId w:val="103"/>
  </w:num>
  <w:num w:numId="75">
    <w:abstractNumId w:val="66"/>
  </w:num>
  <w:num w:numId="76">
    <w:abstractNumId w:val="5"/>
  </w:num>
  <w:num w:numId="77">
    <w:abstractNumId w:val="11"/>
  </w:num>
  <w:num w:numId="78">
    <w:abstractNumId w:val="115"/>
  </w:num>
  <w:num w:numId="79">
    <w:abstractNumId w:val="99"/>
  </w:num>
  <w:num w:numId="80">
    <w:abstractNumId w:val="41"/>
  </w:num>
  <w:num w:numId="81">
    <w:abstractNumId w:val="20"/>
  </w:num>
  <w:num w:numId="82">
    <w:abstractNumId w:val="59"/>
  </w:num>
  <w:num w:numId="83">
    <w:abstractNumId w:val="31"/>
  </w:num>
  <w:num w:numId="84">
    <w:abstractNumId w:val="10"/>
  </w:num>
  <w:num w:numId="85">
    <w:abstractNumId w:val="43"/>
  </w:num>
  <w:num w:numId="86">
    <w:abstractNumId w:val="34"/>
  </w:num>
  <w:num w:numId="87">
    <w:abstractNumId w:val="44"/>
  </w:num>
  <w:num w:numId="88">
    <w:abstractNumId w:val="7"/>
  </w:num>
  <w:num w:numId="89">
    <w:abstractNumId w:val="109"/>
  </w:num>
  <w:num w:numId="90">
    <w:abstractNumId w:val="27"/>
  </w:num>
  <w:num w:numId="91">
    <w:abstractNumId w:val="97"/>
  </w:num>
  <w:num w:numId="92">
    <w:abstractNumId w:val="8"/>
  </w:num>
  <w:num w:numId="9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
  </w:num>
  <w:num w:numId="95">
    <w:abstractNumId w:val="112"/>
  </w:num>
  <w:num w:numId="96">
    <w:abstractNumId w:val="12"/>
  </w:num>
  <w:num w:numId="97">
    <w:abstractNumId w:val="114"/>
  </w:num>
  <w:num w:numId="98">
    <w:abstractNumId w:val="33"/>
  </w:num>
  <w:num w:numId="99">
    <w:abstractNumId w:val="72"/>
  </w:num>
  <w:num w:numId="100">
    <w:abstractNumId w:val="82"/>
  </w:num>
  <w:num w:numId="101">
    <w:abstractNumId w:val="86"/>
  </w:num>
  <w:num w:numId="102">
    <w:abstractNumId w:val="53"/>
  </w:num>
  <w:num w:numId="103">
    <w:abstractNumId w:val="85"/>
  </w:num>
  <w:num w:numId="104">
    <w:abstractNumId w:val="28"/>
  </w:num>
  <w:num w:numId="105">
    <w:abstractNumId w:val="35"/>
  </w:num>
  <w:num w:numId="106">
    <w:abstractNumId w:val="26"/>
  </w:num>
  <w:num w:numId="107">
    <w:abstractNumId w:val="111"/>
  </w:num>
  <w:num w:numId="108">
    <w:abstractNumId w:val="17"/>
  </w:num>
  <w:num w:numId="109">
    <w:abstractNumId w:val="73"/>
  </w:num>
  <w:num w:numId="110">
    <w:abstractNumId w:val="29"/>
  </w:num>
  <w:num w:numId="111">
    <w:abstractNumId w:val="54"/>
  </w:num>
  <w:num w:numId="112">
    <w:abstractNumId w:val="93"/>
  </w:num>
  <w:num w:numId="113">
    <w:abstractNumId w:val="90"/>
  </w:num>
  <w:num w:numId="114">
    <w:abstractNumId w:val="116"/>
  </w:num>
  <w:num w:numId="115">
    <w:abstractNumId w:val="92"/>
  </w:num>
  <w:num w:numId="116">
    <w:abstractNumId w:val="108"/>
  </w:num>
  <w:num w:numId="117">
    <w:abstractNumId w:val="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A30A0390FF3F4847A2C336CFD485138F"/>
    <w:docVar w:name="LW_CROSSREFERENCE" w:val="{COM(2017) 10 final}_x000b_{SWD(2017) 4 final}_x000b_{SWD(2017) 5 final}_x000b_{SWD(2017) 6 final}"/>
    <w:docVar w:name="LW_DocType" w:val="JRC_SCI_&amp;_POL_REP_COV_TEMPL_ONLINE"/>
    <w:docVar w:name="LW_EMISSION" w:val="10.1.2017"/>
    <w:docVar w:name="LW_EMISSION_ISODATE" w:val="2017-01-10"/>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concerning the respect for private life and the protection of personal data in electronic communications and repealing Directive 2002/58/EC (Regulation on Privacy and Electronic Communications)"/>
    <w:docVar w:name="LW_PART_NBR" w:val="3"/>
    <w:docVar w:name="LW_PART_NBR_TOTAL" w:val="3"/>
    <w:docVar w:name="LW_REF.INST.NEW" w:val="SWD"/>
    <w:docVar w:name="LW_REF.INST.NEW_ADOPTED" w:val="final"/>
    <w:docVar w:name="LW_REF.INST.NEW_TEXT" w:val="(2017) 3"/>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w:rsids>
    <w:rsidRoot w:val="00035C91"/>
    <w:rsid w:val="00035C91"/>
    <w:rsid w:val="006321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Bullet 2" w:qFormat="1"/>
    <w:lsdException w:name="List Bullet 3" w:qFormat="1"/>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lumns 1" w:uiPriority="0"/>
    <w:lsdException w:name="Table Columns 2"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pPr>
      <w:spacing w:before="120" w:after="120"/>
      <w:jc w:val="both"/>
    </w:pPr>
    <w:rPr>
      <w:rFonts w:ascii="Verdana" w:hAnsi="Verdana"/>
      <w:szCs w:val="24"/>
      <w:lang w:eastAsia="en-US"/>
    </w:rPr>
  </w:style>
  <w:style w:type="paragraph" w:styleId="Heading1">
    <w:name w:val="heading 1"/>
    <w:aliases w:val="F3 Heading 1 - Section,1.,h1,ITTHEADER1,(Section),Numbered - 1,Section,Chapter Hdg,CH TITLE 1,Chapter Heading,Titre 1,1,H1,section head,al,section head1,h11,section head2,h12,section head3,h13,section head4,h14,IMPACT STUDY TITLE1,Headline 1"/>
    <w:basedOn w:val="Normal"/>
    <w:next w:val="Normal"/>
    <w:link w:val="Heading1Char"/>
    <w:autoRedefine/>
    <w:uiPriority w:val="9"/>
    <w:qFormat/>
    <w:pPr>
      <w:keepNext/>
      <w:numPr>
        <w:numId w:val="2"/>
      </w:numPr>
      <w:spacing w:before="240" w:after="60"/>
      <w:outlineLvl w:val="0"/>
    </w:pPr>
    <w:rPr>
      <w:b/>
      <w:sz w:val="26"/>
    </w:rPr>
  </w:style>
  <w:style w:type="paragraph" w:styleId="Heading2">
    <w:name w:val="heading 2"/>
    <w:aliases w:val="F4 Heading 2 - SubSection,h2,Heading 2 Char1,Heading 2 Char Char,H2 Char,heading 2 Char,(SubSection),Para Nos,Para,Main Heading,Main Headi,Numbered - 2,(Main Heading),Paragraph,Sub Heading,ignorer2,Oscar Faber 2,IMPACT STUDY TITLE2,2H,2H1,2H2"/>
    <w:basedOn w:val="Normal"/>
    <w:next w:val="Normal"/>
    <w:link w:val="Heading2Char"/>
    <w:autoRedefine/>
    <w:uiPriority w:val="9"/>
    <w:qFormat/>
    <w:pPr>
      <w:keepNext/>
      <w:keepLines/>
      <w:numPr>
        <w:ilvl w:val="1"/>
        <w:numId w:val="2"/>
      </w:numPr>
      <w:spacing w:before="200"/>
      <w:outlineLvl w:val="1"/>
    </w:pPr>
    <w:rPr>
      <w:rFonts w:eastAsiaTheme="majorEastAsia" w:cstheme="majorBidi"/>
      <w:b/>
      <w:bCs/>
      <w:iCs/>
      <w:sz w:val="24"/>
      <w:szCs w:val="26"/>
    </w:rPr>
  </w:style>
  <w:style w:type="paragraph" w:styleId="Heading3">
    <w:name w:val="heading 3"/>
    <w:aliases w:val="H31,Headline 3,h3,h31,h32,H3,Heading 3 Char Char,Heading 3 - old,heading 3,ASAPHeading 3,Mi,Minor,Headline,Punt 3,Heading 3 CFMU,Para 3,Punt 3 Char,Arial 12 Fett,1.1.1 Heading 3,Numbered 3 (SBC),Sub-Title,Heading 3 - SBC,V_Head3,Podkapitola2"/>
    <w:basedOn w:val="Normal"/>
    <w:next w:val="Normal"/>
    <w:link w:val="Heading3Char"/>
    <w:autoRedefine/>
    <w:uiPriority w:val="9"/>
    <w:unhideWhenUsed/>
    <w:qFormat/>
    <w:pPr>
      <w:keepNext/>
      <w:keepLines/>
      <w:numPr>
        <w:ilvl w:val="2"/>
        <w:numId w:val="2"/>
      </w:numPr>
      <w:spacing w:before="200" w:after="0"/>
      <w:outlineLvl w:val="2"/>
    </w:pPr>
    <w:rPr>
      <w:rFonts w:eastAsiaTheme="majorEastAsia" w:cstheme="majorBidi"/>
      <w:b/>
      <w:bCs/>
      <w:sz w:val="22"/>
    </w:rPr>
  </w:style>
  <w:style w:type="paragraph" w:styleId="Heading4">
    <w:name w:val="heading 4"/>
    <w:aliases w:val="itth4,TABLE,heading 4 Char,Numbered - 4,level 3 subhead,PA Micro Section,(Alt+4),H41,(Alt+4)1,H42,(Alt+4)2,H43,(Alt+4)3,H44,(Alt+4)4,H45,(Alt+4)5,H411,(Alt+4)11,H421,(Alt+4)21,H431,(Alt+4)31,H46,(Alt+4)6,H412,(Alt+4)12,H422,(Alt+4)22,H432,H47"/>
    <w:basedOn w:val="Normal"/>
    <w:next w:val="Normal"/>
    <w:link w:val="Heading4Char"/>
    <w:autoRedefine/>
    <w:uiPriority w:val="9"/>
    <w:unhideWhenUsed/>
    <w:qFormat/>
    <w:pPr>
      <w:keepNext/>
      <w:keepLines/>
      <w:numPr>
        <w:ilvl w:val="3"/>
        <w:numId w:val="2"/>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pPr>
      <w:keepNext/>
      <w:keepLines/>
      <w:numPr>
        <w:ilvl w:val="4"/>
        <w:numId w:val="2"/>
      </w:numPr>
      <w:spacing w:before="200" w:after="0"/>
      <w:outlineLvl w:val="4"/>
    </w:pPr>
    <w:rPr>
      <w:rFonts w:eastAsiaTheme="majorEastAsia" w:cstheme="majorBidi"/>
      <w:b/>
      <w:color w:val="0033CC"/>
    </w:rPr>
  </w:style>
  <w:style w:type="paragraph" w:styleId="Heading6">
    <w:name w:val="heading 6"/>
    <w:basedOn w:val="Normal"/>
    <w:next w:val="Normal"/>
    <w:link w:val="Heading6Char"/>
    <w:uiPriority w:val="9"/>
    <w:unhideWhenUsed/>
    <w:qFormat/>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sub4,Heading 8 (do not use),Heading 8 CFMU,h8,Header 8,ASAPHeading 8,8,Titolo8,action,action1,action2,action11,action3,action4,action5,action6,action7,action12,action21,action111,action31,action8,action13,action22,action112,action32"/>
    <w:basedOn w:val="Normal"/>
    <w:next w:val="Normal"/>
    <w:link w:val="Heading8Char"/>
    <w:unhideWhenUsed/>
    <w:qFormat/>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qFormat/>
    <w:pPr>
      <w:numPr>
        <w:ilvl w:val="8"/>
        <w:numId w:val="2"/>
      </w:numPr>
      <w:spacing w:before="240" w:after="60"/>
      <w:outlineLvl w:val="8"/>
    </w:pPr>
    <w:rPr>
      <w:rFonts w:ascii="Calibri" w:eastAsia="MS Gothic"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Lucida Grande" w:hAnsi="Lucida Grande" w:cs="Lucida Grande"/>
      <w:sz w:val="18"/>
      <w:szCs w:val="18"/>
    </w:rPr>
  </w:style>
  <w:style w:type="character" w:customStyle="1" w:styleId="BalloonTextChar">
    <w:name w:val="Balloon Text Char"/>
    <w:link w:val="BalloonText"/>
    <w:uiPriority w:val="99"/>
    <w:rPr>
      <w:rFonts w:ascii="Lucida Grande" w:hAnsi="Lucida Grande" w:cs="Lucida Grande"/>
      <w:sz w:val="18"/>
      <w:szCs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Times-Roman" w:hAnsi="Times-Roman" w:cs="Times-Roman"/>
      <w:color w:val="000000"/>
      <w:lang w:val="fr-FR"/>
    </w:rPr>
  </w:style>
  <w:style w:type="character" w:customStyle="1" w:styleId="Heading1Char">
    <w:name w:val="Heading 1 Char"/>
    <w:aliases w:val="F3 Heading 1 - Section Char,1. Char,h1 Char,ITTHEADER1 Char,(Section) Char,Numbered - 1 Char,Section Char,Chapter Hdg Char,CH TITLE 1 Char,Chapter Heading Char,Titre 1 Char,1 Char,H1 Char,section head Char,al Char,section head1 Char"/>
    <w:link w:val="Heading1"/>
    <w:uiPriority w:val="9"/>
    <w:rPr>
      <w:rFonts w:ascii="Verdana" w:hAnsi="Verdana"/>
      <w:b/>
      <w:sz w:val="26"/>
      <w:szCs w:val="24"/>
      <w:lang w:eastAsia="en-US"/>
    </w:rPr>
  </w:style>
  <w:style w:type="character" w:customStyle="1" w:styleId="Heading2Char">
    <w:name w:val="Heading 2 Char"/>
    <w:aliases w:val="F4 Heading 2 - SubSection Char,h2 Char,Heading 2 Char1 Char,Heading 2 Char Char Char,H2 Char Char,heading 2 Char Char,(SubSection) Char,Para Nos Char,Para Char,Main Heading Char,Main Headi Char,Numbered - 2 Char,(Main Heading) Char"/>
    <w:link w:val="Heading2"/>
    <w:uiPriority w:val="9"/>
    <w:rPr>
      <w:rFonts w:ascii="Verdana" w:eastAsiaTheme="majorEastAsia" w:hAnsi="Verdana" w:cstheme="majorBidi"/>
      <w:b/>
      <w:bCs/>
      <w:iCs/>
      <w:sz w:val="24"/>
      <w:szCs w:val="26"/>
      <w:lang w:eastAsia="en-US"/>
    </w:rPr>
  </w:style>
  <w:style w:type="character" w:customStyle="1" w:styleId="Heading9Char">
    <w:name w:val="Heading 9 Char"/>
    <w:link w:val="Heading9"/>
    <w:uiPriority w:val="9"/>
    <w:rPr>
      <w:rFonts w:ascii="Calibri" w:eastAsia="MS Gothic" w:hAnsi="Calibri"/>
      <w:sz w:val="22"/>
      <w:szCs w:val="22"/>
      <w:lang w:eastAsia="en-US"/>
    </w:rPr>
  </w:style>
  <w:style w:type="character" w:customStyle="1" w:styleId="A2">
    <w:name w:val="A2"/>
    <w:rPr>
      <w:rFonts w:cs="EC Square Sans Pro Medium"/>
      <w:i/>
      <w:iCs/>
      <w:color w:val="21ADE4"/>
    </w:rPr>
  </w:style>
  <w:style w:type="character" w:customStyle="1" w:styleId="A0">
    <w:name w:val="A0"/>
    <w:rPr>
      <w:rFonts w:cs="EC Square Sans Pro Medium"/>
      <w:color w:val="21ADE4"/>
      <w:sz w:val="22"/>
      <w:szCs w:val="22"/>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4"/>
      <w:szCs w:val="24"/>
      <w:lang w:eastAsia="en-US"/>
    </w:rPr>
  </w:style>
  <w:style w:type="paragraph" w:styleId="NoSpacing">
    <w:name w:val="No Spacing"/>
    <w:link w:val="NoSpacingChar"/>
    <w:uiPriority w:val="99"/>
    <w:qFormat/>
    <w:rPr>
      <w:sz w:val="24"/>
      <w:szCs w:val="24"/>
      <w:lang w:eastAsia="en-US"/>
    </w:rPr>
  </w:style>
  <w:style w:type="paragraph" w:styleId="ListParagraph">
    <w:name w:val="List Paragraph"/>
    <w:aliases w:val="Paragraphe de liste 2,Reference list,Normal bullet 2,Bullet list,Numbered List,List Paragraph1,1st level - Bullet List Paragraph,Lettre d'introduction,Paragrafo elenco,Bullet EY,List Paragraph11,Normal bullet 21,O-1 List bullets,List1"/>
    <w:basedOn w:val="Normal"/>
    <w:link w:val="ListParagraphChar"/>
    <w:uiPriority w:val="34"/>
    <w:qFormat/>
    <w:pPr>
      <w:spacing w:after="200"/>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EC Square Sans Pro" w:hAnsi="EC Square Sans Pro"/>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EC Square Sans Pro" w:hAnsi="EC Square Sans Pro"/>
      <w:b/>
      <w:bCs/>
      <w:lang w:eastAsia="en-US"/>
    </w:rPr>
  </w:style>
  <w:style w:type="character" w:customStyle="1" w:styleId="Heading3Char">
    <w:name w:val="Heading 3 Char"/>
    <w:aliases w:val="H31 Char,Headline 3 Char,h3 Char,h31 Char,h32 Char,H3 Char,Heading 3 Char Char Char,Heading 3 - old Char,heading 3 Char,ASAPHeading 3 Char,Mi Char,Minor Char,Headline Char,Punt 3 Char1,Heading 3 CFMU Char,Para 3 Char,Punt 3 Char Char"/>
    <w:basedOn w:val="DefaultParagraphFont"/>
    <w:link w:val="Heading3"/>
    <w:uiPriority w:val="9"/>
    <w:rPr>
      <w:rFonts w:ascii="Verdana" w:eastAsiaTheme="majorEastAsia" w:hAnsi="Verdana" w:cstheme="majorBidi"/>
      <w:b/>
      <w:bCs/>
      <w:sz w:val="22"/>
      <w:szCs w:val="24"/>
      <w:lang w:eastAsia="en-US"/>
    </w:rPr>
  </w:style>
  <w:style w:type="character" w:customStyle="1" w:styleId="Heading4Char">
    <w:name w:val="Heading 4 Char"/>
    <w:aliases w:val="itth4 Char,TABLE Char,heading 4 Char Char,Numbered - 4 Char,level 3 subhead Char,PA Micro Section Char,(Alt+4) Char,H41 Char,(Alt+4)1 Char,H42 Char,(Alt+4)2 Char,H43 Char,(Alt+4)3 Char,H44 Char,(Alt+4)4 Char,H45 Char,(Alt+4)5 Char"/>
    <w:basedOn w:val="DefaultParagraphFont"/>
    <w:link w:val="Heading4"/>
    <w:uiPriority w:val="9"/>
    <w:rPr>
      <w:rFonts w:ascii="Verdana" w:eastAsiaTheme="majorEastAsia" w:hAnsi="Verdana" w:cstheme="majorBidi"/>
      <w:b/>
      <w:bCs/>
      <w:iCs/>
      <w:szCs w:val="24"/>
      <w:lang w:eastAsia="en-US"/>
    </w:rPr>
  </w:style>
  <w:style w:type="character" w:customStyle="1" w:styleId="Heading5Char">
    <w:name w:val="Heading 5 Char"/>
    <w:basedOn w:val="DefaultParagraphFont"/>
    <w:link w:val="Heading5"/>
    <w:uiPriority w:val="9"/>
    <w:rPr>
      <w:rFonts w:ascii="Verdana" w:eastAsiaTheme="majorEastAsia" w:hAnsi="Verdana" w:cstheme="majorBidi"/>
      <w:b/>
      <w:color w:val="0033CC"/>
      <w:szCs w:val="24"/>
      <w:lang w:eastAsia="en-US"/>
    </w:rPr>
  </w:style>
  <w:style w:type="paragraph" w:styleId="TOCHeading">
    <w:name w:val="TOC Heading"/>
    <w:basedOn w:val="Heading1"/>
    <w:next w:val="Normal"/>
    <w:uiPriority w:val="39"/>
    <w:unhideWhenUsed/>
    <w:qFormat/>
    <w:pPr>
      <w:keepLines/>
      <w:spacing w:before="480" w:after="0"/>
      <w:jc w:val="left"/>
      <w:outlineLvl w:val="9"/>
    </w:pPr>
    <w:rPr>
      <w:rFonts w:asciiTheme="majorHAnsi" w:eastAsiaTheme="majorEastAsia" w:hAnsiTheme="majorHAnsi" w:cstheme="majorBidi"/>
      <w:caps/>
      <w:color w:val="365F91" w:themeColor="accent1" w:themeShade="BF"/>
      <w:sz w:val="28"/>
      <w:szCs w:val="28"/>
      <w:lang w:val="en-US" w:eastAsia="ja-JP"/>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00"/>
    </w:pPr>
  </w:style>
  <w:style w:type="paragraph" w:styleId="TOC3">
    <w:name w:val="toc 3"/>
    <w:basedOn w:val="Normal"/>
    <w:next w:val="Normal"/>
    <w:autoRedefine/>
    <w:uiPriority w:val="39"/>
    <w:unhideWhenUsed/>
    <w:qFormat/>
    <w:pPr>
      <w:spacing w:after="100"/>
      <w:ind w:left="400"/>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jc w:val="left"/>
    </w:pPr>
    <w:rPr>
      <w:rFonts w:ascii="Times New Roman" w:eastAsia="Times New Roman" w:hAnsi="Times New Roman"/>
      <w:sz w:val="24"/>
      <w:lang w:eastAsia="en-GB"/>
    </w:rPr>
  </w:style>
  <w:style w:type="paragraph" w:styleId="TOC4">
    <w:name w:val="toc 4"/>
    <w:basedOn w:val="Normal"/>
    <w:next w:val="Normal"/>
    <w:autoRedefine/>
    <w:uiPriority w:val="39"/>
    <w:unhideWhenUsed/>
    <w:pPr>
      <w:spacing w:after="100"/>
      <w:ind w:left="600"/>
    </w:pPr>
  </w:style>
  <w:style w:type="paragraph" w:styleId="TOC5">
    <w:name w:val="toc 5"/>
    <w:basedOn w:val="Normal"/>
    <w:next w:val="Normal"/>
    <w:autoRedefine/>
    <w:uiPriority w:val="39"/>
    <w:unhideWhenUsed/>
    <w:pPr>
      <w:spacing w:after="100"/>
      <w:ind w:left="800"/>
    </w:pPr>
  </w:style>
  <w:style w:type="paragraph" w:styleId="FootnoteText">
    <w:name w:val="footnote text"/>
    <w:aliases w:val="Testo nota a piè di pagina_Rientro,stile 1,Footnote,Footnote1,Footnote2,Footnote3,Footnote4,Footnote5,Footnote6,Footnote7,Footnote8,Footnote9,Footnote10,Footnote11,Footnote21,Footnote31,Footnote41,Footnote51,Footnote61,ft,fn,Fußnotentextf"/>
    <w:basedOn w:val="Normal"/>
    <w:link w:val="FootnoteTextChar"/>
    <w:uiPriority w:val="99"/>
    <w:unhideWhenUsed/>
    <w:qFormat/>
    <w:pPr>
      <w:spacing w:before="0" w:after="0"/>
    </w:pPr>
    <w:rPr>
      <w:szCs w:val="20"/>
    </w:rPr>
  </w:style>
  <w:style w:type="character" w:customStyle="1" w:styleId="FootnoteTextChar">
    <w:name w:val="Footnote Text Char"/>
    <w:aliases w:val="Testo nota a piè di pagina_Rientro Char,stile 1 Char,Footnote Char,Footnote1 Char,Footnote2 Char,Footnote3 Char,Footnote4 Char,Footnote5 Char,Footnote6 Char,Footnote7 Char,Footnote8 Char,Footnote9 Char,Footnote10 Char,Footnote11 Char"/>
    <w:basedOn w:val="DefaultParagraphFont"/>
    <w:link w:val="FootnoteText"/>
    <w:uiPriority w:val="99"/>
    <w:rPr>
      <w:rFonts w:ascii="Verdana" w:hAnsi="Verdana"/>
      <w:lang w:eastAsia="en-US"/>
    </w:rPr>
  </w:style>
  <w:style w:type="character" w:styleId="FootnoteReference">
    <w:name w:val="footnote reference"/>
    <w:aliases w:val="Footnote Refernece,BVI fnr,callout,16 Point,Superscript 6 Point,Footnote Reference Superscript,Ref,de nota al pie,-E Fußnotenzeichen,number,SUPERS,EN Footnote Reference,-E Fuﬂnotenzeichen,-E Fuûnotenzeichen,Footnote number,F,FR,o,f,E"/>
    <w:basedOn w:val="DefaultParagraphFont"/>
    <w:link w:val="FootnotesymbolCarZchn"/>
    <w:uiPriority w:val="99"/>
    <w:unhideWhenUsed/>
    <w:qFormat/>
    <w:rPr>
      <w:vertAlign w:val="superscript"/>
    </w:rPr>
  </w:style>
  <w:style w:type="paragraph" w:customStyle="1" w:styleId="Maintitle">
    <w:name w:val="Main title"/>
    <w:basedOn w:val="Normal"/>
    <w:link w:val="MaintitleChar"/>
    <w:qFormat/>
    <w:pPr>
      <w:widowControl w:val="0"/>
      <w:spacing w:line="640" w:lineRule="exact"/>
    </w:pPr>
    <w:rPr>
      <w:sz w:val="56"/>
      <w:szCs w:val="56"/>
    </w:rPr>
  </w:style>
  <w:style w:type="paragraph" w:customStyle="1" w:styleId="MainSubtitle">
    <w:name w:val="Main Subtitle"/>
    <w:basedOn w:val="Normal"/>
    <w:link w:val="MainSubtitleChar"/>
    <w:qFormat/>
    <w:pPr>
      <w:widowControl w:val="0"/>
      <w:spacing w:line="320" w:lineRule="exact"/>
    </w:pPr>
    <w:rPr>
      <w:i/>
      <w:color w:val="646567"/>
      <w:sz w:val="32"/>
      <w:szCs w:val="32"/>
    </w:rPr>
  </w:style>
  <w:style w:type="character" w:customStyle="1" w:styleId="MaintitleChar">
    <w:name w:val="Main title Char"/>
    <w:basedOn w:val="DefaultParagraphFont"/>
    <w:link w:val="Maintitle"/>
    <w:rPr>
      <w:rFonts w:ascii="Verdana" w:hAnsi="Verdana"/>
      <w:sz w:val="56"/>
      <w:szCs w:val="56"/>
      <w:lang w:eastAsia="en-US"/>
    </w:rPr>
  </w:style>
  <w:style w:type="paragraph" w:customStyle="1" w:styleId="Datecover">
    <w:name w:val="Date cover"/>
    <w:basedOn w:val="Normal"/>
    <w:link w:val="DatecoverChar"/>
    <w:qFormat/>
    <w:rPr>
      <w:color w:val="000000" w:themeColor="text1"/>
      <w:spacing w:val="32"/>
      <w:szCs w:val="20"/>
    </w:rPr>
  </w:style>
  <w:style w:type="character" w:customStyle="1" w:styleId="MainSubtitleChar">
    <w:name w:val="Main Subtitle Char"/>
    <w:basedOn w:val="DefaultParagraphFont"/>
    <w:link w:val="MainSubtitle"/>
    <w:rPr>
      <w:rFonts w:ascii="Verdana" w:hAnsi="Verdana"/>
      <w:i/>
      <w:color w:val="646567"/>
      <w:sz w:val="32"/>
      <w:szCs w:val="32"/>
      <w:lang w:eastAsia="en-US"/>
    </w:rPr>
  </w:style>
  <w:style w:type="character" w:customStyle="1" w:styleId="DatecoverChar">
    <w:name w:val="Date cover Char"/>
    <w:basedOn w:val="DefaultParagraphFont"/>
    <w:link w:val="Datecover"/>
    <w:rPr>
      <w:rFonts w:ascii="Verdana" w:hAnsi="Verdana"/>
      <w:color w:val="000000" w:themeColor="text1"/>
      <w:spacing w:val="32"/>
      <w:lang w:eastAsia="en-US"/>
    </w:rPr>
  </w:style>
  <w:style w:type="character" w:styleId="PageNumber">
    <w:name w:val="page number"/>
    <w:basedOn w:val="DefaultParagraphFont"/>
    <w:uiPriority w:val="99"/>
    <w:semiHidden/>
    <w:unhideWhenUsed/>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Cs w:val="24"/>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4"/>
      <w:lang w:eastAsia="en-US"/>
    </w:rPr>
  </w:style>
  <w:style w:type="character" w:customStyle="1" w:styleId="Heading8Char">
    <w:name w:val="Heading 8 Char"/>
    <w:aliases w:val="sub4 Char,Heading 8 (do not use) Char,Heading 8 CFMU Char,h8 Char,Header 8 Char,ASAPHeading 8 Char,8 Char,Titolo8 Char,action Char,action1 Char,action2 Char,action11 Char,action3 Char,action4 Char,action5 Char,action6 Char,action7 Char"/>
    <w:basedOn w:val="DefaultParagraphFont"/>
    <w:link w:val="Heading8"/>
    <w:rPr>
      <w:rFonts w:asciiTheme="majorHAnsi" w:eastAsiaTheme="majorEastAsia" w:hAnsiTheme="majorHAnsi" w:cstheme="majorBidi"/>
      <w:color w:val="404040" w:themeColor="text1" w:themeTint="BF"/>
      <w:lang w:eastAsia="en-US"/>
    </w:rPr>
  </w:style>
  <w:style w:type="paragraph" w:customStyle="1" w:styleId="Headingnonumber">
    <w:name w:val="Heading (no number)"/>
    <w:basedOn w:val="Heading1"/>
    <w:next w:val="Normal"/>
    <w:link w:val="HeadingnonumberChar"/>
    <w:autoRedefine/>
    <w:qFormat/>
    <w:pPr>
      <w:numPr>
        <w:numId w:val="0"/>
      </w:numPr>
      <w:jc w:val="left"/>
    </w:pPr>
    <w:rPr>
      <w:smallCaps/>
      <w:sz w:val="24"/>
    </w:rPr>
  </w:style>
  <w:style w:type="paragraph" w:customStyle="1" w:styleId="Contentsdoesnotappearintableofcontents">
    <w:name w:val="Contents (does not appear in table of contents)"/>
    <w:basedOn w:val="Normal"/>
    <w:link w:val="ContentsdoesnotappearintableofcontentsChar"/>
    <w:autoRedefine/>
    <w:qFormat/>
    <w:rPr>
      <w:b/>
      <w:sz w:val="26"/>
      <w:szCs w:val="26"/>
    </w:rPr>
  </w:style>
  <w:style w:type="character" w:customStyle="1" w:styleId="HeadingnonumberChar">
    <w:name w:val="Heading (no number) Char"/>
    <w:basedOn w:val="Heading1Char"/>
    <w:link w:val="Headingnonumber"/>
    <w:rPr>
      <w:rFonts w:ascii="Verdana" w:hAnsi="Verdana"/>
      <w:b/>
      <w:smallCaps/>
      <w:sz w:val="24"/>
      <w:szCs w:val="24"/>
      <w:lang w:eastAsia="en-US"/>
    </w:rPr>
  </w:style>
  <w:style w:type="character" w:customStyle="1" w:styleId="ContentsdoesnotappearintableofcontentsChar">
    <w:name w:val="Contents (does not appear in table of contents) Char"/>
    <w:basedOn w:val="DefaultParagraphFont"/>
    <w:link w:val="Contentsdoesnotappearintableofcontents"/>
    <w:rPr>
      <w:rFonts w:ascii="Verdana" w:hAnsi="Verdana"/>
      <w:b/>
      <w:sz w:val="26"/>
      <w:szCs w:val="26"/>
      <w:lang w:eastAsia="en-US"/>
    </w:rPr>
  </w:style>
  <w:style w:type="paragraph" w:customStyle="1" w:styleId="Text">
    <w:name w:val="Text"/>
    <w:basedOn w:val="Normal"/>
    <w:link w:val="TextChar"/>
    <w:autoRedefine/>
    <w:qFormat/>
    <w:rPr>
      <w:lang w:val="pt-PT"/>
    </w:rPr>
  </w:style>
  <w:style w:type="character" w:customStyle="1" w:styleId="TextChar">
    <w:name w:val="Text Char"/>
    <w:basedOn w:val="DefaultParagraphFont"/>
    <w:link w:val="Text"/>
    <w:rPr>
      <w:rFonts w:ascii="Verdana" w:hAnsi="Verdana"/>
      <w:szCs w:val="24"/>
      <w:lang w:val="pt-PT" w:eastAsia="en-US"/>
    </w:rPr>
  </w:style>
  <w:style w:type="table" w:styleId="TableGrid">
    <w:name w:val="Table Grid"/>
    <w:aliases w:val="HTG,TabelEcorys,Deloitte"/>
    <w:basedOn w:val="TableNormal"/>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pPr>
      <w:numPr>
        <w:ilvl w:val="1"/>
      </w:numPr>
    </w:pPr>
    <w:rPr>
      <w:rFonts w:asciiTheme="majorHAnsi" w:eastAsiaTheme="majorEastAsia" w:hAnsiTheme="majorHAnsi" w:cstheme="majorBidi"/>
      <w:i/>
      <w:iCs/>
      <w:spacing w:val="15"/>
      <w:sz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5"/>
      <w:sz w:val="24"/>
      <w:szCs w:val="24"/>
      <w:lang w:eastAsia="en-US"/>
    </w:rPr>
  </w:style>
  <w:style w:type="paragraph" w:styleId="Caption">
    <w:name w:val="caption"/>
    <w:aliases w:val="Figure Caption, Char Char,Char Char,Figure Caption + Avant : 14 pt,Motif : Transparente (Gris - 15 %),TF,Caption1 Char Char Char Char Char Char Char Char Tegn Tegn Tegn Tegn Tegn,Caption1 Char Char Char Char Char Char Char Char Tegn Tegn Tegn"/>
    <w:basedOn w:val="Normal"/>
    <w:next w:val="Normal"/>
    <w:link w:val="CaptionChar"/>
    <w:uiPriority w:val="35"/>
    <w:unhideWhenUsed/>
    <w:qFormat/>
    <w:pPr>
      <w:spacing w:before="0" w:after="200"/>
      <w:jc w:val="center"/>
    </w:pPr>
    <w:rPr>
      <w:rFonts w:asciiTheme="minorHAnsi" w:eastAsiaTheme="minorHAnsi" w:hAnsiTheme="minorHAnsi" w:cstheme="minorBidi"/>
      <w:b/>
      <w:bCs/>
      <w:color w:val="4F81BD" w:themeColor="accent1"/>
      <w:sz w:val="18"/>
      <w:szCs w:val="18"/>
      <w:lang w:val="en-US"/>
    </w:rPr>
  </w:style>
  <w:style w:type="paragraph" w:styleId="Bibliography">
    <w:name w:val="Bibliography"/>
    <w:basedOn w:val="Normal"/>
    <w:next w:val="Normal"/>
    <w:uiPriority w:val="70"/>
  </w:style>
  <w:style w:type="paragraph" w:styleId="TableofFigures">
    <w:name w:val="table of figures"/>
    <w:basedOn w:val="Normal"/>
    <w:next w:val="Normal"/>
    <w:uiPriority w:val="99"/>
    <w:unhideWhenUsed/>
    <w:pPr>
      <w:spacing w:after="0"/>
    </w:pPr>
  </w:style>
  <w:style w:type="character" w:customStyle="1" w:styleId="NoSpacingChar">
    <w:name w:val="No Spacing Char"/>
    <w:basedOn w:val="DefaultParagraphFont"/>
    <w:link w:val="NoSpacing"/>
    <w:uiPriority w:val="1"/>
    <w:rPr>
      <w:sz w:val="24"/>
      <w:szCs w:val="24"/>
      <w:lang w:eastAsia="en-US"/>
    </w:rPr>
  </w:style>
  <w:style w:type="numbering" w:customStyle="1" w:styleId="NoList1">
    <w:name w:val="No List1"/>
    <w:next w:val="NoList"/>
    <w:uiPriority w:val="99"/>
    <w:semiHidden/>
    <w:unhideWhenUsed/>
  </w:style>
  <w:style w:type="paragraph" w:customStyle="1" w:styleId="Text1">
    <w:name w:val="Text 1"/>
    <w:basedOn w:val="Normal"/>
    <w:link w:val="Text1Char"/>
    <w:pPr>
      <w:spacing w:before="0" w:after="240"/>
      <w:ind w:left="482"/>
    </w:pPr>
    <w:rPr>
      <w:rFonts w:ascii="Times New Roman" w:eastAsia="Times New Roman" w:hAnsi="Times New Roman"/>
      <w:sz w:val="24"/>
      <w:szCs w:val="20"/>
    </w:rPr>
  </w:style>
  <w:style w:type="paragraph" w:customStyle="1" w:styleId="Text2">
    <w:name w:val="Text 2"/>
    <w:basedOn w:val="Normal"/>
    <w:link w:val="Text2Char"/>
    <w:pPr>
      <w:tabs>
        <w:tab w:val="left" w:pos="2302"/>
      </w:tabs>
      <w:spacing w:before="0" w:after="240"/>
      <w:ind w:left="1202"/>
    </w:pPr>
    <w:rPr>
      <w:rFonts w:ascii="Times New Roman" w:eastAsia="Times New Roman" w:hAnsi="Times New Roman"/>
      <w:sz w:val="24"/>
      <w:szCs w:val="20"/>
    </w:rPr>
  </w:style>
  <w:style w:type="paragraph" w:customStyle="1" w:styleId="Text3">
    <w:name w:val="Text 3"/>
    <w:basedOn w:val="Normal"/>
    <w:pPr>
      <w:tabs>
        <w:tab w:val="left" w:pos="2302"/>
      </w:tabs>
      <w:spacing w:before="0" w:after="240"/>
      <w:ind w:left="1202"/>
    </w:pPr>
    <w:rPr>
      <w:rFonts w:ascii="Times New Roman" w:eastAsia="Times New Roman" w:hAnsi="Times New Roman"/>
      <w:sz w:val="24"/>
      <w:szCs w:val="20"/>
    </w:rPr>
  </w:style>
  <w:style w:type="paragraph" w:customStyle="1" w:styleId="Text4">
    <w:name w:val="Text 4"/>
    <w:basedOn w:val="Normal"/>
    <w:pPr>
      <w:tabs>
        <w:tab w:val="left" w:pos="2302"/>
      </w:tabs>
      <w:spacing w:before="0" w:after="240"/>
      <w:ind w:left="1202"/>
    </w:pPr>
    <w:rPr>
      <w:rFonts w:ascii="Times New Roman" w:eastAsia="Times New Roman" w:hAnsi="Times New Roman"/>
      <w:sz w:val="24"/>
      <w:szCs w:val="20"/>
    </w:rPr>
  </w:style>
  <w:style w:type="paragraph" w:customStyle="1" w:styleId="Address">
    <w:name w:val="Address"/>
    <w:basedOn w:val="Normal"/>
    <w:pPr>
      <w:spacing w:before="0" w:after="0"/>
      <w:jc w:val="left"/>
    </w:pPr>
    <w:rPr>
      <w:rFonts w:ascii="Times New Roman" w:eastAsia="Times New Roman" w:hAnsi="Times New Roman"/>
      <w:sz w:val="24"/>
      <w:szCs w:val="20"/>
    </w:rPr>
  </w:style>
  <w:style w:type="paragraph" w:customStyle="1" w:styleId="AddressTL">
    <w:name w:val="AddressTL"/>
    <w:basedOn w:val="Normal"/>
    <w:next w:val="Normal"/>
    <w:pPr>
      <w:spacing w:before="0" w:after="720"/>
      <w:jc w:val="left"/>
    </w:pPr>
    <w:rPr>
      <w:rFonts w:ascii="Times New Roman" w:eastAsia="Times New Roman" w:hAnsi="Times New Roman"/>
      <w:sz w:val="24"/>
      <w:szCs w:val="20"/>
    </w:rPr>
  </w:style>
  <w:style w:type="paragraph" w:customStyle="1" w:styleId="AddressTR">
    <w:name w:val="AddressTR"/>
    <w:basedOn w:val="Normal"/>
    <w:next w:val="Normal"/>
    <w:pPr>
      <w:spacing w:before="0" w:after="720"/>
      <w:ind w:left="5103"/>
      <w:jc w:val="left"/>
    </w:pPr>
    <w:rPr>
      <w:rFonts w:ascii="Times New Roman" w:eastAsia="Times New Roman" w:hAnsi="Times New Roman"/>
      <w:sz w:val="24"/>
      <w:szCs w:val="20"/>
    </w:rPr>
  </w:style>
  <w:style w:type="paragraph" w:styleId="BlockText">
    <w:name w:val="Block Text"/>
    <w:basedOn w:val="Normal"/>
    <w:pPr>
      <w:spacing w:before="0"/>
      <w:ind w:left="1440" w:right="1440"/>
    </w:pPr>
    <w:rPr>
      <w:rFonts w:ascii="Times New Roman" w:eastAsia="Times New Roman" w:hAnsi="Times New Roman"/>
      <w:sz w:val="24"/>
      <w:szCs w:val="20"/>
    </w:rPr>
  </w:style>
  <w:style w:type="paragraph" w:styleId="BodyText">
    <w:name w:val="Body Text"/>
    <w:aliases w:val="F2 Body Text,F4 Main Text,Document,Doc,Body Text2,doc,Standard paragraph,1body,BodText,bt,body text,Body Txt,Body Text-10,Τίτλος Μελέτης,- TF,BodyText,(Norm),Body Text 12,gl,uvlaka 2,heading3,Body Text - Level 2,Text Char1,b...,-, (Norm)"/>
    <w:basedOn w:val="Normal"/>
    <w:link w:val="BodyTextChar"/>
    <w:qFormat/>
    <w:pPr>
      <w:spacing w:before="0"/>
    </w:pPr>
    <w:rPr>
      <w:rFonts w:ascii="Times New Roman" w:eastAsia="Times New Roman" w:hAnsi="Times New Roman"/>
      <w:sz w:val="24"/>
      <w:szCs w:val="20"/>
    </w:rPr>
  </w:style>
  <w:style w:type="character" w:customStyle="1" w:styleId="BodyTextChar">
    <w:name w:val="Body Text Char"/>
    <w:aliases w:val="F2 Body Text Char,F4 Main Text Char,Document Char,Doc Char,Body Text2 Char,doc Char,Standard paragraph Char,1body Char,BodText Char,bt Char,body text Char,Body Txt Char,Body Text-10 Char,Τίτλος Μελέτης Char,- TF Char,BodyText Char,gl Char"/>
    <w:basedOn w:val="DefaultParagraphFont"/>
    <w:link w:val="BodyText"/>
    <w:rPr>
      <w:rFonts w:ascii="Times New Roman" w:eastAsia="Times New Roman" w:hAnsi="Times New Roman"/>
      <w:sz w:val="24"/>
      <w:lang w:eastAsia="en-US"/>
    </w:rPr>
  </w:style>
  <w:style w:type="paragraph" w:styleId="BodyText2">
    <w:name w:val="Body Text 2"/>
    <w:basedOn w:val="Normal"/>
    <w:link w:val="BodyText2Char"/>
    <w:pPr>
      <w:spacing w:before="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Pr>
      <w:rFonts w:ascii="Times New Roman" w:eastAsia="Times New Roman" w:hAnsi="Times New Roman"/>
      <w:sz w:val="24"/>
      <w:lang w:eastAsia="en-US"/>
    </w:rPr>
  </w:style>
  <w:style w:type="paragraph" w:styleId="BodyText3">
    <w:name w:val="Body Text 3"/>
    <w:basedOn w:val="Normal"/>
    <w:link w:val="BodyText3Char"/>
    <w:pPr>
      <w:spacing w:before="0"/>
    </w:pPr>
    <w:rPr>
      <w:rFonts w:ascii="Times New Roman" w:eastAsia="Times New Roman" w:hAnsi="Times New Roman"/>
      <w:sz w:val="16"/>
      <w:szCs w:val="20"/>
    </w:rPr>
  </w:style>
  <w:style w:type="character" w:customStyle="1" w:styleId="BodyText3Char">
    <w:name w:val="Body Text 3 Char"/>
    <w:basedOn w:val="DefaultParagraphFont"/>
    <w:link w:val="BodyText3"/>
    <w:rPr>
      <w:rFonts w:ascii="Times New Roman" w:eastAsia="Times New Roman" w:hAnsi="Times New Roman"/>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sz w:val="24"/>
      <w:lang w:eastAsia="en-US"/>
    </w:rPr>
  </w:style>
  <w:style w:type="paragraph" w:styleId="BodyTextIndent">
    <w:name w:val="Body Text Indent"/>
    <w:basedOn w:val="Normal"/>
    <w:link w:val="BodyTextIndentChar"/>
    <w:pPr>
      <w:spacing w:before="0"/>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sz w:val="24"/>
      <w:lang w:eastAsia="en-US"/>
    </w:rPr>
  </w:style>
  <w:style w:type="paragraph" w:styleId="BodyTextIndent2">
    <w:name w:val="Body Text Indent 2"/>
    <w:basedOn w:val="Normal"/>
    <w:link w:val="BodyTextIndent2Char"/>
    <w:pPr>
      <w:spacing w:before="0" w:line="480" w:lineRule="auto"/>
      <w:ind w:left="283"/>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sz w:val="24"/>
      <w:lang w:eastAsia="en-US"/>
    </w:rPr>
  </w:style>
  <w:style w:type="paragraph" w:styleId="BodyTextIndent3">
    <w:name w:val="Body Text Indent 3"/>
    <w:basedOn w:val="Normal"/>
    <w:link w:val="BodyTextIndent3Char"/>
    <w:pPr>
      <w:spacing w:before="0"/>
      <w:ind w:left="283"/>
    </w:pPr>
    <w:rPr>
      <w:rFonts w:ascii="Times New Roman" w:eastAsia="Times New Roman" w:hAnsi="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sz w:val="16"/>
      <w:lang w:eastAsia="en-US"/>
    </w:rPr>
  </w:style>
  <w:style w:type="paragraph" w:customStyle="1" w:styleId="ChapterTitle">
    <w:name w:val="ChapterTitle"/>
    <w:basedOn w:val="Normal"/>
    <w:next w:val="SectionTitle"/>
    <w:pPr>
      <w:keepNext/>
      <w:spacing w:before="0" w:after="480"/>
      <w:jc w:val="center"/>
    </w:pPr>
    <w:rPr>
      <w:rFonts w:ascii="Times New Roman" w:eastAsia="Times New Roman" w:hAnsi="Times New Roman"/>
      <w:b/>
      <w:sz w:val="32"/>
      <w:szCs w:val="20"/>
    </w:rPr>
  </w:style>
  <w:style w:type="paragraph" w:customStyle="1" w:styleId="SectionTitle">
    <w:name w:val="SectionTitle"/>
    <w:basedOn w:val="Normal"/>
    <w:next w:val="Heading1"/>
    <w:pPr>
      <w:keepNext/>
      <w:spacing w:before="0" w:after="480"/>
      <w:jc w:val="center"/>
    </w:pPr>
    <w:rPr>
      <w:rFonts w:ascii="Times New Roman" w:eastAsia="Times New Roman" w:hAnsi="Times New Roman"/>
      <w:b/>
      <w:smallCaps/>
      <w:sz w:val="28"/>
      <w:szCs w:val="20"/>
    </w:rPr>
  </w:style>
  <w:style w:type="paragraph" w:styleId="Closing">
    <w:name w:val="Closing"/>
    <w:basedOn w:val="Normal"/>
    <w:link w:val="ClosingChar"/>
    <w:pPr>
      <w:spacing w:before="0" w:after="240"/>
      <w:ind w:left="4252"/>
    </w:pPr>
    <w:rPr>
      <w:rFonts w:ascii="Times New Roman" w:eastAsia="Times New Roman" w:hAnsi="Times New Roman"/>
      <w:sz w:val="24"/>
      <w:szCs w:val="20"/>
    </w:rPr>
  </w:style>
  <w:style w:type="character" w:customStyle="1" w:styleId="ClosingChar">
    <w:name w:val="Closing Char"/>
    <w:basedOn w:val="DefaultParagraphFont"/>
    <w:link w:val="Closing"/>
    <w:rPr>
      <w:rFonts w:ascii="Times New Roman" w:eastAsia="Times New Roman" w:hAnsi="Times New Roman"/>
      <w:sz w:val="24"/>
      <w:lang w:eastAsia="en-US"/>
    </w:rPr>
  </w:style>
  <w:style w:type="paragraph" w:styleId="Date">
    <w:name w:val="Date"/>
    <w:basedOn w:val="Normal"/>
    <w:next w:val="References"/>
    <w:link w:val="DateChar"/>
    <w:pPr>
      <w:spacing w:before="0" w:after="0"/>
      <w:ind w:left="5103" w:right="-567"/>
      <w:jc w:val="left"/>
    </w:pPr>
    <w:rPr>
      <w:rFonts w:ascii="Times New Roman" w:eastAsia="Times New Roman" w:hAnsi="Times New Roman"/>
      <w:sz w:val="24"/>
      <w:szCs w:val="20"/>
    </w:rPr>
  </w:style>
  <w:style w:type="character" w:customStyle="1" w:styleId="DateChar">
    <w:name w:val="Date Char"/>
    <w:basedOn w:val="DefaultParagraphFont"/>
    <w:link w:val="Date"/>
    <w:rPr>
      <w:rFonts w:ascii="Times New Roman" w:eastAsia="Times New Roman" w:hAnsi="Times New Roman"/>
      <w:sz w:val="24"/>
      <w:lang w:eastAsia="en-US"/>
    </w:rPr>
  </w:style>
  <w:style w:type="paragraph" w:customStyle="1" w:styleId="References">
    <w:name w:val="References"/>
    <w:basedOn w:val="Normal"/>
    <w:next w:val="AddressTR"/>
    <w:pPr>
      <w:spacing w:before="0" w:after="240"/>
      <w:ind w:left="5103"/>
      <w:jc w:val="left"/>
    </w:pPr>
    <w:rPr>
      <w:rFonts w:ascii="Times New Roman" w:eastAsia="Times New Roman" w:hAnsi="Times New Roman"/>
      <w:szCs w:val="20"/>
    </w:rPr>
  </w:style>
  <w:style w:type="paragraph" w:styleId="DocumentMap">
    <w:name w:val="Document Map"/>
    <w:basedOn w:val="Normal"/>
    <w:link w:val="DocumentMapChar"/>
    <w:semiHidden/>
    <w:pPr>
      <w:shd w:val="clear" w:color="auto" w:fill="000080"/>
      <w:spacing w:before="0" w:after="240"/>
    </w:pPr>
    <w:rPr>
      <w:rFonts w:ascii="Tahoma" w:eastAsia="Times New Roman" w:hAnsi="Tahoma"/>
      <w:sz w:val="24"/>
      <w:szCs w:val="20"/>
    </w:rPr>
  </w:style>
  <w:style w:type="character" w:customStyle="1" w:styleId="DocumentMapChar">
    <w:name w:val="Document Map Char"/>
    <w:basedOn w:val="DefaultParagraphFont"/>
    <w:link w:val="DocumentMap"/>
    <w:semiHidden/>
    <w:rPr>
      <w:rFonts w:ascii="Tahoma" w:eastAsia="Times New Roman"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rPr>
      <w:rFonts w:ascii="Times New Roman" w:eastAsia="Times New Roman" w:hAnsi="Times New Roman"/>
      <w:sz w:val="24"/>
      <w:szCs w:val="20"/>
    </w:rPr>
  </w:style>
  <w:style w:type="paragraph" w:customStyle="1" w:styleId="Enclosures">
    <w:name w:val="Enclosures"/>
    <w:basedOn w:val="Normal"/>
    <w:pPr>
      <w:keepNext/>
      <w:keepLines/>
      <w:tabs>
        <w:tab w:val="left" w:pos="5642"/>
      </w:tabs>
      <w:spacing w:before="480" w:after="0"/>
      <w:ind w:left="1191" w:hanging="1191"/>
      <w:jc w:val="left"/>
    </w:pPr>
    <w:rPr>
      <w:rFonts w:ascii="Times New Roman" w:eastAsia="Times New Roman" w:hAnsi="Times New Roman"/>
      <w:sz w:val="24"/>
      <w:szCs w:val="20"/>
    </w:rPr>
  </w:style>
  <w:style w:type="paragraph" w:styleId="EndnoteText">
    <w:name w:val="endnote text"/>
    <w:basedOn w:val="Normal"/>
    <w:link w:val="EndnoteTextChar1"/>
    <w:uiPriority w:val="99"/>
    <w:pPr>
      <w:spacing w:before="0" w:after="240"/>
    </w:pPr>
    <w:rPr>
      <w:rFonts w:ascii="Times New Roman" w:eastAsia="Times New Roman" w:hAnsi="Times New Roman"/>
      <w:szCs w:val="20"/>
    </w:rPr>
  </w:style>
  <w:style w:type="character" w:customStyle="1" w:styleId="EndnoteTextChar">
    <w:name w:val="Endnote Text Char"/>
    <w:basedOn w:val="DefaultParagraphFont"/>
    <w:rPr>
      <w:rFonts w:ascii="Verdana" w:hAnsi="Verdana"/>
      <w:lang w:eastAsia="en-US"/>
    </w:rPr>
  </w:style>
  <w:style w:type="paragraph" w:styleId="EnvelopeAddress">
    <w:name w:val="envelope address"/>
    <w:basedOn w:val="Normal"/>
    <w:pPr>
      <w:framePr w:w="7920" w:h="1980" w:hRule="exact" w:hSpace="180" w:wrap="auto" w:hAnchor="page" w:xAlign="center" w:yAlign="bottom"/>
      <w:spacing w:before="0" w:after="0"/>
    </w:pPr>
    <w:rPr>
      <w:rFonts w:ascii="Times New Roman" w:eastAsia="Times New Roman" w:hAnsi="Times New Roman"/>
      <w:sz w:val="24"/>
      <w:szCs w:val="20"/>
    </w:rPr>
  </w:style>
  <w:style w:type="paragraph" w:styleId="EnvelopeReturn">
    <w:name w:val="envelope return"/>
    <w:basedOn w:val="Normal"/>
    <w:pPr>
      <w:spacing w:before="0" w:after="0"/>
    </w:pPr>
    <w:rPr>
      <w:rFonts w:ascii="Times New Roman" w:eastAsia="Times New Roman" w:hAnsi="Times New Roman"/>
      <w:szCs w:val="20"/>
    </w:rPr>
  </w:style>
  <w:style w:type="paragraph" w:styleId="Index1">
    <w:name w:val="index 1"/>
    <w:basedOn w:val="Normal"/>
    <w:next w:val="Normal"/>
    <w:autoRedefine/>
    <w:semiHidden/>
    <w:pPr>
      <w:spacing w:before="0" w:after="240"/>
      <w:ind w:left="240" w:hanging="240"/>
    </w:pPr>
    <w:rPr>
      <w:rFonts w:ascii="Times New Roman" w:eastAsia="Times New Roman" w:hAnsi="Times New Roman"/>
      <w:sz w:val="24"/>
      <w:szCs w:val="20"/>
    </w:rPr>
  </w:style>
  <w:style w:type="paragraph" w:styleId="Index2">
    <w:name w:val="index 2"/>
    <w:basedOn w:val="Normal"/>
    <w:next w:val="Normal"/>
    <w:autoRedefine/>
    <w:semiHidden/>
    <w:pPr>
      <w:spacing w:before="0" w:after="240"/>
      <w:ind w:left="480" w:hanging="240"/>
    </w:pPr>
    <w:rPr>
      <w:rFonts w:ascii="Times New Roman" w:eastAsia="Times New Roman" w:hAnsi="Times New Roman"/>
      <w:sz w:val="24"/>
      <w:szCs w:val="20"/>
    </w:rPr>
  </w:style>
  <w:style w:type="paragraph" w:styleId="Index3">
    <w:name w:val="index 3"/>
    <w:basedOn w:val="Normal"/>
    <w:next w:val="Normal"/>
    <w:autoRedefine/>
    <w:semiHidden/>
    <w:pPr>
      <w:spacing w:before="0" w:after="240"/>
      <w:ind w:left="720" w:hanging="240"/>
    </w:pPr>
    <w:rPr>
      <w:rFonts w:ascii="Times New Roman" w:eastAsia="Times New Roman" w:hAnsi="Times New Roman"/>
      <w:sz w:val="24"/>
      <w:szCs w:val="20"/>
    </w:rPr>
  </w:style>
  <w:style w:type="paragraph" w:styleId="Index4">
    <w:name w:val="index 4"/>
    <w:basedOn w:val="Normal"/>
    <w:next w:val="Normal"/>
    <w:autoRedefine/>
    <w:semiHidden/>
    <w:pPr>
      <w:spacing w:before="0" w:after="240"/>
      <w:ind w:left="960" w:hanging="240"/>
    </w:pPr>
    <w:rPr>
      <w:rFonts w:ascii="Times New Roman" w:eastAsia="Times New Roman" w:hAnsi="Times New Roman"/>
      <w:sz w:val="24"/>
      <w:szCs w:val="20"/>
    </w:rPr>
  </w:style>
  <w:style w:type="paragraph" w:styleId="Index5">
    <w:name w:val="index 5"/>
    <w:basedOn w:val="Normal"/>
    <w:next w:val="Normal"/>
    <w:autoRedefine/>
    <w:semiHidden/>
    <w:pPr>
      <w:spacing w:before="0" w:after="240"/>
      <w:ind w:left="1200" w:hanging="240"/>
    </w:pPr>
    <w:rPr>
      <w:rFonts w:ascii="Times New Roman" w:eastAsia="Times New Roman" w:hAnsi="Times New Roman"/>
      <w:sz w:val="24"/>
      <w:szCs w:val="20"/>
    </w:rPr>
  </w:style>
  <w:style w:type="paragraph" w:styleId="Index6">
    <w:name w:val="index 6"/>
    <w:basedOn w:val="Normal"/>
    <w:next w:val="Normal"/>
    <w:autoRedefine/>
    <w:semiHidden/>
    <w:pPr>
      <w:spacing w:before="0" w:after="240"/>
      <w:ind w:left="1440" w:hanging="240"/>
    </w:pPr>
    <w:rPr>
      <w:rFonts w:ascii="Times New Roman" w:eastAsia="Times New Roman" w:hAnsi="Times New Roman"/>
      <w:sz w:val="24"/>
      <w:szCs w:val="20"/>
    </w:rPr>
  </w:style>
  <w:style w:type="paragraph" w:styleId="Index7">
    <w:name w:val="index 7"/>
    <w:basedOn w:val="Normal"/>
    <w:next w:val="Normal"/>
    <w:autoRedefine/>
    <w:semiHidden/>
    <w:pPr>
      <w:spacing w:before="0" w:after="240"/>
      <w:ind w:left="1680" w:hanging="240"/>
    </w:pPr>
    <w:rPr>
      <w:rFonts w:ascii="Times New Roman" w:eastAsia="Times New Roman" w:hAnsi="Times New Roman"/>
      <w:sz w:val="24"/>
      <w:szCs w:val="20"/>
    </w:rPr>
  </w:style>
  <w:style w:type="paragraph" w:styleId="Index8">
    <w:name w:val="index 8"/>
    <w:basedOn w:val="Normal"/>
    <w:next w:val="Normal"/>
    <w:autoRedefine/>
    <w:semiHidden/>
    <w:pPr>
      <w:spacing w:before="0" w:after="240"/>
      <w:ind w:left="1920" w:hanging="240"/>
    </w:pPr>
    <w:rPr>
      <w:rFonts w:ascii="Times New Roman" w:eastAsia="Times New Roman" w:hAnsi="Times New Roman"/>
      <w:sz w:val="24"/>
      <w:szCs w:val="20"/>
    </w:rPr>
  </w:style>
  <w:style w:type="paragraph" w:styleId="Index9">
    <w:name w:val="index 9"/>
    <w:basedOn w:val="Normal"/>
    <w:next w:val="Normal"/>
    <w:autoRedefine/>
    <w:semiHidden/>
    <w:pPr>
      <w:spacing w:before="0" w:after="240"/>
      <w:ind w:left="2160" w:hanging="240"/>
    </w:pPr>
    <w:rPr>
      <w:rFonts w:ascii="Times New Roman" w:eastAsia="Times New Roman" w:hAnsi="Times New Roman"/>
      <w:sz w:val="24"/>
      <w:szCs w:val="20"/>
    </w:rPr>
  </w:style>
  <w:style w:type="paragraph" w:styleId="IndexHeading">
    <w:name w:val="index heading"/>
    <w:basedOn w:val="Normal"/>
    <w:next w:val="Index1"/>
    <w:semiHidden/>
    <w:pPr>
      <w:spacing w:before="0" w:after="240"/>
    </w:pPr>
    <w:rPr>
      <w:rFonts w:ascii="Arial" w:eastAsia="Times New Roman" w:hAnsi="Arial"/>
      <w:b/>
      <w:sz w:val="24"/>
      <w:szCs w:val="20"/>
    </w:rPr>
  </w:style>
  <w:style w:type="paragraph" w:styleId="List">
    <w:name w:val="List"/>
    <w:basedOn w:val="Normal"/>
    <w:pPr>
      <w:spacing w:before="0" w:after="240"/>
      <w:ind w:left="283" w:hanging="283"/>
    </w:pPr>
    <w:rPr>
      <w:rFonts w:ascii="Times New Roman" w:eastAsia="Times New Roman" w:hAnsi="Times New Roman"/>
      <w:sz w:val="24"/>
      <w:szCs w:val="20"/>
    </w:rPr>
  </w:style>
  <w:style w:type="paragraph" w:styleId="List2">
    <w:name w:val="List 2"/>
    <w:basedOn w:val="Normal"/>
    <w:pPr>
      <w:spacing w:before="0" w:after="240"/>
      <w:ind w:left="566" w:hanging="283"/>
    </w:pPr>
    <w:rPr>
      <w:rFonts w:ascii="Times New Roman" w:eastAsia="Times New Roman" w:hAnsi="Times New Roman"/>
      <w:sz w:val="24"/>
      <w:szCs w:val="20"/>
    </w:rPr>
  </w:style>
  <w:style w:type="paragraph" w:styleId="List3">
    <w:name w:val="List 3"/>
    <w:basedOn w:val="Normal"/>
    <w:pPr>
      <w:spacing w:before="0" w:after="240"/>
      <w:ind w:left="849" w:hanging="283"/>
    </w:pPr>
    <w:rPr>
      <w:rFonts w:ascii="Times New Roman" w:eastAsia="Times New Roman" w:hAnsi="Times New Roman"/>
      <w:sz w:val="24"/>
      <w:szCs w:val="20"/>
    </w:rPr>
  </w:style>
  <w:style w:type="paragraph" w:styleId="List4">
    <w:name w:val="List 4"/>
    <w:basedOn w:val="Normal"/>
    <w:pPr>
      <w:spacing w:before="0" w:after="240"/>
      <w:ind w:left="1132" w:hanging="283"/>
    </w:pPr>
    <w:rPr>
      <w:rFonts w:ascii="Times New Roman" w:eastAsia="Times New Roman" w:hAnsi="Times New Roman"/>
      <w:sz w:val="24"/>
      <w:szCs w:val="20"/>
    </w:rPr>
  </w:style>
  <w:style w:type="paragraph" w:styleId="List5">
    <w:name w:val="List 5"/>
    <w:basedOn w:val="Normal"/>
    <w:uiPriority w:val="99"/>
    <w:pPr>
      <w:spacing w:before="0" w:after="240"/>
      <w:ind w:left="1415" w:hanging="283"/>
    </w:pPr>
    <w:rPr>
      <w:rFonts w:ascii="Times New Roman" w:eastAsia="Times New Roman" w:hAnsi="Times New Roman"/>
      <w:sz w:val="24"/>
      <w:szCs w:val="20"/>
    </w:rPr>
  </w:style>
  <w:style w:type="paragraph" w:styleId="ListBullet">
    <w:name w:val="List Bullet"/>
    <w:aliases w:val="Bullet Point EU,Bullet Point EU 2,UL"/>
    <w:basedOn w:val="Normal"/>
    <w:link w:val="ListBulletChar"/>
    <w:qFormat/>
    <w:pPr>
      <w:numPr>
        <w:numId w:val="117"/>
      </w:numPr>
      <w:tabs>
        <w:tab w:val="clear" w:pos="360"/>
        <w:tab w:val="num" w:pos="283"/>
      </w:tabs>
      <w:spacing w:before="0" w:after="240"/>
      <w:ind w:left="283" w:hanging="283"/>
    </w:pPr>
    <w:rPr>
      <w:rFonts w:ascii="Times New Roman" w:eastAsia="Times New Roman" w:hAnsi="Times New Roman"/>
      <w:sz w:val="24"/>
      <w:szCs w:val="20"/>
    </w:rPr>
  </w:style>
  <w:style w:type="paragraph" w:styleId="ListBullet2">
    <w:name w:val="List Bullet 2"/>
    <w:basedOn w:val="Text2"/>
    <w:link w:val="ListBullet2Char"/>
    <w:uiPriority w:val="99"/>
    <w:qFormat/>
    <w:pPr>
      <w:numPr>
        <w:numId w:val="30"/>
      </w:numPr>
      <w:tabs>
        <w:tab w:val="clear" w:pos="2302"/>
      </w:tabs>
    </w:pPr>
  </w:style>
  <w:style w:type="paragraph" w:styleId="ListBullet3">
    <w:name w:val="List Bullet 3"/>
    <w:basedOn w:val="Text3"/>
    <w:uiPriority w:val="99"/>
    <w:qFormat/>
    <w:pPr>
      <w:numPr>
        <w:numId w:val="31"/>
      </w:numPr>
      <w:tabs>
        <w:tab w:val="clear" w:pos="2302"/>
      </w:tabs>
    </w:pPr>
  </w:style>
  <w:style w:type="paragraph" w:styleId="ListBullet4">
    <w:name w:val="List Bullet 4"/>
    <w:basedOn w:val="Text4"/>
    <w:uiPriority w:val="99"/>
    <w:pPr>
      <w:numPr>
        <w:numId w:val="32"/>
      </w:numPr>
      <w:tabs>
        <w:tab w:val="clear" w:pos="2302"/>
      </w:tabs>
    </w:pPr>
  </w:style>
  <w:style w:type="paragraph" w:styleId="ListBullet5">
    <w:name w:val="List Bullet 5"/>
    <w:basedOn w:val="Normal"/>
    <w:autoRedefine/>
    <w:uiPriority w:val="99"/>
    <w:pPr>
      <w:numPr>
        <w:numId w:val="27"/>
      </w:numPr>
      <w:spacing w:before="0" w:after="240"/>
    </w:pPr>
    <w:rPr>
      <w:rFonts w:ascii="Times New Roman" w:eastAsia="Times New Roman" w:hAnsi="Times New Roman"/>
      <w:sz w:val="24"/>
      <w:szCs w:val="20"/>
    </w:rPr>
  </w:style>
  <w:style w:type="paragraph" w:styleId="ListContinue">
    <w:name w:val="List Continue"/>
    <w:basedOn w:val="Normal"/>
    <w:pPr>
      <w:spacing w:before="0"/>
      <w:ind w:left="283"/>
    </w:pPr>
    <w:rPr>
      <w:rFonts w:ascii="Times New Roman" w:eastAsia="Times New Roman" w:hAnsi="Times New Roman"/>
      <w:sz w:val="24"/>
      <w:szCs w:val="20"/>
    </w:rPr>
  </w:style>
  <w:style w:type="paragraph" w:styleId="ListContinue2">
    <w:name w:val="List Continue 2"/>
    <w:basedOn w:val="Normal"/>
    <w:pPr>
      <w:spacing w:before="0"/>
      <w:ind w:left="566"/>
    </w:pPr>
    <w:rPr>
      <w:rFonts w:ascii="Times New Roman" w:eastAsia="Times New Roman" w:hAnsi="Times New Roman"/>
      <w:sz w:val="24"/>
      <w:szCs w:val="20"/>
    </w:rPr>
  </w:style>
  <w:style w:type="paragraph" w:styleId="ListContinue3">
    <w:name w:val="List Continue 3"/>
    <w:basedOn w:val="Normal"/>
    <w:pPr>
      <w:spacing w:before="0"/>
      <w:ind w:left="849"/>
    </w:pPr>
    <w:rPr>
      <w:rFonts w:ascii="Times New Roman" w:eastAsia="Times New Roman" w:hAnsi="Times New Roman"/>
      <w:sz w:val="24"/>
      <w:szCs w:val="20"/>
    </w:rPr>
  </w:style>
  <w:style w:type="paragraph" w:styleId="ListContinue4">
    <w:name w:val="List Continue 4"/>
    <w:basedOn w:val="Normal"/>
    <w:pPr>
      <w:spacing w:before="0"/>
      <w:ind w:left="1132"/>
    </w:pPr>
    <w:rPr>
      <w:rFonts w:ascii="Times New Roman" w:eastAsia="Times New Roman" w:hAnsi="Times New Roman"/>
      <w:sz w:val="24"/>
      <w:szCs w:val="20"/>
    </w:rPr>
  </w:style>
  <w:style w:type="paragraph" w:styleId="ListContinue5">
    <w:name w:val="List Continue 5"/>
    <w:basedOn w:val="Normal"/>
    <w:pPr>
      <w:spacing w:before="0"/>
      <w:ind w:left="1415"/>
    </w:pPr>
    <w:rPr>
      <w:rFonts w:ascii="Times New Roman" w:eastAsia="Times New Roman" w:hAnsi="Times New Roman"/>
      <w:sz w:val="24"/>
      <w:szCs w:val="20"/>
    </w:rPr>
  </w:style>
  <w:style w:type="paragraph" w:styleId="ListNumber">
    <w:name w:val="List Number"/>
    <w:basedOn w:val="Normal"/>
    <w:pPr>
      <w:numPr>
        <w:numId w:val="38"/>
      </w:numPr>
      <w:spacing w:before="0" w:after="240"/>
    </w:pPr>
    <w:rPr>
      <w:rFonts w:ascii="Times New Roman" w:eastAsia="Times New Roman" w:hAnsi="Times New Roman"/>
      <w:sz w:val="24"/>
      <w:szCs w:val="20"/>
    </w:rPr>
  </w:style>
  <w:style w:type="paragraph" w:styleId="ListNumber2">
    <w:name w:val="List Number 2"/>
    <w:basedOn w:val="Text2"/>
    <w:pPr>
      <w:numPr>
        <w:numId w:val="40"/>
      </w:numPr>
      <w:tabs>
        <w:tab w:val="clear" w:pos="1911"/>
        <w:tab w:val="clear" w:pos="2302"/>
      </w:tabs>
      <w:ind w:left="720" w:hanging="360"/>
    </w:pPr>
  </w:style>
  <w:style w:type="paragraph" w:styleId="ListNumber3">
    <w:name w:val="List Number 3"/>
    <w:basedOn w:val="Text3"/>
    <w:pPr>
      <w:numPr>
        <w:numId w:val="41"/>
      </w:numPr>
      <w:tabs>
        <w:tab w:val="clear" w:pos="2302"/>
      </w:tabs>
    </w:pPr>
  </w:style>
  <w:style w:type="paragraph" w:styleId="ListNumber4">
    <w:name w:val="List Number 4"/>
    <w:basedOn w:val="Text4"/>
    <w:pPr>
      <w:numPr>
        <w:numId w:val="42"/>
      </w:numPr>
      <w:tabs>
        <w:tab w:val="clear" w:pos="2302"/>
      </w:tabs>
    </w:pPr>
  </w:style>
  <w:style w:type="paragraph" w:styleId="ListNumber5">
    <w:name w:val="List Number 5"/>
    <w:basedOn w:val="Normal"/>
    <w:pPr>
      <w:numPr>
        <w:numId w:val="28"/>
      </w:numPr>
      <w:spacing w:before="0" w:after="240"/>
    </w:pPr>
    <w:rPr>
      <w:rFonts w:ascii="Times New Roman" w:eastAsia="Times New Roman" w:hAnsi="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semiHidden/>
    <w:rPr>
      <w:rFonts w:ascii="Courier New" w:eastAsia="Times New Roman"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ascii="Arial" w:eastAsia="Times New Roman" w:hAnsi="Arial"/>
      <w:sz w:val="24"/>
      <w:szCs w:val="20"/>
    </w:rPr>
  </w:style>
  <w:style w:type="character" w:customStyle="1" w:styleId="MessageHeaderChar">
    <w:name w:val="Message Header Char"/>
    <w:basedOn w:val="DefaultParagraphFont"/>
    <w:link w:val="MessageHeader"/>
    <w:rPr>
      <w:rFonts w:ascii="Arial" w:eastAsia="Times New Roman" w:hAnsi="Arial"/>
      <w:sz w:val="24"/>
      <w:shd w:val="pct20" w:color="auto" w:fill="auto"/>
      <w:lang w:eastAsia="en-US"/>
    </w:rPr>
  </w:style>
  <w:style w:type="paragraph" w:styleId="NormalIndent">
    <w:name w:val="Normal Indent"/>
    <w:basedOn w:val="Normal"/>
    <w:pPr>
      <w:spacing w:before="0" w:after="240"/>
      <w:ind w:left="720"/>
    </w:pPr>
    <w:rPr>
      <w:rFonts w:ascii="Times New Roman" w:eastAsia="Times New Roman" w:hAnsi="Times New Roman"/>
      <w:sz w:val="24"/>
      <w:szCs w:val="20"/>
    </w:rPr>
  </w:style>
  <w:style w:type="paragraph" w:styleId="NoteHeading">
    <w:name w:val="Note Heading"/>
    <w:basedOn w:val="Normal"/>
    <w:next w:val="Normal"/>
    <w:link w:val="NoteHeadingChar"/>
    <w:pPr>
      <w:spacing w:before="0" w:after="240"/>
    </w:pPr>
    <w:rPr>
      <w:rFonts w:ascii="Times New Roman" w:eastAsia="Times New Roman" w:hAnsi="Times New Roman"/>
      <w:sz w:val="24"/>
      <w:szCs w:val="20"/>
    </w:rPr>
  </w:style>
  <w:style w:type="character" w:customStyle="1" w:styleId="NoteHeadingChar">
    <w:name w:val="Note Heading Char"/>
    <w:basedOn w:val="DefaultParagraphFont"/>
    <w:link w:val="NoteHeading"/>
    <w:rPr>
      <w:rFonts w:ascii="Times New Roman" w:eastAsia="Times New Roman" w:hAnsi="Times New Roman"/>
      <w:sz w:val="24"/>
      <w:lang w:eastAsia="en-US"/>
    </w:rPr>
  </w:style>
  <w:style w:type="paragraph" w:customStyle="1" w:styleId="NoteHead">
    <w:name w:val="NoteHead"/>
    <w:basedOn w:val="Normal"/>
    <w:next w:val="Subject"/>
    <w:pPr>
      <w:spacing w:before="720" w:after="720"/>
      <w:jc w:val="center"/>
    </w:pPr>
    <w:rPr>
      <w:rFonts w:ascii="Times New Roman" w:eastAsia="Times New Roman" w:hAnsi="Times New Roman"/>
      <w:b/>
      <w:smallCaps/>
      <w:sz w:val="24"/>
      <w:szCs w:val="20"/>
    </w:rPr>
  </w:style>
  <w:style w:type="paragraph" w:customStyle="1" w:styleId="Subject">
    <w:name w:val="Subject"/>
    <w:basedOn w:val="Normal"/>
    <w:next w:val="Normal"/>
    <w:pPr>
      <w:spacing w:before="0" w:after="480"/>
      <w:ind w:left="1531" w:hanging="1531"/>
      <w:jc w:val="left"/>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ind w:left="5104" w:hanging="3119"/>
      <w:jc w:val="left"/>
    </w:pPr>
    <w:rPr>
      <w:rFonts w:ascii="Times New Roman" w:eastAsia="Times New Roman" w:hAnsi="Times New Roman"/>
      <w:b/>
      <w:smallCaps/>
      <w:sz w:val="24"/>
      <w:szCs w:val="20"/>
    </w:rPr>
  </w:style>
  <w:style w:type="paragraph" w:customStyle="1" w:styleId="NumPar1">
    <w:name w:val="NumPar 1"/>
    <w:basedOn w:val="Heading1"/>
    <w:next w:val="Text1"/>
    <w:pPr>
      <w:keepNext w:val="0"/>
      <w:numPr>
        <w:numId w:val="0"/>
      </w:numPr>
      <w:spacing w:before="0" w:after="240"/>
      <w:outlineLvl w:val="9"/>
    </w:pPr>
    <w:rPr>
      <w:rFonts w:ascii="Times New Roman" w:eastAsia="Times New Roman" w:hAnsi="Times New Roman"/>
      <w:b w:val="0"/>
      <w:sz w:val="24"/>
      <w:szCs w:val="20"/>
    </w:rPr>
  </w:style>
  <w:style w:type="paragraph" w:customStyle="1" w:styleId="NumPar2">
    <w:name w:val="NumPar 2"/>
    <w:basedOn w:val="Heading2"/>
    <w:next w:val="Text2"/>
    <w:pPr>
      <w:keepNext w:val="0"/>
      <w:keepLines w:val="0"/>
      <w:numPr>
        <w:ilvl w:val="0"/>
        <w:numId w:val="0"/>
      </w:numPr>
      <w:spacing w:before="0" w:after="240"/>
      <w:outlineLvl w:val="9"/>
    </w:pPr>
    <w:rPr>
      <w:rFonts w:ascii="Times New Roman" w:eastAsia="Times New Roman" w:hAnsi="Times New Roman" w:cs="Times New Roman"/>
      <w:bCs w:val="0"/>
      <w:iCs w:val="0"/>
      <w:szCs w:val="20"/>
    </w:rPr>
  </w:style>
  <w:style w:type="paragraph" w:customStyle="1" w:styleId="NumPar3">
    <w:name w:val="NumPar 3"/>
    <w:basedOn w:val="Heading3"/>
    <w:next w:val="Text3"/>
    <w:pPr>
      <w:keepNext w:val="0"/>
      <w:keepLines w:val="0"/>
      <w:numPr>
        <w:ilvl w:val="0"/>
        <w:numId w:val="0"/>
      </w:numPr>
      <w:spacing w:before="0" w:after="240"/>
      <w:outlineLvl w:val="9"/>
    </w:pPr>
    <w:rPr>
      <w:rFonts w:ascii="Times New Roman" w:eastAsia="Times New Roman" w:hAnsi="Times New Roman" w:cs="Times New Roman"/>
      <w:b w:val="0"/>
      <w:bCs w:val="0"/>
      <w:sz w:val="24"/>
      <w:szCs w:val="20"/>
    </w:rPr>
  </w:style>
  <w:style w:type="paragraph" w:customStyle="1" w:styleId="NumPar4">
    <w:name w:val="NumPar 4"/>
    <w:basedOn w:val="Heading4"/>
    <w:next w:val="Text4"/>
    <w:pPr>
      <w:keepNext w:val="0"/>
      <w:keepLines w:val="0"/>
      <w:numPr>
        <w:ilvl w:val="0"/>
        <w:numId w:val="0"/>
      </w:numPr>
      <w:spacing w:before="0" w:after="240"/>
      <w:outlineLvl w:val="9"/>
    </w:pPr>
    <w:rPr>
      <w:rFonts w:ascii="Times New Roman" w:eastAsia="Times New Roman" w:hAnsi="Times New Roman" w:cs="Times New Roman"/>
      <w:b w:val="0"/>
      <w:bCs w:val="0"/>
      <w:iCs w:val="0"/>
      <w:sz w:val="24"/>
      <w:szCs w:val="20"/>
    </w:rPr>
  </w:style>
  <w:style w:type="paragraph" w:customStyle="1" w:styleId="PartTitle">
    <w:name w:val="PartTitle"/>
    <w:basedOn w:val="Normal"/>
    <w:next w:val="ChapterTitle"/>
    <w:pPr>
      <w:keepNext/>
      <w:pageBreakBefore/>
      <w:spacing w:before="0" w:after="480"/>
      <w:jc w:val="center"/>
    </w:pPr>
    <w:rPr>
      <w:rFonts w:ascii="Times New Roman" w:eastAsia="Times New Roman" w:hAnsi="Times New Roman"/>
      <w:b/>
      <w:sz w:val="36"/>
      <w:szCs w:val="20"/>
    </w:rPr>
  </w:style>
  <w:style w:type="paragraph" w:styleId="PlainText">
    <w:name w:val="Plain Text"/>
    <w:basedOn w:val="Normal"/>
    <w:link w:val="PlainTextChar"/>
    <w:pPr>
      <w:spacing w:before="0" w:after="240"/>
    </w:pPr>
    <w:rPr>
      <w:rFonts w:ascii="Courier New" w:eastAsia="Times New Roman" w:hAnsi="Courier New"/>
      <w:szCs w:val="20"/>
    </w:rPr>
  </w:style>
  <w:style w:type="character" w:customStyle="1" w:styleId="PlainTextChar">
    <w:name w:val="Plain Text Char"/>
    <w:basedOn w:val="DefaultParagraphFont"/>
    <w:link w:val="PlainText"/>
    <w:rPr>
      <w:rFonts w:ascii="Courier New" w:eastAsia="Times New Roman" w:hAnsi="Courier New"/>
      <w:lang w:eastAsia="en-US"/>
    </w:rPr>
  </w:style>
  <w:style w:type="paragraph" w:styleId="Salutation">
    <w:name w:val="Salutation"/>
    <w:basedOn w:val="Normal"/>
    <w:next w:val="Normal"/>
    <w:link w:val="SalutationChar"/>
    <w:pPr>
      <w:spacing w:before="0" w:after="240"/>
    </w:pPr>
    <w:rPr>
      <w:rFonts w:ascii="Times New Roman" w:eastAsia="Times New Roman" w:hAnsi="Times New Roman"/>
      <w:sz w:val="24"/>
      <w:szCs w:val="20"/>
    </w:rPr>
  </w:style>
  <w:style w:type="character" w:customStyle="1" w:styleId="SalutationChar">
    <w:name w:val="Salutation Char"/>
    <w:basedOn w:val="DefaultParagraphFont"/>
    <w:link w:val="Salutation"/>
    <w:rPr>
      <w:rFonts w:ascii="Times New Roman" w:eastAsia="Times New Roman" w:hAnsi="Times New Roman"/>
      <w:sz w:val="24"/>
      <w:lang w:eastAsia="en-US"/>
    </w:rPr>
  </w:style>
  <w:style w:type="paragraph" w:styleId="Signature">
    <w:name w:val="Signature"/>
    <w:basedOn w:val="Normal"/>
    <w:next w:val="Enclosures"/>
    <w:link w:val="SignatureChar"/>
    <w:pPr>
      <w:tabs>
        <w:tab w:val="left" w:pos="5103"/>
      </w:tabs>
      <w:spacing w:before="1200" w:after="0"/>
      <w:ind w:left="5103"/>
      <w:jc w:val="center"/>
    </w:pPr>
    <w:rPr>
      <w:rFonts w:ascii="Times New Roman" w:eastAsia="Times New Roman" w:hAnsi="Times New Roman"/>
      <w:sz w:val="24"/>
      <w:szCs w:val="20"/>
    </w:rPr>
  </w:style>
  <w:style w:type="character" w:customStyle="1" w:styleId="SignatureChar">
    <w:name w:val="Signature Char"/>
    <w:basedOn w:val="DefaultParagraphFont"/>
    <w:link w:val="Signature"/>
    <w:rPr>
      <w:rFonts w:ascii="Times New Roman" w:eastAsia="Times New Roman" w:hAnsi="Times New Roman"/>
      <w:sz w:val="24"/>
      <w:lang w:eastAsia="en-US"/>
    </w:rPr>
  </w:style>
  <w:style w:type="paragraph" w:customStyle="1" w:styleId="SubTitle1">
    <w:name w:val="SubTitle 1"/>
    <w:basedOn w:val="Normal"/>
    <w:next w:val="SubTitle2"/>
    <w:pPr>
      <w:spacing w:before="0" w:after="240"/>
      <w:jc w:val="center"/>
    </w:pPr>
    <w:rPr>
      <w:rFonts w:ascii="Times New Roman" w:eastAsia="Times New Roman" w:hAnsi="Times New Roman"/>
      <w:b/>
      <w:sz w:val="40"/>
      <w:szCs w:val="20"/>
    </w:rPr>
  </w:style>
  <w:style w:type="paragraph" w:customStyle="1" w:styleId="SubTitle2">
    <w:name w:val="SubTitle 2"/>
    <w:basedOn w:val="Normal"/>
    <w:pPr>
      <w:spacing w:before="0" w:after="240"/>
      <w:jc w:val="center"/>
    </w:pPr>
    <w:rPr>
      <w:rFonts w:ascii="Times New Roman" w:eastAsia="Times New Roman" w:hAnsi="Times New Roman"/>
      <w:b/>
      <w:sz w:val="32"/>
      <w:szCs w:val="20"/>
    </w:rPr>
  </w:style>
  <w:style w:type="paragraph" w:styleId="TableofAuthorities">
    <w:name w:val="table of authorities"/>
    <w:basedOn w:val="Normal"/>
    <w:next w:val="Normal"/>
    <w:semiHidden/>
    <w:pPr>
      <w:spacing w:before="0" w:after="240"/>
      <w:ind w:left="240" w:hanging="240"/>
    </w:pPr>
    <w:rPr>
      <w:rFonts w:ascii="Times New Roman" w:eastAsia="Times New Roman" w:hAnsi="Times New Roman"/>
      <w:sz w:val="24"/>
      <w:szCs w:val="20"/>
    </w:rPr>
  </w:style>
  <w:style w:type="paragraph" w:styleId="Title">
    <w:name w:val="Title"/>
    <w:basedOn w:val="Normal"/>
    <w:next w:val="Normal"/>
    <w:link w:val="TitleChar"/>
    <w:qFormat/>
    <w:pPr>
      <w:spacing w:before="0" w:after="480"/>
      <w:jc w:val="center"/>
    </w:pPr>
    <w:rPr>
      <w:rFonts w:ascii="Times New Roman Bold" w:eastAsia="Times New Roman" w:hAnsi="Times New Roman Bold"/>
      <w:b/>
      <w:smallCaps/>
      <w:kern w:val="28"/>
      <w:sz w:val="24"/>
      <w:szCs w:val="20"/>
    </w:rPr>
  </w:style>
  <w:style w:type="character" w:customStyle="1" w:styleId="TitleChar">
    <w:name w:val="Title Char"/>
    <w:basedOn w:val="DefaultParagraphFont"/>
    <w:link w:val="Title"/>
    <w:rPr>
      <w:rFonts w:ascii="Times New Roman Bold" w:eastAsia="Times New Roman" w:hAnsi="Times New Roman Bold"/>
      <w:b/>
      <w:smallCaps/>
      <w:kern w:val="28"/>
      <w:sz w:val="24"/>
      <w:lang w:eastAsia="en-US"/>
    </w:rPr>
  </w:style>
  <w:style w:type="paragraph" w:styleId="TOAHeading">
    <w:name w:val="toa heading"/>
    <w:basedOn w:val="Normal"/>
    <w:next w:val="Normal"/>
    <w:semiHidden/>
    <w:pPr>
      <w:spacing w:after="240"/>
    </w:pPr>
    <w:rPr>
      <w:rFonts w:ascii="Arial" w:eastAsia="Times New Roman" w:hAnsi="Arial"/>
      <w:b/>
      <w:sz w:val="24"/>
      <w:szCs w:val="20"/>
    </w:rPr>
  </w:style>
  <w:style w:type="paragraph" w:styleId="TOC6">
    <w:name w:val="toc 6"/>
    <w:basedOn w:val="Normal"/>
    <w:next w:val="Normal"/>
    <w:autoRedefine/>
    <w:uiPriority w:val="39"/>
    <w:pPr>
      <w:spacing w:before="0" w:after="240"/>
      <w:ind w:left="1200"/>
    </w:pPr>
    <w:rPr>
      <w:rFonts w:ascii="Times New Roman" w:eastAsia="Times New Roman" w:hAnsi="Times New Roman"/>
      <w:sz w:val="24"/>
      <w:szCs w:val="20"/>
    </w:rPr>
  </w:style>
  <w:style w:type="paragraph" w:styleId="TOC7">
    <w:name w:val="toc 7"/>
    <w:basedOn w:val="Normal"/>
    <w:next w:val="Normal"/>
    <w:autoRedefine/>
    <w:uiPriority w:val="39"/>
    <w:pPr>
      <w:spacing w:before="0" w:after="240"/>
      <w:ind w:left="1440"/>
    </w:pPr>
    <w:rPr>
      <w:rFonts w:ascii="Times New Roman" w:eastAsia="Times New Roman" w:hAnsi="Times New Roman"/>
      <w:sz w:val="24"/>
      <w:szCs w:val="20"/>
    </w:rPr>
  </w:style>
  <w:style w:type="paragraph" w:styleId="TOC8">
    <w:name w:val="toc 8"/>
    <w:basedOn w:val="Normal"/>
    <w:next w:val="Normal"/>
    <w:autoRedefine/>
    <w:uiPriority w:val="39"/>
    <w:pPr>
      <w:spacing w:before="0" w:after="240"/>
      <w:ind w:left="1680"/>
    </w:pPr>
    <w:rPr>
      <w:rFonts w:ascii="Times New Roman" w:eastAsia="Times New Roman" w:hAnsi="Times New Roman"/>
      <w:sz w:val="24"/>
      <w:szCs w:val="20"/>
    </w:rPr>
  </w:style>
  <w:style w:type="paragraph" w:styleId="TOC9">
    <w:name w:val="toc 9"/>
    <w:basedOn w:val="Normal"/>
    <w:next w:val="Normal"/>
    <w:autoRedefine/>
    <w:uiPriority w:val="39"/>
    <w:pPr>
      <w:spacing w:before="0" w:after="240"/>
      <w:ind w:left="1920"/>
    </w:pPr>
    <w:rPr>
      <w:rFonts w:ascii="Times New Roman" w:eastAsia="Times New Roman" w:hAnsi="Times New Roman"/>
      <w:sz w:val="24"/>
      <w:szCs w:val="20"/>
    </w:rPr>
  </w:style>
  <w:style w:type="paragraph" w:customStyle="1" w:styleId="YReferences">
    <w:name w:val="YReferences"/>
    <w:basedOn w:val="Normal"/>
    <w:next w:val="Normal"/>
    <w:pPr>
      <w:spacing w:before="0" w:after="480"/>
      <w:ind w:left="1531" w:hanging="1531"/>
    </w:pPr>
    <w:rPr>
      <w:rFonts w:ascii="Times New Roman" w:eastAsia="Times New Roman" w:hAnsi="Times New Roman"/>
      <w:sz w:val="24"/>
      <w:szCs w:val="20"/>
    </w:rPr>
  </w:style>
  <w:style w:type="paragraph" w:customStyle="1" w:styleId="ListBullet1">
    <w:name w:val="List Bullet 1"/>
    <w:basedOn w:val="Text1"/>
    <w:pPr>
      <w:numPr>
        <w:numId w:val="29"/>
      </w:numPr>
      <w:tabs>
        <w:tab w:val="clear" w:pos="765"/>
      </w:tabs>
      <w:ind w:left="1080" w:hanging="360"/>
    </w:pPr>
  </w:style>
  <w:style w:type="paragraph" w:customStyle="1" w:styleId="ListDash">
    <w:name w:val="List Dash"/>
    <w:basedOn w:val="Normal"/>
    <w:pPr>
      <w:numPr>
        <w:numId w:val="33"/>
      </w:numPr>
      <w:spacing w:before="0" w:after="240"/>
    </w:pPr>
    <w:rPr>
      <w:rFonts w:ascii="Times New Roman" w:eastAsia="Times New Roman" w:hAnsi="Times New Roman"/>
      <w:sz w:val="24"/>
      <w:szCs w:val="20"/>
    </w:rPr>
  </w:style>
  <w:style w:type="paragraph" w:customStyle="1" w:styleId="ListDash1">
    <w:name w:val="List Dash 1"/>
    <w:basedOn w:val="Text1"/>
    <w:pPr>
      <w:numPr>
        <w:numId w:val="34"/>
      </w:numPr>
      <w:tabs>
        <w:tab w:val="clear" w:pos="765"/>
      </w:tabs>
      <w:ind w:left="720" w:hanging="360"/>
    </w:pPr>
  </w:style>
  <w:style w:type="paragraph" w:customStyle="1" w:styleId="ListDash2">
    <w:name w:val="List Dash 2"/>
    <w:basedOn w:val="Text2"/>
    <w:pPr>
      <w:numPr>
        <w:numId w:val="35"/>
      </w:numPr>
      <w:tabs>
        <w:tab w:val="clear" w:pos="1485"/>
        <w:tab w:val="clear" w:pos="2302"/>
      </w:tabs>
      <w:ind w:left="720" w:hanging="360"/>
    </w:pPr>
  </w:style>
  <w:style w:type="paragraph" w:customStyle="1" w:styleId="ListDash3">
    <w:name w:val="List Dash 3"/>
    <w:basedOn w:val="Text3"/>
    <w:pPr>
      <w:numPr>
        <w:numId w:val="36"/>
      </w:numPr>
      <w:tabs>
        <w:tab w:val="clear" w:pos="2302"/>
      </w:tabs>
    </w:pPr>
  </w:style>
  <w:style w:type="paragraph" w:customStyle="1" w:styleId="ListDash4">
    <w:name w:val="List Dash 4"/>
    <w:basedOn w:val="Text4"/>
    <w:pPr>
      <w:numPr>
        <w:numId w:val="37"/>
      </w:numPr>
      <w:tabs>
        <w:tab w:val="clear" w:pos="2302"/>
      </w:tabs>
    </w:pPr>
  </w:style>
  <w:style w:type="paragraph" w:customStyle="1" w:styleId="ListNumberLevel2">
    <w:name w:val="List Number (Level 2)"/>
    <w:basedOn w:val="Normal"/>
    <w:pPr>
      <w:numPr>
        <w:ilvl w:val="1"/>
        <w:numId w:val="38"/>
      </w:numPr>
      <w:spacing w:before="0" w:after="240"/>
    </w:pPr>
    <w:rPr>
      <w:rFonts w:ascii="Times New Roman" w:eastAsia="Times New Roman" w:hAnsi="Times New Roman"/>
      <w:sz w:val="24"/>
      <w:szCs w:val="20"/>
    </w:rPr>
  </w:style>
  <w:style w:type="paragraph" w:customStyle="1" w:styleId="ListNumberLevel3">
    <w:name w:val="List Number (Level 3)"/>
    <w:basedOn w:val="Normal"/>
    <w:pPr>
      <w:numPr>
        <w:ilvl w:val="2"/>
        <w:numId w:val="38"/>
      </w:numPr>
      <w:spacing w:before="0" w:after="240"/>
    </w:pPr>
    <w:rPr>
      <w:rFonts w:ascii="Times New Roman" w:eastAsia="Times New Roman" w:hAnsi="Times New Roman"/>
      <w:sz w:val="24"/>
      <w:szCs w:val="20"/>
    </w:rPr>
  </w:style>
  <w:style w:type="paragraph" w:customStyle="1" w:styleId="ListNumberLevel4">
    <w:name w:val="List Number (Level 4)"/>
    <w:basedOn w:val="Normal"/>
    <w:pPr>
      <w:numPr>
        <w:ilvl w:val="3"/>
        <w:numId w:val="38"/>
      </w:numPr>
      <w:spacing w:before="0" w:after="240"/>
    </w:pPr>
    <w:rPr>
      <w:rFonts w:ascii="Times New Roman" w:eastAsia="Times New Roman" w:hAnsi="Times New Roman"/>
      <w:sz w:val="24"/>
      <w:szCs w:val="20"/>
    </w:rPr>
  </w:style>
  <w:style w:type="paragraph" w:customStyle="1" w:styleId="ListNumber1">
    <w:name w:val="List Number 1"/>
    <w:basedOn w:val="Text1"/>
    <w:pPr>
      <w:numPr>
        <w:numId w:val="39"/>
      </w:numPr>
      <w:tabs>
        <w:tab w:val="clear" w:pos="1191"/>
      </w:tabs>
      <w:ind w:left="720" w:hanging="360"/>
    </w:pPr>
  </w:style>
  <w:style w:type="paragraph" w:customStyle="1" w:styleId="ListNumber1Level2">
    <w:name w:val="List Number 1 (Level 2)"/>
    <w:basedOn w:val="Text1"/>
    <w:pPr>
      <w:numPr>
        <w:ilvl w:val="1"/>
        <w:numId w:val="39"/>
      </w:numPr>
      <w:tabs>
        <w:tab w:val="clear" w:pos="1899"/>
      </w:tabs>
      <w:ind w:left="1440" w:hanging="360"/>
    </w:pPr>
  </w:style>
  <w:style w:type="paragraph" w:customStyle="1" w:styleId="ListNumber1Level3">
    <w:name w:val="List Number 1 (Level 3)"/>
    <w:basedOn w:val="Text1"/>
    <w:pPr>
      <w:numPr>
        <w:ilvl w:val="2"/>
        <w:numId w:val="39"/>
      </w:numPr>
      <w:tabs>
        <w:tab w:val="clear" w:pos="2608"/>
      </w:tabs>
      <w:ind w:left="2160" w:hanging="360"/>
    </w:pPr>
  </w:style>
  <w:style w:type="paragraph" w:customStyle="1" w:styleId="ListNumber1Level4">
    <w:name w:val="List Number 1 (Level 4)"/>
    <w:basedOn w:val="Text1"/>
    <w:pPr>
      <w:numPr>
        <w:ilvl w:val="3"/>
        <w:numId w:val="39"/>
      </w:numPr>
      <w:tabs>
        <w:tab w:val="clear" w:pos="3317"/>
      </w:tabs>
      <w:ind w:left="2880" w:hanging="360"/>
    </w:pPr>
  </w:style>
  <w:style w:type="paragraph" w:customStyle="1" w:styleId="ListNumber2Level2">
    <w:name w:val="List Number 2 (Level 2)"/>
    <w:basedOn w:val="Text2"/>
    <w:pPr>
      <w:numPr>
        <w:ilvl w:val="1"/>
        <w:numId w:val="40"/>
      </w:numPr>
      <w:tabs>
        <w:tab w:val="clear" w:pos="2302"/>
        <w:tab w:val="clear" w:pos="2619"/>
      </w:tabs>
      <w:ind w:left="1440" w:hanging="360"/>
    </w:pPr>
  </w:style>
  <w:style w:type="paragraph" w:customStyle="1" w:styleId="ListNumber2Level3">
    <w:name w:val="List Number 2 (Level 3)"/>
    <w:basedOn w:val="Text2"/>
    <w:pPr>
      <w:numPr>
        <w:ilvl w:val="2"/>
        <w:numId w:val="40"/>
      </w:numPr>
      <w:tabs>
        <w:tab w:val="clear" w:pos="2302"/>
        <w:tab w:val="clear" w:pos="3328"/>
      </w:tabs>
      <w:ind w:left="2160" w:hanging="360"/>
    </w:pPr>
  </w:style>
  <w:style w:type="paragraph" w:customStyle="1" w:styleId="ListNumber2Level4">
    <w:name w:val="List Number 2 (Level 4)"/>
    <w:basedOn w:val="Text2"/>
    <w:pPr>
      <w:numPr>
        <w:ilvl w:val="3"/>
        <w:numId w:val="40"/>
      </w:numPr>
      <w:tabs>
        <w:tab w:val="clear" w:pos="2302"/>
        <w:tab w:val="clear" w:pos="4037"/>
      </w:tabs>
      <w:ind w:left="2880" w:hanging="360"/>
    </w:pPr>
  </w:style>
  <w:style w:type="paragraph" w:customStyle="1" w:styleId="ListNumber3Level2">
    <w:name w:val="List Number 3 (Level 2)"/>
    <w:basedOn w:val="Text3"/>
    <w:pPr>
      <w:numPr>
        <w:ilvl w:val="1"/>
        <w:numId w:val="41"/>
      </w:numPr>
      <w:tabs>
        <w:tab w:val="clear" w:pos="2302"/>
      </w:tabs>
    </w:pPr>
  </w:style>
  <w:style w:type="paragraph" w:customStyle="1" w:styleId="ListNumber3Level3">
    <w:name w:val="List Number 3 (Level 3)"/>
    <w:basedOn w:val="Text3"/>
    <w:pPr>
      <w:numPr>
        <w:ilvl w:val="2"/>
        <w:numId w:val="41"/>
      </w:numPr>
      <w:tabs>
        <w:tab w:val="clear" w:pos="2302"/>
      </w:tabs>
    </w:pPr>
  </w:style>
  <w:style w:type="paragraph" w:customStyle="1" w:styleId="ListNumber3Level4">
    <w:name w:val="List Number 3 (Level 4)"/>
    <w:basedOn w:val="Text3"/>
    <w:pPr>
      <w:numPr>
        <w:ilvl w:val="3"/>
        <w:numId w:val="41"/>
      </w:numPr>
      <w:tabs>
        <w:tab w:val="clear" w:pos="2302"/>
      </w:tabs>
    </w:pPr>
  </w:style>
  <w:style w:type="paragraph" w:customStyle="1" w:styleId="ListNumber4Level2">
    <w:name w:val="List Number 4 (Level 2)"/>
    <w:basedOn w:val="Text4"/>
    <w:pPr>
      <w:numPr>
        <w:ilvl w:val="1"/>
        <w:numId w:val="42"/>
      </w:numPr>
      <w:tabs>
        <w:tab w:val="clear" w:pos="2302"/>
      </w:tabs>
    </w:pPr>
  </w:style>
  <w:style w:type="paragraph" w:customStyle="1" w:styleId="ListNumber4Level3">
    <w:name w:val="List Number 4 (Level 3)"/>
    <w:basedOn w:val="Text4"/>
    <w:pPr>
      <w:numPr>
        <w:ilvl w:val="2"/>
        <w:numId w:val="42"/>
      </w:numPr>
      <w:tabs>
        <w:tab w:val="clear" w:pos="2302"/>
      </w:tabs>
    </w:pPr>
  </w:style>
  <w:style w:type="paragraph" w:customStyle="1" w:styleId="ListNumber4Level4">
    <w:name w:val="List Number 4 (Level 4)"/>
    <w:basedOn w:val="Text4"/>
    <w:pPr>
      <w:numPr>
        <w:ilvl w:val="3"/>
        <w:numId w:val="42"/>
      </w:numPr>
      <w:tabs>
        <w:tab w:val="clear" w:pos="2302"/>
      </w:tabs>
    </w:pPr>
  </w:style>
  <w:style w:type="paragraph" w:customStyle="1" w:styleId="Contact">
    <w:name w:val="Contact"/>
    <w:basedOn w:val="Normal"/>
    <w:next w:val="Normal"/>
    <w:pPr>
      <w:spacing w:before="0" w:after="480"/>
      <w:ind w:left="567" w:hanging="567"/>
      <w:jc w:val="left"/>
    </w:pPr>
    <w:rPr>
      <w:rFonts w:ascii="Times New Roman" w:eastAsia="Times New Roman" w:hAnsi="Times New Roman"/>
      <w:sz w:val="24"/>
      <w:szCs w:val="20"/>
    </w:rPr>
  </w:style>
  <w:style w:type="paragraph" w:customStyle="1" w:styleId="Designator">
    <w:name w:val="Designator"/>
    <w:basedOn w:val="Normal"/>
    <w:pPr>
      <w:spacing w:before="0" w:after="0"/>
      <w:jc w:val="center"/>
    </w:pPr>
    <w:rPr>
      <w:rFonts w:ascii="Times New Roman" w:eastAsia="Times New Roman" w:hAnsi="Times New Roman"/>
      <w:b/>
      <w:caps/>
      <w:sz w:val="32"/>
      <w:szCs w:val="20"/>
    </w:rPr>
  </w:style>
  <w:style w:type="paragraph" w:customStyle="1" w:styleId="Releasable">
    <w:name w:val="Releasable"/>
    <w:basedOn w:val="Normal"/>
    <w:qFormat/>
    <w:pPr>
      <w:spacing w:before="0" w:after="0"/>
      <w:jc w:val="center"/>
    </w:pPr>
    <w:rPr>
      <w:rFonts w:ascii="Times New Roman" w:eastAsia="Times New Roman" w:hAnsi="Times New Roman"/>
      <w:b/>
      <w:caps/>
      <w:sz w:val="32"/>
      <w:szCs w:val="20"/>
      <w:lang w:val="de-DE"/>
    </w:rPr>
  </w:style>
  <w:style w:type="paragraph" w:customStyle="1" w:styleId="RUE">
    <w:name w:val="RUE"/>
    <w:basedOn w:val="Normal"/>
    <w:pPr>
      <w:spacing w:before="0" w:after="0"/>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spacing w:before="0" w:after="0"/>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pPr>
      <w:spacing w:before="0" w:after="0"/>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pPr>
      <w:spacing w:before="0" w:after="0"/>
      <w:jc w:val="center"/>
    </w:pPr>
    <w:rPr>
      <w:rFonts w:ascii="Times New Roman" w:eastAsia="Times New Roman" w:hAnsi="Times New Roman"/>
      <w:b/>
      <w:caps/>
      <w:color w:val="FF0000"/>
      <w:sz w:val="32"/>
      <w:szCs w:val="20"/>
      <w:bdr w:val="single" w:sz="18" w:space="0" w:color="FF0000"/>
    </w:rPr>
  </w:style>
  <w:style w:type="paragraph" w:customStyle="1" w:styleId="LegalNumPar">
    <w:name w:val="LegalNumPar"/>
    <w:basedOn w:val="Normal"/>
    <w:pPr>
      <w:numPr>
        <w:numId w:val="43"/>
      </w:numPr>
      <w:spacing w:before="0" w:after="240"/>
    </w:pPr>
    <w:rPr>
      <w:rFonts w:ascii="Times New Roman" w:eastAsia="Times New Roman" w:hAnsi="Times New Roman"/>
      <w:sz w:val="24"/>
      <w:szCs w:val="20"/>
    </w:rPr>
  </w:style>
  <w:style w:type="paragraph" w:customStyle="1" w:styleId="ZCom">
    <w:name w:val="Z_Com"/>
    <w:basedOn w:val="Normal"/>
    <w:next w:val="ZDGName"/>
    <w:uiPriority w:val="99"/>
    <w:pPr>
      <w:widowControl w:val="0"/>
      <w:autoSpaceDE w:val="0"/>
      <w:autoSpaceDN w:val="0"/>
      <w:spacing w:before="0" w:after="0"/>
      <w:ind w:right="85"/>
    </w:pPr>
    <w:rPr>
      <w:rFonts w:ascii="Arial" w:eastAsiaTheme="minorEastAsia" w:hAnsi="Arial" w:cs="Arial"/>
      <w:sz w:val="24"/>
      <w:lang w:eastAsia="en-GB"/>
    </w:rPr>
  </w:style>
  <w:style w:type="paragraph" w:customStyle="1" w:styleId="ZDGName">
    <w:name w:val="Z_DGName"/>
    <w:basedOn w:val="Normal"/>
    <w:uiPriority w:val="99"/>
    <w:pPr>
      <w:widowControl w:val="0"/>
      <w:autoSpaceDE w:val="0"/>
      <w:autoSpaceDN w:val="0"/>
      <w:spacing w:before="0" w:after="0"/>
      <w:ind w:right="85"/>
      <w:jc w:val="left"/>
    </w:pPr>
    <w:rPr>
      <w:rFonts w:ascii="Arial" w:eastAsiaTheme="minorEastAsia" w:hAnsi="Arial" w:cs="Arial"/>
      <w:sz w:val="16"/>
      <w:szCs w:val="16"/>
      <w:lang w:eastAsia="en-GB"/>
    </w:rPr>
  </w:style>
  <w:style w:type="paragraph" w:customStyle="1" w:styleId="HeaderLandscape">
    <w:name w:val="HeaderLandscape"/>
    <w:basedOn w:val="Normal"/>
    <w:pPr>
      <w:tabs>
        <w:tab w:val="center" w:pos="7285"/>
        <w:tab w:val="right" w:pos="14003"/>
      </w:tabs>
      <w:spacing w:before="0"/>
    </w:pPr>
    <w:rPr>
      <w:rFonts w:ascii="Times New Roman" w:eastAsia="Calibri" w:hAnsi="Times New Roman"/>
      <w:sz w:val="24"/>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ascii="Times New Roman" w:eastAsia="Times New Roman" w:hAnsi="Times New Roman"/>
      <w:sz w:val="24"/>
    </w:rPr>
  </w:style>
  <w:style w:type="paragraph" w:customStyle="1" w:styleId="NormalCentered">
    <w:name w:val="Normal Centered"/>
    <w:basedOn w:val="Normal"/>
    <w:pPr>
      <w:jc w:val="center"/>
    </w:pPr>
    <w:rPr>
      <w:rFonts w:ascii="Times New Roman" w:eastAsia="Times New Roman" w:hAnsi="Times New Roman"/>
      <w:sz w:val="24"/>
    </w:rPr>
  </w:style>
  <w:style w:type="paragraph" w:customStyle="1" w:styleId="NormalLeft">
    <w:name w:val="Normal Left"/>
    <w:basedOn w:val="Normal"/>
    <w:pPr>
      <w:jc w:val="left"/>
    </w:pPr>
    <w:rPr>
      <w:rFonts w:ascii="Times New Roman" w:eastAsia="Times New Roman" w:hAnsi="Times New Roman"/>
      <w:sz w:val="24"/>
    </w:rPr>
  </w:style>
  <w:style w:type="paragraph" w:customStyle="1" w:styleId="NormalRight">
    <w:name w:val="Normal Right"/>
    <w:basedOn w:val="Normal"/>
    <w:pPr>
      <w:jc w:val="right"/>
    </w:pPr>
    <w:rPr>
      <w:rFonts w:ascii="Times New Roman" w:eastAsia="Times New Roman" w:hAnsi="Times New Roman"/>
      <w:sz w:val="24"/>
    </w:rPr>
  </w:style>
  <w:style w:type="paragraph" w:customStyle="1" w:styleId="QuotedText">
    <w:name w:val="Quoted Text"/>
    <w:basedOn w:val="Normal"/>
    <w:pPr>
      <w:ind w:left="1417"/>
    </w:pPr>
    <w:rPr>
      <w:rFonts w:ascii="Times New Roman" w:eastAsia="Times New Roman" w:hAnsi="Times New Roman"/>
      <w:sz w:val="24"/>
    </w:rPr>
  </w:style>
  <w:style w:type="paragraph" w:customStyle="1" w:styleId="Point0">
    <w:name w:val="Point 0"/>
    <w:basedOn w:val="Normal"/>
    <w:pPr>
      <w:ind w:left="850" w:hanging="850"/>
    </w:pPr>
    <w:rPr>
      <w:rFonts w:ascii="Times New Roman" w:eastAsia="Times New Roman" w:hAnsi="Times New Roman"/>
      <w:sz w:val="24"/>
    </w:rPr>
  </w:style>
  <w:style w:type="paragraph" w:customStyle="1" w:styleId="Point1">
    <w:name w:val="Point 1"/>
    <w:basedOn w:val="Normal"/>
    <w:pPr>
      <w:ind w:left="1417" w:hanging="567"/>
    </w:pPr>
    <w:rPr>
      <w:rFonts w:ascii="Times New Roman" w:eastAsia="Times New Roman" w:hAnsi="Times New Roman"/>
      <w:sz w:val="24"/>
    </w:rPr>
  </w:style>
  <w:style w:type="paragraph" w:customStyle="1" w:styleId="Point2">
    <w:name w:val="Point 2"/>
    <w:basedOn w:val="Normal"/>
    <w:pPr>
      <w:ind w:left="1984" w:hanging="567"/>
    </w:pPr>
    <w:rPr>
      <w:rFonts w:ascii="Times New Roman" w:eastAsia="Times New Roman" w:hAnsi="Times New Roman"/>
      <w:sz w:val="24"/>
    </w:rPr>
  </w:style>
  <w:style w:type="paragraph" w:customStyle="1" w:styleId="Point3">
    <w:name w:val="Point 3"/>
    <w:basedOn w:val="Normal"/>
    <w:pPr>
      <w:ind w:left="2551" w:hanging="567"/>
    </w:pPr>
    <w:rPr>
      <w:rFonts w:ascii="Times New Roman" w:eastAsia="Times New Roman" w:hAnsi="Times New Roman"/>
      <w:sz w:val="24"/>
    </w:rPr>
  </w:style>
  <w:style w:type="paragraph" w:customStyle="1" w:styleId="Point4">
    <w:name w:val="Point 4"/>
    <w:basedOn w:val="Normal"/>
    <w:pPr>
      <w:ind w:left="3118" w:hanging="567"/>
    </w:pPr>
    <w:rPr>
      <w:rFonts w:ascii="Times New Roman" w:eastAsia="Times New Roman" w:hAnsi="Times New Roman"/>
      <w:sz w:val="24"/>
    </w:rPr>
  </w:style>
  <w:style w:type="paragraph" w:customStyle="1" w:styleId="Tiret0">
    <w:name w:val="Tiret 0"/>
    <w:basedOn w:val="Point0"/>
    <w:pPr>
      <w:numPr>
        <w:numId w:val="44"/>
      </w:numPr>
      <w:tabs>
        <w:tab w:val="clear" w:pos="850"/>
      </w:tabs>
    </w:pPr>
  </w:style>
  <w:style w:type="paragraph" w:customStyle="1" w:styleId="Tiret1">
    <w:name w:val="Tiret 1"/>
    <w:basedOn w:val="Point1"/>
    <w:pPr>
      <w:numPr>
        <w:numId w:val="45"/>
      </w:numPr>
      <w:tabs>
        <w:tab w:val="clear" w:pos="1417"/>
      </w:tabs>
    </w:pPr>
  </w:style>
  <w:style w:type="paragraph" w:customStyle="1" w:styleId="Tiret2">
    <w:name w:val="Tiret 2"/>
    <w:basedOn w:val="Point2"/>
    <w:pPr>
      <w:numPr>
        <w:numId w:val="46"/>
      </w:numPr>
      <w:tabs>
        <w:tab w:val="clear" w:pos="1984"/>
      </w:tabs>
    </w:pPr>
  </w:style>
  <w:style w:type="paragraph" w:customStyle="1" w:styleId="Tiret3">
    <w:name w:val="Tiret 3"/>
    <w:basedOn w:val="Point3"/>
    <w:pPr>
      <w:numPr>
        <w:numId w:val="47"/>
      </w:numPr>
    </w:pPr>
  </w:style>
  <w:style w:type="paragraph" w:customStyle="1" w:styleId="Tiret4">
    <w:name w:val="Tiret 4"/>
    <w:basedOn w:val="Point4"/>
    <w:pPr>
      <w:numPr>
        <w:numId w:val="48"/>
      </w:numPr>
    </w:pPr>
  </w:style>
  <w:style w:type="paragraph" w:customStyle="1" w:styleId="PointDouble0">
    <w:name w:val="PointDouble 0"/>
    <w:basedOn w:val="Normal"/>
    <w:pPr>
      <w:tabs>
        <w:tab w:val="left" w:pos="850"/>
      </w:tabs>
      <w:ind w:left="1417" w:hanging="1417"/>
    </w:pPr>
    <w:rPr>
      <w:rFonts w:ascii="Times New Roman" w:eastAsia="Times New Roman" w:hAnsi="Times New Roman"/>
      <w:sz w:val="24"/>
    </w:rPr>
  </w:style>
  <w:style w:type="paragraph" w:customStyle="1" w:styleId="PointDouble1">
    <w:name w:val="PointDouble 1"/>
    <w:basedOn w:val="Normal"/>
    <w:pPr>
      <w:tabs>
        <w:tab w:val="left" w:pos="1417"/>
      </w:tabs>
      <w:ind w:left="1984" w:hanging="1134"/>
    </w:pPr>
    <w:rPr>
      <w:rFonts w:ascii="Times New Roman" w:eastAsia="Times New Roman" w:hAnsi="Times New Roman"/>
      <w:sz w:val="24"/>
    </w:rPr>
  </w:style>
  <w:style w:type="paragraph" w:customStyle="1" w:styleId="PointDouble2">
    <w:name w:val="PointDouble 2"/>
    <w:basedOn w:val="Normal"/>
    <w:pPr>
      <w:tabs>
        <w:tab w:val="left" w:pos="1984"/>
      </w:tabs>
      <w:ind w:left="2551" w:hanging="1134"/>
    </w:pPr>
    <w:rPr>
      <w:rFonts w:ascii="Times New Roman" w:eastAsia="Times New Roman" w:hAnsi="Times New Roman"/>
      <w:sz w:val="24"/>
    </w:rPr>
  </w:style>
  <w:style w:type="paragraph" w:customStyle="1" w:styleId="PointDouble3">
    <w:name w:val="PointDouble 3"/>
    <w:basedOn w:val="Normal"/>
    <w:pPr>
      <w:tabs>
        <w:tab w:val="left" w:pos="2551"/>
      </w:tabs>
      <w:ind w:left="3118" w:hanging="1134"/>
    </w:pPr>
    <w:rPr>
      <w:rFonts w:ascii="Times New Roman" w:eastAsia="Times New Roman" w:hAnsi="Times New Roman"/>
      <w:sz w:val="24"/>
    </w:rPr>
  </w:style>
  <w:style w:type="paragraph" w:customStyle="1" w:styleId="PointDouble4">
    <w:name w:val="PointDouble 4"/>
    <w:basedOn w:val="Normal"/>
    <w:pPr>
      <w:tabs>
        <w:tab w:val="left" w:pos="3118"/>
      </w:tabs>
      <w:ind w:left="3685" w:hanging="1134"/>
    </w:pPr>
    <w:rPr>
      <w:rFonts w:ascii="Times New Roman" w:eastAsia="Times New Roman" w:hAnsi="Times New Roman"/>
      <w:sz w:val="24"/>
    </w:rPr>
  </w:style>
  <w:style w:type="paragraph" w:customStyle="1" w:styleId="PointTriple0">
    <w:name w:val="PointTriple 0"/>
    <w:basedOn w:val="Normal"/>
    <w:pPr>
      <w:tabs>
        <w:tab w:val="left" w:pos="850"/>
        <w:tab w:val="left" w:pos="1417"/>
      </w:tabs>
      <w:ind w:left="1984" w:hanging="1984"/>
    </w:pPr>
    <w:rPr>
      <w:rFonts w:ascii="Times New Roman" w:eastAsia="Times New Roman" w:hAnsi="Times New Roman"/>
      <w:sz w:val="24"/>
    </w:rPr>
  </w:style>
  <w:style w:type="paragraph" w:customStyle="1" w:styleId="PointTriple1">
    <w:name w:val="PointTriple 1"/>
    <w:basedOn w:val="Normal"/>
    <w:pPr>
      <w:tabs>
        <w:tab w:val="left" w:pos="1417"/>
        <w:tab w:val="left" w:pos="1984"/>
      </w:tabs>
      <w:ind w:left="2551" w:hanging="1701"/>
    </w:pPr>
    <w:rPr>
      <w:rFonts w:ascii="Times New Roman" w:eastAsia="Times New Roman" w:hAnsi="Times New Roman"/>
      <w:sz w:val="24"/>
    </w:rPr>
  </w:style>
  <w:style w:type="paragraph" w:customStyle="1" w:styleId="PointTriple2">
    <w:name w:val="PointTriple 2"/>
    <w:basedOn w:val="Normal"/>
    <w:pPr>
      <w:tabs>
        <w:tab w:val="left" w:pos="1984"/>
        <w:tab w:val="left" w:pos="2551"/>
      </w:tabs>
      <w:ind w:left="3118" w:hanging="1701"/>
    </w:pPr>
    <w:rPr>
      <w:rFonts w:ascii="Times New Roman" w:eastAsia="Times New Roman" w:hAnsi="Times New Roman"/>
      <w:sz w:val="24"/>
    </w:rPr>
  </w:style>
  <w:style w:type="paragraph" w:customStyle="1" w:styleId="PointTriple3">
    <w:name w:val="PointTriple 3"/>
    <w:basedOn w:val="Normal"/>
    <w:pPr>
      <w:tabs>
        <w:tab w:val="left" w:pos="2551"/>
        <w:tab w:val="left" w:pos="3118"/>
      </w:tabs>
      <w:ind w:left="3685" w:hanging="1701"/>
    </w:pPr>
    <w:rPr>
      <w:rFonts w:ascii="Times New Roman" w:eastAsia="Times New Roman" w:hAnsi="Times New Roman"/>
      <w:sz w:val="24"/>
    </w:rPr>
  </w:style>
  <w:style w:type="paragraph" w:customStyle="1" w:styleId="PointTriple4">
    <w:name w:val="PointTriple 4"/>
    <w:basedOn w:val="Normal"/>
    <w:pPr>
      <w:tabs>
        <w:tab w:val="left" w:pos="3118"/>
        <w:tab w:val="left" w:pos="3685"/>
      </w:tabs>
      <w:ind w:left="4252" w:hanging="1701"/>
    </w:pPr>
    <w:rPr>
      <w:rFonts w:ascii="Times New Roman" w:eastAsia="Times New Roman" w:hAnsi="Times New Roman"/>
      <w:sz w:val="24"/>
    </w:rPr>
  </w:style>
  <w:style w:type="paragraph" w:customStyle="1" w:styleId="ManualNumPar1">
    <w:name w:val="Manual NumPar 1"/>
    <w:basedOn w:val="Normal"/>
    <w:next w:val="Text1"/>
    <w:pPr>
      <w:ind w:left="850" w:hanging="850"/>
    </w:pPr>
    <w:rPr>
      <w:rFonts w:ascii="Times New Roman" w:eastAsia="Times New Roman" w:hAnsi="Times New Roman"/>
      <w:sz w:val="24"/>
    </w:rPr>
  </w:style>
  <w:style w:type="paragraph" w:customStyle="1" w:styleId="ManualNumPar2">
    <w:name w:val="Manual NumPar 2"/>
    <w:basedOn w:val="Normal"/>
    <w:next w:val="Text1"/>
    <w:pPr>
      <w:ind w:left="850" w:hanging="850"/>
    </w:pPr>
    <w:rPr>
      <w:rFonts w:ascii="Times New Roman" w:eastAsia="Times New Roman" w:hAnsi="Times New Roman"/>
      <w:sz w:val="24"/>
    </w:rPr>
  </w:style>
  <w:style w:type="paragraph" w:customStyle="1" w:styleId="ManualNumPar3">
    <w:name w:val="Manual NumPar 3"/>
    <w:basedOn w:val="Normal"/>
    <w:next w:val="Text1"/>
    <w:pPr>
      <w:ind w:left="850" w:hanging="850"/>
    </w:pPr>
    <w:rPr>
      <w:rFonts w:ascii="Times New Roman" w:eastAsia="Times New Roman" w:hAnsi="Times New Roman"/>
      <w:sz w:val="24"/>
    </w:rPr>
  </w:style>
  <w:style w:type="paragraph" w:customStyle="1" w:styleId="ManualNumPar4">
    <w:name w:val="Manual NumPar 4"/>
    <w:basedOn w:val="Normal"/>
    <w:next w:val="Text1"/>
    <w:pPr>
      <w:ind w:left="850" w:hanging="850"/>
    </w:pPr>
    <w:rPr>
      <w:rFonts w:ascii="Times New Roman" w:eastAsia="Times New Roman" w:hAnsi="Times New Roman"/>
      <w:sz w:val="24"/>
    </w:rPr>
  </w:style>
  <w:style w:type="paragraph" w:customStyle="1" w:styleId="QuotedNumPar">
    <w:name w:val="Quoted NumPar"/>
    <w:basedOn w:val="Normal"/>
    <w:pPr>
      <w:ind w:left="1417" w:hanging="567"/>
    </w:pPr>
    <w:rPr>
      <w:rFonts w:ascii="Times New Roman" w:eastAsia="Times New Roman" w:hAnsi="Times New Roman"/>
      <w:sz w:val="24"/>
    </w:rPr>
  </w:style>
  <w:style w:type="paragraph" w:customStyle="1" w:styleId="ManualHeading1">
    <w:name w:val="Manual Heading 1"/>
    <w:basedOn w:val="Normal"/>
    <w:next w:val="Text1"/>
    <w:pPr>
      <w:keepNext/>
      <w:pBdr>
        <w:top w:val="single" w:sz="4" w:space="1" w:color="auto"/>
        <w:left w:val="single" w:sz="4" w:space="4" w:color="auto"/>
        <w:bottom w:val="single" w:sz="4" w:space="1" w:color="auto"/>
        <w:right w:val="single" w:sz="4" w:space="4" w:color="auto"/>
      </w:pBdr>
      <w:tabs>
        <w:tab w:val="left" w:pos="850"/>
      </w:tabs>
      <w:spacing w:before="360"/>
      <w:jc w:val="center"/>
      <w:outlineLvl w:val="0"/>
    </w:pPr>
    <w:rPr>
      <w:rFonts w:ascii="Times New Roman" w:eastAsia="Times New Roman" w:hAnsi="Times New Roman"/>
      <w:b/>
      <w:bCs/>
      <w:smallCaps/>
      <w:noProof/>
      <w:sz w:val="28"/>
    </w:rPr>
  </w:style>
  <w:style w:type="paragraph" w:customStyle="1" w:styleId="ManualHeading2">
    <w:name w:val="Manual Heading 2"/>
    <w:basedOn w:val="Normal"/>
    <w:next w:val="Text1"/>
    <w:autoRedefine/>
    <w:pPr>
      <w:keepNext/>
      <w:tabs>
        <w:tab w:val="left" w:pos="850"/>
      </w:tabs>
      <w:ind w:left="850" w:hanging="850"/>
      <w:outlineLvl w:val="1"/>
    </w:pPr>
    <w:rPr>
      <w:rFonts w:ascii="Times New Roman" w:eastAsia="Times New Roman" w:hAnsi="Times New Roman"/>
      <w:b/>
      <w:sz w:val="24"/>
      <w:lang w:eastAsia="en-GB"/>
    </w:rPr>
  </w:style>
  <w:style w:type="paragraph" w:customStyle="1" w:styleId="ManualHeading3">
    <w:name w:val="Manual Heading 3"/>
    <w:basedOn w:val="Normal"/>
    <w:next w:val="Text1"/>
    <w:pPr>
      <w:keepNext/>
      <w:tabs>
        <w:tab w:val="left" w:pos="850"/>
      </w:tabs>
      <w:ind w:left="1700" w:hanging="850"/>
      <w:outlineLvl w:val="2"/>
    </w:pPr>
    <w:rPr>
      <w:rFonts w:ascii="Times New Roman" w:eastAsia="Times New Roman" w:hAnsi="Times New Roman"/>
      <w:i/>
      <w:sz w:val="24"/>
    </w:rPr>
  </w:style>
  <w:style w:type="paragraph" w:customStyle="1" w:styleId="ManualHeading4">
    <w:name w:val="Manual Heading 4"/>
    <w:basedOn w:val="Normal"/>
    <w:next w:val="Text1"/>
    <w:pPr>
      <w:keepNext/>
      <w:tabs>
        <w:tab w:val="left" w:pos="850"/>
      </w:tabs>
      <w:ind w:left="850" w:hanging="850"/>
      <w:outlineLvl w:val="3"/>
    </w:pPr>
    <w:rPr>
      <w:rFonts w:ascii="Times New Roman" w:eastAsia="Times New Roman" w:hAnsi="Times New Roman"/>
      <w:sz w:val="24"/>
    </w:rPr>
  </w:style>
  <w:style w:type="paragraph" w:customStyle="1" w:styleId="TableTitle">
    <w:name w:val="Table Title"/>
    <w:basedOn w:val="Normal"/>
    <w:next w:val="Normal"/>
    <w:pPr>
      <w:jc w:val="center"/>
    </w:pPr>
    <w:rPr>
      <w:rFonts w:ascii="Times New Roman" w:eastAsia="Times New Roman" w:hAnsi="Times New Roman"/>
      <w:b/>
      <w:sz w:val="24"/>
    </w:r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pPr>
      <w:numPr>
        <w:numId w:val="49"/>
      </w:numPr>
    </w:pPr>
    <w:rPr>
      <w:rFonts w:ascii="Times New Roman" w:eastAsia="Times New Roman" w:hAnsi="Times New Roman"/>
      <w:sz w:val="24"/>
    </w:rPr>
  </w:style>
  <w:style w:type="paragraph" w:customStyle="1" w:styleId="Point1number">
    <w:name w:val="Point 1 (number)"/>
    <w:basedOn w:val="Normal"/>
    <w:pPr>
      <w:numPr>
        <w:ilvl w:val="2"/>
        <w:numId w:val="49"/>
      </w:numPr>
    </w:pPr>
    <w:rPr>
      <w:rFonts w:ascii="Times New Roman" w:eastAsia="Times New Roman" w:hAnsi="Times New Roman"/>
      <w:sz w:val="24"/>
    </w:rPr>
  </w:style>
  <w:style w:type="paragraph" w:customStyle="1" w:styleId="Point2number">
    <w:name w:val="Point 2 (number)"/>
    <w:basedOn w:val="Normal"/>
    <w:pPr>
      <w:numPr>
        <w:ilvl w:val="4"/>
        <w:numId w:val="49"/>
      </w:numPr>
    </w:pPr>
    <w:rPr>
      <w:rFonts w:ascii="Times New Roman" w:eastAsia="Times New Roman" w:hAnsi="Times New Roman"/>
      <w:sz w:val="24"/>
    </w:rPr>
  </w:style>
  <w:style w:type="paragraph" w:customStyle="1" w:styleId="Point3number">
    <w:name w:val="Point 3 (number)"/>
    <w:basedOn w:val="Normal"/>
    <w:pPr>
      <w:numPr>
        <w:ilvl w:val="6"/>
        <w:numId w:val="49"/>
      </w:numPr>
    </w:pPr>
    <w:rPr>
      <w:rFonts w:ascii="Times New Roman" w:eastAsia="Times New Roman" w:hAnsi="Times New Roman"/>
      <w:sz w:val="24"/>
    </w:rPr>
  </w:style>
  <w:style w:type="paragraph" w:customStyle="1" w:styleId="Point0letter">
    <w:name w:val="Point 0 (letter)"/>
    <w:basedOn w:val="Normal"/>
    <w:pPr>
      <w:numPr>
        <w:ilvl w:val="1"/>
        <w:numId w:val="49"/>
      </w:numPr>
    </w:pPr>
    <w:rPr>
      <w:rFonts w:ascii="Times New Roman" w:eastAsia="Times New Roman" w:hAnsi="Times New Roman"/>
      <w:sz w:val="24"/>
    </w:rPr>
  </w:style>
  <w:style w:type="paragraph" w:customStyle="1" w:styleId="Point1letter">
    <w:name w:val="Point 1 (letter)"/>
    <w:basedOn w:val="Normal"/>
    <w:pPr>
      <w:numPr>
        <w:ilvl w:val="3"/>
        <w:numId w:val="49"/>
      </w:numPr>
    </w:pPr>
    <w:rPr>
      <w:rFonts w:ascii="Times New Roman" w:eastAsia="Times New Roman" w:hAnsi="Times New Roman"/>
      <w:sz w:val="24"/>
    </w:rPr>
  </w:style>
  <w:style w:type="paragraph" w:customStyle="1" w:styleId="Point2letter">
    <w:name w:val="Point 2 (letter)"/>
    <w:basedOn w:val="Normal"/>
    <w:pPr>
      <w:numPr>
        <w:ilvl w:val="5"/>
        <w:numId w:val="49"/>
      </w:numPr>
    </w:pPr>
    <w:rPr>
      <w:rFonts w:ascii="Times New Roman" w:eastAsia="Times New Roman" w:hAnsi="Times New Roman"/>
      <w:sz w:val="24"/>
    </w:rPr>
  </w:style>
  <w:style w:type="paragraph" w:customStyle="1" w:styleId="Point3letter">
    <w:name w:val="Point 3 (letter)"/>
    <w:basedOn w:val="Normal"/>
    <w:pPr>
      <w:numPr>
        <w:ilvl w:val="7"/>
        <w:numId w:val="49"/>
      </w:numPr>
    </w:pPr>
    <w:rPr>
      <w:rFonts w:ascii="Times New Roman" w:eastAsia="Times New Roman" w:hAnsi="Times New Roman"/>
      <w:sz w:val="24"/>
    </w:rPr>
  </w:style>
  <w:style w:type="paragraph" w:customStyle="1" w:styleId="Point4letter">
    <w:name w:val="Point 4 (letter)"/>
    <w:basedOn w:val="Normal"/>
    <w:pPr>
      <w:numPr>
        <w:ilvl w:val="8"/>
        <w:numId w:val="49"/>
      </w:numPr>
    </w:pPr>
    <w:rPr>
      <w:rFonts w:ascii="Times New Roman" w:eastAsia="Times New Roman" w:hAnsi="Times New Roman"/>
      <w:sz w:val="24"/>
    </w:rPr>
  </w:style>
  <w:style w:type="paragraph" w:customStyle="1" w:styleId="Bullet0">
    <w:name w:val="Bullet 0"/>
    <w:basedOn w:val="Normal"/>
    <w:pPr>
      <w:numPr>
        <w:numId w:val="50"/>
      </w:numPr>
    </w:pPr>
    <w:rPr>
      <w:rFonts w:ascii="Times New Roman" w:eastAsia="Times New Roman" w:hAnsi="Times New Roman"/>
      <w:sz w:val="24"/>
    </w:rPr>
  </w:style>
  <w:style w:type="paragraph" w:customStyle="1" w:styleId="Bullet1">
    <w:name w:val="Bullet 1"/>
    <w:basedOn w:val="Normal"/>
    <w:pPr>
      <w:numPr>
        <w:numId w:val="51"/>
      </w:numPr>
    </w:pPr>
    <w:rPr>
      <w:rFonts w:ascii="Times New Roman" w:eastAsia="Times New Roman" w:hAnsi="Times New Roman"/>
      <w:sz w:val="24"/>
    </w:rPr>
  </w:style>
  <w:style w:type="paragraph" w:customStyle="1" w:styleId="Bullet2">
    <w:name w:val="Bullet 2"/>
    <w:basedOn w:val="Normal"/>
    <w:pPr>
      <w:numPr>
        <w:numId w:val="52"/>
      </w:numPr>
    </w:pPr>
    <w:rPr>
      <w:rFonts w:ascii="Times New Roman" w:eastAsia="Times New Roman" w:hAnsi="Times New Roman"/>
      <w:sz w:val="24"/>
    </w:rPr>
  </w:style>
  <w:style w:type="paragraph" w:customStyle="1" w:styleId="Bullet3">
    <w:name w:val="Bullet 3"/>
    <w:basedOn w:val="Normal"/>
    <w:pPr>
      <w:numPr>
        <w:numId w:val="53"/>
      </w:numPr>
    </w:pPr>
    <w:rPr>
      <w:rFonts w:ascii="Times New Roman" w:eastAsia="Times New Roman" w:hAnsi="Times New Roman"/>
      <w:sz w:val="24"/>
    </w:rPr>
  </w:style>
  <w:style w:type="paragraph" w:customStyle="1" w:styleId="Bullet4">
    <w:name w:val="Bullet 4"/>
    <w:basedOn w:val="Normal"/>
    <w:pPr>
      <w:numPr>
        <w:numId w:val="54"/>
      </w:numPr>
    </w:pPr>
    <w:rPr>
      <w:rFonts w:ascii="Times New Roman" w:eastAsia="Times New Roman" w:hAnsi="Times New Roman"/>
      <w:sz w:val="24"/>
    </w:rPr>
  </w:style>
  <w:style w:type="paragraph" w:customStyle="1" w:styleId="Annexetitreexpos">
    <w:name w:val="Annexe titre (exposé)"/>
    <w:basedOn w:val="Normal"/>
    <w:next w:val="Normal"/>
    <w:pPr>
      <w:jc w:val="center"/>
    </w:pPr>
    <w:rPr>
      <w:rFonts w:ascii="Times New Roman" w:eastAsia="Times New Roman" w:hAnsi="Times New Roman"/>
      <w:b/>
      <w:sz w:val="24"/>
      <w:u w:val="single"/>
    </w:rPr>
  </w:style>
  <w:style w:type="paragraph" w:customStyle="1" w:styleId="Annexetitre">
    <w:name w:val="Annexe titre"/>
    <w:basedOn w:val="Normal"/>
    <w:next w:val="Normal"/>
    <w:pPr>
      <w:jc w:val="center"/>
    </w:pPr>
    <w:rPr>
      <w:rFonts w:ascii="Times New Roman" w:eastAsia="Times New Roman" w:hAnsi="Times New Roman"/>
      <w:b/>
      <w:sz w:val="24"/>
      <w:u w:val="single"/>
    </w:rPr>
  </w:style>
  <w:style w:type="paragraph" w:customStyle="1" w:styleId="Annexetitrefichefinancire">
    <w:name w:val="Annexe titre (fiche financière)"/>
    <w:basedOn w:val="Normal"/>
    <w:next w:val="Normal"/>
    <w:pPr>
      <w:jc w:val="center"/>
    </w:pPr>
    <w:rPr>
      <w:rFonts w:ascii="Times New Roman" w:eastAsia="Times New Roman" w:hAnsi="Times New Roman"/>
      <w:b/>
      <w:sz w:val="24"/>
      <w:u w:val="single"/>
    </w:rPr>
  </w:style>
  <w:style w:type="paragraph" w:customStyle="1" w:styleId="Applicationdirecte">
    <w:name w:val="Application directe"/>
    <w:basedOn w:val="Normal"/>
    <w:next w:val="Fait"/>
    <w:pPr>
      <w:spacing w:before="480"/>
    </w:pPr>
    <w:rPr>
      <w:rFonts w:ascii="Times New Roman" w:eastAsia="Times New Roman" w:hAnsi="Times New Roman"/>
      <w:sz w:val="24"/>
    </w:rPr>
  </w:style>
  <w:style w:type="paragraph" w:customStyle="1" w:styleId="Avertissementtitre">
    <w:name w:val="Avertissement titre"/>
    <w:basedOn w:val="Normal"/>
    <w:next w:val="Normal"/>
    <w:pPr>
      <w:keepNext/>
      <w:spacing w:before="480"/>
    </w:pPr>
    <w:rPr>
      <w:rFonts w:ascii="Times New Roman" w:eastAsia="Times New Roman" w:hAnsi="Times New Roman"/>
      <w:sz w:val="24"/>
      <w:u w:val="single"/>
    </w:rPr>
  </w:style>
  <w:style w:type="paragraph" w:customStyle="1" w:styleId="Confidence">
    <w:name w:val="Confidence"/>
    <w:basedOn w:val="Normal"/>
    <w:next w:val="Normal"/>
    <w:pPr>
      <w:spacing w:before="360"/>
      <w:jc w:val="center"/>
    </w:pPr>
    <w:rPr>
      <w:rFonts w:ascii="Times New Roman" w:eastAsia="Times New Roman" w:hAnsi="Times New Roman"/>
      <w:sz w:val="24"/>
    </w:rPr>
  </w:style>
  <w:style w:type="paragraph" w:customStyle="1" w:styleId="Confidentialit">
    <w:name w:val="Confidentialité"/>
    <w:basedOn w:val="Normal"/>
    <w:next w:val="TypedudocumentPagedecouverture"/>
    <w:pPr>
      <w:spacing w:before="240" w:after="240"/>
      <w:ind w:left="5103"/>
    </w:pPr>
    <w:rPr>
      <w:rFonts w:ascii="Times New Roman" w:eastAsia="Times New Roman" w:hAnsi="Times New Roman"/>
      <w:i/>
      <w:sz w:val="32"/>
    </w:rPr>
  </w:style>
  <w:style w:type="paragraph" w:customStyle="1" w:styleId="Considrant">
    <w:name w:val="Considérant"/>
    <w:basedOn w:val="Normal"/>
    <w:pPr>
      <w:numPr>
        <w:numId w:val="55"/>
      </w:numPr>
    </w:pPr>
    <w:rPr>
      <w:rFonts w:ascii="Times New Roman" w:eastAsia="Times New Roman" w:hAnsi="Times New Roman"/>
      <w:sz w:val="24"/>
    </w:rPr>
  </w:style>
  <w:style w:type="paragraph" w:customStyle="1" w:styleId="Corrigendum">
    <w:name w:val="Corrigendum"/>
    <w:basedOn w:val="Normal"/>
    <w:next w:val="Normal"/>
    <w:pPr>
      <w:spacing w:before="0" w:after="240"/>
      <w:jc w:val="left"/>
    </w:pPr>
    <w:rPr>
      <w:rFonts w:ascii="Times New Roman" w:eastAsia="Times New Roman" w:hAnsi="Times New Roman"/>
      <w:sz w:val="24"/>
    </w:rPr>
  </w:style>
  <w:style w:type="paragraph" w:customStyle="1" w:styleId="Datedadoption">
    <w:name w:val="Date d'adoption"/>
    <w:basedOn w:val="Normal"/>
    <w:next w:val="Titreobjet"/>
    <w:pPr>
      <w:spacing w:before="360" w:after="0"/>
      <w:jc w:val="center"/>
    </w:pPr>
    <w:rPr>
      <w:rFonts w:ascii="Times New Roman" w:eastAsia="Times New Roman" w:hAnsi="Times New Roman"/>
      <w:b/>
      <w:sz w:val="24"/>
    </w:rPr>
  </w:style>
  <w:style w:type="paragraph" w:customStyle="1" w:styleId="Emission">
    <w:name w:val="Emission"/>
    <w:basedOn w:val="Normal"/>
    <w:next w:val="Rfrenceinstitutionnelle"/>
    <w:pPr>
      <w:spacing w:before="0" w:after="0"/>
      <w:ind w:left="5103"/>
      <w:jc w:val="left"/>
    </w:pPr>
    <w:rPr>
      <w:rFonts w:ascii="Times New Roman" w:eastAsia="Times New Roman" w:hAnsi="Times New Roman"/>
      <w:sz w:val="24"/>
    </w:rPr>
  </w:style>
  <w:style w:type="paragraph" w:customStyle="1" w:styleId="Exposdesmotifstitre">
    <w:name w:val="Exposé des motifs titre"/>
    <w:basedOn w:val="Normal"/>
    <w:next w:val="Normal"/>
    <w:pPr>
      <w:jc w:val="center"/>
    </w:pPr>
    <w:rPr>
      <w:rFonts w:ascii="Times New Roman" w:eastAsia="Times New Roman" w:hAnsi="Times New Roman"/>
      <w:b/>
      <w:sz w:val="24"/>
      <w:u w:val="single"/>
    </w:rPr>
  </w:style>
  <w:style w:type="paragraph" w:customStyle="1" w:styleId="Fait">
    <w:name w:val="Fait à"/>
    <w:basedOn w:val="Normal"/>
    <w:next w:val="Institutionquisigne"/>
    <w:pPr>
      <w:keepNext/>
      <w:spacing w:after="0"/>
    </w:pPr>
    <w:rPr>
      <w:rFonts w:ascii="Times New Roman" w:eastAsia="Times New Roman" w:hAnsi="Times New Roman"/>
      <w:sz w:val="24"/>
    </w:rPr>
  </w:style>
  <w:style w:type="paragraph" w:customStyle="1" w:styleId="Formuledadoption">
    <w:name w:val="Formule d'adoption"/>
    <w:basedOn w:val="Normal"/>
    <w:next w:val="Titrearticle"/>
    <w:pPr>
      <w:keepNext/>
    </w:pPr>
    <w:rPr>
      <w:rFonts w:ascii="Times New Roman" w:eastAsia="Times New Roman" w:hAnsi="Times New Roman"/>
      <w:sz w:val="24"/>
    </w:rPr>
  </w:style>
  <w:style w:type="paragraph" w:customStyle="1" w:styleId="Institutionquiagit">
    <w:name w:val="Institution qui agit"/>
    <w:basedOn w:val="Normal"/>
    <w:next w:val="Normal"/>
    <w:pPr>
      <w:keepNext/>
      <w:spacing w:before="600"/>
    </w:pPr>
    <w:rPr>
      <w:rFonts w:ascii="Times New Roman" w:eastAsia="Times New Roman" w:hAnsi="Times New Roman"/>
      <w:sz w:val="24"/>
    </w:rPr>
  </w:style>
  <w:style w:type="paragraph" w:customStyle="1" w:styleId="Institutionquisigne">
    <w:name w:val="Institution qui signe"/>
    <w:basedOn w:val="Normal"/>
    <w:next w:val="Personnequisigne"/>
    <w:pPr>
      <w:keepNext/>
      <w:tabs>
        <w:tab w:val="left" w:pos="4252"/>
      </w:tabs>
      <w:spacing w:before="720" w:after="0"/>
    </w:pPr>
    <w:rPr>
      <w:rFonts w:ascii="Times New Roman" w:eastAsia="Times New Roman" w:hAnsi="Times New Roman"/>
      <w:i/>
      <w:sz w:val="24"/>
    </w:rPr>
  </w:style>
  <w:style w:type="paragraph" w:customStyle="1" w:styleId="Langue">
    <w:name w:val="Langue"/>
    <w:basedOn w:val="Normal"/>
    <w:next w:val="Rfrenceinterne"/>
    <w:pPr>
      <w:framePr w:wrap="around" w:vAnchor="page" w:hAnchor="text" w:xAlign="center" w:y="14741"/>
      <w:spacing w:before="0" w:after="600"/>
      <w:jc w:val="center"/>
    </w:pPr>
    <w:rPr>
      <w:rFonts w:ascii="Times New Roman" w:eastAsia="Times New Roman" w:hAnsi="Times New Roman"/>
      <w:b/>
      <w:caps/>
      <w:sz w:val="24"/>
    </w:rPr>
  </w:style>
  <w:style w:type="paragraph" w:customStyle="1" w:styleId="ManualConsidrant">
    <w:name w:val="Manual Considérant"/>
    <w:basedOn w:val="Normal"/>
    <w:pPr>
      <w:ind w:left="709" w:hanging="709"/>
    </w:pPr>
    <w:rPr>
      <w:rFonts w:ascii="Times New Roman" w:eastAsia="Times New Roman" w:hAnsi="Times New Roman"/>
      <w:sz w:val="24"/>
    </w:rPr>
  </w:style>
  <w:style w:type="paragraph" w:customStyle="1" w:styleId="Nomdelinstitution">
    <w:name w:val="Nom de l'institution"/>
    <w:basedOn w:val="Normal"/>
    <w:next w:val="Emission"/>
    <w:pPr>
      <w:spacing w:before="0" w:after="0"/>
      <w:jc w:val="left"/>
    </w:pPr>
    <w:rPr>
      <w:rFonts w:ascii="Arial" w:eastAsia="Times New Roman" w:hAnsi="Arial" w:cs="Arial"/>
      <w:sz w:val="24"/>
    </w:rPr>
  </w:style>
  <w:style w:type="paragraph" w:customStyle="1" w:styleId="Personnequisigne">
    <w:name w:val="Personne qui signe"/>
    <w:basedOn w:val="Normal"/>
    <w:next w:val="Institutionquisigne"/>
    <w:pPr>
      <w:tabs>
        <w:tab w:val="left" w:pos="4252"/>
      </w:tabs>
      <w:spacing w:before="0" w:after="0"/>
      <w:jc w:val="left"/>
    </w:pPr>
    <w:rPr>
      <w:rFonts w:ascii="Times New Roman" w:eastAsia="Times New Roman" w:hAnsi="Times New Roman"/>
      <w:i/>
      <w:sz w:val="24"/>
    </w:rPr>
  </w:style>
  <w:style w:type="paragraph" w:customStyle="1" w:styleId="Rfrenceinstitutionnelle">
    <w:name w:val="Référence institutionnelle"/>
    <w:basedOn w:val="Normal"/>
    <w:next w:val="Confidentialit"/>
    <w:pPr>
      <w:spacing w:before="0" w:after="240"/>
      <w:ind w:left="5103"/>
      <w:jc w:val="left"/>
    </w:pPr>
    <w:rPr>
      <w:rFonts w:ascii="Times New Roman" w:eastAsia="Times New Roman" w:hAnsi="Times New Roman"/>
      <w:sz w:val="24"/>
    </w:rPr>
  </w:style>
  <w:style w:type="paragraph" w:customStyle="1" w:styleId="Rfrenceinterinstitutionnelle">
    <w:name w:val="Référence interinstitutionnelle"/>
    <w:basedOn w:val="Normal"/>
    <w:next w:val="Statut"/>
    <w:pPr>
      <w:spacing w:before="0" w:after="0"/>
      <w:ind w:left="5103"/>
      <w:jc w:val="left"/>
    </w:pPr>
    <w:rPr>
      <w:rFonts w:ascii="Times New Roman" w:eastAsia="Times New Roman" w:hAnsi="Times New Roman"/>
      <w:sz w:val="24"/>
    </w:rPr>
  </w:style>
  <w:style w:type="paragraph" w:customStyle="1" w:styleId="Rfrenceinterne">
    <w:name w:val="Référence interne"/>
    <w:basedOn w:val="Normal"/>
    <w:next w:val="Rfrenceinterinstitutionnelle"/>
    <w:pPr>
      <w:spacing w:before="0" w:after="0"/>
      <w:ind w:left="5103"/>
      <w:jc w:val="left"/>
    </w:pPr>
    <w:rPr>
      <w:rFonts w:ascii="Times New Roman" w:eastAsia="Times New Roman" w:hAnsi="Times New Roman"/>
      <w:sz w:val="24"/>
    </w:rPr>
  </w:style>
  <w:style w:type="paragraph" w:customStyle="1" w:styleId="Sous-titreobjet">
    <w:name w:val="Sous-titre objet"/>
    <w:basedOn w:val="Normal"/>
    <w:pPr>
      <w:spacing w:before="0" w:after="0"/>
      <w:jc w:val="center"/>
    </w:pPr>
    <w:rPr>
      <w:rFonts w:ascii="Times New Roman" w:eastAsia="Times New Roman" w:hAnsi="Times New Roman"/>
      <w:b/>
      <w:sz w:val="24"/>
    </w:rPr>
  </w:style>
  <w:style w:type="paragraph" w:customStyle="1" w:styleId="Statut">
    <w:name w:val="Statut"/>
    <w:basedOn w:val="Normal"/>
    <w:next w:val="Typedudocument"/>
    <w:pPr>
      <w:spacing w:before="360" w:after="0"/>
      <w:jc w:val="center"/>
    </w:pPr>
    <w:rPr>
      <w:rFonts w:ascii="Times New Roman" w:eastAsia="Times New Roman" w:hAnsi="Times New Roman"/>
      <w:sz w:val="24"/>
    </w:rPr>
  </w:style>
  <w:style w:type="paragraph" w:customStyle="1" w:styleId="Titrearticle">
    <w:name w:val="Titre article"/>
    <w:basedOn w:val="Normal"/>
    <w:next w:val="Normal"/>
    <w:pPr>
      <w:keepNext/>
      <w:spacing w:before="360"/>
      <w:jc w:val="center"/>
    </w:pPr>
    <w:rPr>
      <w:rFonts w:ascii="Times New Roman" w:eastAsia="Times New Roman" w:hAnsi="Times New Roman"/>
      <w:i/>
      <w:sz w:val="24"/>
    </w:rPr>
  </w:style>
  <w:style w:type="paragraph" w:customStyle="1" w:styleId="Titreobjet">
    <w:name w:val="Titre objet"/>
    <w:basedOn w:val="Normal"/>
    <w:next w:val="Sous-titreobjet"/>
    <w:pPr>
      <w:spacing w:before="360" w:after="360"/>
      <w:jc w:val="center"/>
    </w:pPr>
    <w:rPr>
      <w:rFonts w:ascii="Times New Roman" w:eastAsia="Times New Roman" w:hAnsi="Times New Roman"/>
      <w:b/>
      <w:sz w:val="24"/>
    </w:rPr>
  </w:style>
  <w:style w:type="paragraph" w:customStyle="1" w:styleId="Typedudocument">
    <w:name w:val="Type du document"/>
    <w:basedOn w:val="Normal"/>
    <w:next w:val="Titreobjet"/>
    <w:pPr>
      <w:spacing w:before="360" w:after="0"/>
      <w:jc w:val="center"/>
    </w:pPr>
    <w:rPr>
      <w:rFonts w:ascii="Times New Roman" w:eastAsia="Times New Roman" w:hAnsi="Times New Roman"/>
      <w:b/>
      <w:sz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Objetexterne">
    <w:name w:val="Objet externe"/>
    <w:basedOn w:val="Normal"/>
    <w:next w:val="Normal"/>
    <w:rPr>
      <w:rFonts w:ascii="Times New Roman" w:eastAsia="Times New Roman" w:hAnsi="Times New Roman"/>
      <w:i/>
      <w:caps/>
      <w:sz w:val="24"/>
    </w:rPr>
  </w:style>
  <w:style w:type="paragraph" w:customStyle="1" w:styleId="Pagedecouverture">
    <w:name w:val="Page de couverture"/>
    <w:basedOn w:val="Normal"/>
    <w:next w:val="Normal"/>
    <w:pPr>
      <w:spacing w:before="0" w:after="0"/>
    </w:pPr>
    <w:rPr>
      <w:rFonts w:ascii="Times New Roman" w:eastAsia="Times New Roman" w:hAnsi="Times New Roman"/>
      <w:sz w:val="24"/>
    </w:rPr>
  </w:style>
  <w:style w:type="paragraph" w:customStyle="1" w:styleId="Supertitre">
    <w:name w:val="Supertitre"/>
    <w:basedOn w:val="Normal"/>
    <w:next w:val="Normal"/>
    <w:pPr>
      <w:spacing w:before="0" w:after="600"/>
      <w:jc w:val="center"/>
    </w:pPr>
    <w:rPr>
      <w:rFonts w:ascii="Times New Roman" w:eastAsia="Times New Roman" w:hAnsi="Times New Roman"/>
      <w:b/>
      <w:sz w:val="24"/>
    </w:rPr>
  </w:style>
  <w:style w:type="paragraph" w:customStyle="1" w:styleId="Languesfaisantfoi">
    <w:name w:val="Langues faisant foi"/>
    <w:basedOn w:val="Normal"/>
    <w:next w:val="Normal"/>
    <w:pPr>
      <w:spacing w:before="360" w:after="0"/>
      <w:jc w:val="center"/>
    </w:pPr>
    <w:rPr>
      <w:rFonts w:ascii="Times New Roman" w:eastAsia="Times New Roman" w:hAnsi="Times New Roman"/>
      <w:sz w:val="24"/>
    </w:rPr>
  </w:style>
  <w:style w:type="paragraph" w:customStyle="1" w:styleId="Rfrencecroise">
    <w:name w:val="Référence croisée"/>
    <w:basedOn w:val="Normal"/>
    <w:pPr>
      <w:spacing w:before="0" w:after="0"/>
      <w:jc w:val="center"/>
    </w:pPr>
    <w:rPr>
      <w:rFonts w:ascii="Times New Roman" w:eastAsia="Times New Roman" w:hAnsi="Times New Roman"/>
      <w:sz w:val="24"/>
    </w:rPr>
  </w:style>
  <w:style w:type="paragraph" w:customStyle="1" w:styleId="Fichefinanciretitre">
    <w:name w:val="Fiche financière titre"/>
    <w:basedOn w:val="Normal"/>
    <w:next w:val="Normal"/>
    <w:pPr>
      <w:jc w:val="center"/>
    </w:pPr>
    <w:rPr>
      <w:rFonts w:ascii="Times New Roman" w:eastAsia="Times New Roman" w:hAnsi="Times New Roman"/>
      <w:b/>
      <w:sz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rPr>
      <w:rFonts w:ascii="Times New Roman" w:eastAsia="Times New Roman" w:hAnsi="Times New Roman"/>
      <w:sz w:val="24"/>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before="0" w:after="240"/>
      <w:jc w:val="center"/>
    </w:pPr>
    <w:rPr>
      <w:rFonts w:ascii="Times New Roman" w:eastAsia="Times New Roman" w:hAnsi="Times New Roman"/>
      <w:b/>
      <w:i/>
      <w:sz w:val="24"/>
    </w:rPr>
  </w:style>
  <w:style w:type="paragraph" w:customStyle="1" w:styleId="Typeacteprincipal">
    <w:name w:val="Type acte principal"/>
    <w:basedOn w:val="Normal"/>
    <w:next w:val="Objetacteprincipal"/>
    <w:pPr>
      <w:spacing w:before="0" w:after="240"/>
      <w:jc w:val="center"/>
    </w:pPr>
    <w:rPr>
      <w:rFonts w:ascii="Times New Roman" w:eastAsia="Times New Roman" w:hAnsi="Times New Roman"/>
      <w:b/>
      <w:sz w:val="24"/>
    </w:rPr>
  </w:style>
  <w:style w:type="paragraph" w:customStyle="1" w:styleId="Objetacteprincipal">
    <w:name w:val="Objet acte principal"/>
    <w:basedOn w:val="Normal"/>
    <w:next w:val="Titrearticle"/>
    <w:pPr>
      <w:spacing w:before="0" w:after="360"/>
      <w:jc w:val="center"/>
    </w:pPr>
    <w:rPr>
      <w:rFonts w:ascii="Times New Roman" w:eastAsia="Times New Roman" w:hAnsi="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rPr>
      <w:rFonts w:ascii="Times New Roman" w:eastAsia="Times New Roman" w:hAnsi="Times New Roman"/>
      <w:sz w:val="24"/>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customStyle="1" w:styleId="astandard3520normal">
    <w:name w:val="a_standard__35__20_normal"/>
    <w:basedOn w:val="Normal"/>
    <w:pPr>
      <w:spacing w:before="0"/>
      <w:ind w:right="57"/>
    </w:pPr>
    <w:rPr>
      <w:rFonts w:ascii="Times New Roman" w:eastAsia="Times New Roman" w:hAnsi="Times New Roman"/>
      <w:b/>
      <w:bCs/>
      <w:sz w:val="24"/>
      <w:lang w:eastAsia="en-GB"/>
    </w:rPr>
  </w:style>
  <w:style w:type="character" w:customStyle="1" w:styleId="at21">
    <w:name w:val="a__t21"/>
    <w:rPr>
      <w:b w:val="0"/>
      <w:bCs w:val="0"/>
    </w:rPr>
  </w:style>
  <w:style w:type="character" w:customStyle="1" w:styleId="at12">
    <w:name w:val="a__t12"/>
    <w:rPr>
      <w:b w:val="0"/>
      <w:bCs w:val="0"/>
    </w:rPr>
  </w:style>
  <w:style w:type="character" w:customStyle="1" w:styleId="CommentTextChar1">
    <w:name w:val="Comment Text Char1"/>
    <w:basedOn w:val="DefaultParagraphFont"/>
    <w:rPr>
      <w:lang w:eastAsia="en-US"/>
    </w:rPr>
  </w:style>
  <w:style w:type="paragraph" w:customStyle="1" w:styleId="Headinsh2">
    <w:name w:val="Headinsh 2"/>
    <w:basedOn w:val="Text1"/>
    <w:pPr>
      <w:spacing w:before="120" w:after="120"/>
      <w:ind w:left="850"/>
    </w:pPr>
    <w:rPr>
      <w:szCs w:val="24"/>
    </w:rPr>
  </w:style>
  <w:style w:type="paragraph" w:styleId="Revision">
    <w:name w:val="Revision"/>
    <w:hidden/>
    <w:uiPriority w:val="99"/>
    <w:rPr>
      <w:rFonts w:ascii="Times New Roman" w:eastAsia="Times New Roman" w:hAnsi="Times New Roman"/>
      <w:sz w:val="24"/>
      <w:szCs w:val="24"/>
      <w:lang w:eastAsia="en-US"/>
    </w:rPr>
  </w:style>
  <w:style w:type="character" w:styleId="FollowedHyperlink">
    <w:name w:val="FollowedHyperlink"/>
    <w:uiPriority w:val="99"/>
    <w:rPr>
      <w:color w:val="800080"/>
      <w:u w:val="single"/>
    </w:rPr>
  </w:style>
  <w:style w:type="paragraph" w:customStyle="1" w:styleId="Headig4">
    <w:name w:val="Headig 4"/>
    <w:basedOn w:val="Normal"/>
    <w:pPr>
      <w:autoSpaceDE w:val="0"/>
      <w:autoSpaceDN w:val="0"/>
      <w:adjustRightInd w:val="0"/>
      <w:spacing w:before="0" w:after="166"/>
    </w:pPr>
    <w:rPr>
      <w:rFonts w:ascii="Times New Roman" w:eastAsia="Times New Roman" w:hAnsi="Times New Roman"/>
      <w:b/>
      <w:sz w:val="24"/>
      <w:lang w:eastAsia="en-GB"/>
    </w:rPr>
  </w:style>
  <w:style w:type="character" w:styleId="HTMLCite">
    <w:name w:val="HTML Cite"/>
    <w:uiPriority w:val="99"/>
    <w:unhideWhenUsed/>
    <w:rPr>
      <w:i/>
      <w:iCs/>
    </w:rPr>
  </w:style>
  <w:style w:type="character" w:customStyle="1" w:styleId="t-dates1">
    <w:name w:val="t-dates1"/>
    <w:rPr>
      <w:color w:val="414141"/>
    </w:rPr>
  </w:style>
  <w:style w:type="character" w:customStyle="1" w:styleId="FootnoteCharacters">
    <w:name w:val="Footnote Characters"/>
    <w:rPr>
      <w:rFonts w:cs="Times New Roman"/>
      <w:vertAlign w:val="superscript"/>
    </w:rPr>
  </w:style>
  <w:style w:type="character" w:customStyle="1" w:styleId="Odwoanieprzypisudolnego2">
    <w:name w:val="Odwołanie przypisu dolnego2"/>
    <w:rPr>
      <w:vertAlign w:val="superscript"/>
    </w:rPr>
  </w:style>
  <w:style w:type="character" w:customStyle="1" w:styleId="A7">
    <w:name w:val="A7"/>
    <w:uiPriority w:val="99"/>
    <w:rPr>
      <w:rFonts w:ascii="TradeGothic" w:hAnsi="TradeGothic" w:cs="TradeGothic" w:hint="default"/>
      <w:color w:val="000000"/>
      <w:sz w:val="17"/>
      <w:szCs w:val="17"/>
    </w:rPr>
  </w:style>
  <w:style w:type="character" w:customStyle="1" w:styleId="EndnoteTextChar1">
    <w:name w:val="Endnote Text Char1"/>
    <w:link w:val="EndnoteText"/>
    <w:uiPriority w:val="99"/>
    <w:locked/>
    <w:rPr>
      <w:rFonts w:ascii="Times New Roman" w:eastAsia="Times New Roman" w:hAnsi="Times New Roman"/>
      <w:lang w:eastAsia="en-US"/>
    </w:rPr>
  </w:style>
  <w:style w:type="paragraph" w:customStyle="1" w:styleId="Heaing2">
    <w:name w:val="Heaing 2"/>
    <w:basedOn w:val="Heading3"/>
    <w:pPr>
      <w:keepLines w:val="0"/>
      <w:numPr>
        <w:ilvl w:val="0"/>
        <w:numId w:val="0"/>
      </w:numPr>
      <w:spacing w:before="240" w:after="120"/>
      <w:ind w:left="720"/>
    </w:pPr>
    <w:rPr>
      <w:rFonts w:ascii="Times New Roman" w:eastAsia="Times New Roman" w:hAnsi="Times New Roman" w:cs="Times New Roman"/>
      <w:b w:val="0"/>
      <w:bCs w:val="0"/>
      <w:i/>
      <w:sz w:val="24"/>
      <w:szCs w:val="26"/>
      <w:lang w:val="en-US" w:eastAsia="en-GB"/>
    </w:rPr>
  </w:style>
  <w:style w:type="paragraph" w:customStyle="1" w:styleId="Headung3">
    <w:name w:val="Headung 3"/>
    <w:basedOn w:val="Normal"/>
    <w:pPr>
      <w:spacing w:before="0" w:after="200" w:line="276" w:lineRule="auto"/>
      <w:jc w:val="left"/>
    </w:pPr>
    <w:rPr>
      <w:rFonts w:ascii="Times New Roman" w:eastAsia="Calibri" w:hAnsi="Times New Roman"/>
      <w:color w:val="000000"/>
      <w:sz w:val="24"/>
    </w:rPr>
  </w:style>
  <w:style w:type="paragraph" w:customStyle="1" w:styleId="BTBullet1">
    <w:name w:val="BTBullet1"/>
    <w:basedOn w:val="Normal"/>
    <w:uiPriority w:val="6"/>
    <w:qFormat/>
    <w:pPr>
      <w:spacing w:before="0" w:after="0" w:line="240" w:lineRule="atLeast"/>
      <w:jc w:val="left"/>
    </w:pPr>
    <w:rPr>
      <w:rFonts w:ascii="Arial" w:eastAsia="Calibri" w:hAnsi="Arial"/>
    </w:rPr>
  </w:style>
  <w:style w:type="paragraph" w:customStyle="1" w:styleId="BTBullet2">
    <w:name w:val="BTBullet2"/>
    <w:basedOn w:val="Normal"/>
    <w:uiPriority w:val="6"/>
    <w:qFormat/>
    <w:pPr>
      <w:numPr>
        <w:ilvl w:val="1"/>
        <w:numId w:val="56"/>
      </w:numPr>
      <w:spacing w:before="0" w:after="0" w:line="240" w:lineRule="atLeast"/>
      <w:ind w:hanging="567"/>
      <w:jc w:val="left"/>
    </w:pPr>
    <w:rPr>
      <w:rFonts w:ascii="Arial" w:eastAsia="Calibri" w:hAnsi="Arial"/>
    </w:rPr>
  </w:style>
  <w:style w:type="paragraph" w:customStyle="1" w:styleId="BTBullet3">
    <w:name w:val="BTBullet3"/>
    <w:basedOn w:val="Normal"/>
    <w:uiPriority w:val="6"/>
    <w:qFormat/>
    <w:pPr>
      <w:numPr>
        <w:ilvl w:val="2"/>
        <w:numId w:val="56"/>
      </w:numPr>
      <w:tabs>
        <w:tab w:val="num" w:pos="1417"/>
      </w:tabs>
      <w:spacing w:before="0" w:after="0" w:line="240" w:lineRule="atLeast"/>
      <w:ind w:left="1417" w:hanging="567"/>
      <w:jc w:val="left"/>
    </w:pPr>
    <w:rPr>
      <w:rFonts w:ascii="Arial" w:eastAsia="Calibri" w:hAnsi="Arial"/>
    </w:rPr>
  </w:style>
  <w:style w:type="numbering" w:customStyle="1" w:styleId="NumbLstBTBullet">
    <w:name w:val="NumbLstBTBullet"/>
    <w:uiPriority w:val="99"/>
    <w:pPr>
      <w:numPr>
        <w:numId w:val="38"/>
      </w:numPr>
    </w:pPr>
  </w:style>
  <w:style w:type="paragraph" w:customStyle="1" w:styleId="Table">
    <w:name w:val="Table"/>
    <w:basedOn w:val="Normal"/>
    <w:next w:val="BodyText"/>
    <w:uiPriority w:val="11"/>
    <w:qFormat/>
    <w:pPr>
      <w:keepNext/>
      <w:spacing w:line="240" w:lineRule="atLeast"/>
      <w:ind w:left="5040" w:hanging="360"/>
      <w:jc w:val="left"/>
    </w:pPr>
    <w:rPr>
      <w:rFonts w:ascii="Calibri" w:eastAsia="Calibri" w:hAnsi="Calibri"/>
      <w:b/>
      <w:color w:val="0067AC"/>
    </w:rPr>
  </w:style>
  <w:style w:type="paragraph" w:customStyle="1" w:styleId="TableTitle0">
    <w:name w:val="TableTitle"/>
    <w:basedOn w:val="Normal"/>
    <w:uiPriority w:val="14"/>
    <w:qFormat/>
    <w:pPr>
      <w:spacing w:before="0" w:after="0" w:line="220" w:lineRule="atLeast"/>
      <w:jc w:val="left"/>
    </w:pPr>
    <w:rPr>
      <w:rFonts w:ascii="Calibri" w:eastAsia="Calibri" w:hAnsi="Calibri"/>
      <w:b/>
      <w:color w:val="0067AC"/>
      <w:sz w:val="18"/>
    </w:rPr>
  </w:style>
  <w:style w:type="paragraph" w:customStyle="1" w:styleId="TableTextNoSpace">
    <w:name w:val="TableTextNoSpace"/>
    <w:basedOn w:val="Normal"/>
    <w:uiPriority w:val="15"/>
    <w:qFormat/>
    <w:pPr>
      <w:spacing w:before="0" w:after="0" w:line="220" w:lineRule="atLeast"/>
      <w:jc w:val="left"/>
    </w:pPr>
    <w:rPr>
      <w:rFonts w:ascii="Arial" w:eastAsia="Calibri" w:hAnsi="Arial"/>
      <w:sz w:val="18"/>
    </w:rPr>
  </w:style>
  <w:style w:type="paragraph" w:customStyle="1" w:styleId="TableSource">
    <w:name w:val="TableSource"/>
    <w:basedOn w:val="BodyText"/>
    <w:uiPriority w:val="6"/>
    <w:qFormat/>
    <w:pPr>
      <w:spacing w:before="120" w:line="200" w:lineRule="atLeast"/>
      <w:ind w:left="851"/>
      <w:jc w:val="left"/>
    </w:pPr>
    <w:rPr>
      <w:rFonts w:ascii="Arial" w:eastAsia="Calibri" w:hAnsi="Arial"/>
      <w:i/>
      <w:sz w:val="18"/>
      <w:szCs w:val="24"/>
    </w:rPr>
  </w:style>
  <w:style w:type="paragraph" w:customStyle="1" w:styleId="Bullet10">
    <w:name w:val="Bullet1"/>
    <w:basedOn w:val="Normal"/>
    <w:qFormat/>
    <w:pPr>
      <w:spacing w:before="0" w:after="0" w:line="240" w:lineRule="atLeast"/>
      <w:jc w:val="left"/>
    </w:pPr>
    <w:rPr>
      <w:rFonts w:ascii="Arial" w:eastAsia="Calibri" w:hAnsi="Arial"/>
    </w:rPr>
  </w:style>
  <w:style w:type="paragraph" w:customStyle="1" w:styleId="Heading2NoNumb">
    <w:name w:val="Heading 2NoNumb"/>
    <w:basedOn w:val="Heading2"/>
    <w:next w:val="Normal"/>
    <w:uiPriority w:val="5"/>
    <w:qFormat/>
    <w:pPr>
      <w:numPr>
        <w:ilvl w:val="0"/>
        <w:numId w:val="0"/>
      </w:numPr>
      <w:spacing w:before="240" w:line="260" w:lineRule="atLeast"/>
      <w:jc w:val="left"/>
    </w:pPr>
    <w:rPr>
      <w:rFonts w:ascii="Calibri" w:eastAsia="Times New Roman" w:hAnsi="Calibri" w:cs="Times New Roman"/>
      <w:b w:val="0"/>
      <w:iCs w:val="0"/>
      <w:color w:val="0067AC"/>
      <w:sz w:val="26"/>
    </w:rPr>
  </w:style>
  <w:style w:type="character" w:customStyle="1" w:styleId="Text1Char">
    <w:name w:val="Text 1 Char"/>
    <w:link w:val="Text1"/>
    <w:rPr>
      <w:rFonts w:ascii="Times New Roman" w:eastAsia="Times New Roman" w:hAnsi="Times New Roman"/>
      <w:sz w:val="24"/>
      <w:lang w:eastAsia="en-US"/>
    </w:rPr>
  </w:style>
  <w:style w:type="paragraph" w:customStyle="1" w:styleId="Bullet">
    <w:name w:val="Bullet"/>
    <w:basedOn w:val="Normal"/>
    <w:pPr>
      <w:numPr>
        <w:numId w:val="57"/>
      </w:numPr>
      <w:spacing w:before="0" w:line="264" w:lineRule="auto"/>
    </w:pPr>
    <w:rPr>
      <w:rFonts w:ascii="Arial" w:eastAsia="Times New Roman" w:hAnsi="Arial"/>
      <w:szCs w:val="20"/>
      <w:lang w:eastAsia="en-GB"/>
    </w:rPr>
  </w:style>
  <w:style w:type="numbering" w:customStyle="1" w:styleId="NumbLstBTBullet1">
    <w:name w:val="NumbLstBTBullet1"/>
    <w:uiPriority w:val="99"/>
    <w:pPr>
      <w:numPr>
        <w:numId w:val="62"/>
      </w:numPr>
    </w:pPr>
  </w:style>
  <w:style w:type="paragraph" w:customStyle="1" w:styleId="TableText">
    <w:name w:val="TableText"/>
    <w:basedOn w:val="Normal"/>
    <w:uiPriority w:val="15"/>
    <w:qFormat/>
    <w:pPr>
      <w:spacing w:before="0" w:line="220" w:lineRule="atLeast"/>
      <w:jc w:val="left"/>
    </w:pPr>
    <w:rPr>
      <w:rFonts w:ascii="Arial" w:eastAsia="Calibri" w:hAnsi="Arial"/>
      <w:sz w:val="18"/>
    </w:rPr>
  </w:style>
  <w:style w:type="paragraph" w:customStyle="1" w:styleId="Bullet20">
    <w:name w:val="Bullet2"/>
    <w:basedOn w:val="Normal"/>
    <w:qFormat/>
    <w:pPr>
      <w:tabs>
        <w:tab w:val="num" w:pos="926"/>
      </w:tabs>
      <w:spacing w:before="0" w:after="0" w:line="240" w:lineRule="atLeast"/>
      <w:ind w:left="926" w:hanging="360"/>
      <w:jc w:val="left"/>
    </w:pPr>
    <w:rPr>
      <w:rFonts w:ascii="Arial" w:eastAsia="Calibri" w:hAnsi="Arial"/>
    </w:rPr>
  </w:style>
  <w:style w:type="paragraph" w:customStyle="1" w:styleId="Bullet30">
    <w:name w:val="Bullet3"/>
    <w:basedOn w:val="Normal"/>
    <w:uiPriority w:val="6"/>
    <w:qFormat/>
    <w:pPr>
      <w:tabs>
        <w:tab w:val="num" w:pos="926"/>
      </w:tabs>
      <w:spacing w:before="0" w:after="0" w:line="240" w:lineRule="atLeast"/>
      <w:ind w:left="926" w:hanging="360"/>
      <w:jc w:val="left"/>
    </w:pPr>
    <w:rPr>
      <w:rFonts w:ascii="Arial" w:eastAsia="Calibri" w:hAnsi="Arial"/>
    </w:rPr>
  </w:style>
  <w:style w:type="numbering" w:customStyle="1" w:styleId="NumbLstBullet">
    <w:name w:val="NumbLstBullet"/>
    <w:uiPriority w:val="99"/>
    <w:pPr>
      <w:numPr>
        <w:numId w:val="58"/>
      </w:numPr>
    </w:pPr>
  </w:style>
  <w:style w:type="paragraph" w:customStyle="1" w:styleId="TableBullet">
    <w:name w:val="TableBullet"/>
    <w:basedOn w:val="TableText"/>
    <w:uiPriority w:val="6"/>
    <w:qFormat/>
    <w:pPr>
      <w:numPr>
        <w:numId w:val="60"/>
      </w:numPr>
      <w:spacing w:after="0"/>
      <w:ind w:right="57"/>
    </w:pPr>
  </w:style>
  <w:style w:type="numbering" w:customStyle="1" w:styleId="NumbLstTableBullet">
    <w:name w:val="NumbLstTableBullet"/>
    <w:uiPriority w:val="99"/>
    <w:pPr>
      <w:numPr>
        <w:numId w:val="59"/>
      </w:numPr>
    </w:pPr>
  </w:style>
  <w:style w:type="table" w:customStyle="1" w:styleId="TableGrid1">
    <w:name w:val="Table Grid1"/>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customStyle="1" w:styleId="Textbody">
    <w:name w:val="Text body"/>
    <w:basedOn w:val="Default"/>
    <w:pPr>
      <w:tabs>
        <w:tab w:val="left" w:pos="709"/>
      </w:tabs>
      <w:suppressAutoHyphens/>
      <w:autoSpaceDE/>
      <w:autoSpaceDN/>
      <w:adjustRightInd/>
      <w:spacing w:before="120" w:after="120" w:line="240" w:lineRule="atLeast"/>
      <w:ind w:left="851"/>
    </w:pPr>
    <w:rPr>
      <w:rFonts w:eastAsia="Calibri"/>
      <w:sz w:val="20"/>
      <w:lang w:eastAsia="en-US"/>
    </w:rPr>
  </w:style>
  <w:style w:type="paragraph" w:customStyle="1" w:styleId="CM1">
    <w:name w:val="CM1"/>
    <w:basedOn w:val="Default"/>
    <w:next w:val="Default"/>
    <w:uiPriority w:val="99"/>
    <w:rPr>
      <w:rFonts w:ascii="Times New Roman" w:hAnsi="Times New Roman" w:cs="Times New Roman"/>
      <w:color w:val="auto"/>
    </w:rPr>
  </w:style>
  <w:style w:type="paragraph" w:customStyle="1" w:styleId="CM3">
    <w:name w:val="CM3"/>
    <w:basedOn w:val="Default"/>
    <w:next w:val="Default"/>
    <w:uiPriority w:val="99"/>
    <w:rPr>
      <w:rFonts w:ascii="Times New Roman" w:hAnsi="Times New Roman" w:cs="Times New Roman"/>
      <w:color w:val="auto"/>
    </w:rPr>
  </w:style>
  <w:style w:type="paragraph" w:customStyle="1" w:styleId="bullet11">
    <w:name w:val="bullet1"/>
    <w:basedOn w:val="ListBullet2"/>
    <w:link w:val="bullet1Char"/>
    <w:qFormat/>
    <w:pPr>
      <w:numPr>
        <w:numId w:val="0"/>
      </w:numPr>
      <w:tabs>
        <w:tab w:val="num" w:pos="1264"/>
      </w:tabs>
      <w:spacing w:after="0"/>
      <w:ind w:left="1267" w:hanging="360"/>
    </w:pPr>
  </w:style>
  <w:style w:type="character" w:styleId="Emphasis">
    <w:name w:val="Emphasis"/>
    <w:uiPriority w:val="20"/>
    <w:qFormat/>
    <w:rPr>
      <w:i/>
      <w:iCs/>
    </w:rPr>
  </w:style>
  <w:style w:type="character" w:customStyle="1" w:styleId="Text2Char">
    <w:name w:val="Text 2 Char"/>
    <w:link w:val="Text2"/>
    <w:rPr>
      <w:rFonts w:ascii="Times New Roman" w:eastAsia="Times New Roman" w:hAnsi="Times New Roman"/>
      <w:sz w:val="24"/>
      <w:lang w:eastAsia="en-US"/>
    </w:rPr>
  </w:style>
  <w:style w:type="character" w:customStyle="1" w:styleId="ListBullet2Char">
    <w:name w:val="List Bullet 2 Char"/>
    <w:link w:val="ListBullet2"/>
    <w:uiPriority w:val="99"/>
    <w:rPr>
      <w:rFonts w:ascii="Times New Roman" w:eastAsia="Times New Roman" w:hAnsi="Times New Roman"/>
      <w:sz w:val="24"/>
      <w:lang w:eastAsia="en-US"/>
    </w:rPr>
  </w:style>
  <w:style w:type="character" w:customStyle="1" w:styleId="bullet1Char">
    <w:name w:val="bullet1 Char"/>
    <w:basedOn w:val="ListBullet2Char"/>
    <w:link w:val="bullet11"/>
    <w:rPr>
      <w:rFonts w:ascii="Times New Roman" w:eastAsia="Times New Roman" w:hAnsi="Times New Roman"/>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before="0" w:after="0"/>
      <w:ind w:left="284" w:hanging="284"/>
    </w:pPr>
    <w:rPr>
      <w:rFonts w:ascii="Cambria" w:hAnsi="Cambria"/>
      <w:szCs w:val="20"/>
      <w:vertAlign w:val="superscript"/>
      <w:lang w:eastAsia="en-GB"/>
    </w:rPr>
  </w:style>
  <w:style w:type="table" w:styleId="TableColumns1">
    <w:name w:val="Table Columns 1"/>
    <w:basedOn w:val="TableNormal"/>
    <w:pPr>
      <w:spacing w:before="120" w:after="120"/>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BodyText"/>
    <w:uiPriority w:val="11"/>
    <w:qFormat/>
    <w:pPr>
      <w:keepNext/>
      <w:tabs>
        <w:tab w:val="num" w:pos="851"/>
      </w:tabs>
      <w:spacing w:line="240" w:lineRule="atLeast"/>
      <w:ind w:left="1928" w:hanging="1077"/>
      <w:jc w:val="left"/>
    </w:pPr>
    <w:rPr>
      <w:rFonts w:ascii="Calibri" w:eastAsiaTheme="minorHAnsi" w:hAnsi="Calibri"/>
      <w:b/>
      <w:color w:val="0067AC"/>
    </w:rPr>
  </w:style>
  <w:style w:type="paragraph" w:customStyle="1" w:styleId="FooterLand">
    <w:name w:val="FooterLand"/>
    <w:basedOn w:val="Footer"/>
    <w:uiPriority w:val="29"/>
    <w:semiHidden/>
    <w:qFormat/>
    <w:pPr>
      <w:tabs>
        <w:tab w:val="clear" w:pos="4513"/>
        <w:tab w:val="clear" w:pos="9026"/>
        <w:tab w:val="right" w:pos="14005"/>
      </w:tabs>
      <w:spacing w:before="0" w:after="0"/>
      <w:jc w:val="left"/>
    </w:pPr>
    <w:rPr>
      <w:rFonts w:ascii="Arial" w:eastAsiaTheme="minorHAnsi" w:hAnsi="Arial"/>
    </w:rPr>
  </w:style>
  <w:style w:type="numbering" w:customStyle="1" w:styleId="NumbLstMain">
    <w:name w:val="NumbLstMain"/>
    <w:uiPriority w:val="99"/>
    <w:pPr>
      <w:numPr>
        <w:numId w:val="63"/>
      </w:numPr>
    </w:pPr>
  </w:style>
  <w:style w:type="paragraph" w:customStyle="1" w:styleId="Box">
    <w:name w:val="Box"/>
    <w:basedOn w:val="Normal"/>
    <w:next w:val="BodyText"/>
    <w:uiPriority w:val="6"/>
    <w:qFormat/>
    <w:pPr>
      <w:spacing w:line="240" w:lineRule="atLeast"/>
      <w:ind w:left="1928" w:hanging="1077"/>
      <w:jc w:val="left"/>
    </w:pPr>
    <w:rPr>
      <w:rFonts w:ascii="Calibri" w:eastAsiaTheme="minorHAnsi" w:hAnsi="Calibri"/>
      <w:b/>
      <w:color w:val="0067AC"/>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eastAsia="Times New Roman" w:hAnsi="Times New Roman"/>
      <w:sz w:val="24"/>
      <w:szCs w:val="20"/>
    </w:rPr>
  </w:style>
  <w:style w:type="character" w:customStyle="1" w:styleId="FooterCoverPageChar">
    <w:name w:val="Footer Cover Page Char"/>
    <w:basedOn w:val="DefaultParagraphFont"/>
    <w:link w:val="FooterCoverPage"/>
    <w:rPr>
      <w:rFonts w:ascii="Times New Roman" w:eastAsia="Times New Roman" w:hAnsi="Times New Roman"/>
      <w:sz w:val="24"/>
      <w:lang w:eastAsia="en-US"/>
    </w:rPr>
  </w:style>
  <w:style w:type="paragraph" w:customStyle="1" w:styleId="HeaderCoverPage">
    <w:name w:val="Header Cover Page"/>
    <w:basedOn w:val="Normal"/>
    <w:link w:val="HeaderCoverPageChar"/>
    <w:pPr>
      <w:tabs>
        <w:tab w:val="center" w:pos="4535"/>
        <w:tab w:val="right" w:pos="9071"/>
      </w:tabs>
      <w:spacing w:before="0"/>
    </w:pPr>
    <w:rPr>
      <w:rFonts w:ascii="Times New Roman" w:eastAsia="Times New Roman" w:hAnsi="Times New Roman"/>
      <w:sz w:val="24"/>
      <w:szCs w:val="20"/>
    </w:rPr>
  </w:style>
  <w:style w:type="character" w:customStyle="1" w:styleId="HeaderCoverPageChar">
    <w:name w:val="Header Cover Page Char"/>
    <w:basedOn w:val="DefaultParagraphFont"/>
    <w:link w:val="HeaderCoverPage"/>
    <w:rPr>
      <w:rFonts w:ascii="Times New Roman" w:eastAsia="Times New Roman" w:hAnsi="Times New Roman"/>
      <w:sz w:val="24"/>
      <w:lang w:eastAsia="en-US"/>
    </w:rPr>
  </w:style>
  <w:style w:type="character" w:customStyle="1" w:styleId="ListParagraphChar">
    <w:name w:val="List Paragraph Char"/>
    <w:aliases w:val="Paragraphe de liste 2 Char,Reference list Char,Normal bullet 2 Char,Bullet list Char,Numbered List Char,List Paragraph1 Char,1st level - Bullet List Paragraph Char,Lettre d'introduction Char,Paragrafo elenco Char,Bullet EY Char"/>
    <w:basedOn w:val="DefaultParagraphFont"/>
    <w:link w:val="ListParagraph"/>
    <w:uiPriority w:val="34"/>
    <w:qFormat/>
    <w:locked/>
    <w:rPr>
      <w:rFonts w:asciiTheme="minorHAnsi" w:eastAsiaTheme="minorHAnsi" w:hAnsiTheme="minorHAnsi" w:cstheme="minorBidi"/>
      <w:sz w:val="22"/>
      <w:szCs w:val="22"/>
      <w:lang w:eastAsia="en-US"/>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before="0" w:after="160" w:line="240" w:lineRule="exact"/>
      <w:jc w:val="left"/>
    </w:pPr>
    <w:rPr>
      <w:rFonts w:asciiTheme="minorHAnsi" w:eastAsiaTheme="minorHAnsi" w:hAnsiTheme="minorHAnsi" w:cstheme="minorBidi"/>
      <w:sz w:val="22"/>
      <w:szCs w:val="22"/>
      <w:vertAlign w:val="superscript"/>
    </w:rPr>
  </w:style>
  <w:style w:type="character" w:customStyle="1" w:styleId="st">
    <w:name w:val="st"/>
    <w:basedOn w:val="DefaultParagraphFont"/>
  </w:style>
  <w:style w:type="character" w:customStyle="1" w:styleId="FootnoteTextChar1">
    <w:name w:val="Footnote Text Char1"/>
    <w:aliases w:val="Testo nota a piè di pagina_Rientro Char1,stile 1 Char1,Footnote Char1,Footnote1 Char1,Footnote2 Char1,Footnote3 Char1,Footnote4 Char1,Footnote5 Char1,Footnote6 Char1,Footnote7 Char1,Footnote8 Char1,Footnote9 Char1,Footnote10 Char1"/>
    <w:uiPriority w:val="99"/>
    <w:rPr>
      <w:lang w:eastAsia="en-US"/>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before="0" w:after="160" w:line="240" w:lineRule="exact"/>
      <w:jc w:val="left"/>
    </w:pPr>
    <w:rPr>
      <w:rFonts w:ascii="Arial" w:eastAsiaTheme="minorHAnsi" w:hAnsi="Arial" w:cstheme="minorBidi"/>
      <w:sz w:val="16"/>
      <w:szCs w:val="22"/>
      <w:vertAlign w:val="superscript"/>
    </w:rPr>
  </w:style>
  <w:style w:type="character" w:customStyle="1" w:styleId="Corpsdutexte">
    <w:name w:val="Corps du texte_"/>
    <w:basedOn w:val="DefaultParagraphFont"/>
    <w:rPr>
      <w:b w:val="0"/>
      <w:bCs w:val="0"/>
      <w:i w:val="0"/>
      <w:iCs w:val="0"/>
      <w:smallCaps w:val="0"/>
      <w:strike w:val="0"/>
      <w:sz w:val="23"/>
      <w:szCs w:val="23"/>
      <w:u w:val="none"/>
    </w:rPr>
  </w:style>
  <w:style w:type="character" w:customStyle="1" w:styleId="CaptionChar">
    <w:name w:val="Caption Char"/>
    <w:aliases w:val="Figure Caption Char, Char Char Char,Char Char Char,Figure Caption + Avant : 14 pt Char,Motif : Transparente (Gris - 15 %) Char,TF Char,Caption1 Char Char Char Char Char Char Char Char Tegn Tegn Tegn Tegn Tegn Char"/>
    <w:basedOn w:val="DefaultParagraphFont"/>
    <w:link w:val="Caption"/>
    <w:rPr>
      <w:rFonts w:asciiTheme="minorHAnsi" w:eastAsiaTheme="minorHAnsi" w:hAnsiTheme="minorHAnsi" w:cstheme="minorBidi"/>
      <w:b/>
      <w:bCs/>
      <w:color w:val="4F81BD" w:themeColor="accent1"/>
      <w:sz w:val="18"/>
      <w:szCs w:val="18"/>
      <w:lang w:val="en-US" w:eastAsia="en-US"/>
    </w:rPr>
  </w:style>
  <w:style w:type="table" w:customStyle="1" w:styleId="GridTable4-Accent11">
    <w:name w:val="Grid Table 4 - Accent 11"/>
    <w:basedOn w:val="TableNormal"/>
    <w:uiPriority w:val="49"/>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overTitle">
    <w:name w:val="Cover Title"/>
    <w:link w:val="CoverTitleChar"/>
    <w:autoRedefine/>
    <w:qFormat/>
    <w:rPr>
      <w:rFonts w:ascii="Arial" w:eastAsia="Times" w:hAnsi="Arial"/>
      <w:b/>
      <w:noProof/>
      <w:color w:val="002776"/>
      <w:kern w:val="28"/>
      <w:sz w:val="52"/>
      <w:szCs w:val="52"/>
      <w:lang w:eastAsia="en-US"/>
    </w:rPr>
  </w:style>
  <w:style w:type="character" w:customStyle="1" w:styleId="CoverTitleChar">
    <w:name w:val="Cover Title Char"/>
    <w:basedOn w:val="DefaultParagraphFont"/>
    <w:link w:val="CoverTitle"/>
    <w:rPr>
      <w:rFonts w:ascii="Arial" w:eastAsia="Times" w:hAnsi="Arial"/>
      <w:b/>
      <w:noProof/>
      <w:color w:val="002776"/>
      <w:kern w:val="28"/>
      <w:sz w:val="52"/>
      <w:szCs w:val="52"/>
      <w:lang w:eastAsia="en-US"/>
    </w:rPr>
  </w:style>
  <w:style w:type="paragraph" w:customStyle="1" w:styleId="AnnexSectionHeading">
    <w:name w:val="Annex Section Heading"/>
    <w:basedOn w:val="Heading2"/>
    <w:next w:val="Normal"/>
    <w:link w:val="AnnexSectionHeadingChar"/>
    <w:autoRedefine/>
    <w:qFormat/>
    <w:pPr>
      <w:keepLines w:val="0"/>
      <w:numPr>
        <w:ilvl w:val="0"/>
        <w:numId w:val="0"/>
      </w:numPr>
      <w:tabs>
        <w:tab w:val="left" w:pos="9630"/>
      </w:tabs>
      <w:spacing w:before="0"/>
      <w:ind w:left="737" w:hanging="737"/>
      <w:jc w:val="left"/>
    </w:pPr>
    <w:rPr>
      <w:rFonts w:ascii="Arial" w:eastAsia="Times" w:hAnsi="Arial" w:cs="Times New Roman"/>
      <w:bCs w:val="0"/>
      <w:iCs w:val="0"/>
      <w:color w:val="92D050"/>
      <w:sz w:val="22"/>
      <w:szCs w:val="22"/>
    </w:rPr>
  </w:style>
  <w:style w:type="character" w:customStyle="1" w:styleId="AnnexSectionHeadingChar">
    <w:name w:val="Annex Section Heading Char"/>
    <w:basedOn w:val="DefaultParagraphFont"/>
    <w:link w:val="AnnexSectionHeading"/>
    <w:rPr>
      <w:rFonts w:ascii="Arial" w:eastAsia="Times" w:hAnsi="Arial"/>
      <w:b/>
      <w:color w:val="92D050"/>
      <w:sz w:val="22"/>
      <w:szCs w:val="22"/>
      <w:lang w:eastAsia="en-US"/>
    </w:rPr>
  </w:style>
  <w:style w:type="numbering" w:customStyle="1" w:styleId="BulletEU">
    <w:name w:val="Bullet EU"/>
    <w:uiPriority w:val="99"/>
    <w:pPr>
      <w:numPr>
        <w:numId w:val="87"/>
      </w:numPr>
    </w:pPr>
  </w:style>
  <w:style w:type="character" w:customStyle="1" w:styleId="ListBulletChar">
    <w:name w:val="List Bullet Char"/>
    <w:aliases w:val="Bullet Point EU Char,Bullet Point EU 2 Char,UL Char"/>
    <w:basedOn w:val="DefaultParagraphFont"/>
    <w:link w:val="ListBullet"/>
    <w:rPr>
      <w:rFonts w:ascii="Times New Roman" w:eastAsia="Times New Roman" w:hAnsi="Times New Roman"/>
      <w:sz w:val="24"/>
      <w:lang w:eastAsia="en-US"/>
    </w:rPr>
  </w:style>
  <w:style w:type="table" w:customStyle="1" w:styleId="ListTable3-Accent111">
    <w:name w:val="List Table 3 - Accent 111"/>
    <w:basedOn w:val="TableNormal"/>
    <w:uiPriority w:val="48"/>
    <w:rPr>
      <w:rFonts w:ascii="Calibri" w:eastAsia="Calibri" w:hAnsi="Calibr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entry-byline">
    <w:name w:val="entry-byline"/>
    <w:basedOn w:val="DefaultParagraphFont"/>
  </w:style>
  <w:style w:type="character" w:customStyle="1" w:styleId="apple-converted-space">
    <w:name w:val="apple-converted-space"/>
    <w:basedOn w:val="DefaultParagraphFont"/>
  </w:style>
  <w:style w:type="character" w:styleId="EndnoteReference">
    <w:name w:val="endnote reference"/>
    <w:basedOn w:val="DefaultParagraphFont"/>
    <w:uiPriority w:val="99"/>
    <w:semiHidden/>
    <w:unhideWhenUsed/>
    <w:rPr>
      <w:vertAlign w:val="superscript"/>
    </w:rPr>
  </w:style>
  <w:style w:type="paragraph" w:customStyle="1" w:styleId="AnnexChapterHeading">
    <w:name w:val="Annex Chapter Heading"/>
    <w:basedOn w:val="Heading1"/>
    <w:next w:val="Normal"/>
    <w:link w:val="AnnexChapterHeadingChar"/>
    <w:autoRedefine/>
    <w:qFormat/>
    <w:pPr>
      <w:pageBreakBefore/>
      <w:numPr>
        <w:numId w:val="107"/>
      </w:numPr>
      <w:spacing w:before="0" w:after="1600"/>
      <w:jc w:val="left"/>
    </w:pPr>
    <w:rPr>
      <w:rFonts w:ascii="Arial" w:eastAsia="Times" w:hAnsi="Arial" w:cs="Arial"/>
      <w:b w:val="0"/>
      <w:color w:val="002776"/>
      <w:kern w:val="32"/>
      <w:sz w:val="60"/>
      <w:szCs w:val="60"/>
    </w:rPr>
  </w:style>
  <w:style w:type="character" w:customStyle="1" w:styleId="AnnexChapterHeadingChar">
    <w:name w:val="Annex Chapter Heading Char"/>
    <w:basedOn w:val="DefaultParagraphFont"/>
    <w:link w:val="AnnexChapterHeading"/>
    <w:rPr>
      <w:rFonts w:ascii="Arial" w:eastAsia="Times" w:hAnsi="Arial" w:cs="Arial"/>
      <w:color w:val="002776"/>
      <w:kern w:val="32"/>
      <w:sz w:val="60"/>
      <w:szCs w:val="60"/>
      <w:lang w:eastAsia="en-US"/>
    </w:rPr>
  </w:style>
  <w:style w:type="numbering" w:customStyle="1" w:styleId="NoList2">
    <w:name w:val="No List2"/>
    <w:next w:val="NoList"/>
    <w:uiPriority w:val="99"/>
    <w:semiHidden/>
    <w:unhideWhenUsed/>
  </w:style>
  <w:style w:type="numbering" w:customStyle="1" w:styleId="NumbLstBTBullet2">
    <w:name w:val="NumbLstBTBullet2"/>
    <w:uiPriority w:val="99"/>
    <w:pPr>
      <w:numPr>
        <w:numId w:val="1"/>
      </w:numPr>
    </w:pPr>
  </w:style>
  <w:style w:type="numbering" w:customStyle="1" w:styleId="NumbLstBTBullet11">
    <w:name w:val="NumbLstBTBullet11"/>
    <w:uiPriority w:val="99"/>
    <w:pPr>
      <w:numPr>
        <w:numId w:val="21"/>
      </w:numPr>
    </w:pPr>
  </w:style>
  <w:style w:type="numbering" w:customStyle="1" w:styleId="NumbLstBullet1">
    <w:name w:val="NumbLstBullet1"/>
    <w:uiPriority w:val="99"/>
    <w:pPr>
      <w:numPr>
        <w:numId w:val="17"/>
      </w:numPr>
    </w:pPr>
  </w:style>
  <w:style w:type="numbering" w:customStyle="1" w:styleId="NumbLstTableBullet1">
    <w:name w:val="NumbLstTableBullet1"/>
    <w:uiPriority w:val="99"/>
    <w:pPr>
      <w:numPr>
        <w:numId w:val="18"/>
      </w:numPr>
    </w:pPr>
  </w:style>
  <w:style w:type="numbering" w:customStyle="1" w:styleId="NumbLstMain1">
    <w:name w:val="NumbLstMain1"/>
    <w:uiPriority w:val="99"/>
    <w:pPr>
      <w:numPr>
        <w:numId w:val="22"/>
      </w:numPr>
    </w:pPr>
  </w:style>
  <w:style w:type="numbering" w:customStyle="1" w:styleId="BulletEU1">
    <w:name w:val="Bullet EU1"/>
    <w:uiPriority w:val="99"/>
    <w:pPr>
      <w:numPr>
        <w:numId w:val="5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Bullet 2" w:qFormat="1"/>
    <w:lsdException w:name="List Bullet 3" w:qFormat="1"/>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lumns 1" w:uiPriority="0"/>
    <w:lsdException w:name="Table Columns 2"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pPr>
      <w:spacing w:before="120" w:after="120"/>
      <w:jc w:val="both"/>
    </w:pPr>
    <w:rPr>
      <w:rFonts w:ascii="Verdana" w:hAnsi="Verdana"/>
      <w:szCs w:val="24"/>
      <w:lang w:eastAsia="en-US"/>
    </w:rPr>
  </w:style>
  <w:style w:type="paragraph" w:styleId="Heading1">
    <w:name w:val="heading 1"/>
    <w:aliases w:val="F3 Heading 1 - Section,1.,h1,ITTHEADER1,(Section),Numbered - 1,Section,Chapter Hdg,CH TITLE 1,Chapter Heading,Titre 1,1,H1,section head,al,section head1,h11,section head2,h12,section head3,h13,section head4,h14,IMPACT STUDY TITLE1,Headline 1"/>
    <w:basedOn w:val="Normal"/>
    <w:next w:val="Normal"/>
    <w:link w:val="Heading1Char"/>
    <w:autoRedefine/>
    <w:uiPriority w:val="9"/>
    <w:qFormat/>
    <w:pPr>
      <w:keepNext/>
      <w:numPr>
        <w:numId w:val="2"/>
      </w:numPr>
      <w:spacing w:before="240" w:after="60"/>
      <w:outlineLvl w:val="0"/>
    </w:pPr>
    <w:rPr>
      <w:b/>
      <w:sz w:val="26"/>
    </w:rPr>
  </w:style>
  <w:style w:type="paragraph" w:styleId="Heading2">
    <w:name w:val="heading 2"/>
    <w:aliases w:val="F4 Heading 2 - SubSection,h2,Heading 2 Char1,Heading 2 Char Char,H2 Char,heading 2 Char,(SubSection),Para Nos,Para,Main Heading,Main Headi,Numbered - 2,(Main Heading),Paragraph,Sub Heading,ignorer2,Oscar Faber 2,IMPACT STUDY TITLE2,2H,2H1,2H2"/>
    <w:basedOn w:val="Normal"/>
    <w:next w:val="Normal"/>
    <w:link w:val="Heading2Char"/>
    <w:autoRedefine/>
    <w:uiPriority w:val="9"/>
    <w:qFormat/>
    <w:pPr>
      <w:keepNext/>
      <w:keepLines/>
      <w:numPr>
        <w:ilvl w:val="1"/>
        <w:numId w:val="2"/>
      </w:numPr>
      <w:spacing w:before="200"/>
      <w:outlineLvl w:val="1"/>
    </w:pPr>
    <w:rPr>
      <w:rFonts w:eastAsiaTheme="majorEastAsia" w:cstheme="majorBidi"/>
      <w:b/>
      <w:bCs/>
      <w:iCs/>
      <w:sz w:val="24"/>
      <w:szCs w:val="26"/>
    </w:rPr>
  </w:style>
  <w:style w:type="paragraph" w:styleId="Heading3">
    <w:name w:val="heading 3"/>
    <w:aliases w:val="H31,Headline 3,h3,h31,h32,H3,Heading 3 Char Char,Heading 3 - old,heading 3,ASAPHeading 3,Mi,Minor,Headline,Punt 3,Heading 3 CFMU,Para 3,Punt 3 Char,Arial 12 Fett,1.1.1 Heading 3,Numbered 3 (SBC),Sub-Title,Heading 3 - SBC,V_Head3,Podkapitola2"/>
    <w:basedOn w:val="Normal"/>
    <w:next w:val="Normal"/>
    <w:link w:val="Heading3Char"/>
    <w:autoRedefine/>
    <w:uiPriority w:val="9"/>
    <w:unhideWhenUsed/>
    <w:qFormat/>
    <w:pPr>
      <w:keepNext/>
      <w:keepLines/>
      <w:numPr>
        <w:ilvl w:val="2"/>
        <w:numId w:val="2"/>
      </w:numPr>
      <w:spacing w:before="200" w:after="0"/>
      <w:outlineLvl w:val="2"/>
    </w:pPr>
    <w:rPr>
      <w:rFonts w:eastAsiaTheme="majorEastAsia" w:cstheme="majorBidi"/>
      <w:b/>
      <w:bCs/>
      <w:sz w:val="22"/>
    </w:rPr>
  </w:style>
  <w:style w:type="paragraph" w:styleId="Heading4">
    <w:name w:val="heading 4"/>
    <w:aliases w:val="itth4,TABLE,heading 4 Char,Numbered - 4,level 3 subhead,PA Micro Section,(Alt+4),H41,(Alt+4)1,H42,(Alt+4)2,H43,(Alt+4)3,H44,(Alt+4)4,H45,(Alt+4)5,H411,(Alt+4)11,H421,(Alt+4)21,H431,(Alt+4)31,H46,(Alt+4)6,H412,(Alt+4)12,H422,(Alt+4)22,H432,H47"/>
    <w:basedOn w:val="Normal"/>
    <w:next w:val="Normal"/>
    <w:link w:val="Heading4Char"/>
    <w:autoRedefine/>
    <w:uiPriority w:val="9"/>
    <w:unhideWhenUsed/>
    <w:qFormat/>
    <w:pPr>
      <w:keepNext/>
      <w:keepLines/>
      <w:numPr>
        <w:ilvl w:val="3"/>
        <w:numId w:val="2"/>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pPr>
      <w:keepNext/>
      <w:keepLines/>
      <w:numPr>
        <w:ilvl w:val="4"/>
        <w:numId w:val="2"/>
      </w:numPr>
      <w:spacing w:before="200" w:after="0"/>
      <w:outlineLvl w:val="4"/>
    </w:pPr>
    <w:rPr>
      <w:rFonts w:eastAsiaTheme="majorEastAsia" w:cstheme="majorBidi"/>
      <w:b/>
      <w:color w:val="0033CC"/>
    </w:rPr>
  </w:style>
  <w:style w:type="paragraph" w:styleId="Heading6">
    <w:name w:val="heading 6"/>
    <w:basedOn w:val="Normal"/>
    <w:next w:val="Normal"/>
    <w:link w:val="Heading6Char"/>
    <w:uiPriority w:val="9"/>
    <w:unhideWhenUsed/>
    <w:qFormat/>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sub4,Heading 8 (do not use),Heading 8 CFMU,h8,Header 8,ASAPHeading 8,8,Titolo8,action,action1,action2,action11,action3,action4,action5,action6,action7,action12,action21,action111,action31,action8,action13,action22,action112,action32"/>
    <w:basedOn w:val="Normal"/>
    <w:next w:val="Normal"/>
    <w:link w:val="Heading8Char"/>
    <w:unhideWhenUsed/>
    <w:qFormat/>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qFormat/>
    <w:pPr>
      <w:numPr>
        <w:ilvl w:val="8"/>
        <w:numId w:val="2"/>
      </w:numPr>
      <w:spacing w:before="240" w:after="60"/>
      <w:outlineLvl w:val="8"/>
    </w:pPr>
    <w:rPr>
      <w:rFonts w:ascii="Calibri" w:eastAsia="MS Gothic"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Lucida Grande" w:hAnsi="Lucida Grande" w:cs="Lucida Grande"/>
      <w:sz w:val="18"/>
      <w:szCs w:val="18"/>
    </w:rPr>
  </w:style>
  <w:style w:type="character" w:customStyle="1" w:styleId="BalloonTextChar">
    <w:name w:val="Balloon Text Char"/>
    <w:link w:val="BalloonText"/>
    <w:uiPriority w:val="99"/>
    <w:rPr>
      <w:rFonts w:ascii="Lucida Grande" w:hAnsi="Lucida Grande" w:cs="Lucida Grande"/>
      <w:sz w:val="18"/>
      <w:szCs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Times-Roman" w:hAnsi="Times-Roman" w:cs="Times-Roman"/>
      <w:color w:val="000000"/>
      <w:lang w:val="fr-FR"/>
    </w:rPr>
  </w:style>
  <w:style w:type="character" w:customStyle="1" w:styleId="Heading1Char">
    <w:name w:val="Heading 1 Char"/>
    <w:aliases w:val="F3 Heading 1 - Section Char,1. Char,h1 Char,ITTHEADER1 Char,(Section) Char,Numbered - 1 Char,Section Char,Chapter Hdg Char,CH TITLE 1 Char,Chapter Heading Char,Titre 1 Char,1 Char,H1 Char,section head Char,al Char,section head1 Char"/>
    <w:link w:val="Heading1"/>
    <w:uiPriority w:val="9"/>
    <w:rPr>
      <w:rFonts w:ascii="Verdana" w:hAnsi="Verdana"/>
      <w:b/>
      <w:sz w:val="26"/>
      <w:szCs w:val="24"/>
      <w:lang w:eastAsia="en-US"/>
    </w:rPr>
  </w:style>
  <w:style w:type="character" w:customStyle="1" w:styleId="Heading2Char">
    <w:name w:val="Heading 2 Char"/>
    <w:aliases w:val="F4 Heading 2 - SubSection Char,h2 Char,Heading 2 Char1 Char,Heading 2 Char Char Char,H2 Char Char,heading 2 Char Char,(SubSection) Char,Para Nos Char,Para Char,Main Heading Char,Main Headi Char,Numbered - 2 Char,(Main Heading) Char"/>
    <w:link w:val="Heading2"/>
    <w:uiPriority w:val="9"/>
    <w:rPr>
      <w:rFonts w:ascii="Verdana" w:eastAsiaTheme="majorEastAsia" w:hAnsi="Verdana" w:cstheme="majorBidi"/>
      <w:b/>
      <w:bCs/>
      <w:iCs/>
      <w:sz w:val="24"/>
      <w:szCs w:val="26"/>
      <w:lang w:eastAsia="en-US"/>
    </w:rPr>
  </w:style>
  <w:style w:type="character" w:customStyle="1" w:styleId="Heading9Char">
    <w:name w:val="Heading 9 Char"/>
    <w:link w:val="Heading9"/>
    <w:uiPriority w:val="9"/>
    <w:rPr>
      <w:rFonts w:ascii="Calibri" w:eastAsia="MS Gothic" w:hAnsi="Calibri"/>
      <w:sz w:val="22"/>
      <w:szCs w:val="22"/>
      <w:lang w:eastAsia="en-US"/>
    </w:rPr>
  </w:style>
  <w:style w:type="character" w:customStyle="1" w:styleId="A2">
    <w:name w:val="A2"/>
    <w:rPr>
      <w:rFonts w:cs="EC Square Sans Pro Medium"/>
      <w:i/>
      <w:iCs/>
      <w:color w:val="21ADE4"/>
    </w:rPr>
  </w:style>
  <w:style w:type="character" w:customStyle="1" w:styleId="A0">
    <w:name w:val="A0"/>
    <w:rPr>
      <w:rFonts w:cs="EC Square Sans Pro Medium"/>
      <w:color w:val="21ADE4"/>
      <w:sz w:val="22"/>
      <w:szCs w:val="22"/>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4"/>
      <w:szCs w:val="24"/>
      <w:lang w:eastAsia="en-US"/>
    </w:rPr>
  </w:style>
  <w:style w:type="paragraph" w:styleId="NoSpacing">
    <w:name w:val="No Spacing"/>
    <w:link w:val="NoSpacingChar"/>
    <w:uiPriority w:val="99"/>
    <w:qFormat/>
    <w:rPr>
      <w:sz w:val="24"/>
      <w:szCs w:val="24"/>
      <w:lang w:eastAsia="en-US"/>
    </w:rPr>
  </w:style>
  <w:style w:type="paragraph" w:styleId="ListParagraph">
    <w:name w:val="List Paragraph"/>
    <w:aliases w:val="Paragraphe de liste 2,Reference list,Normal bullet 2,Bullet list,Numbered List,List Paragraph1,1st level - Bullet List Paragraph,Lettre d'introduction,Paragrafo elenco,Bullet EY,List Paragraph11,Normal bullet 21,O-1 List bullets,List1"/>
    <w:basedOn w:val="Normal"/>
    <w:link w:val="ListParagraphChar"/>
    <w:uiPriority w:val="34"/>
    <w:qFormat/>
    <w:pPr>
      <w:spacing w:after="200"/>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EC Square Sans Pro" w:hAnsi="EC Square Sans Pro"/>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EC Square Sans Pro" w:hAnsi="EC Square Sans Pro"/>
      <w:b/>
      <w:bCs/>
      <w:lang w:eastAsia="en-US"/>
    </w:rPr>
  </w:style>
  <w:style w:type="character" w:customStyle="1" w:styleId="Heading3Char">
    <w:name w:val="Heading 3 Char"/>
    <w:aliases w:val="H31 Char,Headline 3 Char,h3 Char,h31 Char,h32 Char,H3 Char,Heading 3 Char Char Char,Heading 3 - old Char,heading 3 Char,ASAPHeading 3 Char,Mi Char,Minor Char,Headline Char,Punt 3 Char1,Heading 3 CFMU Char,Para 3 Char,Punt 3 Char Char"/>
    <w:basedOn w:val="DefaultParagraphFont"/>
    <w:link w:val="Heading3"/>
    <w:uiPriority w:val="9"/>
    <w:rPr>
      <w:rFonts w:ascii="Verdana" w:eastAsiaTheme="majorEastAsia" w:hAnsi="Verdana" w:cstheme="majorBidi"/>
      <w:b/>
      <w:bCs/>
      <w:sz w:val="22"/>
      <w:szCs w:val="24"/>
      <w:lang w:eastAsia="en-US"/>
    </w:rPr>
  </w:style>
  <w:style w:type="character" w:customStyle="1" w:styleId="Heading4Char">
    <w:name w:val="Heading 4 Char"/>
    <w:aliases w:val="itth4 Char,TABLE Char,heading 4 Char Char,Numbered - 4 Char,level 3 subhead Char,PA Micro Section Char,(Alt+4) Char,H41 Char,(Alt+4)1 Char,H42 Char,(Alt+4)2 Char,H43 Char,(Alt+4)3 Char,H44 Char,(Alt+4)4 Char,H45 Char,(Alt+4)5 Char"/>
    <w:basedOn w:val="DefaultParagraphFont"/>
    <w:link w:val="Heading4"/>
    <w:uiPriority w:val="9"/>
    <w:rPr>
      <w:rFonts w:ascii="Verdana" w:eastAsiaTheme="majorEastAsia" w:hAnsi="Verdana" w:cstheme="majorBidi"/>
      <w:b/>
      <w:bCs/>
      <w:iCs/>
      <w:szCs w:val="24"/>
      <w:lang w:eastAsia="en-US"/>
    </w:rPr>
  </w:style>
  <w:style w:type="character" w:customStyle="1" w:styleId="Heading5Char">
    <w:name w:val="Heading 5 Char"/>
    <w:basedOn w:val="DefaultParagraphFont"/>
    <w:link w:val="Heading5"/>
    <w:uiPriority w:val="9"/>
    <w:rPr>
      <w:rFonts w:ascii="Verdana" w:eastAsiaTheme="majorEastAsia" w:hAnsi="Verdana" w:cstheme="majorBidi"/>
      <w:b/>
      <w:color w:val="0033CC"/>
      <w:szCs w:val="24"/>
      <w:lang w:eastAsia="en-US"/>
    </w:rPr>
  </w:style>
  <w:style w:type="paragraph" w:styleId="TOCHeading">
    <w:name w:val="TOC Heading"/>
    <w:basedOn w:val="Heading1"/>
    <w:next w:val="Normal"/>
    <w:uiPriority w:val="39"/>
    <w:unhideWhenUsed/>
    <w:qFormat/>
    <w:pPr>
      <w:keepLines/>
      <w:spacing w:before="480" w:after="0"/>
      <w:jc w:val="left"/>
      <w:outlineLvl w:val="9"/>
    </w:pPr>
    <w:rPr>
      <w:rFonts w:asciiTheme="majorHAnsi" w:eastAsiaTheme="majorEastAsia" w:hAnsiTheme="majorHAnsi" w:cstheme="majorBidi"/>
      <w:caps/>
      <w:color w:val="365F91" w:themeColor="accent1" w:themeShade="BF"/>
      <w:sz w:val="28"/>
      <w:szCs w:val="28"/>
      <w:lang w:val="en-US" w:eastAsia="ja-JP"/>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00"/>
    </w:pPr>
  </w:style>
  <w:style w:type="paragraph" w:styleId="TOC3">
    <w:name w:val="toc 3"/>
    <w:basedOn w:val="Normal"/>
    <w:next w:val="Normal"/>
    <w:autoRedefine/>
    <w:uiPriority w:val="39"/>
    <w:unhideWhenUsed/>
    <w:qFormat/>
    <w:pPr>
      <w:spacing w:after="100"/>
      <w:ind w:left="400"/>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jc w:val="left"/>
    </w:pPr>
    <w:rPr>
      <w:rFonts w:ascii="Times New Roman" w:eastAsia="Times New Roman" w:hAnsi="Times New Roman"/>
      <w:sz w:val="24"/>
      <w:lang w:eastAsia="en-GB"/>
    </w:rPr>
  </w:style>
  <w:style w:type="paragraph" w:styleId="TOC4">
    <w:name w:val="toc 4"/>
    <w:basedOn w:val="Normal"/>
    <w:next w:val="Normal"/>
    <w:autoRedefine/>
    <w:uiPriority w:val="39"/>
    <w:unhideWhenUsed/>
    <w:pPr>
      <w:spacing w:after="100"/>
      <w:ind w:left="600"/>
    </w:pPr>
  </w:style>
  <w:style w:type="paragraph" w:styleId="TOC5">
    <w:name w:val="toc 5"/>
    <w:basedOn w:val="Normal"/>
    <w:next w:val="Normal"/>
    <w:autoRedefine/>
    <w:uiPriority w:val="39"/>
    <w:unhideWhenUsed/>
    <w:pPr>
      <w:spacing w:after="100"/>
      <w:ind w:left="800"/>
    </w:pPr>
  </w:style>
  <w:style w:type="paragraph" w:styleId="FootnoteText">
    <w:name w:val="footnote text"/>
    <w:aliases w:val="Testo nota a piè di pagina_Rientro,stile 1,Footnote,Footnote1,Footnote2,Footnote3,Footnote4,Footnote5,Footnote6,Footnote7,Footnote8,Footnote9,Footnote10,Footnote11,Footnote21,Footnote31,Footnote41,Footnote51,Footnote61,ft,fn,Fußnotentextf"/>
    <w:basedOn w:val="Normal"/>
    <w:link w:val="FootnoteTextChar"/>
    <w:uiPriority w:val="99"/>
    <w:unhideWhenUsed/>
    <w:qFormat/>
    <w:pPr>
      <w:spacing w:before="0" w:after="0"/>
    </w:pPr>
    <w:rPr>
      <w:szCs w:val="20"/>
    </w:rPr>
  </w:style>
  <w:style w:type="character" w:customStyle="1" w:styleId="FootnoteTextChar">
    <w:name w:val="Footnote Text Char"/>
    <w:aliases w:val="Testo nota a piè di pagina_Rientro Char,stile 1 Char,Footnote Char,Footnote1 Char,Footnote2 Char,Footnote3 Char,Footnote4 Char,Footnote5 Char,Footnote6 Char,Footnote7 Char,Footnote8 Char,Footnote9 Char,Footnote10 Char,Footnote11 Char"/>
    <w:basedOn w:val="DefaultParagraphFont"/>
    <w:link w:val="FootnoteText"/>
    <w:uiPriority w:val="99"/>
    <w:rPr>
      <w:rFonts w:ascii="Verdana" w:hAnsi="Verdana"/>
      <w:lang w:eastAsia="en-US"/>
    </w:rPr>
  </w:style>
  <w:style w:type="character" w:styleId="FootnoteReference">
    <w:name w:val="footnote reference"/>
    <w:aliases w:val="Footnote Refernece,BVI fnr,callout,16 Point,Superscript 6 Point,Footnote Reference Superscript,Ref,de nota al pie,-E Fußnotenzeichen,number,SUPERS,EN Footnote Reference,-E Fuﬂnotenzeichen,-E Fuûnotenzeichen,Footnote number,F,FR,o,f,E"/>
    <w:basedOn w:val="DefaultParagraphFont"/>
    <w:link w:val="FootnotesymbolCarZchn"/>
    <w:uiPriority w:val="99"/>
    <w:unhideWhenUsed/>
    <w:qFormat/>
    <w:rPr>
      <w:vertAlign w:val="superscript"/>
    </w:rPr>
  </w:style>
  <w:style w:type="paragraph" w:customStyle="1" w:styleId="Maintitle">
    <w:name w:val="Main title"/>
    <w:basedOn w:val="Normal"/>
    <w:link w:val="MaintitleChar"/>
    <w:qFormat/>
    <w:pPr>
      <w:widowControl w:val="0"/>
      <w:spacing w:line="640" w:lineRule="exact"/>
    </w:pPr>
    <w:rPr>
      <w:sz w:val="56"/>
      <w:szCs w:val="56"/>
    </w:rPr>
  </w:style>
  <w:style w:type="paragraph" w:customStyle="1" w:styleId="MainSubtitle">
    <w:name w:val="Main Subtitle"/>
    <w:basedOn w:val="Normal"/>
    <w:link w:val="MainSubtitleChar"/>
    <w:qFormat/>
    <w:pPr>
      <w:widowControl w:val="0"/>
      <w:spacing w:line="320" w:lineRule="exact"/>
    </w:pPr>
    <w:rPr>
      <w:i/>
      <w:color w:val="646567"/>
      <w:sz w:val="32"/>
      <w:szCs w:val="32"/>
    </w:rPr>
  </w:style>
  <w:style w:type="character" w:customStyle="1" w:styleId="MaintitleChar">
    <w:name w:val="Main title Char"/>
    <w:basedOn w:val="DefaultParagraphFont"/>
    <w:link w:val="Maintitle"/>
    <w:rPr>
      <w:rFonts w:ascii="Verdana" w:hAnsi="Verdana"/>
      <w:sz w:val="56"/>
      <w:szCs w:val="56"/>
      <w:lang w:eastAsia="en-US"/>
    </w:rPr>
  </w:style>
  <w:style w:type="paragraph" w:customStyle="1" w:styleId="Datecover">
    <w:name w:val="Date cover"/>
    <w:basedOn w:val="Normal"/>
    <w:link w:val="DatecoverChar"/>
    <w:qFormat/>
    <w:rPr>
      <w:color w:val="000000" w:themeColor="text1"/>
      <w:spacing w:val="32"/>
      <w:szCs w:val="20"/>
    </w:rPr>
  </w:style>
  <w:style w:type="character" w:customStyle="1" w:styleId="MainSubtitleChar">
    <w:name w:val="Main Subtitle Char"/>
    <w:basedOn w:val="DefaultParagraphFont"/>
    <w:link w:val="MainSubtitle"/>
    <w:rPr>
      <w:rFonts w:ascii="Verdana" w:hAnsi="Verdana"/>
      <w:i/>
      <w:color w:val="646567"/>
      <w:sz w:val="32"/>
      <w:szCs w:val="32"/>
      <w:lang w:eastAsia="en-US"/>
    </w:rPr>
  </w:style>
  <w:style w:type="character" w:customStyle="1" w:styleId="DatecoverChar">
    <w:name w:val="Date cover Char"/>
    <w:basedOn w:val="DefaultParagraphFont"/>
    <w:link w:val="Datecover"/>
    <w:rPr>
      <w:rFonts w:ascii="Verdana" w:hAnsi="Verdana"/>
      <w:color w:val="000000" w:themeColor="text1"/>
      <w:spacing w:val="32"/>
      <w:lang w:eastAsia="en-US"/>
    </w:rPr>
  </w:style>
  <w:style w:type="character" w:styleId="PageNumber">
    <w:name w:val="page number"/>
    <w:basedOn w:val="DefaultParagraphFont"/>
    <w:uiPriority w:val="99"/>
    <w:semiHidden/>
    <w:unhideWhenUsed/>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Cs w:val="24"/>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4"/>
      <w:lang w:eastAsia="en-US"/>
    </w:rPr>
  </w:style>
  <w:style w:type="character" w:customStyle="1" w:styleId="Heading8Char">
    <w:name w:val="Heading 8 Char"/>
    <w:aliases w:val="sub4 Char,Heading 8 (do not use) Char,Heading 8 CFMU Char,h8 Char,Header 8 Char,ASAPHeading 8 Char,8 Char,Titolo8 Char,action Char,action1 Char,action2 Char,action11 Char,action3 Char,action4 Char,action5 Char,action6 Char,action7 Char"/>
    <w:basedOn w:val="DefaultParagraphFont"/>
    <w:link w:val="Heading8"/>
    <w:rPr>
      <w:rFonts w:asciiTheme="majorHAnsi" w:eastAsiaTheme="majorEastAsia" w:hAnsiTheme="majorHAnsi" w:cstheme="majorBidi"/>
      <w:color w:val="404040" w:themeColor="text1" w:themeTint="BF"/>
      <w:lang w:eastAsia="en-US"/>
    </w:rPr>
  </w:style>
  <w:style w:type="paragraph" w:customStyle="1" w:styleId="Headingnonumber">
    <w:name w:val="Heading (no number)"/>
    <w:basedOn w:val="Heading1"/>
    <w:next w:val="Normal"/>
    <w:link w:val="HeadingnonumberChar"/>
    <w:autoRedefine/>
    <w:qFormat/>
    <w:pPr>
      <w:numPr>
        <w:numId w:val="0"/>
      </w:numPr>
      <w:jc w:val="left"/>
    </w:pPr>
    <w:rPr>
      <w:smallCaps/>
      <w:sz w:val="24"/>
    </w:rPr>
  </w:style>
  <w:style w:type="paragraph" w:customStyle="1" w:styleId="Contentsdoesnotappearintableofcontents">
    <w:name w:val="Contents (does not appear in table of contents)"/>
    <w:basedOn w:val="Normal"/>
    <w:link w:val="ContentsdoesnotappearintableofcontentsChar"/>
    <w:autoRedefine/>
    <w:qFormat/>
    <w:rPr>
      <w:b/>
      <w:sz w:val="26"/>
      <w:szCs w:val="26"/>
    </w:rPr>
  </w:style>
  <w:style w:type="character" w:customStyle="1" w:styleId="HeadingnonumberChar">
    <w:name w:val="Heading (no number) Char"/>
    <w:basedOn w:val="Heading1Char"/>
    <w:link w:val="Headingnonumber"/>
    <w:rPr>
      <w:rFonts w:ascii="Verdana" w:hAnsi="Verdana"/>
      <w:b/>
      <w:smallCaps/>
      <w:sz w:val="24"/>
      <w:szCs w:val="24"/>
      <w:lang w:eastAsia="en-US"/>
    </w:rPr>
  </w:style>
  <w:style w:type="character" w:customStyle="1" w:styleId="ContentsdoesnotappearintableofcontentsChar">
    <w:name w:val="Contents (does not appear in table of contents) Char"/>
    <w:basedOn w:val="DefaultParagraphFont"/>
    <w:link w:val="Contentsdoesnotappearintableofcontents"/>
    <w:rPr>
      <w:rFonts w:ascii="Verdana" w:hAnsi="Verdana"/>
      <w:b/>
      <w:sz w:val="26"/>
      <w:szCs w:val="26"/>
      <w:lang w:eastAsia="en-US"/>
    </w:rPr>
  </w:style>
  <w:style w:type="paragraph" w:customStyle="1" w:styleId="Text">
    <w:name w:val="Text"/>
    <w:basedOn w:val="Normal"/>
    <w:link w:val="TextChar"/>
    <w:autoRedefine/>
    <w:qFormat/>
    <w:rPr>
      <w:lang w:val="pt-PT"/>
    </w:rPr>
  </w:style>
  <w:style w:type="character" w:customStyle="1" w:styleId="TextChar">
    <w:name w:val="Text Char"/>
    <w:basedOn w:val="DefaultParagraphFont"/>
    <w:link w:val="Text"/>
    <w:rPr>
      <w:rFonts w:ascii="Verdana" w:hAnsi="Verdana"/>
      <w:szCs w:val="24"/>
      <w:lang w:val="pt-PT" w:eastAsia="en-US"/>
    </w:rPr>
  </w:style>
  <w:style w:type="table" w:styleId="TableGrid">
    <w:name w:val="Table Grid"/>
    <w:aliases w:val="HTG,TabelEcorys,Deloitte"/>
    <w:basedOn w:val="TableNormal"/>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pPr>
      <w:numPr>
        <w:ilvl w:val="1"/>
      </w:numPr>
    </w:pPr>
    <w:rPr>
      <w:rFonts w:asciiTheme="majorHAnsi" w:eastAsiaTheme="majorEastAsia" w:hAnsiTheme="majorHAnsi" w:cstheme="majorBidi"/>
      <w:i/>
      <w:iCs/>
      <w:spacing w:val="15"/>
      <w:sz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5"/>
      <w:sz w:val="24"/>
      <w:szCs w:val="24"/>
      <w:lang w:eastAsia="en-US"/>
    </w:rPr>
  </w:style>
  <w:style w:type="paragraph" w:styleId="Caption">
    <w:name w:val="caption"/>
    <w:aliases w:val="Figure Caption, Char Char,Char Char,Figure Caption + Avant : 14 pt,Motif : Transparente (Gris - 15 %),TF,Caption1 Char Char Char Char Char Char Char Char Tegn Tegn Tegn Tegn Tegn,Caption1 Char Char Char Char Char Char Char Char Tegn Tegn Tegn"/>
    <w:basedOn w:val="Normal"/>
    <w:next w:val="Normal"/>
    <w:link w:val="CaptionChar"/>
    <w:uiPriority w:val="35"/>
    <w:unhideWhenUsed/>
    <w:qFormat/>
    <w:pPr>
      <w:spacing w:before="0" w:after="200"/>
      <w:jc w:val="center"/>
    </w:pPr>
    <w:rPr>
      <w:rFonts w:asciiTheme="minorHAnsi" w:eastAsiaTheme="minorHAnsi" w:hAnsiTheme="minorHAnsi" w:cstheme="minorBidi"/>
      <w:b/>
      <w:bCs/>
      <w:color w:val="4F81BD" w:themeColor="accent1"/>
      <w:sz w:val="18"/>
      <w:szCs w:val="18"/>
      <w:lang w:val="en-US"/>
    </w:rPr>
  </w:style>
  <w:style w:type="paragraph" w:styleId="Bibliography">
    <w:name w:val="Bibliography"/>
    <w:basedOn w:val="Normal"/>
    <w:next w:val="Normal"/>
    <w:uiPriority w:val="70"/>
  </w:style>
  <w:style w:type="paragraph" w:styleId="TableofFigures">
    <w:name w:val="table of figures"/>
    <w:basedOn w:val="Normal"/>
    <w:next w:val="Normal"/>
    <w:uiPriority w:val="99"/>
    <w:unhideWhenUsed/>
    <w:pPr>
      <w:spacing w:after="0"/>
    </w:pPr>
  </w:style>
  <w:style w:type="character" w:customStyle="1" w:styleId="NoSpacingChar">
    <w:name w:val="No Spacing Char"/>
    <w:basedOn w:val="DefaultParagraphFont"/>
    <w:link w:val="NoSpacing"/>
    <w:uiPriority w:val="1"/>
    <w:rPr>
      <w:sz w:val="24"/>
      <w:szCs w:val="24"/>
      <w:lang w:eastAsia="en-US"/>
    </w:rPr>
  </w:style>
  <w:style w:type="numbering" w:customStyle="1" w:styleId="NoList1">
    <w:name w:val="No List1"/>
    <w:next w:val="NoList"/>
    <w:uiPriority w:val="99"/>
    <w:semiHidden/>
    <w:unhideWhenUsed/>
  </w:style>
  <w:style w:type="paragraph" w:customStyle="1" w:styleId="Text1">
    <w:name w:val="Text 1"/>
    <w:basedOn w:val="Normal"/>
    <w:link w:val="Text1Char"/>
    <w:pPr>
      <w:spacing w:before="0" w:after="240"/>
      <w:ind w:left="482"/>
    </w:pPr>
    <w:rPr>
      <w:rFonts w:ascii="Times New Roman" w:eastAsia="Times New Roman" w:hAnsi="Times New Roman"/>
      <w:sz w:val="24"/>
      <w:szCs w:val="20"/>
    </w:rPr>
  </w:style>
  <w:style w:type="paragraph" w:customStyle="1" w:styleId="Text2">
    <w:name w:val="Text 2"/>
    <w:basedOn w:val="Normal"/>
    <w:link w:val="Text2Char"/>
    <w:pPr>
      <w:tabs>
        <w:tab w:val="left" w:pos="2302"/>
      </w:tabs>
      <w:spacing w:before="0" w:after="240"/>
      <w:ind w:left="1202"/>
    </w:pPr>
    <w:rPr>
      <w:rFonts w:ascii="Times New Roman" w:eastAsia="Times New Roman" w:hAnsi="Times New Roman"/>
      <w:sz w:val="24"/>
      <w:szCs w:val="20"/>
    </w:rPr>
  </w:style>
  <w:style w:type="paragraph" w:customStyle="1" w:styleId="Text3">
    <w:name w:val="Text 3"/>
    <w:basedOn w:val="Normal"/>
    <w:pPr>
      <w:tabs>
        <w:tab w:val="left" w:pos="2302"/>
      </w:tabs>
      <w:spacing w:before="0" w:after="240"/>
      <w:ind w:left="1202"/>
    </w:pPr>
    <w:rPr>
      <w:rFonts w:ascii="Times New Roman" w:eastAsia="Times New Roman" w:hAnsi="Times New Roman"/>
      <w:sz w:val="24"/>
      <w:szCs w:val="20"/>
    </w:rPr>
  </w:style>
  <w:style w:type="paragraph" w:customStyle="1" w:styleId="Text4">
    <w:name w:val="Text 4"/>
    <w:basedOn w:val="Normal"/>
    <w:pPr>
      <w:tabs>
        <w:tab w:val="left" w:pos="2302"/>
      </w:tabs>
      <w:spacing w:before="0" w:after="240"/>
      <w:ind w:left="1202"/>
    </w:pPr>
    <w:rPr>
      <w:rFonts w:ascii="Times New Roman" w:eastAsia="Times New Roman" w:hAnsi="Times New Roman"/>
      <w:sz w:val="24"/>
      <w:szCs w:val="20"/>
    </w:rPr>
  </w:style>
  <w:style w:type="paragraph" w:customStyle="1" w:styleId="Address">
    <w:name w:val="Address"/>
    <w:basedOn w:val="Normal"/>
    <w:pPr>
      <w:spacing w:before="0" w:after="0"/>
      <w:jc w:val="left"/>
    </w:pPr>
    <w:rPr>
      <w:rFonts w:ascii="Times New Roman" w:eastAsia="Times New Roman" w:hAnsi="Times New Roman"/>
      <w:sz w:val="24"/>
      <w:szCs w:val="20"/>
    </w:rPr>
  </w:style>
  <w:style w:type="paragraph" w:customStyle="1" w:styleId="AddressTL">
    <w:name w:val="AddressTL"/>
    <w:basedOn w:val="Normal"/>
    <w:next w:val="Normal"/>
    <w:pPr>
      <w:spacing w:before="0" w:after="720"/>
      <w:jc w:val="left"/>
    </w:pPr>
    <w:rPr>
      <w:rFonts w:ascii="Times New Roman" w:eastAsia="Times New Roman" w:hAnsi="Times New Roman"/>
      <w:sz w:val="24"/>
      <w:szCs w:val="20"/>
    </w:rPr>
  </w:style>
  <w:style w:type="paragraph" w:customStyle="1" w:styleId="AddressTR">
    <w:name w:val="AddressTR"/>
    <w:basedOn w:val="Normal"/>
    <w:next w:val="Normal"/>
    <w:pPr>
      <w:spacing w:before="0" w:after="720"/>
      <w:ind w:left="5103"/>
      <w:jc w:val="left"/>
    </w:pPr>
    <w:rPr>
      <w:rFonts w:ascii="Times New Roman" w:eastAsia="Times New Roman" w:hAnsi="Times New Roman"/>
      <w:sz w:val="24"/>
      <w:szCs w:val="20"/>
    </w:rPr>
  </w:style>
  <w:style w:type="paragraph" w:styleId="BlockText">
    <w:name w:val="Block Text"/>
    <w:basedOn w:val="Normal"/>
    <w:pPr>
      <w:spacing w:before="0"/>
      <w:ind w:left="1440" w:right="1440"/>
    </w:pPr>
    <w:rPr>
      <w:rFonts w:ascii="Times New Roman" w:eastAsia="Times New Roman" w:hAnsi="Times New Roman"/>
      <w:sz w:val="24"/>
      <w:szCs w:val="20"/>
    </w:rPr>
  </w:style>
  <w:style w:type="paragraph" w:styleId="BodyText">
    <w:name w:val="Body Text"/>
    <w:aliases w:val="F2 Body Text,F4 Main Text,Document,Doc,Body Text2,doc,Standard paragraph,1body,BodText,bt,body text,Body Txt,Body Text-10,Τίτλος Μελέτης,- TF,BodyText,(Norm),Body Text 12,gl,uvlaka 2,heading3,Body Text - Level 2,Text Char1,b...,-, (Norm)"/>
    <w:basedOn w:val="Normal"/>
    <w:link w:val="BodyTextChar"/>
    <w:qFormat/>
    <w:pPr>
      <w:spacing w:before="0"/>
    </w:pPr>
    <w:rPr>
      <w:rFonts w:ascii="Times New Roman" w:eastAsia="Times New Roman" w:hAnsi="Times New Roman"/>
      <w:sz w:val="24"/>
      <w:szCs w:val="20"/>
    </w:rPr>
  </w:style>
  <w:style w:type="character" w:customStyle="1" w:styleId="BodyTextChar">
    <w:name w:val="Body Text Char"/>
    <w:aliases w:val="F2 Body Text Char,F4 Main Text Char,Document Char,Doc Char,Body Text2 Char,doc Char,Standard paragraph Char,1body Char,BodText Char,bt Char,body text Char,Body Txt Char,Body Text-10 Char,Τίτλος Μελέτης Char,- TF Char,BodyText Char,gl Char"/>
    <w:basedOn w:val="DefaultParagraphFont"/>
    <w:link w:val="BodyText"/>
    <w:rPr>
      <w:rFonts w:ascii="Times New Roman" w:eastAsia="Times New Roman" w:hAnsi="Times New Roman"/>
      <w:sz w:val="24"/>
      <w:lang w:eastAsia="en-US"/>
    </w:rPr>
  </w:style>
  <w:style w:type="paragraph" w:styleId="BodyText2">
    <w:name w:val="Body Text 2"/>
    <w:basedOn w:val="Normal"/>
    <w:link w:val="BodyText2Char"/>
    <w:pPr>
      <w:spacing w:before="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Pr>
      <w:rFonts w:ascii="Times New Roman" w:eastAsia="Times New Roman" w:hAnsi="Times New Roman"/>
      <w:sz w:val="24"/>
      <w:lang w:eastAsia="en-US"/>
    </w:rPr>
  </w:style>
  <w:style w:type="paragraph" w:styleId="BodyText3">
    <w:name w:val="Body Text 3"/>
    <w:basedOn w:val="Normal"/>
    <w:link w:val="BodyText3Char"/>
    <w:pPr>
      <w:spacing w:before="0"/>
    </w:pPr>
    <w:rPr>
      <w:rFonts w:ascii="Times New Roman" w:eastAsia="Times New Roman" w:hAnsi="Times New Roman"/>
      <w:sz w:val="16"/>
      <w:szCs w:val="20"/>
    </w:rPr>
  </w:style>
  <w:style w:type="character" w:customStyle="1" w:styleId="BodyText3Char">
    <w:name w:val="Body Text 3 Char"/>
    <w:basedOn w:val="DefaultParagraphFont"/>
    <w:link w:val="BodyText3"/>
    <w:rPr>
      <w:rFonts w:ascii="Times New Roman" w:eastAsia="Times New Roman" w:hAnsi="Times New Roman"/>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sz w:val="24"/>
      <w:lang w:eastAsia="en-US"/>
    </w:rPr>
  </w:style>
  <w:style w:type="paragraph" w:styleId="BodyTextIndent">
    <w:name w:val="Body Text Indent"/>
    <w:basedOn w:val="Normal"/>
    <w:link w:val="BodyTextIndentChar"/>
    <w:pPr>
      <w:spacing w:before="0"/>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sz w:val="24"/>
      <w:lang w:eastAsia="en-US"/>
    </w:rPr>
  </w:style>
  <w:style w:type="paragraph" w:styleId="BodyTextIndent2">
    <w:name w:val="Body Text Indent 2"/>
    <w:basedOn w:val="Normal"/>
    <w:link w:val="BodyTextIndent2Char"/>
    <w:pPr>
      <w:spacing w:before="0" w:line="480" w:lineRule="auto"/>
      <w:ind w:left="283"/>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sz w:val="24"/>
      <w:lang w:eastAsia="en-US"/>
    </w:rPr>
  </w:style>
  <w:style w:type="paragraph" w:styleId="BodyTextIndent3">
    <w:name w:val="Body Text Indent 3"/>
    <w:basedOn w:val="Normal"/>
    <w:link w:val="BodyTextIndent3Char"/>
    <w:pPr>
      <w:spacing w:before="0"/>
      <w:ind w:left="283"/>
    </w:pPr>
    <w:rPr>
      <w:rFonts w:ascii="Times New Roman" w:eastAsia="Times New Roman" w:hAnsi="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sz w:val="16"/>
      <w:lang w:eastAsia="en-US"/>
    </w:rPr>
  </w:style>
  <w:style w:type="paragraph" w:customStyle="1" w:styleId="ChapterTitle">
    <w:name w:val="ChapterTitle"/>
    <w:basedOn w:val="Normal"/>
    <w:next w:val="SectionTitle"/>
    <w:pPr>
      <w:keepNext/>
      <w:spacing w:before="0" w:after="480"/>
      <w:jc w:val="center"/>
    </w:pPr>
    <w:rPr>
      <w:rFonts w:ascii="Times New Roman" w:eastAsia="Times New Roman" w:hAnsi="Times New Roman"/>
      <w:b/>
      <w:sz w:val="32"/>
      <w:szCs w:val="20"/>
    </w:rPr>
  </w:style>
  <w:style w:type="paragraph" w:customStyle="1" w:styleId="SectionTitle">
    <w:name w:val="SectionTitle"/>
    <w:basedOn w:val="Normal"/>
    <w:next w:val="Heading1"/>
    <w:pPr>
      <w:keepNext/>
      <w:spacing w:before="0" w:after="480"/>
      <w:jc w:val="center"/>
    </w:pPr>
    <w:rPr>
      <w:rFonts w:ascii="Times New Roman" w:eastAsia="Times New Roman" w:hAnsi="Times New Roman"/>
      <w:b/>
      <w:smallCaps/>
      <w:sz w:val="28"/>
      <w:szCs w:val="20"/>
    </w:rPr>
  </w:style>
  <w:style w:type="paragraph" w:styleId="Closing">
    <w:name w:val="Closing"/>
    <w:basedOn w:val="Normal"/>
    <w:link w:val="ClosingChar"/>
    <w:pPr>
      <w:spacing w:before="0" w:after="240"/>
      <w:ind w:left="4252"/>
    </w:pPr>
    <w:rPr>
      <w:rFonts w:ascii="Times New Roman" w:eastAsia="Times New Roman" w:hAnsi="Times New Roman"/>
      <w:sz w:val="24"/>
      <w:szCs w:val="20"/>
    </w:rPr>
  </w:style>
  <w:style w:type="character" w:customStyle="1" w:styleId="ClosingChar">
    <w:name w:val="Closing Char"/>
    <w:basedOn w:val="DefaultParagraphFont"/>
    <w:link w:val="Closing"/>
    <w:rPr>
      <w:rFonts w:ascii="Times New Roman" w:eastAsia="Times New Roman" w:hAnsi="Times New Roman"/>
      <w:sz w:val="24"/>
      <w:lang w:eastAsia="en-US"/>
    </w:rPr>
  </w:style>
  <w:style w:type="paragraph" w:styleId="Date">
    <w:name w:val="Date"/>
    <w:basedOn w:val="Normal"/>
    <w:next w:val="References"/>
    <w:link w:val="DateChar"/>
    <w:pPr>
      <w:spacing w:before="0" w:after="0"/>
      <w:ind w:left="5103" w:right="-567"/>
      <w:jc w:val="left"/>
    </w:pPr>
    <w:rPr>
      <w:rFonts w:ascii="Times New Roman" w:eastAsia="Times New Roman" w:hAnsi="Times New Roman"/>
      <w:sz w:val="24"/>
      <w:szCs w:val="20"/>
    </w:rPr>
  </w:style>
  <w:style w:type="character" w:customStyle="1" w:styleId="DateChar">
    <w:name w:val="Date Char"/>
    <w:basedOn w:val="DefaultParagraphFont"/>
    <w:link w:val="Date"/>
    <w:rPr>
      <w:rFonts w:ascii="Times New Roman" w:eastAsia="Times New Roman" w:hAnsi="Times New Roman"/>
      <w:sz w:val="24"/>
      <w:lang w:eastAsia="en-US"/>
    </w:rPr>
  </w:style>
  <w:style w:type="paragraph" w:customStyle="1" w:styleId="References">
    <w:name w:val="References"/>
    <w:basedOn w:val="Normal"/>
    <w:next w:val="AddressTR"/>
    <w:pPr>
      <w:spacing w:before="0" w:after="240"/>
      <w:ind w:left="5103"/>
      <w:jc w:val="left"/>
    </w:pPr>
    <w:rPr>
      <w:rFonts w:ascii="Times New Roman" w:eastAsia="Times New Roman" w:hAnsi="Times New Roman"/>
      <w:szCs w:val="20"/>
    </w:rPr>
  </w:style>
  <w:style w:type="paragraph" w:styleId="DocumentMap">
    <w:name w:val="Document Map"/>
    <w:basedOn w:val="Normal"/>
    <w:link w:val="DocumentMapChar"/>
    <w:semiHidden/>
    <w:pPr>
      <w:shd w:val="clear" w:color="auto" w:fill="000080"/>
      <w:spacing w:before="0" w:after="240"/>
    </w:pPr>
    <w:rPr>
      <w:rFonts w:ascii="Tahoma" w:eastAsia="Times New Roman" w:hAnsi="Tahoma"/>
      <w:sz w:val="24"/>
      <w:szCs w:val="20"/>
    </w:rPr>
  </w:style>
  <w:style w:type="character" w:customStyle="1" w:styleId="DocumentMapChar">
    <w:name w:val="Document Map Char"/>
    <w:basedOn w:val="DefaultParagraphFont"/>
    <w:link w:val="DocumentMap"/>
    <w:semiHidden/>
    <w:rPr>
      <w:rFonts w:ascii="Tahoma" w:eastAsia="Times New Roman"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rPr>
      <w:rFonts w:ascii="Times New Roman" w:eastAsia="Times New Roman" w:hAnsi="Times New Roman"/>
      <w:sz w:val="24"/>
      <w:szCs w:val="20"/>
    </w:rPr>
  </w:style>
  <w:style w:type="paragraph" w:customStyle="1" w:styleId="Enclosures">
    <w:name w:val="Enclosures"/>
    <w:basedOn w:val="Normal"/>
    <w:pPr>
      <w:keepNext/>
      <w:keepLines/>
      <w:tabs>
        <w:tab w:val="left" w:pos="5642"/>
      </w:tabs>
      <w:spacing w:before="480" w:after="0"/>
      <w:ind w:left="1191" w:hanging="1191"/>
      <w:jc w:val="left"/>
    </w:pPr>
    <w:rPr>
      <w:rFonts w:ascii="Times New Roman" w:eastAsia="Times New Roman" w:hAnsi="Times New Roman"/>
      <w:sz w:val="24"/>
      <w:szCs w:val="20"/>
    </w:rPr>
  </w:style>
  <w:style w:type="paragraph" w:styleId="EndnoteText">
    <w:name w:val="endnote text"/>
    <w:basedOn w:val="Normal"/>
    <w:link w:val="EndnoteTextChar1"/>
    <w:uiPriority w:val="99"/>
    <w:pPr>
      <w:spacing w:before="0" w:after="240"/>
    </w:pPr>
    <w:rPr>
      <w:rFonts w:ascii="Times New Roman" w:eastAsia="Times New Roman" w:hAnsi="Times New Roman"/>
      <w:szCs w:val="20"/>
    </w:rPr>
  </w:style>
  <w:style w:type="character" w:customStyle="1" w:styleId="EndnoteTextChar">
    <w:name w:val="Endnote Text Char"/>
    <w:basedOn w:val="DefaultParagraphFont"/>
    <w:rPr>
      <w:rFonts w:ascii="Verdana" w:hAnsi="Verdana"/>
      <w:lang w:eastAsia="en-US"/>
    </w:rPr>
  </w:style>
  <w:style w:type="paragraph" w:styleId="EnvelopeAddress">
    <w:name w:val="envelope address"/>
    <w:basedOn w:val="Normal"/>
    <w:pPr>
      <w:framePr w:w="7920" w:h="1980" w:hRule="exact" w:hSpace="180" w:wrap="auto" w:hAnchor="page" w:xAlign="center" w:yAlign="bottom"/>
      <w:spacing w:before="0" w:after="0"/>
    </w:pPr>
    <w:rPr>
      <w:rFonts w:ascii="Times New Roman" w:eastAsia="Times New Roman" w:hAnsi="Times New Roman"/>
      <w:sz w:val="24"/>
      <w:szCs w:val="20"/>
    </w:rPr>
  </w:style>
  <w:style w:type="paragraph" w:styleId="EnvelopeReturn">
    <w:name w:val="envelope return"/>
    <w:basedOn w:val="Normal"/>
    <w:pPr>
      <w:spacing w:before="0" w:after="0"/>
    </w:pPr>
    <w:rPr>
      <w:rFonts w:ascii="Times New Roman" w:eastAsia="Times New Roman" w:hAnsi="Times New Roman"/>
      <w:szCs w:val="20"/>
    </w:rPr>
  </w:style>
  <w:style w:type="paragraph" w:styleId="Index1">
    <w:name w:val="index 1"/>
    <w:basedOn w:val="Normal"/>
    <w:next w:val="Normal"/>
    <w:autoRedefine/>
    <w:semiHidden/>
    <w:pPr>
      <w:spacing w:before="0" w:after="240"/>
      <w:ind w:left="240" w:hanging="240"/>
    </w:pPr>
    <w:rPr>
      <w:rFonts w:ascii="Times New Roman" w:eastAsia="Times New Roman" w:hAnsi="Times New Roman"/>
      <w:sz w:val="24"/>
      <w:szCs w:val="20"/>
    </w:rPr>
  </w:style>
  <w:style w:type="paragraph" w:styleId="Index2">
    <w:name w:val="index 2"/>
    <w:basedOn w:val="Normal"/>
    <w:next w:val="Normal"/>
    <w:autoRedefine/>
    <w:semiHidden/>
    <w:pPr>
      <w:spacing w:before="0" w:after="240"/>
      <w:ind w:left="480" w:hanging="240"/>
    </w:pPr>
    <w:rPr>
      <w:rFonts w:ascii="Times New Roman" w:eastAsia="Times New Roman" w:hAnsi="Times New Roman"/>
      <w:sz w:val="24"/>
      <w:szCs w:val="20"/>
    </w:rPr>
  </w:style>
  <w:style w:type="paragraph" w:styleId="Index3">
    <w:name w:val="index 3"/>
    <w:basedOn w:val="Normal"/>
    <w:next w:val="Normal"/>
    <w:autoRedefine/>
    <w:semiHidden/>
    <w:pPr>
      <w:spacing w:before="0" w:after="240"/>
      <w:ind w:left="720" w:hanging="240"/>
    </w:pPr>
    <w:rPr>
      <w:rFonts w:ascii="Times New Roman" w:eastAsia="Times New Roman" w:hAnsi="Times New Roman"/>
      <w:sz w:val="24"/>
      <w:szCs w:val="20"/>
    </w:rPr>
  </w:style>
  <w:style w:type="paragraph" w:styleId="Index4">
    <w:name w:val="index 4"/>
    <w:basedOn w:val="Normal"/>
    <w:next w:val="Normal"/>
    <w:autoRedefine/>
    <w:semiHidden/>
    <w:pPr>
      <w:spacing w:before="0" w:after="240"/>
      <w:ind w:left="960" w:hanging="240"/>
    </w:pPr>
    <w:rPr>
      <w:rFonts w:ascii="Times New Roman" w:eastAsia="Times New Roman" w:hAnsi="Times New Roman"/>
      <w:sz w:val="24"/>
      <w:szCs w:val="20"/>
    </w:rPr>
  </w:style>
  <w:style w:type="paragraph" w:styleId="Index5">
    <w:name w:val="index 5"/>
    <w:basedOn w:val="Normal"/>
    <w:next w:val="Normal"/>
    <w:autoRedefine/>
    <w:semiHidden/>
    <w:pPr>
      <w:spacing w:before="0" w:after="240"/>
      <w:ind w:left="1200" w:hanging="240"/>
    </w:pPr>
    <w:rPr>
      <w:rFonts w:ascii="Times New Roman" w:eastAsia="Times New Roman" w:hAnsi="Times New Roman"/>
      <w:sz w:val="24"/>
      <w:szCs w:val="20"/>
    </w:rPr>
  </w:style>
  <w:style w:type="paragraph" w:styleId="Index6">
    <w:name w:val="index 6"/>
    <w:basedOn w:val="Normal"/>
    <w:next w:val="Normal"/>
    <w:autoRedefine/>
    <w:semiHidden/>
    <w:pPr>
      <w:spacing w:before="0" w:after="240"/>
      <w:ind w:left="1440" w:hanging="240"/>
    </w:pPr>
    <w:rPr>
      <w:rFonts w:ascii="Times New Roman" w:eastAsia="Times New Roman" w:hAnsi="Times New Roman"/>
      <w:sz w:val="24"/>
      <w:szCs w:val="20"/>
    </w:rPr>
  </w:style>
  <w:style w:type="paragraph" w:styleId="Index7">
    <w:name w:val="index 7"/>
    <w:basedOn w:val="Normal"/>
    <w:next w:val="Normal"/>
    <w:autoRedefine/>
    <w:semiHidden/>
    <w:pPr>
      <w:spacing w:before="0" w:after="240"/>
      <w:ind w:left="1680" w:hanging="240"/>
    </w:pPr>
    <w:rPr>
      <w:rFonts w:ascii="Times New Roman" w:eastAsia="Times New Roman" w:hAnsi="Times New Roman"/>
      <w:sz w:val="24"/>
      <w:szCs w:val="20"/>
    </w:rPr>
  </w:style>
  <w:style w:type="paragraph" w:styleId="Index8">
    <w:name w:val="index 8"/>
    <w:basedOn w:val="Normal"/>
    <w:next w:val="Normal"/>
    <w:autoRedefine/>
    <w:semiHidden/>
    <w:pPr>
      <w:spacing w:before="0" w:after="240"/>
      <w:ind w:left="1920" w:hanging="240"/>
    </w:pPr>
    <w:rPr>
      <w:rFonts w:ascii="Times New Roman" w:eastAsia="Times New Roman" w:hAnsi="Times New Roman"/>
      <w:sz w:val="24"/>
      <w:szCs w:val="20"/>
    </w:rPr>
  </w:style>
  <w:style w:type="paragraph" w:styleId="Index9">
    <w:name w:val="index 9"/>
    <w:basedOn w:val="Normal"/>
    <w:next w:val="Normal"/>
    <w:autoRedefine/>
    <w:semiHidden/>
    <w:pPr>
      <w:spacing w:before="0" w:after="240"/>
      <w:ind w:left="2160" w:hanging="240"/>
    </w:pPr>
    <w:rPr>
      <w:rFonts w:ascii="Times New Roman" w:eastAsia="Times New Roman" w:hAnsi="Times New Roman"/>
      <w:sz w:val="24"/>
      <w:szCs w:val="20"/>
    </w:rPr>
  </w:style>
  <w:style w:type="paragraph" w:styleId="IndexHeading">
    <w:name w:val="index heading"/>
    <w:basedOn w:val="Normal"/>
    <w:next w:val="Index1"/>
    <w:semiHidden/>
    <w:pPr>
      <w:spacing w:before="0" w:after="240"/>
    </w:pPr>
    <w:rPr>
      <w:rFonts w:ascii="Arial" w:eastAsia="Times New Roman" w:hAnsi="Arial"/>
      <w:b/>
      <w:sz w:val="24"/>
      <w:szCs w:val="20"/>
    </w:rPr>
  </w:style>
  <w:style w:type="paragraph" w:styleId="List">
    <w:name w:val="List"/>
    <w:basedOn w:val="Normal"/>
    <w:pPr>
      <w:spacing w:before="0" w:after="240"/>
      <w:ind w:left="283" w:hanging="283"/>
    </w:pPr>
    <w:rPr>
      <w:rFonts w:ascii="Times New Roman" w:eastAsia="Times New Roman" w:hAnsi="Times New Roman"/>
      <w:sz w:val="24"/>
      <w:szCs w:val="20"/>
    </w:rPr>
  </w:style>
  <w:style w:type="paragraph" w:styleId="List2">
    <w:name w:val="List 2"/>
    <w:basedOn w:val="Normal"/>
    <w:pPr>
      <w:spacing w:before="0" w:after="240"/>
      <w:ind w:left="566" w:hanging="283"/>
    </w:pPr>
    <w:rPr>
      <w:rFonts w:ascii="Times New Roman" w:eastAsia="Times New Roman" w:hAnsi="Times New Roman"/>
      <w:sz w:val="24"/>
      <w:szCs w:val="20"/>
    </w:rPr>
  </w:style>
  <w:style w:type="paragraph" w:styleId="List3">
    <w:name w:val="List 3"/>
    <w:basedOn w:val="Normal"/>
    <w:pPr>
      <w:spacing w:before="0" w:after="240"/>
      <w:ind w:left="849" w:hanging="283"/>
    </w:pPr>
    <w:rPr>
      <w:rFonts w:ascii="Times New Roman" w:eastAsia="Times New Roman" w:hAnsi="Times New Roman"/>
      <w:sz w:val="24"/>
      <w:szCs w:val="20"/>
    </w:rPr>
  </w:style>
  <w:style w:type="paragraph" w:styleId="List4">
    <w:name w:val="List 4"/>
    <w:basedOn w:val="Normal"/>
    <w:pPr>
      <w:spacing w:before="0" w:after="240"/>
      <w:ind w:left="1132" w:hanging="283"/>
    </w:pPr>
    <w:rPr>
      <w:rFonts w:ascii="Times New Roman" w:eastAsia="Times New Roman" w:hAnsi="Times New Roman"/>
      <w:sz w:val="24"/>
      <w:szCs w:val="20"/>
    </w:rPr>
  </w:style>
  <w:style w:type="paragraph" w:styleId="List5">
    <w:name w:val="List 5"/>
    <w:basedOn w:val="Normal"/>
    <w:uiPriority w:val="99"/>
    <w:pPr>
      <w:spacing w:before="0" w:after="240"/>
      <w:ind w:left="1415" w:hanging="283"/>
    </w:pPr>
    <w:rPr>
      <w:rFonts w:ascii="Times New Roman" w:eastAsia="Times New Roman" w:hAnsi="Times New Roman"/>
      <w:sz w:val="24"/>
      <w:szCs w:val="20"/>
    </w:rPr>
  </w:style>
  <w:style w:type="paragraph" w:styleId="ListBullet">
    <w:name w:val="List Bullet"/>
    <w:aliases w:val="Bullet Point EU,Bullet Point EU 2,UL"/>
    <w:basedOn w:val="Normal"/>
    <w:link w:val="ListBulletChar"/>
    <w:qFormat/>
    <w:pPr>
      <w:numPr>
        <w:numId w:val="117"/>
      </w:numPr>
      <w:tabs>
        <w:tab w:val="clear" w:pos="360"/>
        <w:tab w:val="num" w:pos="283"/>
      </w:tabs>
      <w:spacing w:before="0" w:after="240"/>
      <w:ind w:left="283" w:hanging="283"/>
    </w:pPr>
    <w:rPr>
      <w:rFonts w:ascii="Times New Roman" w:eastAsia="Times New Roman" w:hAnsi="Times New Roman"/>
      <w:sz w:val="24"/>
      <w:szCs w:val="20"/>
    </w:rPr>
  </w:style>
  <w:style w:type="paragraph" w:styleId="ListBullet2">
    <w:name w:val="List Bullet 2"/>
    <w:basedOn w:val="Text2"/>
    <w:link w:val="ListBullet2Char"/>
    <w:uiPriority w:val="99"/>
    <w:qFormat/>
    <w:pPr>
      <w:numPr>
        <w:numId w:val="30"/>
      </w:numPr>
      <w:tabs>
        <w:tab w:val="clear" w:pos="2302"/>
      </w:tabs>
    </w:pPr>
  </w:style>
  <w:style w:type="paragraph" w:styleId="ListBullet3">
    <w:name w:val="List Bullet 3"/>
    <w:basedOn w:val="Text3"/>
    <w:uiPriority w:val="99"/>
    <w:qFormat/>
    <w:pPr>
      <w:numPr>
        <w:numId w:val="31"/>
      </w:numPr>
      <w:tabs>
        <w:tab w:val="clear" w:pos="2302"/>
      </w:tabs>
    </w:pPr>
  </w:style>
  <w:style w:type="paragraph" w:styleId="ListBullet4">
    <w:name w:val="List Bullet 4"/>
    <w:basedOn w:val="Text4"/>
    <w:uiPriority w:val="99"/>
    <w:pPr>
      <w:numPr>
        <w:numId w:val="32"/>
      </w:numPr>
      <w:tabs>
        <w:tab w:val="clear" w:pos="2302"/>
      </w:tabs>
    </w:pPr>
  </w:style>
  <w:style w:type="paragraph" w:styleId="ListBullet5">
    <w:name w:val="List Bullet 5"/>
    <w:basedOn w:val="Normal"/>
    <w:autoRedefine/>
    <w:uiPriority w:val="99"/>
    <w:pPr>
      <w:numPr>
        <w:numId w:val="27"/>
      </w:numPr>
      <w:spacing w:before="0" w:after="240"/>
    </w:pPr>
    <w:rPr>
      <w:rFonts w:ascii="Times New Roman" w:eastAsia="Times New Roman" w:hAnsi="Times New Roman"/>
      <w:sz w:val="24"/>
      <w:szCs w:val="20"/>
    </w:rPr>
  </w:style>
  <w:style w:type="paragraph" w:styleId="ListContinue">
    <w:name w:val="List Continue"/>
    <w:basedOn w:val="Normal"/>
    <w:pPr>
      <w:spacing w:before="0"/>
      <w:ind w:left="283"/>
    </w:pPr>
    <w:rPr>
      <w:rFonts w:ascii="Times New Roman" w:eastAsia="Times New Roman" w:hAnsi="Times New Roman"/>
      <w:sz w:val="24"/>
      <w:szCs w:val="20"/>
    </w:rPr>
  </w:style>
  <w:style w:type="paragraph" w:styleId="ListContinue2">
    <w:name w:val="List Continue 2"/>
    <w:basedOn w:val="Normal"/>
    <w:pPr>
      <w:spacing w:before="0"/>
      <w:ind w:left="566"/>
    </w:pPr>
    <w:rPr>
      <w:rFonts w:ascii="Times New Roman" w:eastAsia="Times New Roman" w:hAnsi="Times New Roman"/>
      <w:sz w:val="24"/>
      <w:szCs w:val="20"/>
    </w:rPr>
  </w:style>
  <w:style w:type="paragraph" w:styleId="ListContinue3">
    <w:name w:val="List Continue 3"/>
    <w:basedOn w:val="Normal"/>
    <w:pPr>
      <w:spacing w:before="0"/>
      <w:ind w:left="849"/>
    </w:pPr>
    <w:rPr>
      <w:rFonts w:ascii="Times New Roman" w:eastAsia="Times New Roman" w:hAnsi="Times New Roman"/>
      <w:sz w:val="24"/>
      <w:szCs w:val="20"/>
    </w:rPr>
  </w:style>
  <w:style w:type="paragraph" w:styleId="ListContinue4">
    <w:name w:val="List Continue 4"/>
    <w:basedOn w:val="Normal"/>
    <w:pPr>
      <w:spacing w:before="0"/>
      <w:ind w:left="1132"/>
    </w:pPr>
    <w:rPr>
      <w:rFonts w:ascii="Times New Roman" w:eastAsia="Times New Roman" w:hAnsi="Times New Roman"/>
      <w:sz w:val="24"/>
      <w:szCs w:val="20"/>
    </w:rPr>
  </w:style>
  <w:style w:type="paragraph" w:styleId="ListContinue5">
    <w:name w:val="List Continue 5"/>
    <w:basedOn w:val="Normal"/>
    <w:pPr>
      <w:spacing w:before="0"/>
      <w:ind w:left="1415"/>
    </w:pPr>
    <w:rPr>
      <w:rFonts w:ascii="Times New Roman" w:eastAsia="Times New Roman" w:hAnsi="Times New Roman"/>
      <w:sz w:val="24"/>
      <w:szCs w:val="20"/>
    </w:rPr>
  </w:style>
  <w:style w:type="paragraph" w:styleId="ListNumber">
    <w:name w:val="List Number"/>
    <w:basedOn w:val="Normal"/>
    <w:pPr>
      <w:numPr>
        <w:numId w:val="38"/>
      </w:numPr>
      <w:spacing w:before="0" w:after="240"/>
    </w:pPr>
    <w:rPr>
      <w:rFonts w:ascii="Times New Roman" w:eastAsia="Times New Roman" w:hAnsi="Times New Roman"/>
      <w:sz w:val="24"/>
      <w:szCs w:val="20"/>
    </w:rPr>
  </w:style>
  <w:style w:type="paragraph" w:styleId="ListNumber2">
    <w:name w:val="List Number 2"/>
    <w:basedOn w:val="Text2"/>
    <w:pPr>
      <w:numPr>
        <w:numId w:val="40"/>
      </w:numPr>
      <w:tabs>
        <w:tab w:val="clear" w:pos="1911"/>
        <w:tab w:val="clear" w:pos="2302"/>
      </w:tabs>
      <w:ind w:left="720" w:hanging="360"/>
    </w:pPr>
  </w:style>
  <w:style w:type="paragraph" w:styleId="ListNumber3">
    <w:name w:val="List Number 3"/>
    <w:basedOn w:val="Text3"/>
    <w:pPr>
      <w:numPr>
        <w:numId w:val="41"/>
      </w:numPr>
      <w:tabs>
        <w:tab w:val="clear" w:pos="2302"/>
      </w:tabs>
    </w:pPr>
  </w:style>
  <w:style w:type="paragraph" w:styleId="ListNumber4">
    <w:name w:val="List Number 4"/>
    <w:basedOn w:val="Text4"/>
    <w:pPr>
      <w:numPr>
        <w:numId w:val="42"/>
      </w:numPr>
      <w:tabs>
        <w:tab w:val="clear" w:pos="2302"/>
      </w:tabs>
    </w:pPr>
  </w:style>
  <w:style w:type="paragraph" w:styleId="ListNumber5">
    <w:name w:val="List Number 5"/>
    <w:basedOn w:val="Normal"/>
    <w:pPr>
      <w:numPr>
        <w:numId w:val="28"/>
      </w:numPr>
      <w:spacing w:before="0" w:after="240"/>
    </w:pPr>
    <w:rPr>
      <w:rFonts w:ascii="Times New Roman" w:eastAsia="Times New Roman" w:hAnsi="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semiHidden/>
    <w:rPr>
      <w:rFonts w:ascii="Courier New" w:eastAsia="Times New Roman"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ascii="Arial" w:eastAsia="Times New Roman" w:hAnsi="Arial"/>
      <w:sz w:val="24"/>
      <w:szCs w:val="20"/>
    </w:rPr>
  </w:style>
  <w:style w:type="character" w:customStyle="1" w:styleId="MessageHeaderChar">
    <w:name w:val="Message Header Char"/>
    <w:basedOn w:val="DefaultParagraphFont"/>
    <w:link w:val="MessageHeader"/>
    <w:rPr>
      <w:rFonts w:ascii="Arial" w:eastAsia="Times New Roman" w:hAnsi="Arial"/>
      <w:sz w:val="24"/>
      <w:shd w:val="pct20" w:color="auto" w:fill="auto"/>
      <w:lang w:eastAsia="en-US"/>
    </w:rPr>
  </w:style>
  <w:style w:type="paragraph" w:styleId="NormalIndent">
    <w:name w:val="Normal Indent"/>
    <w:basedOn w:val="Normal"/>
    <w:pPr>
      <w:spacing w:before="0" w:after="240"/>
      <w:ind w:left="720"/>
    </w:pPr>
    <w:rPr>
      <w:rFonts w:ascii="Times New Roman" w:eastAsia="Times New Roman" w:hAnsi="Times New Roman"/>
      <w:sz w:val="24"/>
      <w:szCs w:val="20"/>
    </w:rPr>
  </w:style>
  <w:style w:type="paragraph" w:styleId="NoteHeading">
    <w:name w:val="Note Heading"/>
    <w:basedOn w:val="Normal"/>
    <w:next w:val="Normal"/>
    <w:link w:val="NoteHeadingChar"/>
    <w:pPr>
      <w:spacing w:before="0" w:after="240"/>
    </w:pPr>
    <w:rPr>
      <w:rFonts w:ascii="Times New Roman" w:eastAsia="Times New Roman" w:hAnsi="Times New Roman"/>
      <w:sz w:val="24"/>
      <w:szCs w:val="20"/>
    </w:rPr>
  </w:style>
  <w:style w:type="character" w:customStyle="1" w:styleId="NoteHeadingChar">
    <w:name w:val="Note Heading Char"/>
    <w:basedOn w:val="DefaultParagraphFont"/>
    <w:link w:val="NoteHeading"/>
    <w:rPr>
      <w:rFonts w:ascii="Times New Roman" w:eastAsia="Times New Roman" w:hAnsi="Times New Roman"/>
      <w:sz w:val="24"/>
      <w:lang w:eastAsia="en-US"/>
    </w:rPr>
  </w:style>
  <w:style w:type="paragraph" w:customStyle="1" w:styleId="NoteHead">
    <w:name w:val="NoteHead"/>
    <w:basedOn w:val="Normal"/>
    <w:next w:val="Subject"/>
    <w:pPr>
      <w:spacing w:before="720" w:after="720"/>
      <w:jc w:val="center"/>
    </w:pPr>
    <w:rPr>
      <w:rFonts w:ascii="Times New Roman" w:eastAsia="Times New Roman" w:hAnsi="Times New Roman"/>
      <w:b/>
      <w:smallCaps/>
      <w:sz w:val="24"/>
      <w:szCs w:val="20"/>
    </w:rPr>
  </w:style>
  <w:style w:type="paragraph" w:customStyle="1" w:styleId="Subject">
    <w:name w:val="Subject"/>
    <w:basedOn w:val="Normal"/>
    <w:next w:val="Normal"/>
    <w:pPr>
      <w:spacing w:before="0" w:after="480"/>
      <w:ind w:left="1531" w:hanging="1531"/>
      <w:jc w:val="left"/>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ind w:left="5104" w:hanging="3119"/>
      <w:jc w:val="left"/>
    </w:pPr>
    <w:rPr>
      <w:rFonts w:ascii="Times New Roman" w:eastAsia="Times New Roman" w:hAnsi="Times New Roman"/>
      <w:b/>
      <w:smallCaps/>
      <w:sz w:val="24"/>
      <w:szCs w:val="20"/>
    </w:rPr>
  </w:style>
  <w:style w:type="paragraph" w:customStyle="1" w:styleId="NumPar1">
    <w:name w:val="NumPar 1"/>
    <w:basedOn w:val="Heading1"/>
    <w:next w:val="Text1"/>
    <w:pPr>
      <w:keepNext w:val="0"/>
      <w:numPr>
        <w:numId w:val="0"/>
      </w:numPr>
      <w:spacing w:before="0" w:after="240"/>
      <w:outlineLvl w:val="9"/>
    </w:pPr>
    <w:rPr>
      <w:rFonts w:ascii="Times New Roman" w:eastAsia="Times New Roman" w:hAnsi="Times New Roman"/>
      <w:b w:val="0"/>
      <w:sz w:val="24"/>
      <w:szCs w:val="20"/>
    </w:rPr>
  </w:style>
  <w:style w:type="paragraph" w:customStyle="1" w:styleId="NumPar2">
    <w:name w:val="NumPar 2"/>
    <w:basedOn w:val="Heading2"/>
    <w:next w:val="Text2"/>
    <w:pPr>
      <w:keepNext w:val="0"/>
      <w:keepLines w:val="0"/>
      <w:numPr>
        <w:ilvl w:val="0"/>
        <w:numId w:val="0"/>
      </w:numPr>
      <w:spacing w:before="0" w:after="240"/>
      <w:outlineLvl w:val="9"/>
    </w:pPr>
    <w:rPr>
      <w:rFonts w:ascii="Times New Roman" w:eastAsia="Times New Roman" w:hAnsi="Times New Roman" w:cs="Times New Roman"/>
      <w:bCs w:val="0"/>
      <w:iCs w:val="0"/>
      <w:szCs w:val="20"/>
    </w:rPr>
  </w:style>
  <w:style w:type="paragraph" w:customStyle="1" w:styleId="NumPar3">
    <w:name w:val="NumPar 3"/>
    <w:basedOn w:val="Heading3"/>
    <w:next w:val="Text3"/>
    <w:pPr>
      <w:keepNext w:val="0"/>
      <w:keepLines w:val="0"/>
      <w:numPr>
        <w:ilvl w:val="0"/>
        <w:numId w:val="0"/>
      </w:numPr>
      <w:spacing w:before="0" w:after="240"/>
      <w:outlineLvl w:val="9"/>
    </w:pPr>
    <w:rPr>
      <w:rFonts w:ascii="Times New Roman" w:eastAsia="Times New Roman" w:hAnsi="Times New Roman" w:cs="Times New Roman"/>
      <w:b w:val="0"/>
      <w:bCs w:val="0"/>
      <w:sz w:val="24"/>
      <w:szCs w:val="20"/>
    </w:rPr>
  </w:style>
  <w:style w:type="paragraph" w:customStyle="1" w:styleId="NumPar4">
    <w:name w:val="NumPar 4"/>
    <w:basedOn w:val="Heading4"/>
    <w:next w:val="Text4"/>
    <w:pPr>
      <w:keepNext w:val="0"/>
      <w:keepLines w:val="0"/>
      <w:numPr>
        <w:ilvl w:val="0"/>
        <w:numId w:val="0"/>
      </w:numPr>
      <w:spacing w:before="0" w:after="240"/>
      <w:outlineLvl w:val="9"/>
    </w:pPr>
    <w:rPr>
      <w:rFonts w:ascii="Times New Roman" w:eastAsia="Times New Roman" w:hAnsi="Times New Roman" w:cs="Times New Roman"/>
      <w:b w:val="0"/>
      <w:bCs w:val="0"/>
      <w:iCs w:val="0"/>
      <w:sz w:val="24"/>
      <w:szCs w:val="20"/>
    </w:rPr>
  </w:style>
  <w:style w:type="paragraph" w:customStyle="1" w:styleId="PartTitle">
    <w:name w:val="PartTitle"/>
    <w:basedOn w:val="Normal"/>
    <w:next w:val="ChapterTitle"/>
    <w:pPr>
      <w:keepNext/>
      <w:pageBreakBefore/>
      <w:spacing w:before="0" w:after="480"/>
      <w:jc w:val="center"/>
    </w:pPr>
    <w:rPr>
      <w:rFonts w:ascii="Times New Roman" w:eastAsia="Times New Roman" w:hAnsi="Times New Roman"/>
      <w:b/>
      <w:sz w:val="36"/>
      <w:szCs w:val="20"/>
    </w:rPr>
  </w:style>
  <w:style w:type="paragraph" w:styleId="PlainText">
    <w:name w:val="Plain Text"/>
    <w:basedOn w:val="Normal"/>
    <w:link w:val="PlainTextChar"/>
    <w:pPr>
      <w:spacing w:before="0" w:after="240"/>
    </w:pPr>
    <w:rPr>
      <w:rFonts w:ascii="Courier New" w:eastAsia="Times New Roman" w:hAnsi="Courier New"/>
      <w:szCs w:val="20"/>
    </w:rPr>
  </w:style>
  <w:style w:type="character" w:customStyle="1" w:styleId="PlainTextChar">
    <w:name w:val="Plain Text Char"/>
    <w:basedOn w:val="DefaultParagraphFont"/>
    <w:link w:val="PlainText"/>
    <w:rPr>
      <w:rFonts w:ascii="Courier New" w:eastAsia="Times New Roman" w:hAnsi="Courier New"/>
      <w:lang w:eastAsia="en-US"/>
    </w:rPr>
  </w:style>
  <w:style w:type="paragraph" w:styleId="Salutation">
    <w:name w:val="Salutation"/>
    <w:basedOn w:val="Normal"/>
    <w:next w:val="Normal"/>
    <w:link w:val="SalutationChar"/>
    <w:pPr>
      <w:spacing w:before="0" w:after="240"/>
    </w:pPr>
    <w:rPr>
      <w:rFonts w:ascii="Times New Roman" w:eastAsia="Times New Roman" w:hAnsi="Times New Roman"/>
      <w:sz w:val="24"/>
      <w:szCs w:val="20"/>
    </w:rPr>
  </w:style>
  <w:style w:type="character" w:customStyle="1" w:styleId="SalutationChar">
    <w:name w:val="Salutation Char"/>
    <w:basedOn w:val="DefaultParagraphFont"/>
    <w:link w:val="Salutation"/>
    <w:rPr>
      <w:rFonts w:ascii="Times New Roman" w:eastAsia="Times New Roman" w:hAnsi="Times New Roman"/>
      <w:sz w:val="24"/>
      <w:lang w:eastAsia="en-US"/>
    </w:rPr>
  </w:style>
  <w:style w:type="paragraph" w:styleId="Signature">
    <w:name w:val="Signature"/>
    <w:basedOn w:val="Normal"/>
    <w:next w:val="Enclosures"/>
    <w:link w:val="SignatureChar"/>
    <w:pPr>
      <w:tabs>
        <w:tab w:val="left" w:pos="5103"/>
      </w:tabs>
      <w:spacing w:before="1200" w:after="0"/>
      <w:ind w:left="5103"/>
      <w:jc w:val="center"/>
    </w:pPr>
    <w:rPr>
      <w:rFonts w:ascii="Times New Roman" w:eastAsia="Times New Roman" w:hAnsi="Times New Roman"/>
      <w:sz w:val="24"/>
      <w:szCs w:val="20"/>
    </w:rPr>
  </w:style>
  <w:style w:type="character" w:customStyle="1" w:styleId="SignatureChar">
    <w:name w:val="Signature Char"/>
    <w:basedOn w:val="DefaultParagraphFont"/>
    <w:link w:val="Signature"/>
    <w:rPr>
      <w:rFonts w:ascii="Times New Roman" w:eastAsia="Times New Roman" w:hAnsi="Times New Roman"/>
      <w:sz w:val="24"/>
      <w:lang w:eastAsia="en-US"/>
    </w:rPr>
  </w:style>
  <w:style w:type="paragraph" w:customStyle="1" w:styleId="SubTitle1">
    <w:name w:val="SubTitle 1"/>
    <w:basedOn w:val="Normal"/>
    <w:next w:val="SubTitle2"/>
    <w:pPr>
      <w:spacing w:before="0" w:after="240"/>
      <w:jc w:val="center"/>
    </w:pPr>
    <w:rPr>
      <w:rFonts w:ascii="Times New Roman" w:eastAsia="Times New Roman" w:hAnsi="Times New Roman"/>
      <w:b/>
      <w:sz w:val="40"/>
      <w:szCs w:val="20"/>
    </w:rPr>
  </w:style>
  <w:style w:type="paragraph" w:customStyle="1" w:styleId="SubTitle2">
    <w:name w:val="SubTitle 2"/>
    <w:basedOn w:val="Normal"/>
    <w:pPr>
      <w:spacing w:before="0" w:after="240"/>
      <w:jc w:val="center"/>
    </w:pPr>
    <w:rPr>
      <w:rFonts w:ascii="Times New Roman" w:eastAsia="Times New Roman" w:hAnsi="Times New Roman"/>
      <w:b/>
      <w:sz w:val="32"/>
      <w:szCs w:val="20"/>
    </w:rPr>
  </w:style>
  <w:style w:type="paragraph" w:styleId="TableofAuthorities">
    <w:name w:val="table of authorities"/>
    <w:basedOn w:val="Normal"/>
    <w:next w:val="Normal"/>
    <w:semiHidden/>
    <w:pPr>
      <w:spacing w:before="0" w:after="240"/>
      <w:ind w:left="240" w:hanging="240"/>
    </w:pPr>
    <w:rPr>
      <w:rFonts w:ascii="Times New Roman" w:eastAsia="Times New Roman" w:hAnsi="Times New Roman"/>
      <w:sz w:val="24"/>
      <w:szCs w:val="20"/>
    </w:rPr>
  </w:style>
  <w:style w:type="paragraph" w:styleId="Title">
    <w:name w:val="Title"/>
    <w:basedOn w:val="Normal"/>
    <w:next w:val="Normal"/>
    <w:link w:val="TitleChar"/>
    <w:qFormat/>
    <w:pPr>
      <w:spacing w:before="0" w:after="480"/>
      <w:jc w:val="center"/>
    </w:pPr>
    <w:rPr>
      <w:rFonts w:ascii="Times New Roman Bold" w:eastAsia="Times New Roman" w:hAnsi="Times New Roman Bold"/>
      <w:b/>
      <w:smallCaps/>
      <w:kern w:val="28"/>
      <w:sz w:val="24"/>
      <w:szCs w:val="20"/>
    </w:rPr>
  </w:style>
  <w:style w:type="character" w:customStyle="1" w:styleId="TitleChar">
    <w:name w:val="Title Char"/>
    <w:basedOn w:val="DefaultParagraphFont"/>
    <w:link w:val="Title"/>
    <w:rPr>
      <w:rFonts w:ascii="Times New Roman Bold" w:eastAsia="Times New Roman" w:hAnsi="Times New Roman Bold"/>
      <w:b/>
      <w:smallCaps/>
      <w:kern w:val="28"/>
      <w:sz w:val="24"/>
      <w:lang w:eastAsia="en-US"/>
    </w:rPr>
  </w:style>
  <w:style w:type="paragraph" w:styleId="TOAHeading">
    <w:name w:val="toa heading"/>
    <w:basedOn w:val="Normal"/>
    <w:next w:val="Normal"/>
    <w:semiHidden/>
    <w:pPr>
      <w:spacing w:after="240"/>
    </w:pPr>
    <w:rPr>
      <w:rFonts w:ascii="Arial" w:eastAsia="Times New Roman" w:hAnsi="Arial"/>
      <w:b/>
      <w:sz w:val="24"/>
      <w:szCs w:val="20"/>
    </w:rPr>
  </w:style>
  <w:style w:type="paragraph" w:styleId="TOC6">
    <w:name w:val="toc 6"/>
    <w:basedOn w:val="Normal"/>
    <w:next w:val="Normal"/>
    <w:autoRedefine/>
    <w:uiPriority w:val="39"/>
    <w:pPr>
      <w:spacing w:before="0" w:after="240"/>
      <w:ind w:left="1200"/>
    </w:pPr>
    <w:rPr>
      <w:rFonts w:ascii="Times New Roman" w:eastAsia="Times New Roman" w:hAnsi="Times New Roman"/>
      <w:sz w:val="24"/>
      <w:szCs w:val="20"/>
    </w:rPr>
  </w:style>
  <w:style w:type="paragraph" w:styleId="TOC7">
    <w:name w:val="toc 7"/>
    <w:basedOn w:val="Normal"/>
    <w:next w:val="Normal"/>
    <w:autoRedefine/>
    <w:uiPriority w:val="39"/>
    <w:pPr>
      <w:spacing w:before="0" w:after="240"/>
      <w:ind w:left="1440"/>
    </w:pPr>
    <w:rPr>
      <w:rFonts w:ascii="Times New Roman" w:eastAsia="Times New Roman" w:hAnsi="Times New Roman"/>
      <w:sz w:val="24"/>
      <w:szCs w:val="20"/>
    </w:rPr>
  </w:style>
  <w:style w:type="paragraph" w:styleId="TOC8">
    <w:name w:val="toc 8"/>
    <w:basedOn w:val="Normal"/>
    <w:next w:val="Normal"/>
    <w:autoRedefine/>
    <w:uiPriority w:val="39"/>
    <w:pPr>
      <w:spacing w:before="0" w:after="240"/>
      <w:ind w:left="1680"/>
    </w:pPr>
    <w:rPr>
      <w:rFonts w:ascii="Times New Roman" w:eastAsia="Times New Roman" w:hAnsi="Times New Roman"/>
      <w:sz w:val="24"/>
      <w:szCs w:val="20"/>
    </w:rPr>
  </w:style>
  <w:style w:type="paragraph" w:styleId="TOC9">
    <w:name w:val="toc 9"/>
    <w:basedOn w:val="Normal"/>
    <w:next w:val="Normal"/>
    <w:autoRedefine/>
    <w:uiPriority w:val="39"/>
    <w:pPr>
      <w:spacing w:before="0" w:after="240"/>
      <w:ind w:left="1920"/>
    </w:pPr>
    <w:rPr>
      <w:rFonts w:ascii="Times New Roman" w:eastAsia="Times New Roman" w:hAnsi="Times New Roman"/>
      <w:sz w:val="24"/>
      <w:szCs w:val="20"/>
    </w:rPr>
  </w:style>
  <w:style w:type="paragraph" w:customStyle="1" w:styleId="YReferences">
    <w:name w:val="YReferences"/>
    <w:basedOn w:val="Normal"/>
    <w:next w:val="Normal"/>
    <w:pPr>
      <w:spacing w:before="0" w:after="480"/>
      <w:ind w:left="1531" w:hanging="1531"/>
    </w:pPr>
    <w:rPr>
      <w:rFonts w:ascii="Times New Roman" w:eastAsia="Times New Roman" w:hAnsi="Times New Roman"/>
      <w:sz w:val="24"/>
      <w:szCs w:val="20"/>
    </w:rPr>
  </w:style>
  <w:style w:type="paragraph" w:customStyle="1" w:styleId="ListBullet1">
    <w:name w:val="List Bullet 1"/>
    <w:basedOn w:val="Text1"/>
    <w:pPr>
      <w:numPr>
        <w:numId w:val="29"/>
      </w:numPr>
      <w:tabs>
        <w:tab w:val="clear" w:pos="765"/>
      </w:tabs>
      <w:ind w:left="1080" w:hanging="360"/>
    </w:pPr>
  </w:style>
  <w:style w:type="paragraph" w:customStyle="1" w:styleId="ListDash">
    <w:name w:val="List Dash"/>
    <w:basedOn w:val="Normal"/>
    <w:pPr>
      <w:numPr>
        <w:numId w:val="33"/>
      </w:numPr>
      <w:spacing w:before="0" w:after="240"/>
    </w:pPr>
    <w:rPr>
      <w:rFonts w:ascii="Times New Roman" w:eastAsia="Times New Roman" w:hAnsi="Times New Roman"/>
      <w:sz w:val="24"/>
      <w:szCs w:val="20"/>
    </w:rPr>
  </w:style>
  <w:style w:type="paragraph" w:customStyle="1" w:styleId="ListDash1">
    <w:name w:val="List Dash 1"/>
    <w:basedOn w:val="Text1"/>
    <w:pPr>
      <w:numPr>
        <w:numId w:val="34"/>
      </w:numPr>
      <w:tabs>
        <w:tab w:val="clear" w:pos="765"/>
      </w:tabs>
      <w:ind w:left="720" w:hanging="360"/>
    </w:pPr>
  </w:style>
  <w:style w:type="paragraph" w:customStyle="1" w:styleId="ListDash2">
    <w:name w:val="List Dash 2"/>
    <w:basedOn w:val="Text2"/>
    <w:pPr>
      <w:numPr>
        <w:numId w:val="35"/>
      </w:numPr>
      <w:tabs>
        <w:tab w:val="clear" w:pos="1485"/>
        <w:tab w:val="clear" w:pos="2302"/>
      </w:tabs>
      <w:ind w:left="720" w:hanging="360"/>
    </w:pPr>
  </w:style>
  <w:style w:type="paragraph" w:customStyle="1" w:styleId="ListDash3">
    <w:name w:val="List Dash 3"/>
    <w:basedOn w:val="Text3"/>
    <w:pPr>
      <w:numPr>
        <w:numId w:val="36"/>
      </w:numPr>
      <w:tabs>
        <w:tab w:val="clear" w:pos="2302"/>
      </w:tabs>
    </w:pPr>
  </w:style>
  <w:style w:type="paragraph" w:customStyle="1" w:styleId="ListDash4">
    <w:name w:val="List Dash 4"/>
    <w:basedOn w:val="Text4"/>
    <w:pPr>
      <w:numPr>
        <w:numId w:val="37"/>
      </w:numPr>
      <w:tabs>
        <w:tab w:val="clear" w:pos="2302"/>
      </w:tabs>
    </w:pPr>
  </w:style>
  <w:style w:type="paragraph" w:customStyle="1" w:styleId="ListNumberLevel2">
    <w:name w:val="List Number (Level 2)"/>
    <w:basedOn w:val="Normal"/>
    <w:pPr>
      <w:numPr>
        <w:ilvl w:val="1"/>
        <w:numId w:val="38"/>
      </w:numPr>
      <w:spacing w:before="0" w:after="240"/>
    </w:pPr>
    <w:rPr>
      <w:rFonts w:ascii="Times New Roman" w:eastAsia="Times New Roman" w:hAnsi="Times New Roman"/>
      <w:sz w:val="24"/>
      <w:szCs w:val="20"/>
    </w:rPr>
  </w:style>
  <w:style w:type="paragraph" w:customStyle="1" w:styleId="ListNumberLevel3">
    <w:name w:val="List Number (Level 3)"/>
    <w:basedOn w:val="Normal"/>
    <w:pPr>
      <w:numPr>
        <w:ilvl w:val="2"/>
        <w:numId w:val="38"/>
      </w:numPr>
      <w:spacing w:before="0" w:after="240"/>
    </w:pPr>
    <w:rPr>
      <w:rFonts w:ascii="Times New Roman" w:eastAsia="Times New Roman" w:hAnsi="Times New Roman"/>
      <w:sz w:val="24"/>
      <w:szCs w:val="20"/>
    </w:rPr>
  </w:style>
  <w:style w:type="paragraph" w:customStyle="1" w:styleId="ListNumberLevel4">
    <w:name w:val="List Number (Level 4)"/>
    <w:basedOn w:val="Normal"/>
    <w:pPr>
      <w:numPr>
        <w:ilvl w:val="3"/>
        <w:numId w:val="38"/>
      </w:numPr>
      <w:spacing w:before="0" w:after="240"/>
    </w:pPr>
    <w:rPr>
      <w:rFonts w:ascii="Times New Roman" w:eastAsia="Times New Roman" w:hAnsi="Times New Roman"/>
      <w:sz w:val="24"/>
      <w:szCs w:val="20"/>
    </w:rPr>
  </w:style>
  <w:style w:type="paragraph" w:customStyle="1" w:styleId="ListNumber1">
    <w:name w:val="List Number 1"/>
    <w:basedOn w:val="Text1"/>
    <w:pPr>
      <w:numPr>
        <w:numId w:val="39"/>
      </w:numPr>
      <w:tabs>
        <w:tab w:val="clear" w:pos="1191"/>
      </w:tabs>
      <w:ind w:left="720" w:hanging="360"/>
    </w:pPr>
  </w:style>
  <w:style w:type="paragraph" w:customStyle="1" w:styleId="ListNumber1Level2">
    <w:name w:val="List Number 1 (Level 2)"/>
    <w:basedOn w:val="Text1"/>
    <w:pPr>
      <w:numPr>
        <w:ilvl w:val="1"/>
        <w:numId w:val="39"/>
      </w:numPr>
      <w:tabs>
        <w:tab w:val="clear" w:pos="1899"/>
      </w:tabs>
      <w:ind w:left="1440" w:hanging="360"/>
    </w:pPr>
  </w:style>
  <w:style w:type="paragraph" w:customStyle="1" w:styleId="ListNumber1Level3">
    <w:name w:val="List Number 1 (Level 3)"/>
    <w:basedOn w:val="Text1"/>
    <w:pPr>
      <w:numPr>
        <w:ilvl w:val="2"/>
        <w:numId w:val="39"/>
      </w:numPr>
      <w:tabs>
        <w:tab w:val="clear" w:pos="2608"/>
      </w:tabs>
      <w:ind w:left="2160" w:hanging="360"/>
    </w:pPr>
  </w:style>
  <w:style w:type="paragraph" w:customStyle="1" w:styleId="ListNumber1Level4">
    <w:name w:val="List Number 1 (Level 4)"/>
    <w:basedOn w:val="Text1"/>
    <w:pPr>
      <w:numPr>
        <w:ilvl w:val="3"/>
        <w:numId w:val="39"/>
      </w:numPr>
      <w:tabs>
        <w:tab w:val="clear" w:pos="3317"/>
      </w:tabs>
      <w:ind w:left="2880" w:hanging="360"/>
    </w:pPr>
  </w:style>
  <w:style w:type="paragraph" w:customStyle="1" w:styleId="ListNumber2Level2">
    <w:name w:val="List Number 2 (Level 2)"/>
    <w:basedOn w:val="Text2"/>
    <w:pPr>
      <w:numPr>
        <w:ilvl w:val="1"/>
        <w:numId w:val="40"/>
      </w:numPr>
      <w:tabs>
        <w:tab w:val="clear" w:pos="2302"/>
        <w:tab w:val="clear" w:pos="2619"/>
      </w:tabs>
      <w:ind w:left="1440" w:hanging="360"/>
    </w:pPr>
  </w:style>
  <w:style w:type="paragraph" w:customStyle="1" w:styleId="ListNumber2Level3">
    <w:name w:val="List Number 2 (Level 3)"/>
    <w:basedOn w:val="Text2"/>
    <w:pPr>
      <w:numPr>
        <w:ilvl w:val="2"/>
        <w:numId w:val="40"/>
      </w:numPr>
      <w:tabs>
        <w:tab w:val="clear" w:pos="2302"/>
        <w:tab w:val="clear" w:pos="3328"/>
      </w:tabs>
      <w:ind w:left="2160" w:hanging="360"/>
    </w:pPr>
  </w:style>
  <w:style w:type="paragraph" w:customStyle="1" w:styleId="ListNumber2Level4">
    <w:name w:val="List Number 2 (Level 4)"/>
    <w:basedOn w:val="Text2"/>
    <w:pPr>
      <w:numPr>
        <w:ilvl w:val="3"/>
        <w:numId w:val="40"/>
      </w:numPr>
      <w:tabs>
        <w:tab w:val="clear" w:pos="2302"/>
        <w:tab w:val="clear" w:pos="4037"/>
      </w:tabs>
      <w:ind w:left="2880" w:hanging="360"/>
    </w:pPr>
  </w:style>
  <w:style w:type="paragraph" w:customStyle="1" w:styleId="ListNumber3Level2">
    <w:name w:val="List Number 3 (Level 2)"/>
    <w:basedOn w:val="Text3"/>
    <w:pPr>
      <w:numPr>
        <w:ilvl w:val="1"/>
        <w:numId w:val="41"/>
      </w:numPr>
      <w:tabs>
        <w:tab w:val="clear" w:pos="2302"/>
      </w:tabs>
    </w:pPr>
  </w:style>
  <w:style w:type="paragraph" w:customStyle="1" w:styleId="ListNumber3Level3">
    <w:name w:val="List Number 3 (Level 3)"/>
    <w:basedOn w:val="Text3"/>
    <w:pPr>
      <w:numPr>
        <w:ilvl w:val="2"/>
        <w:numId w:val="41"/>
      </w:numPr>
      <w:tabs>
        <w:tab w:val="clear" w:pos="2302"/>
      </w:tabs>
    </w:pPr>
  </w:style>
  <w:style w:type="paragraph" w:customStyle="1" w:styleId="ListNumber3Level4">
    <w:name w:val="List Number 3 (Level 4)"/>
    <w:basedOn w:val="Text3"/>
    <w:pPr>
      <w:numPr>
        <w:ilvl w:val="3"/>
        <w:numId w:val="41"/>
      </w:numPr>
      <w:tabs>
        <w:tab w:val="clear" w:pos="2302"/>
      </w:tabs>
    </w:pPr>
  </w:style>
  <w:style w:type="paragraph" w:customStyle="1" w:styleId="ListNumber4Level2">
    <w:name w:val="List Number 4 (Level 2)"/>
    <w:basedOn w:val="Text4"/>
    <w:pPr>
      <w:numPr>
        <w:ilvl w:val="1"/>
        <w:numId w:val="42"/>
      </w:numPr>
      <w:tabs>
        <w:tab w:val="clear" w:pos="2302"/>
      </w:tabs>
    </w:pPr>
  </w:style>
  <w:style w:type="paragraph" w:customStyle="1" w:styleId="ListNumber4Level3">
    <w:name w:val="List Number 4 (Level 3)"/>
    <w:basedOn w:val="Text4"/>
    <w:pPr>
      <w:numPr>
        <w:ilvl w:val="2"/>
        <w:numId w:val="42"/>
      </w:numPr>
      <w:tabs>
        <w:tab w:val="clear" w:pos="2302"/>
      </w:tabs>
    </w:pPr>
  </w:style>
  <w:style w:type="paragraph" w:customStyle="1" w:styleId="ListNumber4Level4">
    <w:name w:val="List Number 4 (Level 4)"/>
    <w:basedOn w:val="Text4"/>
    <w:pPr>
      <w:numPr>
        <w:ilvl w:val="3"/>
        <w:numId w:val="42"/>
      </w:numPr>
      <w:tabs>
        <w:tab w:val="clear" w:pos="2302"/>
      </w:tabs>
    </w:pPr>
  </w:style>
  <w:style w:type="paragraph" w:customStyle="1" w:styleId="Contact">
    <w:name w:val="Contact"/>
    <w:basedOn w:val="Normal"/>
    <w:next w:val="Normal"/>
    <w:pPr>
      <w:spacing w:before="0" w:after="480"/>
      <w:ind w:left="567" w:hanging="567"/>
      <w:jc w:val="left"/>
    </w:pPr>
    <w:rPr>
      <w:rFonts w:ascii="Times New Roman" w:eastAsia="Times New Roman" w:hAnsi="Times New Roman"/>
      <w:sz w:val="24"/>
      <w:szCs w:val="20"/>
    </w:rPr>
  </w:style>
  <w:style w:type="paragraph" w:customStyle="1" w:styleId="Designator">
    <w:name w:val="Designator"/>
    <w:basedOn w:val="Normal"/>
    <w:pPr>
      <w:spacing w:before="0" w:after="0"/>
      <w:jc w:val="center"/>
    </w:pPr>
    <w:rPr>
      <w:rFonts w:ascii="Times New Roman" w:eastAsia="Times New Roman" w:hAnsi="Times New Roman"/>
      <w:b/>
      <w:caps/>
      <w:sz w:val="32"/>
      <w:szCs w:val="20"/>
    </w:rPr>
  </w:style>
  <w:style w:type="paragraph" w:customStyle="1" w:styleId="Releasable">
    <w:name w:val="Releasable"/>
    <w:basedOn w:val="Normal"/>
    <w:qFormat/>
    <w:pPr>
      <w:spacing w:before="0" w:after="0"/>
      <w:jc w:val="center"/>
    </w:pPr>
    <w:rPr>
      <w:rFonts w:ascii="Times New Roman" w:eastAsia="Times New Roman" w:hAnsi="Times New Roman"/>
      <w:b/>
      <w:caps/>
      <w:sz w:val="32"/>
      <w:szCs w:val="20"/>
      <w:lang w:val="de-DE"/>
    </w:rPr>
  </w:style>
  <w:style w:type="paragraph" w:customStyle="1" w:styleId="RUE">
    <w:name w:val="RUE"/>
    <w:basedOn w:val="Normal"/>
    <w:pPr>
      <w:spacing w:before="0" w:after="0"/>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spacing w:before="0" w:after="0"/>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pPr>
      <w:spacing w:before="0" w:after="0"/>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pPr>
      <w:spacing w:before="0" w:after="0"/>
      <w:jc w:val="center"/>
    </w:pPr>
    <w:rPr>
      <w:rFonts w:ascii="Times New Roman" w:eastAsia="Times New Roman" w:hAnsi="Times New Roman"/>
      <w:b/>
      <w:caps/>
      <w:color w:val="FF0000"/>
      <w:sz w:val="32"/>
      <w:szCs w:val="20"/>
      <w:bdr w:val="single" w:sz="18" w:space="0" w:color="FF0000"/>
    </w:rPr>
  </w:style>
  <w:style w:type="paragraph" w:customStyle="1" w:styleId="LegalNumPar">
    <w:name w:val="LegalNumPar"/>
    <w:basedOn w:val="Normal"/>
    <w:pPr>
      <w:numPr>
        <w:numId w:val="43"/>
      </w:numPr>
      <w:spacing w:before="0" w:after="240"/>
    </w:pPr>
    <w:rPr>
      <w:rFonts w:ascii="Times New Roman" w:eastAsia="Times New Roman" w:hAnsi="Times New Roman"/>
      <w:sz w:val="24"/>
      <w:szCs w:val="20"/>
    </w:rPr>
  </w:style>
  <w:style w:type="paragraph" w:customStyle="1" w:styleId="ZCom">
    <w:name w:val="Z_Com"/>
    <w:basedOn w:val="Normal"/>
    <w:next w:val="ZDGName"/>
    <w:uiPriority w:val="99"/>
    <w:pPr>
      <w:widowControl w:val="0"/>
      <w:autoSpaceDE w:val="0"/>
      <w:autoSpaceDN w:val="0"/>
      <w:spacing w:before="0" w:after="0"/>
      <w:ind w:right="85"/>
    </w:pPr>
    <w:rPr>
      <w:rFonts w:ascii="Arial" w:eastAsiaTheme="minorEastAsia" w:hAnsi="Arial" w:cs="Arial"/>
      <w:sz w:val="24"/>
      <w:lang w:eastAsia="en-GB"/>
    </w:rPr>
  </w:style>
  <w:style w:type="paragraph" w:customStyle="1" w:styleId="ZDGName">
    <w:name w:val="Z_DGName"/>
    <w:basedOn w:val="Normal"/>
    <w:uiPriority w:val="99"/>
    <w:pPr>
      <w:widowControl w:val="0"/>
      <w:autoSpaceDE w:val="0"/>
      <w:autoSpaceDN w:val="0"/>
      <w:spacing w:before="0" w:after="0"/>
      <w:ind w:right="85"/>
      <w:jc w:val="left"/>
    </w:pPr>
    <w:rPr>
      <w:rFonts w:ascii="Arial" w:eastAsiaTheme="minorEastAsia" w:hAnsi="Arial" w:cs="Arial"/>
      <w:sz w:val="16"/>
      <w:szCs w:val="16"/>
      <w:lang w:eastAsia="en-GB"/>
    </w:rPr>
  </w:style>
  <w:style w:type="paragraph" w:customStyle="1" w:styleId="HeaderLandscape">
    <w:name w:val="HeaderLandscape"/>
    <w:basedOn w:val="Normal"/>
    <w:pPr>
      <w:tabs>
        <w:tab w:val="center" w:pos="7285"/>
        <w:tab w:val="right" w:pos="14003"/>
      </w:tabs>
      <w:spacing w:before="0"/>
    </w:pPr>
    <w:rPr>
      <w:rFonts w:ascii="Times New Roman" w:eastAsia="Calibri" w:hAnsi="Times New Roman"/>
      <w:sz w:val="24"/>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ascii="Times New Roman" w:eastAsia="Times New Roman" w:hAnsi="Times New Roman"/>
      <w:sz w:val="24"/>
    </w:rPr>
  </w:style>
  <w:style w:type="paragraph" w:customStyle="1" w:styleId="NormalCentered">
    <w:name w:val="Normal Centered"/>
    <w:basedOn w:val="Normal"/>
    <w:pPr>
      <w:jc w:val="center"/>
    </w:pPr>
    <w:rPr>
      <w:rFonts w:ascii="Times New Roman" w:eastAsia="Times New Roman" w:hAnsi="Times New Roman"/>
      <w:sz w:val="24"/>
    </w:rPr>
  </w:style>
  <w:style w:type="paragraph" w:customStyle="1" w:styleId="NormalLeft">
    <w:name w:val="Normal Left"/>
    <w:basedOn w:val="Normal"/>
    <w:pPr>
      <w:jc w:val="left"/>
    </w:pPr>
    <w:rPr>
      <w:rFonts w:ascii="Times New Roman" w:eastAsia="Times New Roman" w:hAnsi="Times New Roman"/>
      <w:sz w:val="24"/>
    </w:rPr>
  </w:style>
  <w:style w:type="paragraph" w:customStyle="1" w:styleId="NormalRight">
    <w:name w:val="Normal Right"/>
    <w:basedOn w:val="Normal"/>
    <w:pPr>
      <w:jc w:val="right"/>
    </w:pPr>
    <w:rPr>
      <w:rFonts w:ascii="Times New Roman" w:eastAsia="Times New Roman" w:hAnsi="Times New Roman"/>
      <w:sz w:val="24"/>
    </w:rPr>
  </w:style>
  <w:style w:type="paragraph" w:customStyle="1" w:styleId="QuotedText">
    <w:name w:val="Quoted Text"/>
    <w:basedOn w:val="Normal"/>
    <w:pPr>
      <w:ind w:left="1417"/>
    </w:pPr>
    <w:rPr>
      <w:rFonts w:ascii="Times New Roman" w:eastAsia="Times New Roman" w:hAnsi="Times New Roman"/>
      <w:sz w:val="24"/>
    </w:rPr>
  </w:style>
  <w:style w:type="paragraph" w:customStyle="1" w:styleId="Point0">
    <w:name w:val="Point 0"/>
    <w:basedOn w:val="Normal"/>
    <w:pPr>
      <w:ind w:left="850" w:hanging="850"/>
    </w:pPr>
    <w:rPr>
      <w:rFonts w:ascii="Times New Roman" w:eastAsia="Times New Roman" w:hAnsi="Times New Roman"/>
      <w:sz w:val="24"/>
    </w:rPr>
  </w:style>
  <w:style w:type="paragraph" w:customStyle="1" w:styleId="Point1">
    <w:name w:val="Point 1"/>
    <w:basedOn w:val="Normal"/>
    <w:pPr>
      <w:ind w:left="1417" w:hanging="567"/>
    </w:pPr>
    <w:rPr>
      <w:rFonts w:ascii="Times New Roman" w:eastAsia="Times New Roman" w:hAnsi="Times New Roman"/>
      <w:sz w:val="24"/>
    </w:rPr>
  </w:style>
  <w:style w:type="paragraph" w:customStyle="1" w:styleId="Point2">
    <w:name w:val="Point 2"/>
    <w:basedOn w:val="Normal"/>
    <w:pPr>
      <w:ind w:left="1984" w:hanging="567"/>
    </w:pPr>
    <w:rPr>
      <w:rFonts w:ascii="Times New Roman" w:eastAsia="Times New Roman" w:hAnsi="Times New Roman"/>
      <w:sz w:val="24"/>
    </w:rPr>
  </w:style>
  <w:style w:type="paragraph" w:customStyle="1" w:styleId="Point3">
    <w:name w:val="Point 3"/>
    <w:basedOn w:val="Normal"/>
    <w:pPr>
      <w:ind w:left="2551" w:hanging="567"/>
    </w:pPr>
    <w:rPr>
      <w:rFonts w:ascii="Times New Roman" w:eastAsia="Times New Roman" w:hAnsi="Times New Roman"/>
      <w:sz w:val="24"/>
    </w:rPr>
  </w:style>
  <w:style w:type="paragraph" w:customStyle="1" w:styleId="Point4">
    <w:name w:val="Point 4"/>
    <w:basedOn w:val="Normal"/>
    <w:pPr>
      <w:ind w:left="3118" w:hanging="567"/>
    </w:pPr>
    <w:rPr>
      <w:rFonts w:ascii="Times New Roman" w:eastAsia="Times New Roman" w:hAnsi="Times New Roman"/>
      <w:sz w:val="24"/>
    </w:rPr>
  </w:style>
  <w:style w:type="paragraph" w:customStyle="1" w:styleId="Tiret0">
    <w:name w:val="Tiret 0"/>
    <w:basedOn w:val="Point0"/>
    <w:pPr>
      <w:numPr>
        <w:numId w:val="44"/>
      </w:numPr>
      <w:tabs>
        <w:tab w:val="clear" w:pos="850"/>
      </w:tabs>
    </w:pPr>
  </w:style>
  <w:style w:type="paragraph" w:customStyle="1" w:styleId="Tiret1">
    <w:name w:val="Tiret 1"/>
    <w:basedOn w:val="Point1"/>
    <w:pPr>
      <w:numPr>
        <w:numId w:val="45"/>
      </w:numPr>
      <w:tabs>
        <w:tab w:val="clear" w:pos="1417"/>
      </w:tabs>
    </w:pPr>
  </w:style>
  <w:style w:type="paragraph" w:customStyle="1" w:styleId="Tiret2">
    <w:name w:val="Tiret 2"/>
    <w:basedOn w:val="Point2"/>
    <w:pPr>
      <w:numPr>
        <w:numId w:val="46"/>
      </w:numPr>
      <w:tabs>
        <w:tab w:val="clear" w:pos="1984"/>
      </w:tabs>
    </w:pPr>
  </w:style>
  <w:style w:type="paragraph" w:customStyle="1" w:styleId="Tiret3">
    <w:name w:val="Tiret 3"/>
    <w:basedOn w:val="Point3"/>
    <w:pPr>
      <w:numPr>
        <w:numId w:val="47"/>
      </w:numPr>
    </w:pPr>
  </w:style>
  <w:style w:type="paragraph" w:customStyle="1" w:styleId="Tiret4">
    <w:name w:val="Tiret 4"/>
    <w:basedOn w:val="Point4"/>
    <w:pPr>
      <w:numPr>
        <w:numId w:val="48"/>
      </w:numPr>
    </w:pPr>
  </w:style>
  <w:style w:type="paragraph" w:customStyle="1" w:styleId="PointDouble0">
    <w:name w:val="PointDouble 0"/>
    <w:basedOn w:val="Normal"/>
    <w:pPr>
      <w:tabs>
        <w:tab w:val="left" w:pos="850"/>
      </w:tabs>
      <w:ind w:left="1417" w:hanging="1417"/>
    </w:pPr>
    <w:rPr>
      <w:rFonts w:ascii="Times New Roman" w:eastAsia="Times New Roman" w:hAnsi="Times New Roman"/>
      <w:sz w:val="24"/>
    </w:rPr>
  </w:style>
  <w:style w:type="paragraph" w:customStyle="1" w:styleId="PointDouble1">
    <w:name w:val="PointDouble 1"/>
    <w:basedOn w:val="Normal"/>
    <w:pPr>
      <w:tabs>
        <w:tab w:val="left" w:pos="1417"/>
      </w:tabs>
      <w:ind w:left="1984" w:hanging="1134"/>
    </w:pPr>
    <w:rPr>
      <w:rFonts w:ascii="Times New Roman" w:eastAsia="Times New Roman" w:hAnsi="Times New Roman"/>
      <w:sz w:val="24"/>
    </w:rPr>
  </w:style>
  <w:style w:type="paragraph" w:customStyle="1" w:styleId="PointDouble2">
    <w:name w:val="PointDouble 2"/>
    <w:basedOn w:val="Normal"/>
    <w:pPr>
      <w:tabs>
        <w:tab w:val="left" w:pos="1984"/>
      </w:tabs>
      <w:ind w:left="2551" w:hanging="1134"/>
    </w:pPr>
    <w:rPr>
      <w:rFonts w:ascii="Times New Roman" w:eastAsia="Times New Roman" w:hAnsi="Times New Roman"/>
      <w:sz w:val="24"/>
    </w:rPr>
  </w:style>
  <w:style w:type="paragraph" w:customStyle="1" w:styleId="PointDouble3">
    <w:name w:val="PointDouble 3"/>
    <w:basedOn w:val="Normal"/>
    <w:pPr>
      <w:tabs>
        <w:tab w:val="left" w:pos="2551"/>
      </w:tabs>
      <w:ind w:left="3118" w:hanging="1134"/>
    </w:pPr>
    <w:rPr>
      <w:rFonts w:ascii="Times New Roman" w:eastAsia="Times New Roman" w:hAnsi="Times New Roman"/>
      <w:sz w:val="24"/>
    </w:rPr>
  </w:style>
  <w:style w:type="paragraph" w:customStyle="1" w:styleId="PointDouble4">
    <w:name w:val="PointDouble 4"/>
    <w:basedOn w:val="Normal"/>
    <w:pPr>
      <w:tabs>
        <w:tab w:val="left" w:pos="3118"/>
      </w:tabs>
      <w:ind w:left="3685" w:hanging="1134"/>
    </w:pPr>
    <w:rPr>
      <w:rFonts w:ascii="Times New Roman" w:eastAsia="Times New Roman" w:hAnsi="Times New Roman"/>
      <w:sz w:val="24"/>
    </w:rPr>
  </w:style>
  <w:style w:type="paragraph" w:customStyle="1" w:styleId="PointTriple0">
    <w:name w:val="PointTriple 0"/>
    <w:basedOn w:val="Normal"/>
    <w:pPr>
      <w:tabs>
        <w:tab w:val="left" w:pos="850"/>
        <w:tab w:val="left" w:pos="1417"/>
      </w:tabs>
      <w:ind w:left="1984" w:hanging="1984"/>
    </w:pPr>
    <w:rPr>
      <w:rFonts w:ascii="Times New Roman" w:eastAsia="Times New Roman" w:hAnsi="Times New Roman"/>
      <w:sz w:val="24"/>
    </w:rPr>
  </w:style>
  <w:style w:type="paragraph" w:customStyle="1" w:styleId="PointTriple1">
    <w:name w:val="PointTriple 1"/>
    <w:basedOn w:val="Normal"/>
    <w:pPr>
      <w:tabs>
        <w:tab w:val="left" w:pos="1417"/>
        <w:tab w:val="left" w:pos="1984"/>
      </w:tabs>
      <w:ind w:left="2551" w:hanging="1701"/>
    </w:pPr>
    <w:rPr>
      <w:rFonts w:ascii="Times New Roman" w:eastAsia="Times New Roman" w:hAnsi="Times New Roman"/>
      <w:sz w:val="24"/>
    </w:rPr>
  </w:style>
  <w:style w:type="paragraph" w:customStyle="1" w:styleId="PointTriple2">
    <w:name w:val="PointTriple 2"/>
    <w:basedOn w:val="Normal"/>
    <w:pPr>
      <w:tabs>
        <w:tab w:val="left" w:pos="1984"/>
        <w:tab w:val="left" w:pos="2551"/>
      </w:tabs>
      <w:ind w:left="3118" w:hanging="1701"/>
    </w:pPr>
    <w:rPr>
      <w:rFonts w:ascii="Times New Roman" w:eastAsia="Times New Roman" w:hAnsi="Times New Roman"/>
      <w:sz w:val="24"/>
    </w:rPr>
  </w:style>
  <w:style w:type="paragraph" w:customStyle="1" w:styleId="PointTriple3">
    <w:name w:val="PointTriple 3"/>
    <w:basedOn w:val="Normal"/>
    <w:pPr>
      <w:tabs>
        <w:tab w:val="left" w:pos="2551"/>
        <w:tab w:val="left" w:pos="3118"/>
      </w:tabs>
      <w:ind w:left="3685" w:hanging="1701"/>
    </w:pPr>
    <w:rPr>
      <w:rFonts w:ascii="Times New Roman" w:eastAsia="Times New Roman" w:hAnsi="Times New Roman"/>
      <w:sz w:val="24"/>
    </w:rPr>
  </w:style>
  <w:style w:type="paragraph" w:customStyle="1" w:styleId="PointTriple4">
    <w:name w:val="PointTriple 4"/>
    <w:basedOn w:val="Normal"/>
    <w:pPr>
      <w:tabs>
        <w:tab w:val="left" w:pos="3118"/>
        <w:tab w:val="left" w:pos="3685"/>
      </w:tabs>
      <w:ind w:left="4252" w:hanging="1701"/>
    </w:pPr>
    <w:rPr>
      <w:rFonts w:ascii="Times New Roman" w:eastAsia="Times New Roman" w:hAnsi="Times New Roman"/>
      <w:sz w:val="24"/>
    </w:rPr>
  </w:style>
  <w:style w:type="paragraph" w:customStyle="1" w:styleId="ManualNumPar1">
    <w:name w:val="Manual NumPar 1"/>
    <w:basedOn w:val="Normal"/>
    <w:next w:val="Text1"/>
    <w:pPr>
      <w:ind w:left="850" w:hanging="850"/>
    </w:pPr>
    <w:rPr>
      <w:rFonts w:ascii="Times New Roman" w:eastAsia="Times New Roman" w:hAnsi="Times New Roman"/>
      <w:sz w:val="24"/>
    </w:rPr>
  </w:style>
  <w:style w:type="paragraph" w:customStyle="1" w:styleId="ManualNumPar2">
    <w:name w:val="Manual NumPar 2"/>
    <w:basedOn w:val="Normal"/>
    <w:next w:val="Text1"/>
    <w:pPr>
      <w:ind w:left="850" w:hanging="850"/>
    </w:pPr>
    <w:rPr>
      <w:rFonts w:ascii="Times New Roman" w:eastAsia="Times New Roman" w:hAnsi="Times New Roman"/>
      <w:sz w:val="24"/>
    </w:rPr>
  </w:style>
  <w:style w:type="paragraph" w:customStyle="1" w:styleId="ManualNumPar3">
    <w:name w:val="Manual NumPar 3"/>
    <w:basedOn w:val="Normal"/>
    <w:next w:val="Text1"/>
    <w:pPr>
      <w:ind w:left="850" w:hanging="850"/>
    </w:pPr>
    <w:rPr>
      <w:rFonts w:ascii="Times New Roman" w:eastAsia="Times New Roman" w:hAnsi="Times New Roman"/>
      <w:sz w:val="24"/>
    </w:rPr>
  </w:style>
  <w:style w:type="paragraph" w:customStyle="1" w:styleId="ManualNumPar4">
    <w:name w:val="Manual NumPar 4"/>
    <w:basedOn w:val="Normal"/>
    <w:next w:val="Text1"/>
    <w:pPr>
      <w:ind w:left="850" w:hanging="850"/>
    </w:pPr>
    <w:rPr>
      <w:rFonts w:ascii="Times New Roman" w:eastAsia="Times New Roman" w:hAnsi="Times New Roman"/>
      <w:sz w:val="24"/>
    </w:rPr>
  </w:style>
  <w:style w:type="paragraph" w:customStyle="1" w:styleId="QuotedNumPar">
    <w:name w:val="Quoted NumPar"/>
    <w:basedOn w:val="Normal"/>
    <w:pPr>
      <w:ind w:left="1417" w:hanging="567"/>
    </w:pPr>
    <w:rPr>
      <w:rFonts w:ascii="Times New Roman" w:eastAsia="Times New Roman" w:hAnsi="Times New Roman"/>
      <w:sz w:val="24"/>
    </w:rPr>
  </w:style>
  <w:style w:type="paragraph" w:customStyle="1" w:styleId="ManualHeading1">
    <w:name w:val="Manual Heading 1"/>
    <w:basedOn w:val="Normal"/>
    <w:next w:val="Text1"/>
    <w:pPr>
      <w:keepNext/>
      <w:pBdr>
        <w:top w:val="single" w:sz="4" w:space="1" w:color="auto"/>
        <w:left w:val="single" w:sz="4" w:space="4" w:color="auto"/>
        <w:bottom w:val="single" w:sz="4" w:space="1" w:color="auto"/>
        <w:right w:val="single" w:sz="4" w:space="4" w:color="auto"/>
      </w:pBdr>
      <w:tabs>
        <w:tab w:val="left" w:pos="850"/>
      </w:tabs>
      <w:spacing w:before="360"/>
      <w:jc w:val="center"/>
      <w:outlineLvl w:val="0"/>
    </w:pPr>
    <w:rPr>
      <w:rFonts w:ascii="Times New Roman" w:eastAsia="Times New Roman" w:hAnsi="Times New Roman"/>
      <w:b/>
      <w:bCs/>
      <w:smallCaps/>
      <w:noProof/>
      <w:sz w:val="28"/>
    </w:rPr>
  </w:style>
  <w:style w:type="paragraph" w:customStyle="1" w:styleId="ManualHeading2">
    <w:name w:val="Manual Heading 2"/>
    <w:basedOn w:val="Normal"/>
    <w:next w:val="Text1"/>
    <w:autoRedefine/>
    <w:pPr>
      <w:keepNext/>
      <w:tabs>
        <w:tab w:val="left" w:pos="850"/>
      </w:tabs>
      <w:ind w:left="850" w:hanging="850"/>
      <w:outlineLvl w:val="1"/>
    </w:pPr>
    <w:rPr>
      <w:rFonts w:ascii="Times New Roman" w:eastAsia="Times New Roman" w:hAnsi="Times New Roman"/>
      <w:b/>
      <w:sz w:val="24"/>
      <w:lang w:eastAsia="en-GB"/>
    </w:rPr>
  </w:style>
  <w:style w:type="paragraph" w:customStyle="1" w:styleId="ManualHeading3">
    <w:name w:val="Manual Heading 3"/>
    <w:basedOn w:val="Normal"/>
    <w:next w:val="Text1"/>
    <w:pPr>
      <w:keepNext/>
      <w:tabs>
        <w:tab w:val="left" w:pos="850"/>
      </w:tabs>
      <w:ind w:left="1700" w:hanging="850"/>
      <w:outlineLvl w:val="2"/>
    </w:pPr>
    <w:rPr>
      <w:rFonts w:ascii="Times New Roman" w:eastAsia="Times New Roman" w:hAnsi="Times New Roman"/>
      <w:i/>
      <w:sz w:val="24"/>
    </w:rPr>
  </w:style>
  <w:style w:type="paragraph" w:customStyle="1" w:styleId="ManualHeading4">
    <w:name w:val="Manual Heading 4"/>
    <w:basedOn w:val="Normal"/>
    <w:next w:val="Text1"/>
    <w:pPr>
      <w:keepNext/>
      <w:tabs>
        <w:tab w:val="left" w:pos="850"/>
      </w:tabs>
      <w:ind w:left="850" w:hanging="850"/>
      <w:outlineLvl w:val="3"/>
    </w:pPr>
    <w:rPr>
      <w:rFonts w:ascii="Times New Roman" w:eastAsia="Times New Roman" w:hAnsi="Times New Roman"/>
      <w:sz w:val="24"/>
    </w:rPr>
  </w:style>
  <w:style w:type="paragraph" w:customStyle="1" w:styleId="TableTitle">
    <w:name w:val="Table Title"/>
    <w:basedOn w:val="Normal"/>
    <w:next w:val="Normal"/>
    <w:pPr>
      <w:jc w:val="center"/>
    </w:pPr>
    <w:rPr>
      <w:rFonts w:ascii="Times New Roman" w:eastAsia="Times New Roman" w:hAnsi="Times New Roman"/>
      <w:b/>
      <w:sz w:val="24"/>
    </w:r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pPr>
      <w:numPr>
        <w:numId w:val="49"/>
      </w:numPr>
    </w:pPr>
    <w:rPr>
      <w:rFonts w:ascii="Times New Roman" w:eastAsia="Times New Roman" w:hAnsi="Times New Roman"/>
      <w:sz w:val="24"/>
    </w:rPr>
  </w:style>
  <w:style w:type="paragraph" w:customStyle="1" w:styleId="Point1number">
    <w:name w:val="Point 1 (number)"/>
    <w:basedOn w:val="Normal"/>
    <w:pPr>
      <w:numPr>
        <w:ilvl w:val="2"/>
        <w:numId w:val="49"/>
      </w:numPr>
    </w:pPr>
    <w:rPr>
      <w:rFonts w:ascii="Times New Roman" w:eastAsia="Times New Roman" w:hAnsi="Times New Roman"/>
      <w:sz w:val="24"/>
    </w:rPr>
  </w:style>
  <w:style w:type="paragraph" w:customStyle="1" w:styleId="Point2number">
    <w:name w:val="Point 2 (number)"/>
    <w:basedOn w:val="Normal"/>
    <w:pPr>
      <w:numPr>
        <w:ilvl w:val="4"/>
        <w:numId w:val="49"/>
      </w:numPr>
    </w:pPr>
    <w:rPr>
      <w:rFonts w:ascii="Times New Roman" w:eastAsia="Times New Roman" w:hAnsi="Times New Roman"/>
      <w:sz w:val="24"/>
    </w:rPr>
  </w:style>
  <w:style w:type="paragraph" w:customStyle="1" w:styleId="Point3number">
    <w:name w:val="Point 3 (number)"/>
    <w:basedOn w:val="Normal"/>
    <w:pPr>
      <w:numPr>
        <w:ilvl w:val="6"/>
        <w:numId w:val="49"/>
      </w:numPr>
    </w:pPr>
    <w:rPr>
      <w:rFonts w:ascii="Times New Roman" w:eastAsia="Times New Roman" w:hAnsi="Times New Roman"/>
      <w:sz w:val="24"/>
    </w:rPr>
  </w:style>
  <w:style w:type="paragraph" w:customStyle="1" w:styleId="Point0letter">
    <w:name w:val="Point 0 (letter)"/>
    <w:basedOn w:val="Normal"/>
    <w:pPr>
      <w:numPr>
        <w:ilvl w:val="1"/>
        <w:numId w:val="49"/>
      </w:numPr>
    </w:pPr>
    <w:rPr>
      <w:rFonts w:ascii="Times New Roman" w:eastAsia="Times New Roman" w:hAnsi="Times New Roman"/>
      <w:sz w:val="24"/>
    </w:rPr>
  </w:style>
  <w:style w:type="paragraph" w:customStyle="1" w:styleId="Point1letter">
    <w:name w:val="Point 1 (letter)"/>
    <w:basedOn w:val="Normal"/>
    <w:pPr>
      <w:numPr>
        <w:ilvl w:val="3"/>
        <w:numId w:val="49"/>
      </w:numPr>
    </w:pPr>
    <w:rPr>
      <w:rFonts w:ascii="Times New Roman" w:eastAsia="Times New Roman" w:hAnsi="Times New Roman"/>
      <w:sz w:val="24"/>
    </w:rPr>
  </w:style>
  <w:style w:type="paragraph" w:customStyle="1" w:styleId="Point2letter">
    <w:name w:val="Point 2 (letter)"/>
    <w:basedOn w:val="Normal"/>
    <w:pPr>
      <w:numPr>
        <w:ilvl w:val="5"/>
        <w:numId w:val="49"/>
      </w:numPr>
    </w:pPr>
    <w:rPr>
      <w:rFonts w:ascii="Times New Roman" w:eastAsia="Times New Roman" w:hAnsi="Times New Roman"/>
      <w:sz w:val="24"/>
    </w:rPr>
  </w:style>
  <w:style w:type="paragraph" w:customStyle="1" w:styleId="Point3letter">
    <w:name w:val="Point 3 (letter)"/>
    <w:basedOn w:val="Normal"/>
    <w:pPr>
      <w:numPr>
        <w:ilvl w:val="7"/>
        <w:numId w:val="49"/>
      </w:numPr>
    </w:pPr>
    <w:rPr>
      <w:rFonts w:ascii="Times New Roman" w:eastAsia="Times New Roman" w:hAnsi="Times New Roman"/>
      <w:sz w:val="24"/>
    </w:rPr>
  </w:style>
  <w:style w:type="paragraph" w:customStyle="1" w:styleId="Point4letter">
    <w:name w:val="Point 4 (letter)"/>
    <w:basedOn w:val="Normal"/>
    <w:pPr>
      <w:numPr>
        <w:ilvl w:val="8"/>
        <w:numId w:val="49"/>
      </w:numPr>
    </w:pPr>
    <w:rPr>
      <w:rFonts w:ascii="Times New Roman" w:eastAsia="Times New Roman" w:hAnsi="Times New Roman"/>
      <w:sz w:val="24"/>
    </w:rPr>
  </w:style>
  <w:style w:type="paragraph" w:customStyle="1" w:styleId="Bullet0">
    <w:name w:val="Bullet 0"/>
    <w:basedOn w:val="Normal"/>
    <w:pPr>
      <w:numPr>
        <w:numId w:val="50"/>
      </w:numPr>
    </w:pPr>
    <w:rPr>
      <w:rFonts w:ascii="Times New Roman" w:eastAsia="Times New Roman" w:hAnsi="Times New Roman"/>
      <w:sz w:val="24"/>
    </w:rPr>
  </w:style>
  <w:style w:type="paragraph" w:customStyle="1" w:styleId="Bullet1">
    <w:name w:val="Bullet 1"/>
    <w:basedOn w:val="Normal"/>
    <w:pPr>
      <w:numPr>
        <w:numId w:val="51"/>
      </w:numPr>
    </w:pPr>
    <w:rPr>
      <w:rFonts w:ascii="Times New Roman" w:eastAsia="Times New Roman" w:hAnsi="Times New Roman"/>
      <w:sz w:val="24"/>
    </w:rPr>
  </w:style>
  <w:style w:type="paragraph" w:customStyle="1" w:styleId="Bullet2">
    <w:name w:val="Bullet 2"/>
    <w:basedOn w:val="Normal"/>
    <w:pPr>
      <w:numPr>
        <w:numId w:val="52"/>
      </w:numPr>
    </w:pPr>
    <w:rPr>
      <w:rFonts w:ascii="Times New Roman" w:eastAsia="Times New Roman" w:hAnsi="Times New Roman"/>
      <w:sz w:val="24"/>
    </w:rPr>
  </w:style>
  <w:style w:type="paragraph" w:customStyle="1" w:styleId="Bullet3">
    <w:name w:val="Bullet 3"/>
    <w:basedOn w:val="Normal"/>
    <w:pPr>
      <w:numPr>
        <w:numId w:val="53"/>
      </w:numPr>
    </w:pPr>
    <w:rPr>
      <w:rFonts w:ascii="Times New Roman" w:eastAsia="Times New Roman" w:hAnsi="Times New Roman"/>
      <w:sz w:val="24"/>
    </w:rPr>
  </w:style>
  <w:style w:type="paragraph" w:customStyle="1" w:styleId="Bullet4">
    <w:name w:val="Bullet 4"/>
    <w:basedOn w:val="Normal"/>
    <w:pPr>
      <w:numPr>
        <w:numId w:val="54"/>
      </w:numPr>
    </w:pPr>
    <w:rPr>
      <w:rFonts w:ascii="Times New Roman" w:eastAsia="Times New Roman" w:hAnsi="Times New Roman"/>
      <w:sz w:val="24"/>
    </w:rPr>
  </w:style>
  <w:style w:type="paragraph" w:customStyle="1" w:styleId="Annexetitreexpos">
    <w:name w:val="Annexe titre (exposé)"/>
    <w:basedOn w:val="Normal"/>
    <w:next w:val="Normal"/>
    <w:pPr>
      <w:jc w:val="center"/>
    </w:pPr>
    <w:rPr>
      <w:rFonts w:ascii="Times New Roman" w:eastAsia="Times New Roman" w:hAnsi="Times New Roman"/>
      <w:b/>
      <w:sz w:val="24"/>
      <w:u w:val="single"/>
    </w:rPr>
  </w:style>
  <w:style w:type="paragraph" w:customStyle="1" w:styleId="Annexetitre">
    <w:name w:val="Annexe titre"/>
    <w:basedOn w:val="Normal"/>
    <w:next w:val="Normal"/>
    <w:pPr>
      <w:jc w:val="center"/>
    </w:pPr>
    <w:rPr>
      <w:rFonts w:ascii="Times New Roman" w:eastAsia="Times New Roman" w:hAnsi="Times New Roman"/>
      <w:b/>
      <w:sz w:val="24"/>
      <w:u w:val="single"/>
    </w:rPr>
  </w:style>
  <w:style w:type="paragraph" w:customStyle="1" w:styleId="Annexetitrefichefinancire">
    <w:name w:val="Annexe titre (fiche financière)"/>
    <w:basedOn w:val="Normal"/>
    <w:next w:val="Normal"/>
    <w:pPr>
      <w:jc w:val="center"/>
    </w:pPr>
    <w:rPr>
      <w:rFonts w:ascii="Times New Roman" w:eastAsia="Times New Roman" w:hAnsi="Times New Roman"/>
      <w:b/>
      <w:sz w:val="24"/>
      <w:u w:val="single"/>
    </w:rPr>
  </w:style>
  <w:style w:type="paragraph" w:customStyle="1" w:styleId="Applicationdirecte">
    <w:name w:val="Application directe"/>
    <w:basedOn w:val="Normal"/>
    <w:next w:val="Fait"/>
    <w:pPr>
      <w:spacing w:before="480"/>
    </w:pPr>
    <w:rPr>
      <w:rFonts w:ascii="Times New Roman" w:eastAsia="Times New Roman" w:hAnsi="Times New Roman"/>
      <w:sz w:val="24"/>
    </w:rPr>
  </w:style>
  <w:style w:type="paragraph" w:customStyle="1" w:styleId="Avertissementtitre">
    <w:name w:val="Avertissement titre"/>
    <w:basedOn w:val="Normal"/>
    <w:next w:val="Normal"/>
    <w:pPr>
      <w:keepNext/>
      <w:spacing w:before="480"/>
    </w:pPr>
    <w:rPr>
      <w:rFonts w:ascii="Times New Roman" w:eastAsia="Times New Roman" w:hAnsi="Times New Roman"/>
      <w:sz w:val="24"/>
      <w:u w:val="single"/>
    </w:rPr>
  </w:style>
  <w:style w:type="paragraph" w:customStyle="1" w:styleId="Confidence">
    <w:name w:val="Confidence"/>
    <w:basedOn w:val="Normal"/>
    <w:next w:val="Normal"/>
    <w:pPr>
      <w:spacing w:before="360"/>
      <w:jc w:val="center"/>
    </w:pPr>
    <w:rPr>
      <w:rFonts w:ascii="Times New Roman" w:eastAsia="Times New Roman" w:hAnsi="Times New Roman"/>
      <w:sz w:val="24"/>
    </w:rPr>
  </w:style>
  <w:style w:type="paragraph" w:customStyle="1" w:styleId="Confidentialit">
    <w:name w:val="Confidentialité"/>
    <w:basedOn w:val="Normal"/>
    <w:next w:val="TypedudocumentPagedecouverture"/>
    <w:pPr>
      <w:spacing w:before="240" w:after="240"/>
      <w:ind w:left="5103"/>
    </w:pPr>
    <w:rPr>
      <w:rFonts w:ascii="Times New Roman" w:eastAsia="Times New Roman" w:hAnsi="Times New Roman"/>
      <w:i/>
      <w:sz w:val="32"/>
    </w:rPr>
  </w:style>
  <w:style w:type="paragraph" w:customStyle="1" w:styleId="Considrant">
    <w:name w:val="Considérant"/>
    <w:basedOn w:val="Normal"/>
    <w:pPr>
      <w:numPr>
        <w:numId w:val="55"/>
      </w:numPr>
    </w:pPr>
    <w:rPr>
      <w:rFonts w:ascii="Times New Roman" w:eastAsia="Times New Roman" w:hAnsi="Times New Roman"/>
      <w:sz w:val="24"/>
    </w:rPr>
  </w:style>
  <w:style w:type="paragraph" w:customStyle="1" w:styleId="Corrigendum">
    <w:name w:val="Corrigendum"/>
    <w:basedOn w:val="Normal"/>
    <w:next w:val="Normal"/>
    <w:pPr>
      <w:spacing w:before="0" w:after="240"/>
      <w:jc w:val="left"/>
    </w:pPr>
    <w:rPr>
      <w:rFonts w:ascii="Times New Roman" w:eastAsia="Times New Roman" w:hAnsi="Times New Roman"/>
      <w:sz w:val="24"/>
    </w:rPr>
  </w:style>
  <w:style w:type="paragraph" w:customStyle="1" w:styleId="Datedadoption">
    <w:name w:val="Date d'adoption"/>
    <w:basedOn w:val="Normal"/>
    <w:next w:val="Titreobjet"/>
    <w:pPr>
      <w:spacing w:before="360" w:after="0"/>
      <w:jc w:val="center"/>
    </w:pPr>
    <w:rPr>
      <w:rFonts w:ascii="Times New Roman" w:eastAsia="Times New Roman" w:hAnsi="Times New Roman"/>
      <w:b/>
      <w:sz w:val="24"/>
    </w:rPr>
  </w:style>
  <w:style w:type="paragraph" w:customStyle="1" w:styleId="Emission">
    <w:name w:val="Emission"/>
    <w:basedOn w:val="Normal"/>
    <w:next w:val="Rfrenceinstitutionnelle"/>
    <w:pPr>
      <w:spacing w:before="0" w:after="0"/>
      <w:ind w:left="5103"/>
      <w:jc w:val="left"/>
    </w:pPr>
    <w:rPr>
      <w:rFonts w:ascii="Times New Roman" w:eastAsia="Times New Roman" w:hAnsi="Times New Roman"/>
      <w:sz w:val="24"/>
    </w:rPr>
  </w:style>
  <w:style w:type="paragraph" w:customStyle="1" w:styleId="Exposdesmotifstitre">
    <w:name w:val="Exposé des motifs titre"/>
    <w:basedOn w:val="Normal"/>
    <w:next w:val="Normal"/>
    <w:pPr>
      <w:jc w:val="center"/>
    </w:pPr>
    <w:rPr>
      <w:rFonts w:ascii="Times New Roman" w:eastAsia="Times New Roman" w:hAnsi="Times New Roman"/>
      <w:b/>
      <w:sz w:val="24"/>
      <w:u w:val="single"/>
    </w:rPr>
  </w:style>
  <w:style w:type="paragraph" w:customStyle="1" w:styleId="Fait">
    <w:name w:val="Fait à"/>
    <w:basedOn w:val="Normal"/>
    <w:next w:val="Institutionquisigne"/>
    <w:pPr>
      <w:keepNext/>
      <w:spacing w:after="0"/>
    </w:pPr>
    <w:rPr>
      <w:rFonts w:ascii="Times New Roman" w:eastAsia="Times New Roman" w:hAnsi="Times New Roman"/>
      <w:sz w:val="24"/>
    </w:rPr>
  </w:style>
  <w:style w:type="paragraph" w:customStyle="1" w:styleId="Formuledadoption">
    <w:name w:val="Formule d'adoption"/>
    <w:basedOn w:val="Normal"/>
    <w:next w:val="Titrearticle"/>
    <w:pPr>
      <w:keepNext/>
    </w:pPr>
    <w:rPr>
      <w:rFonts w:ascii="Times New Roman" w:eastAsia="Times New Roman" w:hAnsi="Times New Roman"/>
      <w:sz w:val="24"/>
    </w:rPr>
  </w:style>
  <w:style w:type="paragraph" w:customStyle="1" w:styleId="Institutionquiagit">
    <w:name w:val="Institution qui agit"/>
    <w:basedOn w:val="Normal"/>
    <w:next w:val="Normal"/>
    <w:pPr>
      <w:keepNext/>
      <w:spacing w:before="600"/>
    </w:pPr>
    <w:rPr>
      <w:rFonts w:ascii="Times New Roman" w:eastAsia="Times New Roman" w:hAnsi="Times New Roman"/>
      <w:sz w:val="24"/>
    </w:rPr>
  </w:style>
  <w:style w:type="paragraph" w:customStyle="1" w:styleId="Institutionquisigne">
    <w:name w:val="Institution qui signe"/>
    <w:basedOn w:val="Normal"/>
    <w:next w:val="Personnequisigne"/>
    <w:pPr>
      <w:keepNext/>
      <w:tabs>
        <w:tab w:val="left" w:pos="4252"/>
      </w:tabs>
      <w:spacing w:before="720" w:after="0"/>
    </w:pPr>
    <w:rPr>
      <w:rFonts w:ascii="Times New Roman" w:eastAsia="Times New Roman" w:hAnsi="Times New Roman"/>
      <w:i/>
      <w:sz w:val="24"/>
    </w:rPr>
  </w:style>
  <w:style w:type="paragraph" w:customStyle="1" w:styleId="Langue">
    <w:name w:val="Langue"/>
    <w:basedOn w:val="Normal"/>
    <w:next w:val="Rfrenceinterne"/>
    <w:pPr>
      <w:framePr w:wrap="around" w:vAnchor="page" w:hAnchor="text" w:xAlign="center" w:y="14741"/>
      <w:spacing w:before="0" w:after="600"/>
      <w:jc w:val="center"/>
    </w:pPr>
    <w:rPr>
      <w:rFonts w:ascii="Times New Roman" w:eastAsia="Times New Roman" w:hAnsi="Times New Roman"/>
      <w:b/>
      <w:caps/>
      <w:sz w:val="24"/>
    </w:rPr>
  </w:style>
  <w:style w:type="paragraph" w:customStyle="1" w:styleId="ManualConsidrant">
    <w:name w:val="Manual Considérant"/>
    <w:basedOn w:val="Normal"/>
    <w:pPr>
      <w:ind w:left="709" w:hanging="709"/>
    </w:pPr>
    <w:rPr>
      <w:rFonts w:ascii="Times New Roman" w:eastAsia="Times New Roman" w:hAnsi="Times New Roman"/>
      <w:sz w:val="24"/>
    </w:rPr>
  </w:style>
  <w:style w:type="paragraph" w:customStyle="1" w:styleId="Nomdelinstitution">
    <w:name w:val="Nom de l'institution"/>
    <w:basedOn w:val="Normal"/>
    <w:next w:val="Emission"/>
    <w:pPr>
      <w:spacing w:before="0" w:after="0"/>
      <w:jc w:val="left"/>
    </w:pPr>
    <w:rPr>
      <w:rFonts w:ascii="Arial" w:eastAsia="Times New Roman" w:hAnsi="Arial" w:cs="Arial"/>
      <w:sz w:val="24"/>
    </w:rPr>
  </w:style>
  <w:style w:type="paragraph" w:customStyle="1" w:styleId="Personnequisigne">
    <w:name w:val="Personne qui signe"/>
    <w:basedOn w:val="Normal"/>
    <w:next w:val="Institutionquisigne"/>
    <w:pPr>
      <w:tabs>
        <w:tab w:val="left" w:pos="4252"/>
      </w:tabs>
      <w:spacing w:before="0" w:after="0"/>
      <w:jc w:val="left"/>
    </w:pPr>
    <w:rPr>
      <w:rFonts w:ascii="Times New Roman" w:eastAsia="Times New Roman" w:hAnsi="Times New Roman"/>
      <w:i/>
      <w:sz w:val="24"/>
    </w:rPr>
  </w:style>
  <w:style w:type="paragraph" w:customStyle="1" w:styleId="Rfrenceinstitutionnelle">
    <w:name w:val="Référence institutionnelle"/>
    <w:basedOn w:val="Normal"/>
    <w:next w:val="Confidentialit"/>
    <w:pPr>
      <w:spacing w:before="0" w:after="240"/>
      <w:ind w:left="5103"/>
      <w:jc w:val="left"/>
    </w:pPr>
    <w:rPr>
      <w:rFonts w:ascii="Times New Roman" w:eastAsia="Times New Roman" w:hAnsi="Times New Roman"/>
      <w:sz w:val="24"/>
    </w:rPr>
  </w:style>
  <w:style w:type="paragraph" w:customStyle="1" w:styleId="Rfrenceinterinstitutionnelle">
    <w:name w:val="Référence interinstitutionnelle"/>
    <w:basedOn w:val="Normal"/>
    <w:next w:val="Statut"/>
    <w:pPr>
      <w:spacing w:before="0" w:after="0"/>
      <w:ind w:left="5103"/>
      <w:jc w:val="left"/>
    </w:pPr>
    <w:rPr>
      <w:rFonts w:ascii="Times New Roman" w:eastAsia="Times New Roman" w:hAnsi="Times New Roman"/>
      <w:sz w:val="24"/>
    </w:rPr>
  </w:style>
  <w:style w:type="paragraph" w:customStyle="1" w:styleId="Rfrenceinterne">
    <w:name w:val="Référence interne"/>
    <w:basedOn w:val="Normal"/>
    <w:next w:val="Rfrenceinterinstitutionnelle"/>
    <w:pPr>
      <w:spacing w:before="0" w:after="0"/>
      <w:ind w:left="5103"/>
      <w:jc w:val="left"/>
    </w:pPr>
    <w:rPr>
      <w:rFonts w:ascii="Times New Roman" w:eastAsia="Times New Roman" w:hAnsi="Times New Roman"/>
      <w:sz w:val="24"/>
    </w:rPr>
  </w:style>
  <w:style w:type="paragraph" w:customStyle="1" w:styleId="Sous-titreobjet">
    <w:name w:val="Sous-titre objet"/>
    <w:basedOn w:val="Normal"/>
    <w:pPr>
      <w:spacing w:before="0" w:after="0"/>
      <w:jc w:val="center"/>
    </w:pPr>
    <w:rPr>
      <w:rFonts w:ascii="Times New Roman" w:eastAsia="Times New Roman" w:hAnsi="Times New Roman"/>
      <w:b/>
      <w:sz w:val="24"/>
    </w:rPr>
  </w:style>
  <w:style w:type="paragraph" w:customStyle="1" w:styleId="Statut">
    <w:name w:val="Statut"/>
    <w:basedOn w:val="Normal"/>
    <w:next w:val="Typedudocument"/>
    <w:pPr>
      <w:spacing w:before="360" w:after="0"/>
      <w:jc w:val="center"/>
    </w:pPr>
    <w:rPr>
      <w:rFonts w:ascii="Times New Roman" w:eastAsia="Times New Roman" w:hAnsi="Times New Roman"/>
      <w:sz w:val="24"/>
    </w:rPr>
  </w:style>
  <w:style w:type="paragraph" w:customStyle="1" w:styleId="Titrearticle">
    <w:name w:val="Titre article"/>
    <w:basedOn w:val="Normal"/>
    <w:next w:val="Normal"/>
    <w:pPr>
      <w:keepNext/>
      <w:spacing w:before="360"/>
      <w:jc w:val="center"/>
    </w:pPr>
    <w:rPr>
      <w:rFonts w:ascii="Times New Roman" w:eastAsia="Times New Roman" w:hAnsi="Times New Roman"/>
      <w:i/>
      <w:sz w:val="24"/>
    </w:rPr>
  </w:style>
  <w:style w:type="paragraph" w:customStyle="1" w:styleId="Titreobjet">
    <w:name w:val="Titre objet"/>
    <w:basedOn w:val="Normal"/>
    <w:next w:val="Sous-titreobjet"/>
    <w:pPr>
      <w:spacing w:before="360" w:after="360"/>
      <w:jc w:val="center"/>
    </w:pPr>
    <w:rPr>
      <w:rFonts w:ascii="Times New Roman" w:eastAsia="Times New Roman" w:hAnsi="Times New Roman"/>
      <w:b/>
      <w:sz w:val="24"/>
    </w:rPr>
  </w:style>
  <w:style w:type="paragraph" w:customStyle="1" w:styleId="Typedudocument">
    <w:name w:val="Type du document"/>
    <w:basedOn w:val="Normal"/>
    <w:next w:val="Titreobjet"/>
    <w:pPr>
      <w:spacing w:before="360" w:after="0"/>
      <w:jc w:val="center"/>
    </w:pPr>
    <w:rPr>
      <w:rFonts w:ascii="Times New Roman" w:eastAsia="Times New Roman" w:hAnsi="Times New Roman"/>
      <w:b/>
      <w:sz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Objetexterne">
    <w:name w:val="Objet externe"/>
    <w:basedOn w:val="Normal"/>
    <w:next w:val="Normal"/>
    <w:rPr>
      <w:rFonts w:ascii="Times New Roman" w:eastAsia="Times New Roman" w:hAnsi="Times New Roman"/>
      <w:i/>
      <w:caps/>
      <w:sz w:val="24"/>
    </w:rPr>
  </w:style>
  <w:style w:type="paragraph" w:customStyle="1" w:styleId="Pagedecouverture">
    <w:name w:val="Page de couverture"/>
    <w:basedOn w:val="Normal"/>
    <w:next w:val="Normal"/>
    <w:pPr>
      <w:spacing w:before="0" w:after="0"/>
    </w:pPr>
    <w:rPr>
      <w:rFonts w:ascii="Times New Roman" w:eastAsia="Times New Roman" w:hAnsi="Times New Roman"/>
      <w:sz w:val="24"/>
    </w:rPr>
  </w:style>
  <w:style w:type="paragraph" w:customStyle="1" w:styleId="Supertitre">
    <w:name w:val="Supertitre"/>
    <w:basedOn w:val="Normal"/>
    <w:next w:val="Normal"/>
    <w:pPr>
      <w:spacing w:before="0" w:after="600"/>
      <w:jc w:val="center"/>
    </w:pPr>
    <w:rPr>
      <w:rFonts w:ascii="Times New Roman" w:eastAsia="Times New Roman" w:hAnsi="Times New Roman"/>
      <w:b/>
      <w:sz w:val="24"/>
    </w:rPr>
  </w:style>
  <w:style w:type="paragraph" w:customStyle="1" w:styleId="Languesfaisantfoi">
    <w:name w:val="Langues faisant foi"/>
    <w:basedOn w:val="Normal"/>
    <w:next w:val="Normal"/>
    <w:pPr>
      <w:spacing w:before="360" w:after="0"/>
      <w:jc w:val="center"/>
    </w:pPr>
    <w:rPr>
      <w:rFonts w:ascii="Times New Roman" w:eastAsia="Times New Roman" w:hAnsi="Times New Roman"/>
      <w:sz w:val="24"/>
    </w:rPr>
  </w:style>
  <w:style w:type="paragraph" w:customStyle="1" w:styleId="Rfrencecroise">
    <w:name w:val="Référence croisée"/>
    <w:basedOn w:val="Normal"/>
    <w:pPr>
      <w:spacing w:before="0" w:after="0"/>
      <w:jc w:val="center"/>
    </w:pPr>
    <w:rPr>
      <w:rFonts w:ascii="Times New Roman" w:eastAsia="Times New Roman" w:hAnsi="Times New Roman"/>
      <w:sz w:val="24"/>
    </w:rPr>
  </w:style>
  <w:style w:type="paragraph" w:customStyle="1" w:styleId="Fichefinanciretitre">
    <w:name w:val="Fiche financière titre"/>
    <w:basedOn w:val="Normal"/>
    <w:next w:val="Normal"/>
    <w:pPr>
      <w:jc w:val="center"/>
    </w:pPr>
    <w:rPr>
      <w:rFonts w:ascii="Times New Roman" w:eastAsia="Times New Roman" w:hAnsi="Times New Roman"/>
      <w:b/>
      <w:sz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rPr>
      <w:rFonts w:ascii="Times New Roman" w:eastAsia="Times New Roman" w:hAnsi="Times New Roman"/>
      <w:sz w:val="24"/>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before="0" w:after="240"/>
      <w:jc w:val="center"/>
    </w:pPr>
    <w:rPr>
      <w:rFonts w:ascii="Times New Roman" w:eastAsia="Times New Roman" w:hAnsi="Times New Roman"/>
      <w:b/>
      <w:i/>
      <w:sz w:val="24"/>
    </w:rPr>
  </w:style>
  <w:style w:type="paragraph" w:customStyle="1" w:styleId="Typeacteprincipal">
    <w:name w:val="Type acte principal"/>
    <w:basedOn w:val="Normal"/>
    <w:next w:val="Objetacteprincipal"/>
    <w:pPr>
      <w:spacing w:before="0" w:after="240"/>
      <w:jc w:val="center"/>
    </w:pPr>
    <w:rPr>
      <w:rFonts w:ascii="Times New Roman" w:eastAsia="Times New Roman" w:hAnsi="Times New Roman"/>
      <w:b/>
      <w:sz w:val="24"/>
    </w:rPr>
  </w:style>
  <w:style w:type="paragraph" w:customStyle="1" w:styleId="Objetacteprincipal">
    <w:name w:val="Objet acte principal"/>
    <w:basedOn w:val="Normal"/>
    <w:next w:val="Titrearticle"/>
    <w:pPr>
      <w:spacing w:before="0" w:after="360"/>
      <w:jc w:val="center"/>
    </w:pPr>
    <w:rPr>
      <w:rFonts w:ascii="Times New Roman" w:eastAsia="Times New Roman" w:hAnsi="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rPr>
      <w:rFonts w:ascii="Times New Roman" w:eastAsia="Times New Roman" w:hAnsi="Times New Roman"/>
      <w:sz w:val="24"/>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customStyle="1" w:styleId="astandard3520normal">
    <w:name w:val="a_standard__35__20_normal"/>
    <w:basedOn w:val="Normal"/>
    <w:pPr>
      <w:spacing w:before="0"/>
      <w:ind w:right="57"/>
    </w:pPr>
    <w:rPr>
      <w:rFonts w:ascii="Times New Roman" w:eastAsia="Times New Roman" w:hAnsi="Times New Roman"/>
      <w:b/>
      <w:bCs/>
      <w:sz w:val="24"/>
      <w:lang w:eastAsia="en-GB"/>
    </w:rPr>
  </w:style>
  <w:style w:type="character" w:customStyle="1" w:styleId="at21">
    <w:name w:val="a__t21"/>
    <w:rPr>
      <w:b w:val="0"/>
      <w:bCs w:val="0"/>
    </w:rPr>
  </w:style>
  <w:style w:type="character" w:customStyle="1" w:styleId="at12">
    <w:name w:val="a__t12"/>
    <w:rPr>
      <w:b w:val="0"/>
      <w:bCs w:val="0"/>
    </w:rPr>
  </w:style>
  <w:style w:type="character" w:customStyle="1" w:styleId="CommentTextChar1">
    <w:name w:val="Comment Text Char1"/>
    <w:basedOn w:val="DefaultParagraphFont"/>
    <w:rPr>
      <w:lang w:eastAsia="en-US"/>
    </w:rPr>
  </w:style>
  <w:style w:type="paragraph" w:customStyle="1" w:styleId="Headinsh2">
    <w:name w:val="Headinsh 2"/>
    <w:basedOn w:val="Text1"/>
    <w:pPr>
      <w:spacing w:before="120" w:after="120"/>
      <w:ind w:left="850"/>
    </w:pPr>
    <w:rPr>
      <w:szCs w:val="24"/>
    </w:rPr>
  </w:style>
  <w:style w:type="paragraph" w:styleId="Revision">
    <w:name w:val="Revision"/>
    <w:hidden/>
    <w:uiPriority w:val="99"/>
    <w:rPr>
      <w:rFonts w:ascii="Times New Roman" w:eastAsia="Times New Roman" w:hAnsi="Times New Roman"/>
      <w:sz w:val="24"/>
      <w:szCs w:val="24"/>
      <w:lang w:eastAsia="en-US"/>
    </w:rPr>
  </w:style>
  <w:style w:type="character" w:styleId="FollowedHyperlink">
    <w:name w:val="FollowedHyperlink"/>
    <w:uiPriority w:val="99"/>
    <w:rPr>
      <w:color w:val="800080"/>
      <w:u w:val="single"/>
    </w:rPr>
  </w:style>
  <w:style w:type="paragraph" w:customStyle="1" w:styleId="Headig4">
    <w:name w:val="Headig 4"/>
    <w:basedOn w:val="Normal"/>
    <w:pPr>
      <w:autoSpaceDE w:val="0"/>
      <w:autoSpaceDN w:val="0"/>
      <w:adjustRightInd w:val="0"/>
      <w:spacing w:before="0" w:after="166"/>
    </w:pPr>
    <w:rPr>
      <w:rFonts w:ascii="Times New Roman" w:eastAsia="Times New Roman" w:hAnsi="Times New Roman"/>
      <w:b/>
      <w:sz w:val="24"/>
      <w:lang w:eastAsia="en-GB"/>
    </w:rPr>
  </w:style>
  <w:style w:type="character" w:styleId="HTMLCite">
    <w:name w:val="HTML Cite"/>
    <w:uiPriority w:val="99"/>
    <w:unhideWhenUsed/>
    <w:rPr>
      <w:i/>
      <w:iCs/>
    </w:rPr>
  </w:style>
  <w:style w:type="character" w:customStyle="1" w:styleId="t-dates1">
    <w:name w:val="t-dates1"/>
    <w:rPr>
      <w:color w:val="414141"/>
    </w:rPr>
  </w:style>
  <w:style w:type="character" w:customStyle="1" w:styleId="FootnoteCharacters">
    <w:name w:val="Footnote Characters"/>
    <w:rPr>
      <w:rFonts w:cs="Times New Roman"/>
      <w:vertAlign w:val="superscript"/>
    </w:rPr>
  </w:style>
  <w:style w:type="character" w:customStyle="1" w:styleId="Odwoanieprzypisudolnego2">
    <w:name w:val="Odwołanie przypisu dolnego2"/>
    <w:rPr>
      <w:vertAlign w:val="superscript"/>
    </w:rPr>
  </w:style>
  <w:style w:type="character" w:customStyle="1" w:styleId="A7">
    <w:name w:val="A7"/>
    <w:uiPriority w:val="99"/>
    <w:rPr>
      <w:rFonts w:ascii="TradeGothic" w:hAnsi="TradeGothic" w:cs="TradeGothic" w:hint="default"/>
      <w:color w:val="000000"/>
      <w:sz w:val="17"/>
      <w:szCs w:val="17"/>
    </w:rPr>
  </w:style>
  <w:style w:type="character" w:customStyle="1" w:styleId="EndnoteTextChar1">
    <w:name w:val="Endnote Text Char1"/>
    <w:link w:val="EndnoteText"/>
    <w:uiPriority w:val="99"/>
    <w:locked/>
    <w:rPr>
      <w:rFonts w:ascii="Times New Roman" w:eastAsia="Times New Roman" w:hAnsi="Times New Roman"/>
      <w:lang w:eastAsia="en-US"/>
    </w:rPr>
  </w:style>
  <w:style w:type="paragraph" w:customStyle="1" w:styleId="Heaing2">
    <w:name w:val="Heaing 2"/>
    <w:basedOn w:val="Heading3"/>
    <w:pPr>
      <w:keepLines w:val="0"/>
      <w:numPr>
        <w:ilvl w:val="0"/>
        <w:numId w:val="0"/>
      </w:numPr>
      <w:spacing w:before="240" w:after="120"/>
      <w:ind w:left="720"/>
    </w:pPr>
    <w:rPr>
      <w:rFonts w:ascii="Times New Roman" w:eastAsia="Times New Roman" w:hAnsi="Times New Roman" w:cs="Times New Roman"/>
      <w:b w:val="0"/>
      <w:bCs w:val="0"/>
      <w:i/>
      <w:sz w:val="24"/>
      <w:szCs w:val="26"/>
      <w:lang w:val="en-US" w:eastAsia="en-GB"/>
    </w:rPr>
  </w:style>
  <w:style w:type="paragraph" w:customStyle="1" w:styleId="Headung3">
    <w:name w:val="Headung 3"/>
    <w:basedOn w:val="Normal"/>
    <w:pPr>
      <w:spacing w:before="0" w:after="200" w:line="276" w:lineRule="auto"/>
      <w:jc w:val="left"/>
    </w:pPr>
    <w:rPr>
      <w:rFonts w:ascii="Times New Roman" w:eastAsia="Calibri" w:hAnsi="Times New Roman"/>
      <w:color w:val="000000"/>
      <w:sz w:val="24"/>
    </w:rPr>
  </w:style>
  <w:style w:type="paragraph" w:customStyle="1" w:styleId="BTBullet1">
    <w:name w:val="BTBullet1"/>
    <w:basedOn w:val="Normal"/>
    <w:uiPriority w:val="6"/>
    <w:qFormat/>
    <w:pPr>
      <w:spacing w:before="0" w:after="0" w:line="240" w:lineRule="atLeast"/>
      <w:jc w:val="left"/>
    </w:pPr>
    <w:rPr>
      <w:rFonts w:ascii="Arial" w:eastAsia="Calibri" w:hAnsi="Arial"/>
    </w:rPr>
  </w:style>
  <w:style w:type="paragraph" w:customStyle="1" w:styleId="BTBullet2">
    <w:name w:val="BTBullet2"/>
    <w:basedOn w:val="Normal"/>
    <w:uiPriority w:val="6"/>
    <w:qFormat/>
    <w:pPr>
      <w:numPr>
        <w:ilvl w:val="1"/>
        <w:numId w:val="56"/>
      </w:numPr>
      <w:spacing w:before="0" w:after="0" w:line="240" w:lineRule="atLeast"/>
      <w:ind w:hanging="567"/>
      <w:jc w:val="left"/>
    </w:pPr>
    <w:rPr>
      <w:rFonts w:ascii="Arial" w:eastAsia="Calibri" w:hAnsi="Arial"/>
    </w:rPr>
  </w:style>
  <w:style w:type="paragraph" w:customStyle="1" w:styleId="BTBullet3">
    <w:name w:val="BTBullet3"/>
    <w:basedOn w:val="Normal"/>
    <w:uiPriority w:val="6"/>
    <w:qFormat/>
    <w:pPr>
      <w:numPr>
        <w:ilvl w:val="2"/>
        <w:numId w:val="56"/>
      </w:numPr>
      <w:tabs>
        <w:tab w:val="num" w:pos="1417"/>
      </w:tabs>
      <w:spacing w:before="0" w:after="0" w:line="240" w:lineRule="atLeast"/>
      <w:ind w:left="1417" w:hanging="567"/>
      <w:jc w:val="left"/>
    </w:pPr>
    <w:rPr>
      <w:rFonts w:ascii="Arial" w:eastAsia="Calibri" w:hAnsi="Arial"/>
    </w:rPr>
  </w:style>
  <w:style w:type="numbering" w:customStyle="1" w:styleId="NumbLstBTBullet">
    <w:name w:val="NumbLstBTBullet"/>
    <w:uiPriority w:val="99"/>
    <w:pPr>
      <w:numPr>
        <w:numId w:val="38"/>
      </w:numPr>
    </w:pPr>
  </w:style>
  <w:style w:type="paragraph" w:customStyle="1" w:styleId="Table">
    <w:name w:val="Table"/>
    <w:basedOn w:val="Normal"/>
    <w:next w:val="BodyText"/>
    <w:uiPriority w:val="11"/>
    <w:qFormat/>
    <w:pPr>
      <w:keepNext/>
      <w:spacing w:line="240" w:lineRule="atLeast"/>
      <w:ind w:left="5040" w:hanging="360"/>
      <w:jc w:val="left"/>
    </w:pPr>
    <w:rPr>
      <w:rFonts w:ascii="Calibri" w:eastAsia="Calibri" w:hAnsi="Calibri"/>
      <w:b/>
      <w:color w:val="0067AC"/>
    </w:rPr>
  </w:style>
  <w:style w:type="paragraph" w:customStyle="1" w:styleId="TableTitle0">
    <w:name w:val="TableTitle"/>
    <w:basedOn w:val="Normal"/>
    <w:uiPriority w:val="14"/>
    <w:qFormat/>
    <w:pPr>
      <w:spacing w:before="0" w:after="0" w:line="220" w:lineRule="atLeast"/>
      <w:jc w:val="left"/>
    </w:pPr>
    <w:rPr>
      <w:rFonts w:ascii="Calibri" w:eastAsia="Calibri" w:hAnsi="Calibri"/>
      <w:b/>
      <w:color w:val="0067AC"/>
      <w:sz w:val="18"/>
    </w:rPr>
  </w:style>
  <w:style w:type="paragraph" w:customStyle="1" w:styleId="TableTextNoSpace">
    <w:name w:val="TableTextNoSpace"/>
    <w:basedOn w:val="Normal"/>
    <w:uiPriority w:val="15"/>
    <w:qFormat/>
    <w:pPr>
      <w:spacing w:before="0" w:after="0" w:line="220" w:lineRule="atLeast"/>
      <w:jc w:val="left"/>
    </w:pPr>
    <w:rPr>
      <w:rFonts w:ascii="Arial" w:eastAsia="Calibri" w:hAnsi="Arial"/>
      <w:sz w:val="18"/>
    </w:rPr>
  </w:style>
  <w:style w:type="paragraph" w:customStyle="1" w:styleId="TableSource">
    <w:name w:val="TableSource"/>
    <w:basedOn w:val="BodyText"/>
    <w:uiPriority w:val="6"/>
    <w:qFormat/>
    <w:pPr>
      <w:spacing w:before="120" w:line="200" w:lineRule="atLeast"/>
      <w:ind w:left="851"/>
      <w:jc w:val="left"/>
    </w:pPr>
    <w:rPr>
      <w:rFonts w:ascii="Arial" w:eastAsia="Calibri" w:hAnsi="Arial"/>
      <w:i/>
      <w:sz w:val="18"/>
      <w:szCs w:val="24"/>
    </w:rPr>
  </w:style>
  <w:style w:type="paragraph" w:customStyle="1" w:styleId="Bullet10">
    <w:name w:val="Bullet1"/>
    <w:basedOn w:val="Normal"/>
    <w:qFormat/>
    <w:pPr>
      <w:spacing w:before="0" w:after="0" w:line="240" w:lineRule="atLeast"/>
      <w:jc w:val="left"/>
    </w:pPr>
    <w:rPr>
      <w:rFonts w:ascii="Arial" w:eastAsia="Calibri" w:hAnsi="Arial"/>
    </w:rPr>
  </w:style>
  <w:style w:type="paragraph" w:customStyle="1" w:styleId="Heading2NoNumb">
    <w:name w:val="Heading 2NoNumb"/>
    <w:basedOn w:val="Heading2"/>
    <w:next w:val="Normal"/>
    <w:uiPriority w:val="5"/>
    <w:qFormat/>
    <w:pPr>
      <w:numPr>
        <w:ilvl w:val="0"/>
        <w:numId w:val="0"/>
      </w:numPr>
      <w:spacing w:before="240" w:line="260" w:lineRule="atLeast"/>
      <w:jc w:val="left"/>
    </w:pPr>
    <w:rPr>
      <w:rFonts w:ascii="Calibri" w:eastAsia="Times New Roman" w:hAnsi="Calibri" w:cs="Times New Roman"/>
      <w:b w:val="0"/>
      <w:iCs w:val="0"/>
      <w:color w:val="0067AC"/>
      <w:sz w:val="26"/>
    </w:rPr>
  </w:style>
  <w:style w:type="character" w:customStyle="1" w:styleId="Text1Char">
    <w:name w:val="Text 1 Char"/>
    <w:link w:val="Text1"/>
    <w:rPr>
      <w:rFonts w:ascii="Times New Roman" w:eastAsia="Times New Roman" w:hAnsi="Times New Roman"/>
      <w:sz w:val="24"/>
      <w:lang w:eastAsia="en-US"/>
    </w:rPr>
  </w:style>
  <w:style w:type="paragraph" w:customStyle="1" w:styleId="Bullet">
    <w:name w:val="Bullet"/>
    <w:basedOn w:val="Normal"/>
    <w:pPr>
      <w:numPr>
        <w:numId w:val="57"/>
      </w:numPr>
      <w:spacing w:before="0" w:line="264" w:lineRule="auto"/>
    </w:pPr>
    <w:rPr>
      <w:rFonts w:ascii="Arial" w:eastAsia="Times New Roman" w:hAnsi="Arial"/>
      <w:szCs w:val="20"/>
      <w:lang w:eastAsia="en-GB"/>
    </w:rPr>
  </w:style>
  <w:style w:type="numbering" w:customStyle="1" w:styleId="NumbLstBTBullet1">
    <w:name w:val="NumbLstBTBullet1"/>
    <w:uiPriority w:val="99"/>
    <w:pPr>
      <w:numPr>
        <w:numId w:val="62"/>
      </w:numPr>
    </w:pPr>
  </w:style>
  <w:style w:type="paragraph" w:customStyle="1" w:styleId="TableText">
    <w:name w:val="TableText"/>
    <w:basedOn w:val="Normal"/>
    <w:uiPriority w:val="15"/>
    <w:qFormat/>
    <w:pPr>
      <w:spacing w:before="0" w:line="220" w:lineRule="atLeast"/>
      <w:jc w:val="left"/>
    </w:pPr>
    <w:rPr>
      <w:rFonts w:ascii="Arial" w:eastAsia="Calibri" w:hAnsi="Arial"/>
      <w:sz w:val="18"/>
    </w:rPr>
  </w:style>
  <w:style w:type="paragraph" w:customStyle="1" w:styleId="Bullet20">
    <w:name w:val="Bullet2"/>
    <w:basedOn w:val="Normal"/>
    <w:qFormat/>
    <w:pPr>
      <w:tabs>
        <w:tab w:val="num" w:pos="926"/>
      </w:tabs>
      <w:spacing w:before="0" w:after="0" w:line="240" w:lineRule="atLeast"/>
      <w:ind w:left="926" w:hanging="360"/>
      <w:jc w:val="left"/>
    </w:pPr>
    <w:rPr>
      <w:rFonts w:ascii="Arial" w:eastAsia="Calibri" w:hAnsi="Arial"/>
    </w:rPr>
  </w:style>
  <w:style w:type="paragraph" w:customStyle="1" w:styleId="Bullet30">
    <w:name w:val="Bullet3"/>
    <w:basedOn w:val="Normal"/>
    <w:uiPriority w:val="6"/>
    <w:qFormat/>
    <w:pPr>
      <w:tabs>
        <w:tab w:val="num" w:pos="926"/>
      </w:tabs>
      <w:spacing w:before="0" w:after="0" w:line="240" w:lineRule="atLeast"/>
      <w:ind w:left="926" w:hanging="360"/>
      <w:jc w:val="left"/>
    </w:pPr>
    <w:rPr>
      <w:rFonts w:ascii="Arial" w:eastAsia="Calibri" w:hAnsi="Arial"/>
    </w:rPr>
  </w:style>
  <w:style w:type="numbering" w:customStyle="1" w:styleId="NumbLstBullet">
    <w:name w:val="NumbLstBullet"/>
    <w:uiPriority w:val="99"/>
    <w:pPr>
      <w:numPr>
        <w:numId w:val="58"/>
      </w:numPr>
    </w:pPr>
  </w:style>
  <w:style w:type="paragraph" w:customStyle="1" w:styleId="TableBullet">
    <w:name w:val="TableBullet"/>
    <w:basedOn w:val="TableText"/>
    <w:uiPriority w:val="6"/>
    <w:qFormat/>
    <w:pPr>
      <w:numPr>
        <w:numId w:val="60"/>
      </w:numPr>
      <w:spacing w:after="0"/>
      <w:ind w:right="57"/>
    </w:pPr>
  </w:style>
  <w:style w:type="numbering" w:customStyle="1" w:styleId="NumbLstTableBullet">
    <w:name w:val="NumbLstTableBullet"/>
    <w:uiPriority w:val="99"/>
    <w:pPr>
      <w:numPr>
        <w:numId w:val="59"/>
      </w:numPr>
    </w:pPr>
  </w:style>
  <w:style w:type="table" w:customStyle="1" w:styleId="TableGrid1">
    <w:name w:val="Table Grid1"/>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customStyle="1" w:styleId="Textbody">
    <w:name w:val="Text body"/>
    <w:basedOn w:val="Default"/>
    <w:pPr>
      <w:tabs>
        <w:tab w:val="left" w:pos="709"/>
      </w:tabs>
      <w:suppressAutoHyphens/>
      <w:autoSpaceDE/>
      <w:autoSpaceDN/>
      <w:adjustRightInd/>
      <w:spacing w:before="120" w:after="120" w:line="240" w:lineRule="atLeast"/>
      <w:ind w:left="851"/>
    </w:pPr>
    <w:rPr>
      <w:rFonts w:eastAsia="Calibri"/>
      <w:sz w:val="20"/>
      <w:lang w:eastAsia="en-US"/>
    </w:rPr>
  </w:style>
  <w:style w:type="paragraph" w:customStyle="1" w:styleId="CM1">
    <w:name w:val="CM1"/>
    <w:basedOn w:val="Default"/>
    <w:next w:val="Default"/>
    <w:uiPriority w:val="99"/>
    <w:rPr>
      <w:rFonts w:ascii="Times New Roman" w:hAnsi="Times New Roman" w:cs="Times New Roman"/>
      <w:color w:val="auto"/>
    </w:rPr>
  </w:style>
  <w:style w:type="paragraph" w:customStyle="1" w:styleId="CM3">
    <w:name w:val="CM3"/>
    <w:basedOn w:val="Default"/>
    <w:next w:val="Default"/>
    <w:uiPriority w:val="99"/>
    <w:rPr>
      <w:rFonts w:ascii="Times New Roman" w:hAnsi="Times New Roman" w:cs="Times New Roman"/>
      <w:color w:val="auto"/>
    </w:rPr>
  </w:style>
  <w:style w:type="paragraph" w:customStyle="1" w:styleId="bullet11">
    <w:name w:val="bullet1"/>
    <w:basedOn w:val="ListBullet2"/>
    <w:link w:val="bullet1Char"/>
    <w:qFormat/>
    <w:pPr>
      <w:numPr>
        <w:numId w:val="0"/>
      </w:numPr>
      <w:tabs>
        <w:tab w:val="num" w:pos="1264"/>
      </w:tabs>
      <w:spacing w:after="0"/>
      <w:ind w:left="1267" w:hanging="360"/>
    </w:pPr>
  </w:style>
  <w:style w:type="character" w:styleId="Emphasis">
    <w:name w:val="Emphasis"/>
    <w:uiPriority w:val="20"/>
    <w:qFormat/>
    <w:rPr>
      <w:i/>
      <w:iCs/>
    </w:rPr>
  </w:style>
  <w:style w:type="character" w:customStyle="1" w:styleId="Text2Char">
    <w:name w:val="Text 2 Char"/>
    <w:link w:val="Text2"/>
    <w:rPr>
      <w:rFonts w:ascii="Times New Roman" w:eastAsia="Times New Roman" w:hAnsi="Times New Roman"/>
      <w:sz w:val="24"/>
      <w:lang w:eastAsia="en-US"/>
    </w:rPr>
  </w:style>
  <w:style w:type="character" w:customStyle="1" w:styleId="ListBullet2Char">
    <w:name w:val="List Bullet 2 Char"/>
    <w:link w:val="ListBullet2"/>
    <w:uiPriority w:val="99"/>
    <w:rPr>
      <w:rFonts w:ascii="Times New Roman" w:eastAsia="Times New Roman" w:hAnsi="Times New Roman"/>
      <w:sz w:val="24"/>
      <w:lang w:eastAsia="en-US"/>
    </w:rPr>
  </w:style>
  <w:style w:type="character" w:customStyle="1" w:styleId="bullet1Char">
    <w:name w:val="bullet1 Char"/>
    <w:basedOn w:val="ListBullet2Char"/>
    <w:link w:val="bullet11"/>
    <w:rPr>
      <w:rFonts w:ascii="Times New Roman" w:eastAsia="Times New Roman" w:hAnsi="Times New Roman"/>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before="0" w:after="0"/>
      <w:ind w:left="284" w:hanging="284"/>
    </w:pPr>
    <w:rPr>
      <w:rFonts w:ascii="Cambria" w:hAnsi="Cambria"/>
      <w:szCs w:val="20"/>
      <w:vertAlign w:val="superscript"/>
      <w:lang w:eastAsia="en-GB"/>
    </w:rPr>
  </w:style>
  <w:style w:type="table" w:styleId="TableColumns1">
    <w:name w:val="Table Columns 1"/>
    <w:basedOn w:val="TableNormal"/>
    <w:pPr>
      <w:spacing w:before="120" w:after="120"/>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BodyText"/>
    <w:uiPriority w:val="11"/>
    <w:qFormat/>
    <w:pPr>
      <w:keepNext/>
      <w:tabs>
        <w:tab w:val="num" w:pos="851"/>
      </w:tabs>
      <w:spacing w:line="240" w:lineRule="atLeast"/>
      <w:ind w:left="1928" w:hanging="1077"/>
      <w:jc w:val="left"/>
    </w:pPr>
    <w:rPr>
      <w:rFonts w:ascii="Calibri" w:eastAsiaTheme="minorHAnsi" w:hAnsi="Calibri"/>
      <w:b/>
      <w:color w:val="0067AC"/>
    </w:rPr>
  </w:style>
  <w:style w:type="paragraph" w:customStyle="1" w:styleId="FooterLand">
    <w:name w:val="FooterLand"/>
    <w:basedOn w:val="Footer"/>
    <w:uiPriority w:val="29"/>
    <w:semiHidden/>
    <w:qFormat/>
    <w:pPr>
      <w:tabs>
        <w:tab w:val="clear" w:pos="4513"/>
        <w:tab w:val="clear" w:pos="9026"/>
        <w:tab w:val="right" w:pos="14005"/>
      </w:tabs>
      <w:spacing w:before="0" w:after="0"/>
      <w:jc w:val="left"/>
    </w:pPr>
    <w:rPr>
      <w:rFonts w:ascii="Arial" w:eastAsiaTheme="minorHAnsi" w:hAnsi="Arial"/>
    </w:rPr>
  </w:style>
  <w:style w:type="numbering" w:customStyle="1" w:styleId="NumbLstMain">
    <w:name w:val="NumbLstMain"/>
    <w:uiPriority w:val="99"/>
    <w:pPr>
      <w:numPr>
        <w:numId w:val="63"/>
      </w:numPr>
    </w:pPr>
  </w:style>
  <w:style w:type="paragraph" w:customStyle="1" w:styleId="Box">
    <w:name w:val="Box"/>
    <w:basedOn w:val="Normal"/>
    <w:next w:val="BodyText"/>
    <w:uiPriority w:val="6"/>
    <w:qFormat/>
    <w:pPr>
      <w:spacing w:line="240" w:lineRule="atLeast"/>
      <w:ind w:left="1928" w:hanging="1077"/>
      <w:jc w:val="left"/>
    </w:pPr>
    <w:rPr>
      <w:rFonts w:ascii="Calibri" w:eastAsiaTheme="minorHAnsi" w:hAnsi="Calibri"/>
      <w:b/>
      <w:color w:val="0067AC"/>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eastAsia="Times New Roman" w:hAnsi="Times New Roman"/>
      <w:sz w:val="24"/>
      <w:szCs w:val="20"/>
    </w:rPr>
  </w:style>
  <w:style w:type="character" w:customStyle="1" w:styleId="FooterCoverPageChar">
    <w:name w:val="Footer Cover Page Char"/>
    <w:basedOn w:val="DefaultParagraphFont"/>
    <w:link w:val="FooterCoverPage"/>
    <w:rPr>
      <w:rFonts w:ascii="Times New Roman" w:eastAsia="Times New Roman" w:hAnsi="Times New Roman"/>
      <w:sz w:val="24"/>
      <w:lang w:eastAsia="en-US"/>
    </w:rPr>
  </w:style>
  <w:style w:type="paragraph" w:customStyle="1" w:styleId="HeaderCoverPage">
    <w:name w:val="Header Cover Page"/>
    <w:basedOn w:val="Normal"/>
    <w:link w:val="HeaderCoverPageChar"/>
    <w:pPr>
      <w:tabs>
        <w:tab w:val="center" w:pos="4535"/>
        <w:tab w:val="right" w:pos="9071"/>
      </w:tabs>
      <w:spacing w:before="0"/>
    </w:pPr>
    <w:rPr>
      <w:rFonts w:ascii="Times New Roman" w:eastAsia="Times New Roman" w:hAnsi="Times New Roman"/>
      <w:sz w:val="24"/>
      <w:szCs w:val="20"/>
    </w:rPr>
  </w:style>
  <w:style w:type="character" w:customStyle="1" w:styleId="HeaderCoverPageChar">
    <w:name w:val="Header Cover Page Char"/>
    <w:basedOn w:val="DefaultParagraphFont"/>
    <w:link w:val="HeaderCoverPage"/>
    <w:rPr>
      <w:rFonts w:ascii="Times New Roman" w:eastAsia="Times New Roman" w:hAnsi="Times New Roman"/>
      <w:sz w:val="24"/>
      <w:lang w:eastAsia="en-US"/>
    </w:rPr>
  </w:style>
  <w:style w:type="character" w:customStyle="1" w:styleId="ListParagraphChar">
    <w:name w:val="List Paragraph Char"/>
    <w:aliases w:val="Paragraphe de liste 2 Char,Reference list Char,Normal bullet 2 Char,Bullet list Char,Numbered List Char,List Paragraph1 Char,1st level - Bullet List Paragraph Char,Lettre d'introduction Char,Paragrafo elenco Char,Bullet EY Char"/>
    <w:basedOn w:val="DefaultParagraphFont"/>
    <w:link w:val="ListParagraph"/>
    <w:uiPriority w:val="34"/>
    <w:qFormat/>
    <w:locked/>
    <w:rPr>
      <w:rFonts w:asciiTheme="minorHAnsi" w:eastAsiaTheme="minorHAnsi" w:hAnsiTheme="minorHAnsi" w:cstheme="minorBidi"/>
      <w:sz w:val="22"/>
      <w:szCs w:val="22"/>
      <w:lang w:eastAsia="en-US"/>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before="0" w:after="160" w:line="240" w:lineRule="exact"/>
      <w:jc w:val="left"/>
    </w:pPr>
    <w:rPr>
      <w:rFonts w:asciiTheme="minorHAnsi" w:eastAsiaTheme="minorHAnsi" w:hAnsiTheme="minorHAnsi" w:cstheme="minorBidi"/>
      <w:sz w:val="22"/>
      <w:szCs w:val="22"/>
      <w:vertAlign w:val="superscript"/>
    </w:rPr>
  </w:style>
  <w:style w:type="character" w:customStyle="1" w:styleId="st">
    <w:name w:val="st"/>
    <w:basedOn w:val="DefaultParagraphFont"/>
  </w:style>
  <w:style w:type="character" w:customStyle="1" w:styleId="FootnoteTextChar1">
    <w:name w:val="Footnote Text Char1"/>
    <w:aliases w:val="Testo nota a piè di pagina_Rientro Char1,stile 1 Char1,Footnote Char1,Footnote1 Char1,Footnote2 Char1,Footnote3 Char1,Footnote4 Char1,Footnote5 Char1,Footnote6 Char1,Footnote7 Char1,Footnote8 Char1,Footnote9 Char1,Footnote10 Char1"/>
    <w:uiPriority w:val="99"/>
    <w:rPr>
      <w:lang w:eastAsia="en-US"/>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before="0" w:after="160" w:line="240" w:lineRule="exact"/>
      <w:jc w:val="left"/>
    </w:pPr>
    <w:rPr>
      <w:rFonts w:ascii="Arial" w:eastAsiaTheme="minorHAnsi" w:hAnsi="Arial" w:cstheme="minorBidi"/>
      <w:sz w:val="16"/>
      <w:szCs w:val="22"/>
      <w:vertAlign w:val="superscript"/>
    </w:rPr>
  </w:style>
  <w:style w:type="character" w:customStyle="1" w:styleId="Corpsdutexte">
    <w:name w:val="Corps du texte_"/>
    <w:basedOn w:val="DefaultParagraphFont"/>
    <w:rPr>
      <w:b w:val="0"/>
      <w:bCs w:val="0"/>
      <w:i w:val="0"/>
      <w:iCs w:val="0"/>
      <w:smallCaps w:val="0"/>
      <w:strike w:val="0"/>
      <w:sz w:val="23"/>
      <w:szCs w:val="23"/>
      <w:u w:val="none"/>
    </w:rPr>
  </w:style>
  <w:style w:type="character" w:customStyle="1" w:styleId="CaptionChar">
    <w:name w:val="Caption Char"/>
    <w:aliases w:val="Figure Caption Char, Char Char Char,Char Char Char,Figure Caption + Avant : 14 pt Char,Motif : Transparente (Gris - 15 %) Char,TF Char,Caption1 Char Char Char Char Char Char Char Char Tegn Tegn Tegn Tegn Tegn Char"/>
    <w:basedOn w:val="DefaultParagraphFont"/>
    <w:link w:val="Caption"/>
    <w:rPr>
      <w:rFonts w:asciiTheme="minorHAnsi" w:eastAsiaTheme="minorHAnsi" w:hAnsiTheme="minorHAnsi" w:cstheme="minorBidi"/>
      <w:b/>
      <w:bCs/>
      <w:color w:val="4F81BD" w:themeColor="accent1"/>
      <w:sz w:val="18"/>
      <w:szCs w:val="18"/>
      <w:lang w:val="en-US" w:eastAsia="en-US"/>
    </w:rPr>
  </w:style>
  <w:style w:type="table" w:customStyle="1" w:styleId="GridTable4-Accent11">
    <w:name w:val="Grid Table 4 - Accent 11"/>
    <w:basedOn w:val="TableNormal"/>
    <w:uiPriority w:val="49"/>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overTitle">
    <w:name w:val="Cover Title"/>
    <w:link w:val="CoverTitleChar"/>
    <w:autoRedefine/>
    <w:qFormat/>
    <w:rPr>
      <w:rFonts w:ascii="Arial" w:eastAsia="Times" w:hAnsi="Arial"/>
      <w:b/>
      <w:noProof/>
      <w:color w:val="002776"/>
      <w:kern w:val="28"/>
      <w:sz w:val="52"/>
      <w:szCs w:val="52"/>
      <w:lang w:eastAsia="en-US"/>
    </w:rPr>
  </w:style>
  <w:style w:type="character" w:customStyle="1" w:styleId="CoverTitleChar">
    <w:name w:val="Cover Title Char"/>
    <w:basedOn w:val="DefaultParagraphFont"/>
    <w:link w:val="CoverTitle"/>
    <w:rPr>
      <w:rFonts w:ascii="Arial" w:eastAsia="Times" w:hAnsi="Arial"/>
      <w:b/>
      <w:noProof/>
      <w:color w:val="002776"/>
      <w:kern w:val="28"/>
      <w:sz w:val="52"/>
      <w:szCs w:val="52"/>
      <w:lang w:eastAsia="en-US"/>
    </w:rPr>
  </w:style>
  <w:style w:type="paragraph" w:customStyle="1" w:styleId="AnnexSectionHeading">
    <w:name w:val="Annex Section Heading"/>
    <w:basedOn w:val="Heading2"/>
    <w:next w:val="Normal"/>
    <w:link w:val="AnnexSectionHeadingChar"/>
    <w:autoRedefine/>
    <w:qFormat/>
    <w:pPr>
      <w:keepLines w:val="0"/>
      <w:numPr>
        <w:ilvl w:val="0"/>
        <w:numId w:val="0"/>
      </w:numPr>
      <w:tabs>
        <w:tab w:val="left" w:pos="9630"/>
      </w:tabs>
      <w:spacing w:before="0"/>
      <w:ind w:left="737" w:hanging="737"/>
      <w:jc w:val="left"/>
    </w:pPr>
    <w:rPr>
      <w:rFonts w:ascii="Arial" w:eastAsia="Times" w:hAnsi="Arial" w:cs="Times New Roman"/>
      <w:bCs w:val="0"/>
      <w:iCs w:val="0"/>
      <w:color w:val="92D050"/>
      <w:sz w:val="22"/>
      <w:szCs w:val="22"/>
    </w:rPr>
  </w:style>
  <w:style w:type="character" w:customStyle="1" w:styleId="AnnexSectionHeadingChar">
    <w:name w:val="Annex Section Heading Char"/>
    <w:basedOn w:val="DefaultParagraphFont"/>
    <w:link w:val="AnnexSectionHeading"/>
    <w:rPr>
      <w:rFonts w:ascii="Arial" w:eastAsia="Times" w:hAnsi="Arial"/>
      <w:b/>
      <w:color w:val="92D050"/>
      <w:sz w:val="22"/>
      <w:szCs w:val="22"/>
      <w:lang w:eastAsia="en-US"/>
    </w:rPr>
  </w:style>
  <w:style w:type="numbering" w:customStyle="1" w:styleId="BulletEU">
    <w:name w:val="Bullet EU"/>
    <w:uiPriority w:val="99"/>
    <w:pPr>
      <w:numPr>
        <w:numId w:val="87"/>
      </w:numPr>
    </w:pPr>
  </w:style>
  <w:style w:type="character" w:customStyle="1" w:styleId="ListBulletChar">
    <w:name w:val="List Bullet Char"/>
    <w:aliases w:val="Bullet Point EU Char,Bullet Point EU 2 Char,UL Char"/>
    <w:basedOn w:val="DefaultParagraphFont"/>
    <w:link w:val="ListBullet"/>
    <w:rPr>
      <w:rFonts w:ascii="Times New Roman" w:eastAsia="Times New Roman" w:hAnsi="Times New Roman"/>
      <w:sz w:val="24"/>
      <w:lang w:eastAsia="en-US"/>
    </w:rPr>
  </w:style>
  <w:style w:type="table" w:customStyle="1" w:styleId="ListTable3-Accent111">
    <w:name w:val="List Table 3 - Accent 111"/>
    <w:basedOn w:val="TableNormal"/>
    <w:uiPriority w:val="48"/>
    <w:rPr>
      <w:rFonts w:ascii="Calibri" w:eastAsia="Calibri" w:hAnsi="Calibr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entry-byline">
    <w:name w:val="entry-byline"/>
    <w:basedOn w:val="DefaultParagraphFont"/>
  </w:style>
  <w:style w:type="character" w:customStyle="1" w:styleId="apple-converted-space">
    <w:name w:val="apple-converted-space"/>
    <w:basedOn w:val="DefaultParagraphFont"/>
  </w:style>
  <w:style w:type="character" w:styleId="EndnoteReference">
    <w:name w:val="endnote reference"/>
    <w:basedOn w:val="DefaultParagraphFont"/>
    <w:uiPriority w:val="99"/>
    <w:semiHidden/>
    <w:unhideWhenUsed/>
    <w:rPr>
      <w:vertAlign w:val="superscript"/>
    </w:rPr>
  </w:style>
  <w:style w:type="paragraph" w:customStyle="1" w:styleId="AnnexChapterHeading">
    <w:name w:val="Annex Chapter Heading"/>
    <w:basedOn w:val="Heading1"/>
    <w:next w:val="Normal"/>
    <w:link w:val="AnnexChapterHeadingChar"/>
    <w:autoRedefine/>
    <w:qFormat/>
    <w:pPr>
      <w:pageBreakBefore/>
      <w:numPr>
        <w:numId w:val="107"/>
      </w:numPr>
      <w:spacing w:before="0" w:after="1600"/>
      <w:jc w:val="left"/>
    </w:pPr>
    <w:rPr>
      <w:rFonts w:ascii="Arial" w:eastAsia="Times" w:hAnsi="Arial" w:cs="Arial"/>
      <w:b w:val="0"/>
      <w:color w:val="002776"/>
      <w:kern w:val="32"/>
      <w:sz w:val="60"/>
      <w:szCs w:val="60"/>
    </w:rPr>
  </w:style>
  <w:style w:type="character" w:customStyle="1" w:styleId="AnnexChapterHeadingChar">
    <w:name w:val="Annex Chapter Heading Char"/>
    <w:basedOn w:val="DefaultParagraphFont"/>
    <w:link w:val="AnnexChapterHeading"/>
    <w:rPr>
      <w:rFonts w:ascii="Arial" w:eastAsia="Times" w:hAnsi="Arial" w:cs="Arial"/>
      <w:color w:val="002776"/>
      <w:kern w:val="32"/>
      <w:sz w:val="60"/>
      <w:szCs w:val="60"/>
      <w:lang w:eastAsia="en-US"/>
    </w:rPr>
  </w:style>
  <w:style w:type="numbering" w:customStyle="1" w:styleId="NoList2">
    <w:name w:val="No List2"/>
    <w:next w:val="NoList"/>
    <w:uiPriority w:val="99"/>
    <w:semiHidden/>
    <w:unhideWhenUsed/>
  </w:style>
  <w:style w:type="numbering" w:customStyle="1" w:styleId="NumbLstBTBullet2">
    <w:name w:val="NumbLstBTBullet2"/>
    <w:uiPriority w:val="99"/>
    <w:pPr>
      <w:numPr>
        <w:numId w:val="1"/>
      </w:numPr>
    </w:pPr>
  </w:style>
  <w:style w:type="numbering" w:customStyle="1" w:styleId="NumbLstBTBullet11">
    <w:name w:val="NumbLstBTBullet11"/>
    <w:uiPriority w:val="99"/>
    <w:pPr>
      <w:numPr>
        <w:numId w:val="21"/>
      </w:numPr>
    </w:pPr>
  </w:style>
  <w:style w:type="numbering" w:customStyle="1" w:styleId="NumbLstBullet1">
    <w:name w:val="NumbLstBullet1"/>
    <w:uiPriority w:val="99"/>
    <w:pPr>
      <w:numPr>
        <w:numId w:val="17"/>
      </w:numPr>
    </w:pPr>
  </w:style>
  <w:style w:type="numbering" w:customStyle="1" w:styleId="NumbLstTableBullet1">
    <w:name w:val="NumbLstTableBullet1"/>
    <w:uiPriority w:val="99"/>
    <w:pPr>
      <w:numPr>
        <w:numId w:val="18"/>
      </w:numPr>
    </w:pPr>
  </w:style>
  <w:style w:type="numbering" w:customStyle="1" w:styleId="NumbLstMain1">
    <w:name w:val="NumbLstMain1"/>
    <w:uiPriority w:val="99"/>
    <w:pPr>
      <w:numPr>
        <w:numId w:val="22"/>
      </w:numPr>
    </w:pPr>
  </w:style>
  <w:style w:type="numbering" w:customStyle="1" w:styleId="BulletEU1">
    <w:name w:val="Bullet EU1"/>
    <w:uiPriority w:val="99"/>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77796">
      <w:bodyDiv w:val="1"/>
      <w:marLeft w:val="0"/>
      <w:marRight w:val="0"/>
      <w:marTop w:val="0"/>
      <w:marBottom w:val="0"/>
      <w:divBdr>
        <w:top w:val="none" w:sz="0" w:space="0" w:color="auto"/>
        <w:left w:val="none" w:sz="0" w:space="0" w:color="auto"/>
        <w:bottom w:val="none" w:sz="0" w:space="0" w:color="auto"/>
        <w:right w:val="none" w:sz="0" w:space="0" w:color="auto"/>
      </w:divBdr>
    </w:div>
    <w:div w:id="410279126">
      <w:bodyDiv w:val="1"/>
      <w:marLeft w:val="0"/>
      <w:marRight w:val="0"/>
      <w:marTop w:val="0"/>
      <w:marBottom w:val="0"/>
      <w:divBdr>
        <w:top w:val="none" w:sz="0" w:space="0" w:color="auto"/>
        <w:left w:val="none" w:sz="0" w:space="0" w:color="auto"/>
        <w:bottom w:val="none" w:sz="0" w:space="0" w:color="auto"/>
        <w:right w:val="none" w:sz="0" w:space="0" w:color="auto"/>
      </w:divBdr>
    </w:div>
    <w:div w:id="474682750">
      <w:bodyDiv w:val="1"/>
      <w:marLeft w:val="0"/>
      <w:marRight w:val="0"/>
      <w:marTop w:val="0"/>
      <w:marBottom w:val="0"/>
      <w:divBdr>
        <w:top w:val="none" w:sz="0" w:space="0" w:color="auto"/>
        <w:left w:val="none" w:sz="0" w:space="0" w:color="auto"/>
        <w:bottom w:val="none" w:sz="0" w:space="0" w:color="auto"/>
        <w:right w:val="none" w:sz="0" w:space="0" w:color="auto"/>
      </w:divBdr>
    </w:div>
    <w:div w:id="777942985">
      <w:bodyDiv w:val="1"/>
      <w:marLeft w:val="0"/>
      <w:marRight w:val="0"/>
      <w:marTop w:val="0"/>
      <w:marBottom w:val="0"/>
      <w:divBdr>
        <w:top w:val="none" w:sz="0" w:space="0" w:color="auto"/>
        <w:left w:val="none" w:sz="0" w:space="0" w:color="auto"/>
        <w:bottom w:val="none" w:sz="0" w:space="0" w:color="auto"/>
        <w:right w:val="none" w:sz="0" w:space="0" w:color="auto"/>
      </w:divBdr>
    </w:div>
    <w:div w:id="794713283">
      <w:bodyDiv w:val="1"/>
      <w:marLeft w:val="0"/>
      <w:marRight w:val="0"/>
      <w:marTop w:val="0"/>
      <w:marBottom w:val="0"/>
      <w:divBdr>
        <w:top w:val="none" w:sz="0" w:space="0" w:color="auto"/>
        <w:left w:val="none" w:sz="0" w:space="0" w:color="auto"/>
        <w:bottom w:val="none" w:sz="0" w:space="0" w:color="auto"/>
        <w:right w:val="none" w:sz="0" w:space="0" w:color="auto"/>
      </w:divBdr>
    </w:div>
    <w:div w:id="1070884937">
      <w:bodyDiv w:val="1"/>
      <w:marLeft w:val="0"/>
      <w:marRight w:val="0"/>
      <w:marTop w:val="0"/>
      <w:marBottom w:val="0"/>
      <w:divBdr>
        <w:top w:val="none" w:sz="0" w:space="0" w:color="auto"/>
        <w:left w:val="none" w:sz="0" w:space="0" w:color="auto"/>
        <w:bottom w:val="none" w:sz="0" w:space="0" w:color="auto"/>
        <w:right w:val="none" w:sz="0" w:space="0" w:color="auto"/>
      </w:divBdr>
    </w:div>
    <w:div w:id="1347250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header" Target="header21.xml"/><Relationship Id="rId63" Type="http://schemas.openxmlformats.org/officeDocument/2006/relationships/footer" Target="footer23.xml"/><Relationship Id="rId68" Type="http://schemas.openxmlformats.org/officeDocument/2006/relationships/footer" Target="footer25.xml"/><Relationship Id="rId76" Type="http://schemas.openxmlformats.org/officeDocument/2006/relationships/hyperlink" Target="https://en.wikipedia.org/wiki/E-mail" TargetMode="External"/><Relationship Id="rId84" Type="http://schemas.openxmlformats.org/officeDocument/2006/relationships/footer" Target="footer29.xml"/><Relationship Id="rId7" Type="http://schemas.microsoft.com/office/2007/relationships/stylesWithEffects" Target="stylesWithEffects.xml"/><Relationship Id="rId71" Type="http://schemas.openxmlformats.org/officeDocument/2006/relationships/footer" Target="footer2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0.jpeg"/><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image" Target="media/image12.jpeg"/><Relationship Id="rId66" Type="http://schemas.openxmlformats.org/officeDocument/2006/relationships/header" Target="header25.xml"/><Relationship Id="rId74" Type="http://schemas.openxmlformats.org/officeDocument/2006/relationships/hyperlink" Target="http://ec.europa.eu/justice/data-protection/article-29/structure/vice-chairmen/index_en.htm" TargetMode="External"/><Relationship Id="rId79" Type="http://schemas.openxmlformats.org/officeDocument/2006/relationships/hyperlink" Target="https://en.wikipedia.org/wiki/Fax"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3.xml"/><Relationship Id="rId82" Type="http://schemas.openxmlformats.org/officeDocument/2006/relationships/header" Target="header29.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footer" Target="footer21.xml"/><Relationship Id="rId64" Type="http://schemas.openxmlformats.org/officeDocument/2006/relationships/header" Target="header24.xml"/><Relationship Id="rId69" Type="http://schemas.openxmlformats.org/officeDocument/2006/relationships/footer" Target="footer26.xml"/><Relationship Id="rId77" Type="http://schemas.openxmlformats.org/officeDocument/2006/relationships/hyperlink" Target="https://en.wikipedia.org/wiki/Postal_mail" TargetMode="External"/><Relationship Id="rId8" Type="http://schemas.openxmlformats.org/officeDocument/2006/relationships/settings" Target="settings.xml"/><Relationship Id="rId51" Type="http://schemas.openxmlformats.org/officeDocument/2006/relationships/header" Target="header19.xml"/><Relationship Id="rId72" Type="http://schemas.openxmlformats.org/officeDocument/2006/relationships/hyperlink" Target="http://ec.europa.eu/justice/data-protection/data-collection/legal/index_en.htm" TargetMode="External"/><Relationship Id="rId80" Type="http://schemas.openxmlformats.org/officeDocument/2006/relationships/hyperlink" Target="https://en.wikipedia.org/wiki/Blacklist" TargetMode="External"/><Relationship Id="rId85" Type="http://schemas.openxmlformats.org/officeDocument/2006/relationships/header" Target="header30.xml"/><Relationship Id="rId3" Type="http://schemas.openxmlformats.org/officeDocument/2006/relationships/customXml" Target="../customXml/item3.xml"/><Relationship Id="rId12" Type="http://schemas.openxmlformats.org/officeDocument/2006/relationships/image" Target="media/image8.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header" Target="header17.xml"/><Relationship Id="rId59" Type="http://schemas.openxmlformats.org/officeDocument/2006/relationships/image" Target="media/image13.jpeg"/><Relationship Id="rId67" Type="http://schemas.openxmlformats.org/officeDocument/2006/relationships/header" Target="header26.xml"/><Relationship Id="rId20" Type="http://schemas.openxmlformats.org/officeDocument/2006/relationships/header" Target="header5.xml"/><Relationship Id="rId41" Type="http://schemas.openxmlformats.org/officeDocument/2006/relationships/footer" Target="footer13.xml"/><Relationship Id="rId54" Type="http://schemas.openxmlformats.org/officeDocument/2006/relationships/footer" Target="footer20.xml"/><Relationship Id="rId62" Type="http://schemas.openxmlformats.org/officeDocument/2006/relationships/footer" Target="footer22.xml"/><Relationship Id="rId70" Type="http://schemas.openxmlformats.org/officeDocument/2006/relationships/header" Target="header27.xml"/><Relationship Id="rId75" Type="http://schemas.openxmlformats.org/officeDocument/2006/relationships/hyperlink" Target="https://en.wikipedia.org/wiki/Opt-out" TargetMode="External"/><Relationship Id="rId83" Type="http://schemas.openxmlformats.org/officeDocument/2006/relationships/footer" Target="footer2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18.xml"/><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footer" Target="footer15.xml"/><Relationship Id="rId52" Type="http://schemas.openxmlformats.org/officeDocument/2006/relationships/header" Target="header20.xml"/><Relationship Id="rId60" Type="http://schemas.openxmlformats.org/officeDocument/2006/relationships/header" Target="header22.xml"/><Relationship Id="rId65" Type="http://schemas.openxmlformats.org/officeDocument/2006/relationships/footer" Target="footer24.xml"/><Relationship Id="rId73" Type="http://schemas.openxmlformats.org/officeDocument/2006/relationships/hyperlink" Target="http://ec.europa.eu/justice/data-protection/article-29/structure/chairman/index_en.htm" TargetMode="External"/><Relationship Id="rId78" Type="http://schemas.openxmlformats.org/officeDocument/2006/relationships/hyperlink" Target="https://en.wikipedia.org/wiki/Telephone" TargetMode="External"/><Relationship Id="rId81" Type="http://schemas.openxmlformats.org/officeDocument/2006/relationships/header" Target="header28.xml"/><Relationship Id="rId86" Type="http://schemas.openxmlformats.org/officeDocument/2006/relationships/footer" Target="footer30.xml"/></Relationships>
</file>

<file path=word/_rels/footnotes.xml.rels><?xml version="1.0" encoding="UTF-8" standalone="yes"?>
<Relationships xmlns="http://schemas.openxmlformats.org/package/2006/relationships"><Relationship Id="rId3" Type="http://schemas.openxmlformats.org/officeDocument/2006/relationships/hyperlink" Target="http://www2.itif.org/2014-economic-costs-eu-cookie.pdf" TargetMode="External"/><Relationship Id="rId2" Type="http://schemas.openxmlformats.org/officeDocument/2006/relationships/hyperlink" Target="http://ec.europa.eu/justice/data-protection/article-29/documentation/opinion-recommendation/files/2015/wp229_en.pdf" TargetMode="External"/><Relationship Id="rId1" Type="http://schemas.openxmlformats.org/officeDocument/2006/relationships/hyperlink" Target="http://www.cisco.com/c/dam/en/us/solutions/collateral/service-provider/visual-networking-index-vni/complete-white-paper-c11-481360.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716C6D809718154B85A00D8564272987" ma:contentTypeVersion="9" ma:contentTypeDescription="Create a new document." ma:contentTypeScope="" ma:versionID="b8fab895a707b9b21abf6adc55a51ee4">
  <xsd:schema xmlns:xsd="http://www.w3.org/2001/XMLSchema" xmlns:xs="http://www.w3.org/2001/XMLSchema" xmlns:p="http://schemas.microsoft.com/office/2006/metadata/properties" xmlns:ns3="69896359-b98d-4972-ac24-787626a39a52" targetNamespace="http://schemas.microsoft.com/office/2006/metadata/properties" ma:root="true" ma:fieldsID="99bf650b59f4a97b2cecff02f21bdea7" ns3:_="">
    <xsd:import namespace="69896359-b98d-4972-ac24-787626a39a52"/>
    <xsd:element name="properties">
      <xsd:complexType>
        <xsd:sequence>
          <xsd:element name="documentManagement">
            <xsd:complexType>
              <xsd:all>
                <xsd:element ref="ns3:EC_Collab_Reference" minOccurs="0"/>
                <xsd:element ref="ns3:EC_Collab_Document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96359-b98d-4972-ac24-787626a39a5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Reference xmlns="69896359-b98d-4972-ac24-787626a39a52" xsi:nil="true"/>
    <EC_Collab_DocumentLanguage xmlns="69896359-b98d-4972-ac24-787626a39a52">EN</EC_Collab_DocumentLanguag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A4495-AF6C-4134-9F3E-D4979834BB76}">
  <ds:schemaRefs>
    <ds:schemaRef ds:uri="http://schemas.microsoft.com/sharepoint/v3/contenttype/forms"/>
  </ds:schemaRefs>
</ds:datastoreItem>
</file>

<file path=customXml/itemProps2.xml><?xml version="1.0" encoding="utf-8"?>
<ds:datastoreItem xmlns:ds="http://schemas.openxmlformats.org/officeDocument/2006/customXml" ds:itemID="{7BD1BE2E-F633-4E0E-9100-00D827809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96359-b98d-4972-ac24-787626a39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BCD64C-71C9-4199-8996-22B8F56C42B6}">
  <ds:schemaRef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69896359-b98d-4972-ac24-787626a39a52"/>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2B50078B-C4A6-422F-B7BA-03E498D2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18509</Words>
  <Characters>96992</Characters>
  <Application>Microsoft Office Word</Application>
  <DocSecurity>0</DocSecurity>
  <Lines>3730</Lines>
  <Paragraphs>2264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113237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European Union, 2012</dc:description>
  <cp:lastModifiedBy>PAREDES ECHAURI Cristina (CAB-ALMUNIA)</cp:lastModifiedBy>
  <cp:revision>18</cp:revision>
  <cp:lastPrinted>2017-01-06T14:08:00Z</cp:lastPrinted>
  <dcterms:created xsi:type="dcterms:W3CDTF">2017-01-06T14:08:00Z</dcterms:created>
  <dcterms:modified xsi:type="dcterms:W3CDTF">2017-01-10T10:37:00Z</dcterms:modified>
  <cp:category>JRC Scientific and Policiy 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ive_LatestUserAccountName">
    <vt:lpwstr>naifoig</vt:lpwstr>
  </property>
  <property fmtid="{D5CDD505-2E9C-101B-9397-08002B2CF9AE}" pid="3" name="Offisync_ProviderInitializationData">
    <vt:lpwstr>https://connected.cnect.cec.eu.int</vt:lpwstr>
  </property>
  <property fmtid="{D5CDD505-2E9C-101B-9397-08002B2CF9AE}" pid="4" name="Jive_VersionGuid">
    <vt:lpwstr>9165aa37-3f4c-481d-9b55-192cbb8cbe28</vt:lpwstr>
  </property>
  <property fmtid="{D5CDD505-2E9C-101B-9397-08002B2CF9AE}" pid="5" name="Offisync_ServerID">
    <vt:lpwstr>0d3b22a6-6203-4efc-8e8e-b5279256493b</vt:lpwstr>
  </property>
  <property fmtid="{D5CDD505-2E9C-101B-9397-08002B2CF9AE}" pid="6" name="Offisync_UniqueId">
    <vt:lpwstr>69593</vt:lpwstr>
  </property>
  <property fmtid="{D5CDD505-2E9C-101B-9397-08002B2CF9AE}" pid="7" name="Offisync_UpdateToken">
    <vt:lpwstr>7</vt:lpwstr>
  </property>
  <property fmtid="{D5CDD505-2E9C-101B-9397-08002B2CF9AE}" pid="8" name="Part">
    <vt:lpwstr>3</vt:lpwstr>
  </property>
  <property fmtid="{D5CDD505-2E9C-101B-9397-08002B2CF9AE}" pid="9" name="Total parts">
    <vt:lpwstr>3</vt:lpwstr>
  </property>
  <property fmtid="{D5CDD505-2E9C-101B-9397-08002B2CF9AE}" pid="10" name="DocStatus">
    <vt:lpwstr>Green</vt:lpwstr>
  </property>
  <property fmtid="{D5CDD505-2E9C-101B-9397-08002B2CF9AE}" pid="11" name="Classification">
    <vt:lpwstr> </vt:lpwstr>
  </property>
  <property fmtid="{D5CDD505-2E9C-101B-9397-08002B2CF9AE}" pid="12" name="ContentTypeId">
    <vt:lpwstr>0x010100258AA79CEB83498886A3A0868112325000716C6D809718154B85A00D8564272987</vt:lpwstr>
  </property>
</Properties>
</file>