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88" w:rsidRDefault="0009234B" w:rsidP="0009234B">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29F56674393453D923B8EFF120BD2AB" style="width:451.4pt;height:306.6pt">
            <v:imagedata r:id="rId9" o:title=""/>
          </v:shape>
        </w:pict>
      </w:r>
    </w:p>
    <w:bookmarkEnd w:id="0"/>
    <w:p w:rsidR="00140188" w:rsidRDefault="00140188">
      <w:pPr>
        <w:rPr>
          <w:noProof/>
          <w:lang w:val="en-GB"/>
        </w:rPr>
        <w:sectPr w:rsidR="00140188" w:rsidSect="0009234B">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rsidR="00140188" w:rsidRDefault="0009234B">
      <w:pPr>
        <w:pStyle w:val="Heading1"/>
        <w:rPr>
          <w:rFonts w:ascii="Times New Roman" w:hAnsi="Times New Roman"/>
          <w:noProof/>
        </w:rPr>
      </w:pPr>
      <w:bookmarkStart w:id="1" w:name="_GoBack"/>
      <w:bookmarkEnd w:id="1"/>
      <w:r>
        <w:rPr>
          <w:noProof/>
        </w:rPr>
        <w:lastRenderedPageBreak/>
        <w:t>1.</w:t>
      </w:r>
      <w:r>
        <w:rPr>
          <w:rFonts w:ascii="Times New Roman" w:hAnsi="Times New Roman"/>
          <w:noProof/>
        </w:rPr>
        <w:t xml:space="preserve"> </w:t>
      </w:r>
      <w:r>
        <w:rPr>
          <w:noProof/>
        </w:rPr>
        <w:t xml:space="preserve">Introduction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protection of personal data is part of Europe's common constitutional </w:t>
      </w:r>
      <w:r>
        <w:rPr>
          <w:rFonts w:ascii="Times New Roman" w:hAnsi="Times New Roman" w:cs="Times New Roman"/>
          <w:noProof/>
          <w:sz w:val="24"/>
          <w:szCs w:val="24"/>
          <w:lang w:val="en-GB"/>
        </w:rPr>
        <w:t>fabric and is enshrined in Article 8 of the EU Charter of Fundamental Rights. It has been central to EU law for more than 20 years, from the Data Protection Directive in 1995</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("the 1995 Directive") to the adoption of the General Data Protection Regulation</w:t>
      </w:r>
      <w:r>
        <w:rPr>
          <w:rFonts w:ascii="Times New Roman" w:hAnsi="Times New Roman" w:cs="Times New Roman"/>
          <w:noProof/>
          <w:sz w:val="24"/>
          <w:szCs w:val="24"/>
          <w:lang w:val="en-GB"/>
        </w:rPr>
        <w:t xml:space="preserve"> (GDPR)</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and the Police Directive</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in 2016.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President Juncker stressed in his State of the European Union speech on 14 September 2016, "</w:t>
      </w:r>
      <w:r>
        <w:rPr>
          <w:rFonts w:ascii="Times New Roman" w:hAnsi="Times New Roman" w:cs="Times New Roman"/>
          <w:i/>
          <w:noProof/>
          <w:sz w:val="24"/>
          <w:szCs w:val="24"/>
          <w:lang w:val="en-GB"/>
        </w:rPr>
        <w:t>[b]eing European means the right to have your personal data protected by strong, European laws. […] Because in Europ</w:t>
      </w:r>
      <w:r>
        <w:rPr>
          <w:rFonts w:ascii="Times New Roman" w:hAnsi="Times New Roman" w:cs="Times New Roman"/>
          <w:i/>
          <w:noProof/>
          <w:sz w:val="24"/>
          <w:szCs w:val="24"/>
          <w:lang w:val="en-GB"/>
        </w:rPr>
        <w:t>e, privacy matters. This is a question of human dignity</w:t>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demand for protection of personal data is however not limited to Europe. Consumers around the world increasingly cherish and value their privacy. In turn, companies recognise that strong privac</w:t>
      </w:r>
      <w:r>
        <w:rPr>
          <w:rFonts w:ascii="Times New Roman" w:hAnsi="Times New Roman" w:cs="Times New Roman"/>
          <w:noProof/>
          <w:sz w:val="24"/>
          <w:szCs w:val="24"/>
          <w:lang w:val="en-GB"/>
        </w:rPr>
        <w:t>y protections give them a competitive advantage as confidence in their services increases. Many, especially those with global reach, are aligning their privacy policies with the GDPR, both because they want to do business in the EU, and because they see it</w:t>
      </w:r>
      <w:r>
        <w:rPr>
          <w:rFonts w:ascii="Times New Roman" w:hAnsi="Times New Roman" w:cs="Times New Roman"/>
          <w:noProof/>
          <w:sz w:val="24"/>
          <w:szCs w:val="24"/>
          <w:lang w:val="en-GB"/>
        </w:rPr>
        <w:t xml:space="preserve"> as a model to follow.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Likewise, several countries and regional organisations outside the EU, from our immediate neighbourhood to Asia, Latin America and Africa, are adopting new or updating existing data protection legislation to harness the opportunitie</w:t>
      </w:r>
      <w:r>
        <w:rPr>
          <w:rFonts w:ascii="Times New Roman" w:hAnsi="Times New Roman" w:cs="Times New Roman"/>
          <w:noProof/>
          <w:sz w:val="24"/>
          <w:szCs w:val="24"/>
          <w:lang w:val="en-GB"/>
        </w:rPr>
        <w:t>s offered by the global digital economy and respond to the growing demand for stronger data security and privacy protection. While differences exist amongst countries in their approach and the level of legislative development, there are signs of upward con</w:t>
      </w:r>
      <w:r>
        <w:rPr>
          <w:rFonts w:ascii="Times New Roman" w:hAnsi="Times New Roman" w:cs="Times New Roman"/>
          <w:noProof/>
          <w:sz w:val="24"/>
          <w:szCs w:val="24"/>
          <w:lang w:val="en-GB"/>
        </w:rPr>
        <w:t>vergence towards important data protection principles, in particular in certain regions of the world.</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Greater compatibility between different data protection systems would facilitate international flows of personal data, whether for commercial purposes or</w:t>
      </w:r>
      <w:r>
        <w:rPr>
          <w:rFonts w:ascii="Times New Roman" w:hAnsi="Times New Roman" w:cs="Times New Roman"/>
          <w:noProof/>
          <w:sz w:val="24"/>
          <w:szCs w:val="24"/>
          <w:lang w:val="en-GB"/>
        </w:rPr>
        <w:t xml:space="preserve"> cooperation between public authorities (e.g. law enforcement). The EU should seize this opportunity to promote its data protection values and facilitate data flows by encouraging convergence of legal systems. As announced in the Commission Work Programme</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the present Communication therefore sets out the Commission's strategic </w:t>
      </w:r>
      <w:r>
        <w:rPr>
          <w:rFonts w:ascii="Times New Roman" w:hAnsi="Times New Roman" w:cs="Times New Roman"/>
          <w:noProof/>
          <w:sz w:val="24"/>
          <w:szCs w:val="24"/>
          <w:lang w:val="en-GB"/>
        </w:rPr>
        <w:lastRenderedPageBreak/>
        <w:t>framework for "adequacy decisions" as well as other tools for data transfers and international data protection instruments.</w:t>
      </w:r>
    </w:p>
    <w:p w:rsidR="00140188" w:rsidRDefault="0009234B">
      <w:pPr>
        <w:pStyle w:val="Heading1"/>
        <w:jc w:val="both"/>
        <w:rPr>
          <w:rFonts w:ascii="Times New Roman" w:hAnsi="Times New Roman"/>
          <w:noProof/>
        </w:rPr>
      </w:pPr>
      <w:r>
        <w:rPr>
          <w:rFonts w:ascii="Times New Roman" w:hAnsi="Times New Roman"/>
          <w:noProof/>
        </w:rPr>
        <w:t xml:space="preserve">2. The EU Data Protection Reform Package – A </w:t>
      </w:r>
      <w:r>
        <w:rPr>
          <w:noProof/>
        </w:rPr>
        <w:t xml:space="preserve">Modern </w:t>
      </w:r>
      <w:r>
        <w:rPr>
          <w:rFonts w:ascii="Times New Roman" w:hAnsi="Times New Roman"/>
          <w:noProof/>
        </w:rPr>
        <w:t>Legisl</w:t>
      </w:r>
      <w:r>
        <w:rPr>
          <w:rFonts w:ascii="Times New Roman" w:hAnsi="Times New Roman"/>
          <w:noProof/>
        </w:rPr>
        <w:t xml:space="preserve">ative Framework That Supports International Data Flows With High Protection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reform of EU data protection legislation adopted in April 2016 puts in place a system that both ensures a strong level of protection and is open to the opportunities of the global information society. In giving individuals more control over their perso</w:t>
      </w:r>
      <w:r>
        <w:rPr>
          <w:rFonts w:ascii="Times New Roman" w:hAnsi="Times New Roman" w:cs="Times New Roman"/>
          <w:noProof/>
          <w:sz w:val="24"/>
          <w:szCs w:val="24"/>
          <w:lang w:val="en-GB"/>
        </w:rPr>
        <w:t>nal data, the reform strengthens consumer trust in the digital economy. In harmonising and simplifying the legal environment it makes it easier and less burdensome for companies, both domestic and foreign, to conduct their business activities in the EU, in</w:t>
      </w:r>
      <w:r>
        <w:rPr>
          <w:rFonts w:ascii="Times New Roman" w:hAnsi="Times New Roman" w:cs="Times New Roman"/>
          <w:noProof/>
          <w:sz w:val="24"/>
          <w:szCs w:val="24"/>
          <w:lang w:val="en-GB"/>
        </w:rPr>
        <w:t xml:space="preserve">cluding through international data exchanges. The EU today combines openness for international data flows with the highest level of protection for individuals. It has the potential to become a hub for data services which require both free flows and trust. </w:t>
      </w:r>
    </w:p>
    <w:p w:rsidR="00140188" w:rsidRDefault="0009234B">
      <w:pPr>
        <w:pStyle w:val="Heading2"/>
        <w:spacing w:before="0" w:after="200"/>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2.1 A comprehensive, unified and simplified EU data protection framework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reform establishes a comprehensive framework governing the processing of personal data in both the private and public sectors and in both the commercial and law enforcement s</w:t>
      </w:r>
      <w:r>
        <w:rPr>
          <w:rFonts w:ascii="Times New Roman" w:hAnsi="Times New Roman" w:cs="Times New Roman"/>
          <w:noProof/>
          <w:sz w:val="24"/>
          <w:szCs w:val="24"/>
          <w:lang w:val="en-GB"/>
        </w:rPr>
        <w:t>ectors (the GDPR and Police Directive respectively).</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GDPR, as of May 2018, there will be one single pan-European set of rules contrary to 28 national laws today. The newly created one-stop-shop mechanism will ensure that one data protection authority ("DPA") will be responsible for the supervision </w:t>
      </w:r>
      <w:r>
        <w:rPr>
          <w:rFonts w:ascii="Times New Roman" w:hAnsi="Times New Roman" w:cs="Times New Roman"/>
          <w:noProof/>
          <w:sz w:val="24"/>
          <w:szCs w:val="24"/>
          <w:lang w:val="en-GB"/>
        </w:rPr>
        <w:t>of cross-border data processing operations carried out by a company in the EU. Consistency of interpretation of the new rules will be guaranteed. In particular, in cross-border cases where several national DPAs are involved, a single decision will be adopt</w:t>
      </w:r>
      <w:r>
        <w:rPr>
          <w:rFonts w:ascii="Times New Roman" w:hAnsi="Times New Roman" w:cs="Times New Roman"/>
          <w:noProof/>
          <w:sz w:val="24"/>
          <w:szCs w:val="24"/>
          <w:lang w:val="en-GB"/>
        </w:rPr>
        <w:t>ed to ensure that common problems receive common solutions. In addition, the GDPR creates a level playing field between EU and foreign companies in that companies based outside the EU will have to apply the same rules as European companies if they are offe</w:t>
      </w:r>
      <w:r>
        <w:rPr>
          <w:rFonts w:ascii="Times New Roman" w:hAnsi="Times New Roman" w:cs="Times New Roman"/>
          <w:noProof/>
          <w:sz w:val="24"/>
          <w:szCs w:val="24"/>
          <w:lang w:val="en-GB"/>
        </w:rPr>
        <w:t xml:space="preserve">ring goods and services or monitoring the behaviour of individuals in the EU. An increased level of consumer trust will benefit both EU and external commercial operators.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Police Directive provides common rules for the processing of the personal data o</w:t>
      </w:r>
      <w:r>
        <w:rPr>
          <w:rFonts w:ascii="Times New Roman" w:hAnsi="Times New Roman" w:cs="Times New Roman"/>
          <w:noProof/>
          <w:sz w:val="24"/>
          <w:szCs w:val="24"/>
          <w:lang w:val="en-GB"/>
        </w:rPr>
        <w:t>f individuals involved in criminal proceedings, be it as suspects, victims, or witnesses, whilst taking into account the specific nature of the police and criminal justice field. Harmonising data protection rules in the law enforcement sector, including ru</w:t>
      </w:r>
      <w:r>
        <w:rPr>
          <w:rFonts w:ascii="Times New Roman" w:hAnsi="Times New Roman" w:cs="Times New Roman"/>
          <w:noProof/>
          <w:sz w:val="24"/>
          <w:szCs w:val="24"/>
          <w:lang w:val="en-GB"/>
        </w:rPr>
        <w:t xml:space="preserve">les on international transfers, will facilitate cross-border cooperation between police and judicial authorities, both within the EU and with international partners, and thus create the conditions for a more effective fight against crime. </w:t>
      </w:r>
      <w:r>
        <w:rPr>
          <w:rFonts w:ascii="Times New Roman" w:hAnsi="Times New Roman" w:cs="Times New Roman"/>
          <w:noProof/>
          <w:sz w:val="24"/>
          <w:szCs w:val="24"/>
        </w:rPr>
        <w:t>This is an import</w:t>
      </w:r>
      <w:r>
        <w:rPr>
          <w:rFonts w:ascii="Times New Roman" w:hAnsi="Times New Roman" w:cs="Times New Roman"/>
          <w:noProof/>
          <w:sz w:val="24"/>
          <w:szCs w:val="24"/>
        </w:rPr>
        <w:t>ant contribution to the European Agenda on Security.</w:t>
      </w:r>
      <w:r>
        <w:rPr>
          <w:rStyle w:val="FootnoteReference"/>
          <w:rFonts w:ascii="Times New Roman" w:hAnsi="Times New Roman" w:cs="Times New Roman"/>
          <w:noProof/>
          <w:sz w:val="24"/>
          <w:szCs w:val="24"/>
        </w:rPr>
        <w:footnoteReference w:id="6"/>
      </w:r>
    </w:p>
    <w:p w:rsidR="00140188" w:rsidRDefault="0009234B">
      <w:pPr>
        <w:pStyle w:val="Heading3"/>
        <w:spacing w:before="0" w:after="200"/>
        <w:rPr>
          <w:rFonts w:ascii="Times New Roman" w:hAnsi="Times New Roman" w:cs="Times New Roman"/>
          <w:noProof/>
          <w:color w:val="auto"/>
          <w:lang w:val="en-GB"/>
        </w:rPr>
      </w:pPr>
      <w:r>
        <w:rPr>
          <w:rFonts w:ascii="Times New Roman" w:hAnsi="Times New Roman" w:cs="Times New Roman"/>
          <w:noProof/>
          <w:color w:val="auto"/>
          <w:sz w:val="24"/>
          <w:szCs w:val="24"/>
          <w:lang w:val="en-GB"/>
        </w:rPr>
        <w:lastRenderedPageBreak/>
        <w:t>2.2 A renewed and diversified toolkit for international transfers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From its inception, EU data protection legislation has provided several mechanisms enabling international data transfers. The primary pu</w:t>
      </w:r>
      <w:r>
        <w:rPr>
          <w:rFonts w:ascii="Times New Roman" w:hAnsi="Times New Roman" w:cs="Times New Roman"/>
          <w:noProof/>
          <w:sz w:val="24"/>
          <w:szCs w:val="24"/>
          <w:lang w:val="en-GB"/>
        </w:rPr>
        <w:t>rpose of these rules is to ensure that when the personal data of Europeans are transferred abroad, the protection travels with the data. Over the years, these rules have set the standard on international data flows in many jurisdictions. While the architec</w:t>
      </w:r>
      <w:r>
        <w:rPr>
          <w:rFonts w:ascii="Times New Roman" w:hAnsi="Times New Roman" w:cs="Times New Roman"/>
          <w:noProof/>
          <w:sz w:val="24"/>
          <w:szCs w:val="24"/>
          <w:lang w:val="en-GB"/>
        </w:rPr>
        <w:t>ture remains essentially the same as under the 1995 Directive, the reform of the rules on international transfers clarifies and simplifies their use and introduces new tools for transfers.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EU law, one way to transfer personal data abroad is on the ba</w:t>
      </w:r>
      <w:r>
        <w:rPr>
          <w:rFonts w:ascii="Times New Roman" w:hAnsi="Times New Roman" w:cs="Times New Roman"/>
          <w:noProof/>
          <w:sz w:val="24"/>
          <w:szCs w:val="24"/>
          <w:lang w:val="en-GB"/>
        </w:rPr>
        <w:t>sis of a Commission "adequacy decision" establishing that a non-EU country provides a level of data protection that is "essentially equivalent"</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to that in the EU. The effect of such a decision is to enable the free flow of personal data to that third coun</w:t>
      </w:r>
      <w:r>
        <w:rPr>
          <w:rFonts w:ascii="Times New Roman" w:hAnsi="Times New Roman" w:cs="Times New Roman"/>
          <w:noProof/>
          <w:sz w:val="24"/>
          <w:szCs w:val="24"/>
          <w:lang w:val="en-GB"/>
        </w:rPr>
        <w:t>try without the need for the data exporter to provide further safeguards or obtain any authorisation. A precise and detailed catalogue of elements that the Commission must take into account when assessing the adequacy of protection of a foreign system is a</w:t>
      </w:r>
      <w:r>
        <w:rPr>
          <w:rFonts w:ascii="Times New Roman" w:hAnsi="Times New Roman" w:cs="Times New Roman"/>
          <w:noProof/>
          <w:sz w:val="24"/>
          <w:szCs w:val="24"/>
          <w:lang w:val="en-GB"/>
        </w:rPr>
        <w:t>vailable for interested countries or international organisations.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The Commission can now adopt adequacy decisions also for the law enforcement sector.</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Furthermore, building on practice under the 1995 Directive, the reform explicitly allows for an adequac</w:t>
      </w:r>
      <w:r>
        <w:rPr>
          <w:rFonts w:ascii="Times New Roman" w:hAnsi="Times New Roman" w:cs="Times New Roman"/>
          <w:noProof/>
          <w:sz w:val="24"/>
          <w:szCs w:val="24"/>
          <w:lang w:val="en-GB"/>
        </w:rPr>
        <w:t>y determination to be made with respect to a particular territory of a third country or to a specific sector or industry within a third country (so-called "partial" adequacy).</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absence of an adequacy decision, international transfers can take place</w:t>
      </w:r>
      <w:r>
        <w:rPr>
          <w:rFonts w:ascii="Times New Roman" w:hAnsi="Times New Roman" w:cs="Times New Roman"/>
          <w:noProof/>
          <w:sz w:val="24"/>
          <w:szCs w:val="24"/>
          <w:lang w:val="en-GB"/>
        </w:rPr>
        <w:t xml:space="preserve"> on the basis of a number of alternative transfer tools that provide appropriate data protection safeguards.</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The reform formalises and expands the possibilities to use existing instruments like standard contractual clauses (SCCs)</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and binding corporate ru</w:t>
      </w:r>
      <w:r>
        <w:rPr>
          <w:rFonts w:ascii="Times New Roman" w:hAnsi="Times New Roman" w:cs="Times New Roman"/>
          <w:noProof/>
          <w:sz w:val="24"/>
          <w:szCs w:val="24"/>
          <w:lang w:val="en-GB"/>
        </w:rPr>
        <w:t>les (BCRs).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xml:space="preserve"> For instance, SCCs can now be included in a contract between EU-based processors and processors in a non-EU </w:t>
      </w:r>
      <w:r>
        <w:rPr>
          <w:rFonts w:ascii="Times New Roman" w:hAnsi="Times New Roman" w:cs="Times New Roman"/>
          <w:noProof/>
          <w:sz w:val="24"/>
          <w:szCs w:val="24"/>
          <w:lang w:val="en-GB"/>
        </w:rPr>
        <w:lastRenderedPageBreak/>
        <w:t>country (so-called "processor-to-processor" model clauses).</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As for BCRs, which until now have been limited to arrangements among entit</w:t>
      </w:r>
      <w:r>
        <w:rPr>
          <w:rFonts w:ascii="Times New Roman" w:hAnsi="Times New Roman" w:cs="Times New Roman"/>
          <w:noProof/>
          <w:sz w:val="24"/>
          <w:szCs w:val="24"/>
          <w:lang w:val="en-GB"/>
        </w:rPr>
        <w:t>ies of the same corporate group, they can now be used by a group of enterprises engaged in a joint economic activity, but not necessarily forming part of the same corporate group.</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The reform also reduces red tape by abolishing general requirements of prio</w:t>
      </w:r>
      <w:r>
        <w:rPr>
          <w:rFonts w:ascii="Times New Roman" w:hAnsi="Times New Roman" w:cs="Times New Roman"/>
          <w:noProof/>
          <w:sz w:val="24"/>
          <w:szCs w:val="24"/>
          <w:lang w:val="en-GB"/>
        </w:rPr>
        <w:t>r notification to and authorisation by DPAs of transfers to a third country based on SCCs or BCRs.</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This is an important simplification of the EU system of international data transfers as the existence of such requirements, which currently vary from one Me</w:t>
      </w:r>
      <w:r>
        <w:rPr>
          <w:rFonts w:ascii="Times New Roman" w:hAnsi="Times New Roman" w:cs="Times New Roman"/>
          <w:noProof/>
          <w:sz w:val="24"/>
          <w:szCs w:val="24"/>
          <w:lang w:val="en-GB"/>
        </w:rPr>
        <w:t>mber State to another, is often perceived as a significant obstacle for data flows, especially for smaller businesses.</w:t>
      </w:r>
      <w:r>
        <w:rPr>
          <w:rStyle w:val="FootnoteReference"/>
          <w:rFonts w:ascii="Times New Roman" w:hAnsi="Times New Roman" w:cs="Times New Roman"/>
          <w:noProof/>
          <w:sz w:val="24"/>
          <w:szCs w:val="24"/>
          <w:lang w:val="en-GB"/>
        </w:rPr>
        <w:footnoteReference w:id="17"/>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the reform introduces new instruments for international transfers.</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xml:space="preserve"> Controllers and processors will be able to use, under certain conditions,</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approved codes of conduct or certification mechanisms (such as privacy seals or marks) to establish "appropriate safeguards". This should allow the development of more tailor-made </w:t>
      </w:r>
      <w:r>
        <w:rPr>
          <w:rFonts w:ascii="Times New Roman" w:hAnsi="Times New Roman" w:cs="Times New Roman"/>
          <w:noProof/>
          <w:sz w:val="24"/>
          <w:szCs w:val="24"/>
          <w:lang w:val="en-GB"/>
        </w:rPr>
        <w:t>solutions for international transfers, reflecting, for instance, the specific features and needs of a given sector or industry, or of particular data flows. It also offers for the possibility to provide for appropriate safeguards for data transfers between</w:t>
      </w:r>
      <w:r>
        <w:rPr>
          <w:rFonts w:ascii="Times New Roman" w:hAnsi="Times New Roman" w:cs="Times New Roman"/>
          <w:noProof/>
          <w:sz w:val="24"/>
          <w:szCs w:val="24"/>
          <w:lang w:val="en-GB"/>
        </w:rPr>
        <w:t xml:space="preserve"> public authorities or bodies on the basis of international agreements or administrative arrangements.</w:t>
      </w:r>
      <w:r>
        <w:rPr>
          <w:rStyle w:val="FootnoteReference"/>
          <w:rFonts w:ascii="Times New Roman" w:hAnsi="Times New Roman" w:cs="Times New Roman"/>
          <w:noProof/>
          <w:sz w:val="24"/>
          <w:szCs w:val="24"/>
          <w:lang w:val="en-GB"/>
        </w:rPr>
        <w:footnoteReference w:id="20"/>
      </w:r>
      <w:r>
        <w:rPr>
          <w:rFonts w:ascii="Times New Roman" w:hAnsi="Times New Roman" w:cs="Times New Roman"/>
          <w:noProof/>
          <w:sz w:val="24"/>
          <w:szCs w:val="24"/>
          <w:lang w:val="en-GB"/>
        </w:rPr>
        <w:t xml:space="preserve"> Finally, the GDPR clarifies the use of  so-called "derogations"</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xml:space="preserve"> (e.g. consent, performance of a contract or important reasons of public interest) on wh</w:t>
      </w:r>
      <w:r>
        <w:rPr>
          <w:rFonts w:ascii="Times New Roman" w:hAnsi="Times New Roman" w:cs="Times New Roman"/>
          <w:noProof/>
          <w:sz w:val="24"/>
          <w:szCs w:val="24"/>
          <w:lang w:val="en-GB"/>
        </w:rPr>
        <w:t>ich entities in specific situations can base their data transfers in the absence of an adequacy decision and irrespective of the use of one of the above instruments. In particular, it contains a new, albeit circumscribed, derogation pertaining to transfers</w:t>
      </w:r>
      <w:r>
        <w:rPr>
          <w:rFonts w:ascii="Times New Roman" w:hAnsi="Times New Roman" w:cs="Times New Roman"/>
          <w:noProof/>
          <w:sz w:val="24"/>
          <w:szCs w:val="24"/>
          <w:lang w:val="en-GB"/>
        </w:rPr>
        <w:t xml:space="preserve"> that can take place in pursuit of the legitimate interests</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of a company.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the reform empowers the Commission to develop international cooperation mechanisms to facilitate the enforcement of data protection rules, including through mutual assista</w:t>
      </w:r>
      <w:r>
        <w:rPr>
          <w:rFonts w:ascii="Times New Roman" w:hAnsi="Times New Roman" w:cs="Times New Roman"/>
          <w:noProof/>
          <w:sz w:val="24"/>
          <w:szCs w:val="24"/>
          <w:lang w:val="en-GB"/>
        </w:rPr>
        <w:t>nce arrangements.</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xml:space="preserve"> This recognises the contribution that closer forms of cooperation between supervisory authorities at international level could make to ensure both more effective protection of individual rights and more legal certainty for businesses.</w:t>
      </w:r>
    </w:p>
    <w:p w:rsidR="00140188" w:rsidRDefault="0009234B">
      <w:pPr>
        <w:pStyle w:val="Heading1"/>
        <w:jc w:val="both"/>
        <w:rPr>
          <w:rStyle w:val="Heading2Char"/>
          <w:rFonts w:ascii="Times New Roman Bold" w:hAnsi="Times New Roman Bold" w:cs="Times New Roman" w:hint="eastAsia"/>
          <w:b/>
          <w:bCs/>
          <w:smallCaps w:val="0"/>
          <w:noProof/>
          <w:color w:val="auto"/>
          <w:sz w:val="24"/>
          <w:szCs w:val="24"/>
          <w:lang w:val="en-US"/>
        </w:rPr>
      </w:pPr>
      <w:r>
        <w:rPr>
          <w:noProof/>
        </w:rPr>
        <w:lastRenderedPageBreak/>
        <w:t>3.</w:t>
      </w:r>
      <w:r>
        <w:rPr>
          <w:b w:val="0"/>
          <w:noProof/>
        </w:rPr>
        <w:t xml:space="preserve"> </w:t>
      </w:r>
      <w:r>
        <w:rPr>
          <w:rStyle w:val="Heading2Char"/>
          <w:rFonts w:ascii="Times New Roman Bold" w:hAnsi="Times New Roman Bold" w:cs="Times New Roman"/>
          <w:b/>
          <w:noProof/>
          <w:color w:val="auto"/>
          <w:sz w:val="24"/>
          <w:szCs w:val="24"/>
        </w:rPr>
        <w:t>International Data Transfers In The Commercial Sector: Facilitating Trade By Protecting Privacy</w:t>
      </w:r>
    </w:p>
    <w:p w:rsidR="00140188" w:rsidRDefault="0009234B">
      <w:pPr>
        <w:jc w:val="both"/>
        <w:rPr>
          <w:rFonts w:ascii="Times New Roman" w:hAnsi="Times New Roman" w:cs="Times New Roman"/>
          <w:noProof/>
          <w:sz w:val="24"/>
          <w:szCs w:val="24"/>
        </w:rPr>
      </w:pPr>
      <w:r>
        <w:rPr>
          <w:rFonts w:ascii="Times New Roman" w:hAnsi="Times New Roman" w:cs="Times New Roman"/>
          <w:noProof/>
          <w:sz w:val="24"/>
          <w:szCs w:val="24"/>
          <w:lang w:val="en-GB"/>
        </w:rPr>
        <w:t>Respecting privacy is a condition for stable, secure and competitive global commercial flows. Privacy is not a commodity to be traded.</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The internet and digiti</w:t>
      </w:r>
      <w:r>
        <w:rPr>
          <w:rFonts w:ascii="Times New Roman" w:hAnsi="Times New Roman" w:cs="Times New Roman"/>
          <w:noProof/>
          <w:sz w:val="24"/>
          <w:szCs w:val="24"/>
        </w:rPr>
        <w:t>zation of goods and services has transformed the global economy and the transfer of data, including personal data, across borders is part of the daily operations of European companies of all sizes, across all sectors. As</w:t>
      </w:r>
      <w:r>
        <w:rPr>
          <w:rFonts w:ascii="Times New Roman" w:hAnsi="Times New Roman" w:cs="Times New Roman"/>
          <w:noProof/>
          <w:sz w:val="24"/>
          <w:szCs w:val="24"/>
          <w:lang w:val="en-GB"/>
        </w:rPr>
        <w:t xml:space="preserve"> commercial exchanges rely increasin</w:t>
      </w:r>
      <w:r>
        <w:rPr>
          <w:rFonts w:ascii="Times New Roman" w:hAnsi="Times New Roman" w:cs="Times New Roman"/>
          <w:noProof/>
          <w:sz w:val="24"/>
          <w:szCs w:val="24"/>
          <w:lang w:val="en-GB"/>
        </w:rPr>
        <w:t xml:space="preserve">gly on personal data flows, the privacy and security of such data has become a central factor of consumer trust. For instance, two-thirds of Europeans say that they are worried about having no control over the information they provide online while half of </w:t>
      </w:r>
      <w:r>
        <w:rPr>
          <w:rFonts w:ascii="Times New Roman" w:hAnsi="Times New Roman" w:cs="Times New Roman"/>
          <w:noProof/>
          <w:sz w:val="24"/>
          <w:szCs w:val="24"/>
          <w:lang w:val="en-GB"/>
        </w:rPr>
        <w:t>the respondents are concerned about becoming a victim of fraud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r>
        <w:rPr>
          <w:rFonts w:ascii="Times New Roman" w:hAnsi="Times New Roman" w:cs="Times New Roman"/>
          <w:noProof/>
          <w:sz w:val="24"/>
          <w:szCs w:val="24"/>
          <w:lang w:val="en-GB"/>
        </w:rPr>
        <w:t xml:space="preserve">At the same time, </w:t>
      </w:r>
      <w:r>
        <w:rPr>
          <w:rFonts w:ascii="Times New Roman" w:hAnsi="Times New Roman" w:cs="Times New Roman"/>
          <w:noProof/>
          <w:sz w:val="24"/>
          <w:szCs w:val="24"/>
        </w:rPr>
        <w:t>European companies operating in some third countries are increasingly faced with protectionist restrictions that cannot be justified with legitimate privacy considerations.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digital era, promoting high standards of data protection and facilitating international trade must thus necessarily go hand in hand. Whereas the protection of personal data is non-negotiable</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 xml:space="preserve"> in trade agreements, the EU regime on international data </w:t>
      </w:r>
      <w:r>
        <w:rPr>
          <w:rFonts w:ascii="Times New Roman" w:hAnsi="Times New Roman" w:cs="Times New Roman"/>
          <w:noProof/>
          <w:sz w:val="24"/>
          <w:szCs w:val="24"/>
          <w:lang w:val="en-GB"/>
        </w:rPr>
        <w:t>transfers, as outlined above, provides a broad and varied toolkit to enable data flows in different situations while ensuring a high level of protection.</w:t>
      </w:r>
    </w:p>
    <w:p w:rsidR="00140188" w:rsidRDefault="0009234B">
      <w:pPr>
        <w:pStyle w:val="Heading2"/>
        <w:spacing w:before="0" w:after="200"/>
        <w:rPr>
          <w:rFonts w:ascii="Times New Roman" w:hAnsi="Times New Roman" w:cs="Times New Roman"/>
          <w:noProof/>
          <w:color w:val="auto"/>
          <w:lang w:val="en-GB"/>
        </w:rPr>
      </w:pPr>
      <w:r>
        <w:rPr>
          <w:rFonts w:ascii="Times New Roman" w:hAnsi="Times New Roman" w:cs="Times New Roman"/>
          <w:noProof/>
          <w:color w:val="auto"/>
          <w:sz w:val="24"/>
          <w:szCs w:val="24"/>
          <w:lang w:val="en-GB"/>
        </w:rPr>
        <w:t>3.1 Adequacy decisions</w:t>
      </w:r>
    </w:p>
    <w:p w:rsidR="00140188" w:rsidRDefault="0009234B">
      <w:pPr>
        <w:pStyle w:val="FootnoteText"/>
        <w:spacing w:after="20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adequacy finding allows the free flow of personal data from the EU without </w:t>
      </w:r>
      <w:r>
        <w:rPr>
          <w:rFonts w:ascii="Times New Roman" w:hAnsi="Times New Roman" w:cs="Times New Roman"/>
          <w:noProof/>
          <w:sz w:val="24"/>
          <w:szCs w:val="24"/>
          <w:lang w:val="en-GB"/>
        </w:rPr>
        <w:t xml:space="preserve">the EU data exporter having to implement any additional safeguards or being subject to further conditions. In finding that its legal order provides an adequate level of protection, the decision recognises that the country's system approximates that of the </w:t>
      </w:r>
      <w:r>
        <w:rPr>
          <w:rFonts w:ascii="Times New Roman" w:hAnsi="Times New Roman" w:cs="Times New Roman"/>
          <w:noProof/>
          <w:sz w:val="24"/>
          <w:szCs w:val="24"/>
          <w:lang w:val="en-GB"/>
        </w:rPr>
        <w:t>EU Member States. As a result, transfers to the country in question will be assimilated to intra-EU transmissions of data, thereby providing privileged access to the EU single market, while opening up commercial channels for EU operators. As explained abov</w:t>
      </w:r>
      <w:r>
        <w:rPr>
          <w:rFonts w:ascii="Times New Roman" w:hAnsi="Times New Roman" w:cs="Times New Roman"/>
          <w:noProof/>
          <w:sz w:val="24"/>
          <w:szCs w:val="24"/>
          <w:lang w:val="en-GB"/>
        </w:rPr>
        <w:t>e, this recognition necessarily requires a level of protection comparable (or "essentially equivalent")</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 xml:space="preserve"> to the one guaranteed in the Union. It involves a comprehensive assessment of the third country’s system, including its rules on access to personal dat</w:t>
      </w:r>
      <w:r>
        <w:rPr>
          <w:rFonts w:ascii="Times New Roman" w:hAnsi="Times New Roman" w:cs="Times New Roman"/>
          <w:noProof/>
          <w:sz w:val="24"/>
          <w:szCs w:val="24"/>
          <w:lang w:val="en-GB"/>
        </w:rPr>
        <w:t xml:space="preserve">a by public authorities for law enforcement, national security and other public interest purposes. </w:t>
      </w:r>
    </w:p>
    <w:p w:rsidR="00140188" w:rsidRDefault="0009234B">
      <w:pPr>
        <w:pStyle w:val="FootnoteText"/>
        <w:spacing w:after="20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same time, as confirmed in 2015 by the Court of Justice in the </w:t>
      </w:r>
      <w:r>
        <w:rPr>
          <w:rFonts w:ascii="Times New Roman" w:hAnsi="Times New Roman" w:cs="Times New Roman"/>
          <w:i/>
          <w:noProof/>
          <w:sz w:val="24"/>
          <w:szCs w:val="24"/>
          <w:lang w:val="en-GB"/>
        </w:rPr>
        <w:t xml:space="preserve">Schrems </w:t>
      </w:r>
      <w:r>
        <w:rPr>
          <w:rFonts w:ascii="Times New Roman" w:hAnsi="Times New Roman" w:cs="Times New Roman"/>
          <w:noProof/>
          <w:sz w:val="24"/>
          <w:szCs w:val="24"/>
          <w:lang w:val="en-GB"/>
        </w:rPr>
        <w:t>ruling, the adequacy standard does not require a point-to-point replication of</w:t>
      </w:r>
      <w:r>
        <w:rPr>
          <w:rFonts w:ascii="Times New Roman" w:hAnsi="Times New Roman" w:cs="Times New Roman"/>
          <w:noProof/>
          <w:sz w:val="24"/>
          <w:szCs w:val="24"/>
          <w:lang w:val="en-GB"/>
        </w:rPr>
        <w:t xml:space="preserve"> EU rules.</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Rather, the test lies in whether, through the substance of privacy rights and their effective implementation, enforceability and supervision, the foreign system concerned as a whole delivers the required </w:t>
      </w:r>
      <w:r>
        <w:rPr>
          <w:rFonts w:ascii="Times New Roman" w:hAnsi="Times New Roman" w:cs="Times New Roman"/>
          <w:noProof/>
          <w:sz w:val="24"/>
          <w:szCs w:val="24"/>
          <w:lang w:val="en-GB"/>
        </w:rPr>
        <w:lastRenderedPageBreak/>
        <w:t>high level of protection. As the adequac</w:t>
      </w:r>
      <w:r>
        <w:rPr>
          <w:rFonts w:ascii="Times New Roman" w:hAnsi="Times New Roman" w:cs="Times New Roman"/>
          <w:noProof/>
          <w:sz w:val="24"/>
          <w:szCs w:val="24"/>
          <w:lang w:val="en-GB"/>
        </w:rPr>
        <w:t xml:space="preserve">y decisions adopted so far show, it is possible for the Commission to recognise a diverse range of privacy systems, representing different legal traditions, as being adequate. These decisions concern countries that are closely integrated with the European </w:t>
      </w:r>
      <w:r>
        <w:rPr>
          <w:rFonts w:ascii="Times New Roman" w:hAnsi="Times New Roman" w:cs="Times New Roman"/>
          <w:noProof/>
          <w:sz w:val="24"/>
          <w:szCs w:val="24"/>
          <w:lang w:val="en-GB"/>
        </w:rPr>
        <w:t>Union and its Member States (Switzerland, Andorra, Faeroe Islands, Guernsey, Jersey, Isle of Man), important trading partners (Argentina, Canada, Israel, the United States), and countries that have a pioneering role in developing data protection laws in th</w:t>
      </w:r>
      <w:r>
        <w:rPr>
          <w:rFonts w:ascii="Times New Roman" w:hAnsi="Times New Roman" w:cs="Times New Roman"/>
          <w:noProof/>
          <w:sz w:val="24"/>
          <w:szCs w:val="24"/>
          <w:lang w:val="en-GB"/>
        </w:rPr>
        <w:t>eir region (New Zealand, Uruguay).</w:t>
      </w:r>
    </w:p>
    <w:p w:rsidR="00140188" w:rsidRDefault="0009234B">
      <w:pPr>
        <w:pStyle w:val="FootnoteText"/>
        <w:spacing w:after="200" w:line="276" w:lineRule="auto"/>
        <w:jc w:val="both"/>
        <w:rPr>
          <w:rFonts w:ascii="Times New Roman" w:hAnsi="Times New Roman" w:cs="Times New Roman"/>
          <w:noProof/>
          <w:lang w:val="en-GB"/>
        </w:rPr>
      </w:pPr>
      <w:r>
        <w:rPr>
          <w:rFonts w:ascii="Times New Roman" w:hAnsi="Times New Roman" w:cs="Times New Roman"/>
          <w:noProof/>
          <w:sz w:val="24"/>
          <w:szCs w:val="24"/>
          <w:lang w:val="en-GB"/>
        </w:rPr>
        <w:t>The decisions on Canada and the United States are "partial" adequacy findings. The decision on Canada applies only to private entities falling under the scope of the Canadian Personal Information Protection and Electronic</w:t>
      </w:r>
      <w:r>
        <w:rPr>
          <w:rFonts w:ascii="Times New Roman" w:hAnsi="Times New Roman" w:cs="Times New Roman"/>
          <w:noProof/>
          <w:sz w:val="24"/>
          <w:szCs w:val="24"/>
          <w:lang w:val="en-GB"/>
        </w:rPr>
        <w:t xml:space="preserve"> Documents Act. The recently adopted decision on the EU-US Privacy Shield</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is a specific case in that, in the absence of general data protection legislation in the U.S.,</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it relies on commitments by participating companies to apply the high data protection</w:t>
      </w:r>
      <w:r>
        <w:rPr>
          <w:rFonts w:ascii="Times New Roman" w:hAnsi="Times New Roman" w:cs="Times New Roman"/>
          <w:noProof/>
          <w:sz w:val="24"/>
          <w:szCs w:val="24"/>
          <w:lang w:val="en-GB"/>
        </w:rPr>
        <w:t xml:space="preserve"> standards set out by this arrangement that are in turn enforceable under U.S. law. Moreover, the Privacy Shield builds on the specific representations and assurances made by the U.S. government as regards access for national security purposes</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xml:space="preserve"> that underp</w:t>
      </w:r>
      <w:r>
        <w:rPr>
          <w:rFonts w:ascii="Times New Roman" w:hAnsi="Times New Roman" w:cs="Times New Roman"/>
          <w:noProof/>
          <w:sz w:val="24"/>
          <w:szCs w:val="24"/>
          <w:lang w:val="en-GB"/>
        </w:rPr>
        <w:t xml:space="preserve">in the adequacy finding. Compliance with these commitments will be closely monitored by the Commission and part of the annual review on the functioning of the framework.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recent years more and more countries around the world have adopted new legislation</w:t>
      </w:r>
      <w:r>
        <w:rPr>
          <w:rFonts w:ascii="Times New Roman" w:hAnsi="Times New Roman" w:cs="Times New Roman"/>
          <w:noProof/>
          <w:sz w:val="24"/>
          <w:szCs w:val="24"/>
          <w:lang w:val="en-GB"/>
        </w:rPr>
        <w:t xml:space="preserve"> in the area of data protection and privacy or are in the process of doing so. In 2015, the number of countries that had enacted data privacy laws stood at 109, a significant increase from 76 in mid-2011.</w:t>
      </w:r>
      <w:r>
        <w:rPr>
          <w:rStyle w:val="FootnoteReference"/>
          <w:rFonts w:ascii="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Moreover, around 35 countries are currently drafti</w:t>
      </w:r>
      <w:r>
        <w:rPr>
          <w:rFonts w:ascii="Times New Roman" w:hAnsi="Times New Roman" w:cs="Times New Roman"/>
          <w:noProof/>
          <w:sz w:val="24"/>
          <w:szCs w:val="24"/>
          <w:lang w:val="en-GB"/>
        </w:rPr>
        <w:t>ng data protection laws.</w:t>
      </w:r>
      <w:r>
        <w:rPr>
          <w:rStyle w:val="FootnoteReference"/>
          <w:rFonts w:ascii="Times New Roman" w:hAnsi="Times New Roman" w:cs="Times New Roman"/>
          <w:noProof/>
          <w:sz w:val="24"/>
          <w:szCs w:val="24"/>
          <w:lang w:val="en-GB"/>
        </w:rPr>
        <w:footnoteReference w:id="33"/>
      </w:r>
      <w:r>
        <w:rPr>
          <w:rFonts w:ascii="Times New Roman" w:hAnsi="Times New Roman" w:cs="Times New Roman"/>
          <w:noProof/>
          <w:sz w:val="24"/>
          <w:szCs w:val="24"/>
          <w:lang w:val="en-GB"/>
        </w:rPr>
        <w:t xml:space="preserve"> These new or modernised laws tend to be based on a core set of common principles, including </w:t>
      </w:r>
      <w:r>
        <w:rPr>
          <w:rFonts w:ascii="Times New Roman" w:hAnsi="Times New Roman" w:cs="Times New Roman"/>
          <w:i/>
          <w:noProof/>
          <w:sz w:val="24"/>
          <w:szCs w:val="24"/>
          <w:lang w:val="en-GB"/>
        </w:rPr>
        <w:t>inter alia</w:t>
      </w:r>
      <w:r>
        <w:rPr>
          <w:rFonts w:ascii="Times New Roman" w:hAnsi="Times New Roman" w:cs="Times New Roman"/>
          <w:noProof/>
          <w:sz w:val="24"/>
          <w:szCs w:val="24"/>
          <w:lang w:val="en-GB"/>
        </w:rPr>
        <w:t xml:space="preserve"> the recognition of data protection as a fundamental right, the adoption of overarching legislation in this field, the existence</w:t>
      </w:r>
      <w:r>
        <w:rPr>
          <w:rFonts w:ascii="Times New Roman" w:hAnsi="Times New Roman" w:cs="Times New Roman"/>
          <w:noProof/>
          <w:sz w:val="24"/>
          <w:szCs w:val="24"/>
          <w:lang w:val="en-GB"/>
        </w:rPr>
        <w:t xml:space="preserve"> of enforceable individual privacy rights, and the setting up of an independent supervisory authority. This offers new opportunities, notably through adequacy findings, to further facilitate data flows while guaranteeing the continued high level of protect</w:t>
      </w:r>
      <w:r>
        <w:rPr>
          <w:rFonts w:ascii="Times New Roman" w:hAnsi="Times New Roman" w:cs="Times New Roman"/>
          <w:noProof/>
          <w:sz w:val="24"/>
          <w:szCs w:val="24"/>
          <w:lang w:val="en-GB"/>
        </w:rPr>
        <w:t xml:space="preserve">ion of personal data.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EU law, an adequacy finding requires the existence of data protection rules comparable to the ones in the EU.</w:t>
      </w:r>
      <w:r>
        <w:rPr>
          <w:rStyle w:val="FootnoteReference"/>
          <w:rFonts w:ascii="Times New Roman" w:hAnsi="Times New Roman" w:cs="Times New Roman"/>
          <w:noProof/>
          <w:sz w:val="24"/>
          <w:szCs w:val="24"/>
          <w:lang w:val="en-GB"/>
        </w:rPr>
        <w:footnoteReference w:id="34"/>
      </w:r>
      <w:r>
        <w:rPr>
          <w:rFonts w:ascii="Times New Roman" w:hAnsi="Times New Roman" w:cs="Times New Roman"/>
          <w:noProof/>
          <w:sz w:val="24"/>
          <w:szCs w:val="24"/>
          <w:lang w:val="en-GB"/>
        </w:rPr>
        <w:t xml:space="preserve"> This concerns both the substantive protections applicable to personal data and the relevant oversight and redress me</w:t>
      </w:r>
      <w:r>
        <w:rPr>
          <w:rFonts w:ascii="Times New Roman" w:hAnsi="Times New Roman" w:cs="Times New Roman"/>
          <w:noProof/>
          <w:sz w:val="24"/>
          <w:szCs w:val="24"/>
          <w:lang w:val="en-GB"/>
        </w:rPr>
        <w:t>chanisms available in the third country.</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Under its framework on adequacy findings, the Commission considers that the following criteria should be taken into account when assessing with which third countries a dialogue on adequacy should be pursued:</w:t>
      </w:r>
      <w:r>
        <w:rPr>
          <w:rStyle w:val="FootnoteReference"/>
          <w:rFonts w:ascii="Times New Roman" w:hAnsi="Times New Roman" w:cs="Times New Roman"/>
          <w:noProof/>
          <w:sz w:val="24"/>
          <w:szCs w:val="24"/>
          <w:lang w:val="en-GB"/>
        </w:rPr>
        <w:footnoteReference w:id="35"/>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 </w:t>
      </w:r>
      <w:r>
        <w:rPr>
          <w:rFonts w:ascii="Times New Roman" w:hAnsi="Times New Roman" w:cs="Times New Roman"/>
          <w:noProof/>
          <w:sz w:val="24"/>
          <w:szCs w:val="24"/>
          <w:lang w:val="en-GB"/>
        </w:rPr>
        <w:tab/>
        <w:t>t</w:t>
      </w:r>
      <w:r>
        <w:rPr>
          <w:rFonts w:ascii="Times New Roman" w:hAnsi="Times New Roman" w:cs="Times New Roman"/>
          <w:noProof/>
          <w:sz w:val="24"/>
          <w:szCs w:val="24"/>
          <w:lang w:val="en-GB"/>
        </w:rPr>
        <w:t>he extent of the EU's (actual or potential) commercial relations with a given third country, including the existence of a free trade agreement or ongoing negotiations;</w:t>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(ii) </w:t>
      </w:r>
      <w:r>
        <w:rPr>
          <w:rFonts w:ascii="Times New Roman" w:hAnsi="Times New Roman" w:cs="Times New Roman"/>
          <w:noProof/>
          <w:sz w:val="24"/>
          <w:szCs w:val="24"/>
          <w:lang w:val="en-GB"/>
        </w:rPr>
        <w:tab/>
        <w:t>the extent of personal data flows from the EU, reflecting geographical and/or cult</w:t>
      </w:r>
      <w:r>
        <w:rPr>
          <w:rFonts w:ascii="Times New Roman" w:hAnsi="Times New Roman" w:cs="Times New Roman"/>
          <w:noProof/>
          <w:sz w:val="24"/>
          <w:szCs w:val="24"/>
          <w:lang w:val="en-GB"/>
        </w:rPr>
        <w:t xml:space="preserve">ural ties; </w:t>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(iii) </w:t>
      </w:r>
      <w:r>
        <w:rPr>
          <w:rFonts w:ascii="Times New Roman" w:hAnsi="Times New Roman" w:cs="Times New Roman"/>
          <w:noProof/>
          <w:sz w:val="24"/>
          <w:szCs w:val="24"/>
          <w:lang w:val="en-GB"/>
        </w:rPr>
        <w:tab/>
        <w:t>the pioneering role the third country plays in the field of privacy and data protection that could serve as a model for other countries in its region;</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and</w:t>
      </w:r>
    </w:p>
    <w:p w:rsidR="00140188" w:rsidRDefault="0009234B">
      <w:pPr>
        <w:ind w:left="480" w:hanging="48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(iv) </w:t>
      </w:r>
      <w:r>
        <w:rPr>
          <w:rFonts w:ascii="Times New Roman" w:hAnsi="Times New Roman" w:cs="Times New Roman"/>
          <w:noProof/>
          <w:sz w:val="24"/>
          <w:szCs w:val="24"/>
          <w:lang w:val="en-GB"/>
        </w:rPr>
        <w:tab/>
        <w:t>the overall political relationship with the third country in question, in pa</w:t>
      </w:r>
      <w:r>
        <w:rPr>
          <w:rFonts w:ascii="Times New Roman" w:hAnsi="Times New Roman" w:cs="Times New Roman"/>
          <w:noProof/>
          <w:sz w:val="24"/>
          <w:szCs w:val="24"/>
          <w:lang w:val="en-GB"/>
        </w:rPr>
        <w:t xml:space="preserve">rticular with respect to the promotion of common values and shared objectives at international level.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Based on these considerations, the Commission will actively engage with key trading partners in East and South-East Asia, starting from Japan and Korea i</w:t>
      </w:r>
      <w:r>
        <w:rPr>
          <w:rFonts w:ascii="Times New Roman" w:hAnsi="Times New Roman" w:cs="Times New Roman"/>
          <w:noProof/>
          <w:sz w:val="24"/>
          <w:szCs w:val="24"/>
          <w:lang w:val="en-GB"/>
        </w:rPr>
        <w:t>n 2017</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and, depending on progress towards the modernisation of its data protection laws, with India, but also with countries in Latin America, in particular Mercosur, and the European neighbourhood which have expressed an interest in obtaining an “adequa</w:t>
      </w:r>
      <w:r>
        <w:rPr>
          <w:rFonts w:ascii="Times New Roman" w:hAnsi="Times New Roman" w:cs="Times New Roman"/>
          <w:noProof/>
          <w:sz w:val="24"/>
          <w:szCs w:val="24"/>
          <w:lang w:val="en-GB"/>
        </w:rPr>
        <w:t>cy finding”. In addition, the Commission welcomes expressions of interest from other third countries that are willing to engage on these issues. Discussions on a possible adequacy finding are a two-way dialogue that includes providing any necessary clarifi</w:t>
      </w:r>
      <w:r>
        <w:rPr>
          <w:rFonts w:ascii="Times New Roman" w:hAnsi="Times New Roman" w:cs="Times New Roman"/>
          <w:noProof/>
          <w:sz w:val="24"/>
          <w:szCs w:val="24"/>
          <w:lang w:val="en-GB"/>
        </w:rPr>
        <w:t>cations on the EU data protection rules and exploring ways to increase convergence of the third countries' laws and practice.</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certain situations, rather than taking a country-wide approach, it may be more suitable to make use of other options such as pa</w:t>
      </w:r>
      <w:r>
        <w:rPr>
          <w:rFonts w:ascii="Times New Roman" w:hAnsi="Times New Roman" w:cs="Times New Roman"/>
          <w:noProof/>
          <w:sz w:val="24"/>
          <w:szCs w:val="24"/>
          <w:lang w:val="en-GB"/>
        </w:rPr>
        <w:t>rtial or sector-specific adequacy (e.g. for financial services or IT sectors) which may concern geographic areas or industries that form an important part of a particular third country's economy. This will need to be considered in light of elements such as</w:t>
      </w:r>
      <w:r>
        <w:rPr>
          <w:rFonts w:ascii="Times New Roman" w:hAnsi="Times New Roman" w:cs="Times New Roman"/>
          <w:noProof/>
          <w:sz w:val="24"/>
          <w:szCs w:val="24"/>
          <w:lang w:val="en-GB"/>
        </w:rPr>
        <w:t>, for instance, the nature and state of development of the privacy regime (stand-alone law, multiple or sectorial laws etc.), the constitutional structure of the third country or whether certain sectors of the economy are particularly exposed to data flows</w:t>
      </w:r>
      <w:r>
        <w:rPr>
          <w:rFonts w:ascii="Times New Roman" w:hAnsi="Times New Roman" w:cs="Times New Roman"/>
          <w:noProof/>
          <w:sz w:val="24"/>
          <w:szCs w:val="24"/>
          <w:lang w:val="en-GB"/>
        </w:rPr>
        <w:t xml:space="preserve"> from the EU.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adoption of an adequacy decision involves the establishment of a specific dialogue and close forms of cooperation with the concerned third country. Adequacy decisions are "living" documents that need to be closely monitored by the </w:t>
      </w:r>
      <w:r>
        <w:rPr>
          <w:rFonts w:ascii="Times New Roman" w:hAnsi="Times New Roman" w:cs="Times New Roman"/>
          <w:noProof/>
          <w:sz w:val="24"/>
          <w:szCs w:val="24"/>
          <w:lang w:val="en-GB"/>
        </w:rPr>
        <w:t>Commission and adapted in case of developments affecting the level of protection ensured by the third country in question.</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xml:space="preserve"> To that end, periodic reviews will be held, at least every four years, to address emerging issues and exchange best practices betwee</w:t>
      </w:r>
      <w:r>
        <w:rPr>
          <w:rFonts w:ascii="Times New Roman" w:hAnsi="Times New Roman" w:cs="Times New Roman"/>
          <w:noProof/>
          <w:sz w:val="24"/>
          <w:szCs w:val="24"/>
          <w:lang w:val="en-GB"/>
        </w:rPr>
        <w:t>n close partners.</w:t>
      </w:r>
      <w:r>
        <w:rPr>
          <w:rStyle w:val="FootnoteReference"/>
          <w:rFonts w:ascii="Times New Roman" w:hAnsi="Times New Roman" w:cs="Times New Roman"/>
          <w:noProof/>
          <w:sz w:val="24"/>
          <w:szCs w:val="24"/>
          <w:lang w:val="en-GB"/>
        </w:rPr>
        <w:footnoteReference w:id="39"/>
      </w:r>
      <w:r>
        <w:rPr>
          <w:rFonts w:ascii="Times New Roman" w:hAnsi="Times New Roman" w:cs="Times New Roman"/>
          <w:noProof/>
          <w:sz w:val="24"/>
          <w:szCs w:val="24"/>
          <w:lang w:val="en-GB"/>
        </w:rPr>
        <w:t xml:space="preserve"> This dynamic approach applies also to already existing adequacy decisions, adopted under the 1995 Directive, which will need to be reviewed in case they no longer meet the applicable standard.</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 xml:space="preserve"> The third countries concerned are therefore</w:t>
      </w:r>
      <w:r>
        <w:rPr>
          <w:rFonts w:ascii="Times New Roman" w:hAnsi="Times New Roman" w:cs="Times New Roman"/>
          <w:noProof/>
          <w:sz w:val="24"/>
          <w:szCs w:val="24"/>
          <w:lang w:val="en-GB"/>
        </w:rPr>
        <w:t xml:space="preserve"> invited to inform the Commission of any relevant change in law and practice that has taken place since the adoption of the adequacy decision relating to them. This is essential to ensure the continuity of these decisions under the new rules of the reform.</w:t>
      </w:r>
      <w:r>
        <w:rPr>
          <w:rStyle w:val="FootnoteReference"/>
          <w:rFonts w:ascii="Times New Roman" w:hAnsi="Times New Roman" w:cs="Times New Roman"/>
          <w:noProof/>
          <w:sz w:val="24"/>
          <w:szCs w:val="24"/>
          <w:lang w:val="en-GB"/>
        </w:rPr>
        <w:footnoteReference w:id="41"/>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rPr>
      </w:pPr>
      <w:r>
        <w:rPr>
          <w:rFonts w:ascii="Times New Roman" w:hAnsi="Times New Roman" w:cs="Times New Roman"/>
          <w:noProof/>
          <w:sz w:val="24"/>
          <w:szCs w:val="24"/>
          <w:lang w:val="en-GB"/>
        </w:rPr>
        <w:t>The EU data protection rules cannot be the subject of negotiations in a free trade agreement.</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While dialogues on data protection and trade negotiations with third countries have to follow separate tracks, an adequacy decision, including a partial or se</w:t>
      </w:r>
      <w:r>
        <w:rPr>
          <w:rFonts w:ascii="Times New Roman" w:hAnsi="Times New Roman" w:cs="Times New Roman"/>
          <w:noProof/>
          <w:sz w:val="24"/>
          <w:szCs w:val="24"/>
          <w:lang w:val="en-GB"/>
        </w:rPr>
        <w:t>ctor-specific one, is the best avenue to build mutual trust, guaranteeing uninhibited flow of personal data, and thus facilitate commercial exchanges involving transfers of personal data to the third country in question. Such decisions can therefore ease t</w:t>
      </w:r>
      <w:r>
        <w:rPr>
          <w:rFonts w:ascii="Times New Roman" w:hAnsi="Times New Roman" w:cs="Times New Roman"/>
          <w:noProof/>
          <w:sz w:val="24"/>
          <w:szCs w:val="24"/>
          <w:lang w:val="en-GB"/>
        </w:rPr>
        <w:t xml:space="preserve">rade negotiations or may complement existing trade agreements, thus allowing them to amplify their benefits. At the same time, by fostering the convergence of the level of protection in the EU and the third country, an adequacy finding reduces the risk of </w:t>
      </w:r>
      <w:r>
        <w:rPr>
          <w:rFonts w:ascii="Times New Roman" w:hAnsi="Times New Roman" w:cs="Times New Roman"/>
          <w:noProof/>
          <w:sz w:val="24"/>
          <w:szCs w:val="24"/>
          <w:lang w:val="en-GB"/>
        </w:rPr>
        <w:t>invocation by that country of personal data protection grounds to impose unjustified data localisation or storage requirements. Beyond this, as indicated in the Trade for All Communication, the Commission will seek to use EU trade agreements to set rules f</w:t>
      </w:r>
      <w:r>
        <w:rPr>
          <w:rFonts w:ascii="Times New Roman" w:hAnsi="Times New Roman" w:cs="Times New Roman"/>
          <w:noProof/>
          <w:sz w:val="24"/>
          <w:szCs w:val="24"/>
          <w:lang w:val="en-GB"/>
        </w:rPr>
        <w:t>or e-commerce and cross-border data flows and tackle new forms of digital protectionism, in full compliance with and without prejudice to the EU’s data protection rules.</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xml:space="preserve"> </w:t>
      </w:r>
    </w:p>
    <w:p w:rsidR="00140188" w:rsidRDefault="0009234B">
      <w:pPr>
        <w:jc w:val="both"/>
        <w:rPr>
          <w:rFonts w:ascii="Times New Roman" w:hAnsi="Times New Roman" w:cs="Times New Roman"/>
          <w:noProof/>
          <w:sz w:val="24"/>
          <w:szCs w:val="24"/>
          <w:lang w:val="en-GB"/>
        </w:rPr>
      </w:pPr>
      <w:r>
        <w:rPr>
          <w:rStyle w:val="Heading2Char"/>
          <w:rFonts w:ascii="Times New Roman Bold" w:hAnsi="Times New Roman Bold" w:cs="Times New Roman"/>
          <w:noProof/>
          <w:color w:val="auto"/>
          <w:sz w:val="24"/>
          <w:szCs w:val="24"/>
          <w:lang w:val="en-GB" w:eastAsia="zh-CN"/>
        </w:rPr>
        <mc:AlternateContent>
          <mc:Choice Requires="wps">
            <w:drawing>
              <wp:inline distT="0" distB="0" distL="0" distR="0" wp14:anchorId="64015BD4" wp14:editId="232CD0EC">
                <wp:extent cx="6124575" cy="26479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47950"/>
                        </a:xfrm>
                        <a:prstGeom prst="rect">
                          <a:avLst/>
                        </a:prstGeom>
                        <a:solidFill>
                          <a:srgbClr val="FFFFFF"/>
                        </a:solidFill>
                        <a:ln w="9525">
                          <a:solidFill>
                            <a:srgbClr val="000000"/>
                          </a:solidFill>
                          <a:miter lim="800000"/>
                          <a:headEnd/>
                          <a:tailEnd/>
                        </a:ln>
                      </wps:spPr>
                      <wps:txb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Prioritise discussions on possible adequacy decisions with k</w:t>
                            </w:r>
                            <w:r>
                              <w:rPr>
                                <w:rFonts w:ascii="Times New Roman" w:hAnsi="Times New Roman" w:cs="Times New Roman"/>
                                <w:sz w:val="24"/>
                                <w:szCs w:val="24"/>
                                <w:lang w:val="en-GB"/>
                              </w:rPr>
                              <w:t>ey trading partners in East and South-East Asia, starting from Japan and Korea in 2017, but also considering other strategic partners such as India, and with countries in Latin America, in particular Mercosur, and the European neighbourhood.</w:t>
                            </w:r>
                            <w:r>
                              <w:rPr>
                                <w:rFonts w:ascii="Times New Roman" w:hAnsi="Times New Roman" w:cs="Times New Roman"/>
                                <w:sz w:val="24"/>
                                <w:szCs w:val="24"/>
                                <w:highlight w:val="yellow"/>
                                <w:lang w:val="en-GB"/>
                              </w:rPr>
                              <w:t xml:space="preserve"> </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highlight w:val="yellow"/>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Closely moni</w:t>
                            </w:r>
                            <w:r>
                              <w:rPr>
                                <w:rFonts w:ascii="Times New Roman" w:hAnsi="Times New Roman" w:cs="Times New Roman"/>
                                <w:sz w:val="24"/>
                                <w:szCs w:val="24"/>
                                <w:lang w:val="en-GB"/>
                              </w:rPr>
                              <w:t>tor the functioning of the existing adequacy decisions. This includes in particular the implementation of the EU-US Privacy Shield framework, notably through the annual joint review mechanism.</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Work with and assist countries interested in adopting strong d</w:t>
                            </w:r>
                            <w:r>
                              <w:rPr>
                                <w:rFonts w:ascii="Times New Roman" w:hAnsi="Times New Roman" w:cs="Times New Roman"/>
                                <w:sz w:val="24"/>
                                <w:szCs w:val="24"/>
                                <w:lang w:val="en-GB"/>
                              </w:rPr>
                              <w:t>ata protection laws and support their convergence with EU data protection principles.</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140188"/>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2.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GH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">
                <v:textbo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Prioritise discussions on possible adequacy decisions with k</w:t>
                      </w:r>
                      <w:r>
                        <w:rPr>
                          <w:rFonts w:ascii="Times New Roman" w:hAnsi="Times New Roman" w:cs="Times New Roman"/>
                          <w:sz w:val="24"/>
                          <w:szCs w:val="24"/>
                          <w:lang w:val="en-GB"/>
                        </w:rPr>
                        <w:t>ey trading partners in East and South-East Asia, starting from Japan and Korea in 2017, but also considering other strategic partners such as India, and with countries in Latin America, in particular Mercosur, and the European neighbourhood.</w:t>
                      </w:r>
                      <w:r>
                        <w:rPr>
                          <w:rFonts w:ascii="Times New Roman" w:hAnsi="Times New Roman" w:cs="Times New Roman"/>
                          <w:sz w:val="24"/>
                          <w:szCs w:val="24"/>
                          <w:highlight w:val="yellow"/>
                          <w:lang w:val="en-GB"/>
                        </w:rPr>
                        <w:t xml:space="preserve"> </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highlight w:val="yellow"/>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Closely moni</w:t>
                      </w:r>
                      <w:r>
                        <w:rPr>
                          <w:rFonts w:ascii="Times New Roman" w:hAnsi="Times New Roman" w:cs="Times New Roman"/>
                          <w:sz w:val="24"/>
                          <w:szCs w:val="24"/>
                          <w:lang w:val="en-GB"/>
                        </w:rPr>
                        <w:t>tor the functioning of the existing adequacy decisions. This includes in particular the implementation of the EU-US Privacy Shield framework, notably through the annual joint review mechanism.</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09234B">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Work with and assist countries interested in adopting strong d</w:t>
                      </w:r>
                      <w:r>
                        <w:rPr>
                          <w:rFonts w:ascii="Times New Roman" w:hAnsi="Times New Roman" w:cs="Times New Roman"/>
                          <w:sz w:val="24"/>
                          <w:szCs w:val="24"/>
                          <w:lang w:val="en-GB"/>
                        </w:rPr>
                        <w:t>ata protection laws and support their convergence with EU data protection principles.</w:t>
                      </w:r>
                    </w:p>
                    <w:p w:rsidR="00140188" w:rsidRDefault="00140188">
                      <w:pPr>
                        <w:pStyle w:val="ListParagraph"/>
                        <w:tabs>
                          <w:tab w:val="center" w:pos="4680"/>
                          <w:tab w:val="right" w:pos="9360"/>
                        </w:tabs>
                        <w:spacing w:after="0" w:line="240" w:lineRule="auto"/>
                        <w:jc w:val="both"/>
                        <w:rPr>
                          <w:rFonts w:ascii="Times New Roman" w:hAnsi="Times New Roman" w:cs="Times New Roman"/>
                          <w:sz w:val="24"/>
                          <w:szCs w:val="24"/>
                          <w:lang w:val="en-GB"/>
                        </w:rPr>
                      </w:pPr>
                    </w:p>
                    <w:p w:rsidR="00140188" w:rsidRDefault="00140188"/>
                  </w:txbxContent>
                </v:textbox>
                <w10:anchorlock/>
              </v:shape>
            </w:pict>
          </mc:Fallback>
        </mc:AlternateContent>
      </w:r>
    </w:p>
    <w:p w:rsidR="00140188" w:rsidRDefault="0009234B">
      <w:pPr>
        <w:pStyle w:val="Heading2"/>
        <w:spacing w:before="0" w:after="200"/>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3.2 Alternative data transfer mechanisms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data protection rules have always recognised that there is no one-size-fits-all approach to international data transfers. </w:t>
      </w:r>
      <w:r>
        <w:rPr>
          <w:rFonts w:ascii="Times New Roman" w:hAnsi="Times New Roman" w:cs="Times New Roman"/>
          <w:noProof/>
          <w:sz w:val="24"/>
          <w:szCs w:val="24"/>
          <w:lang w:val="en-GB"/>
        </w:rPr>
        <w:t>This is even truer of the rules resulting from the reform. While adequacy findings will be available only to those third countries that meet the relevant criteria, the GDPR provides a diverse set of mechanisms that are flexible enough to adapt to a variety</w:t>
      </w:r>
      <w:r>
        <w:rPr>
          <w:rFonts w:ascii="Times New Roman" w:hAnsi="Times New Roman" w:cs="Times New Roman"/>
          <w:noProof/>
          <w:sz w:val="24"/>
          <w:szCs w:val="24"/>
          <w:lang w:val="en-GB"/>
        </w:rPr>
        <w:t xml:space="preserve"> of different transfer situations. Instruments can be developed to take into account the particular needs or conditions of specific industries, business models and/or operators. This could for instance take the form of SCCs targeted at the requirements of </w:t>
      </w:r>
      <w:r>
        <w:rPr>
          <w:rFonts w:ascii="Times New Roman" w:hAnsi="Times New Roman" w:cs="Times New Roman"/>
          <w:noProof/>
          <w:sz w:val="24"/>
          <w:szCs w:val="24"/>
          <w:lang w:val="en-GB"/>
        </w:rPr>
        <w:t>a particular sector, e.g. specific safeguards when processing sensitive data in the health sector, or of a specific type of processing activities prevalent in certain third countries, e.g. outsourcing services that are carried out for European companies. T</w:t>
      </w:r>
      <w:r>
        <w:rPr>
          <w:rFonts w:ascii="Times New Roman" w:hAnsi="Times New Roman" w:cs="Times New Roman"/>
          <w:noProof/>
          <w:sz w:val="24"/>
          <w:szCs w:val="24"/>
          <w:lang w:val="en-GB"/>
        </w:rPr>
        <w:t>his could be done by either adopting new sets of standard clauses or by supplementing existing ones with additional safeguards which could range from technical to organisational to business-model related solutions.</w:t>
      </w:r>
      <w:r>
        <w:rPr>
          <w:rStyle w:val="FootnoteReference"/>
          <w:rFonts w:ascii="Times New Roman" w:hAnsi="Times New Roman" w:cs="Times New Roman"/>
          <w:noProof/>
          <w:sz w:val="24"/>
          <w:szCs w:val="24"/>
          <w:lang w:val="en-GB"/>
        </w:rPr>
        <w:footnoteReference w:id="44"/>
      </w:r>
      <w:r>
        <w:rPr>
          <w:rFonts w:ascii="Times New Roman" w:hAnsi="Times New Roman" w:cs="Times New Roman"/>
          <w:noProof/>
          <w:sz w:val="24"/>
          <w:szCs w:val="24"/>
          <w:lang w:val="en-GB"/>
        </w:rPr>
        <w:t xml:space="preserve"> Some specific sectorial needs can also b</w:t>
      </w:r>
      <w:r>
        <w:rPr>
          <w:rFonts w:ascii="Times New Roman" w:hAnsi="Times New Roman" w:cs="Times New Roman"/>
          <w:noProof/>
          <w:sz w:val="24"/>
          <w:szCs w:val="24"/>
          <w:lang w:val="en-GB"/>
        </w:rPr>
        <w:t>e accommodated through BCRs applying to groups of companies involved in a joint economic activity, for instance in the travel industry. International transfers between processors could benefit from the development of processor-to-processor SCCs or/and BCRs</w:t>
      </w:r>
      <w:r>
        <w:rPr>
          <w:rFonts w:ascii="Times New Roman" w:hAnsi="Times New Roman" w:cs="Times New Roman"/>
          <w:noProof/>
          <w:sz w:val="24"/>
          <w:szCs w:val="24"/>
          <w:lang w:val="en-GB"/>
        </w:rPr>
        <w:t xml:space="preserve"> for processors. Finally, new transfer mechanisms such as approved codes of conduct and accredited third-party certifications provide industry with the possibility to introduce tailor-made solutions for international transfers while benefiting from the com</w:t>
      </w:r>
      <w:r>
        <w:rPr>
          <w:rFonts w:ascii="Times New Roman" w:hAnsi="Times New Roman" w:cs="Times New Roman"/>
          <w:noProof/>
          <w:sz w:val="24"/>
          <w:szCs w:val="24"/>
          <w:lang w:val="en-GB"/>
        </w:rPr>
        <w:t xml:space="preserve">petitive advantages associated, for example, with a privacy seal or mark. Some of these instruments can be developed as transfer-specific mechanisms or as part of more general tools to demonstrate compliance with all the provisions of the GDPR, such as in </w:t>
      </w:r>
      <w:r>
        <w:rPr>
          <w:rFonts w:ascii="Times New Roman" w:hAnsi="Times New Roman" w:cs="Times New Roman"/>
          <w:noProof/>
          <w:sz w:val="24"/>
          <w:szCs w:val="24"/>
          <w:lang w:val="en-GB"/>
        </w:rPr>
        <w:t>the case of an approved code of conduct.</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work with industry, civil society and data protection authorities with a view to harnessing the full potential of the GDPR toolkit for international transfers. The ongoing dialogue with stakehold</w:t>
      </w:r>
      <w:r>
        <w:rPr>
          <w:rFonts w:ascii="Times New Roman" w:hAnsi="Times New Roman" w:cs="Times New Roman"/>
          <w:noProof/>
          <w:sz w:val="24"/>
          <w:szCs w:val="24"/>
          <w:lang w:val="en-GB"/>
        </w:rPr>
        <w:t>ers in the context of the implementation of the reform will help identify priority action areas in this respect. This may include completing work that has already started such as on the drawing up, in cooperation with the Article 29 Working Party (to be re</w:t>
      </w:r>
      <w:r>
        <w:rPr>
          <w:rFonts w:ascii="Times New Roman" w:hAnsi="Times New Roman" w:cs="Times New Roman"/>
          <w:noProof/>
          <w:sz w:val="24"/>
          <w:szCs w:val="24"/>
          <w:lang w:val="en-GB"/>
        </w:rPr>
        <w:t>placed in 2018 by the European Data Protection Board), of processor-to processor SCCs.</w:t>
      </w:r>
      <w:r>
        <w:rPr>
          <w:rStyle w:val="FootnoteReference"/>
          <w:rFonts w:ascii="Times New Roman" w:hAnsi="Times New Roman" w:cs="Times New Roman"/>
          <w:noProof/>
          <w:sz w:val="24"/>
          <w:szCs w:val="24"/>
          <w:lang w:val="en-GB"/>
        </w:rPr>
        <w:footnoteReference w:id="45"/>
      </w:r>
      <w:r>
        <w:rPr>
          <w:rFonts w:ascii="Times New Roman" w:hAnsi="Times New Roman" w:cs="Times New Roman"/>
          <w:noProof/>
          <w:sz w:val="24"/>
          <w:szCs w:val="24"/>
          <w:lang w:val="en-GB"/>
        </w:rPr>
        <w:t xml:space="preserve"> It can involve developing new components of the EU compliance infrastructure, for instance through the Commission defining requirements and technical standards for the </w:t>
      </w:r>
      <w:r>
        <w:rPr>
          <w:rFonts w:ascii="Times New Roman" w:hAnsi="Times New Roman" w:cs="Times New Roman"/>
          <w:noProof/>
          <w:sz w:val="24"/>
          <w:szCs w:val="24"/>
          <w:lang w:val="en-GB"/>
        </w:rPr>
        <w:t>establishment and functioning of certification mechanisms, including for aspects relating to international transfers.</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 xml:space="preserve"> Some of these actions can be complemented by work at international level, in particular with organisations that have developed similar tr</w:t>
      </w:r>
      <w:r>
        <w:rPr>
          <w:rFonts w:ascii="Times New Roman" w:hAnsi="Times New Roman" w:cs="Times New Roman"/>
          <w:noProof/>
          <w:sz w:val="24"/>
          <w:szCs w:val="24"/>
          <w:lang w:val="en-GB"/>
        </w:rPr>
        <w:t>ansfer mechanisms. For example, ways could be explored to promote convergence between BCRs under EU law and the Cross Border Privacy Rules developed by the Asia Pacific Economic Cooperation (APEC)</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xml:space="preserve"> as regards both the applicable standards and the applicati</w:t>
      </w:r>
      <w:r>
        <w:rPr>
          <w:rFonts w:ascii="Times New Roman" w:hAnsi="Times New Roman" w:cs="Times New Roman"/>
          <w:noProof/>
          <w:sz w:val="24"/>
          <w:szCs w:val="24"/>
          <w:lang w:val="en-GB"/>
        </w:rPr>
        <w:t>on process under each system. This should contribute to promoting high data protection standards globally while bridging differences in approaches to privacy and data protection, helping commercial operators to navigate between different systems and design</w:t>
      </w:r>
      <w:r>
        <w:rPr>
          <w:rFonts w:ascii="Times New Roman" w:hAnsi="Times New Roman" w:cs="Times New Roman"/>
          <w:noProof/>
          <w:sz w:val="24"/>
          <w:szCs w:val="24"/>
          <w:lang w:val="en-GB"/>
        </w:rPr>
        <w:t>ing policies that comply with them.</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zh-CN"/>
        </w:rPr>
        <mc:AlternateContent>
          <mc:Choice Requires="wps">
            <w:drawing>
              <wp:inline distT="0" distB="0" distL="0" distR="0" wp14:anchorId="0957BFB6" wp14:editId="066251A8">
                <wp:extent cx="5724525" cy="1174750"/>
                <wp:effectExtent l="0" t="0" r="2857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74750"/>
                        </a:xfrm>
                        <a:prstGeom prst="rect">
                          <a:avLst/>
                        </a:prstGeom>
                        <a:solidFill>
                          <a:srgbClr val="FFFFFF"/>
                        </a:solidFill>
                        <a:ln w="9525">
                          <a:solidFill>
                            <a:srgbClr val="000000"/>
                          </a:solidFill>
                          <a:miter lim="800000"/>
                          <a:headEnd/>
                          <a:tailEnd/>
                        </a:ln>
                      </wps:spPr>
                      <wps:txb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jc w:val="both"/>
                              <w:rPr>
                                <w:lang w:val="en-GB"/>
                              </w:rPr>
                            </w:pPr>
                            <w:r>
                              <w:rPr>
                                <w:rFonts w:ascii="Times New Roman" w:hAnsi="Times New Roman" w:cs="Times New Roman"/>
                                <w:sz w:val="24"/>
                                <w:szCs w:val="24"/>
                                <w:lang w:val="en-GB"/>
                              </w:rPr>
                              <w:t>Work with stakeholders to develop alternative personal data transfer mechanisms adapted to the particular needs or conditions of specific industries, business models and/or operators.</w:t>
                            </w:r>
                          </w:p>
                        </w:txbxContent>
                      </wps:txbx>
                      <wps:bodyPr rot="0" vert="horz" wrap="square" lIns="91440" tIns="45720" rIns="91440" bIns="45720" anchor="t" anchorCtr="0">
                        <a:noAutofit/>
                      </wps:bodyPr>
                    </wps:wsp>
                  </a:graphicData>
                </a:graphic>
              </wp:inline>
            </w:drawing>
          </mc:Choice>
          <mc:Fallback>
            <w:pict>
              <v:shape id="_x0000_s1027" type="#_x0000_t202" style="width:450.7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">
                <v:textbox>
                  <w:txbxContent>
                    <w:p w:rsidR="00140188" w:rsidRDefault="0009234B">
                      <w:pPr>
                        <w:jc w:val="both"/>
                        <w:rPr>
                          <w:rFonts w:ascii="Times New Roman" w:hAnsi="Times New Roman" w:cs="Times New Roman"/>
                          <w:sz w:val="24"/>
                          <w:szCs w:val="24"/>
                          <w:lang w:val="en-GB"/>
                        </w:rPr>
                      </w:pPr>
                      <w:r>
                        <w:rPr>
                          <w:rFonts w:ascii="Times New Roman" w:hAnsi="Times New Roman" w:cs="Times New Roman"/>
                          <w:sz w:val="24"/>
                          <w:szCs w:val="24"/>
                          <w:lang w:val="en-GB"/>
                        </w:rPr>
                        <w:t>The Commission will:</w:t>
                      </w:r>
                    </w:p>
                    <w:p w:rsidR="00140188" w:rsidRDefault="0009234B">
                      <w:pPr>
                        <w:pStyle w:val="ListParagraph"/>
                        <w:numPr>
                          <w:ilvl w:val="0"/>
                          <w:numId w:val="11"/>
                        </w:numPr>
                        <w:jc w:val="both"/>
                        <w:rPr>
                          <w:lang w:val="en-GB"/>
                        </w:rPr>
                      </w:pPr>
                      <w:r>
                        <w:rPr>
                          <w:rFonts w:ascii="Times New Roman" w:hAnsi="Times New Roman" w:cs="Times New Roman"/>
                          <w:sz w:val="24"/>
                          <w:szCs w:val="24"/>
                          <w:lang w:val="en-GB"/>
                        </w:rPr>
                        <w:t>Work with stakeholders to develop alternative personal data transfer mechanisms adapted to the particular needs or conditions of specific industries, business models and/or operators.</w:t>
                      </w:r>
                    </w:p>
                  </w:txbxContent>
                </v:textbox>
                <w10:anchorlock/>
              </v:shape>
            </w:pict>
          </mc:Fallback>
        </mc:AlternateContent>
      </w:r>
      <w:r>
        <w:rPr>
          <w:rFonts w:ascii="Times New Roman" w:hAnsi="Times New Roman" w:cs="Times New Roman"/>
          <w:noProof/>
          <w:sz w:val="24"/>
          <w:szCs w:val="24"/>
          <w:lang w:val="en-GB"/>
        </w:rPr>
        <w:t xml:space="preserve"> </w:t>
      </w:r>
    </w:p>
    <w:p w:rsidR="00140188" w:rsidRDefault="0009234B">
      <w:pPr>
        <w:pStyle w:val="Heading2"/>
        <w:spacing w:before="0" w:after="200"/>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3.3 Intern</w:t>
      </w:r>
      <w:r>
        <w:rPr>
          <w:rFonts w:ascii="Times New Roman" w:hAnsi="Times New Roman" w:cs="Times New Roman"/>
          <w:noProof/>
          <w:color w:val="auto"/>
          <w:sz w:val="24"/>
          <w:szCs w:val="24"/>
          <w:lang w:val="en-GB"/>
        </w:rPr>
        <w:t>ational cooperation for the protection of personal data</w:t>
      </w:r>
    </w:p>
    <w:p w:rsidR="00140188" w:rsidRDefault="0009234B">
      <w:pPr>
        <w:rPr>
          <w:rFonts w:ascii="Times New Roman" w:hAnsi="Times New Roman" w:cs="Times New Roman"/>
          <w:i/>
          <w:noProof/>
          <w:lang w:val="en-GB"/>
        </w:rPr>
      </w:pPr>
      <w:r>
        <w:rPr>
          <w:rFonts w:ascii="Times New Roman" w:hAnsi="Times New Roman" w:cs="Times New Roman"/>
          <w:i/>
          <w:noProof/>
          <w:lang w:val="en-GB"/>
        </w:rPr>
        <w:t xml:space="preserve">3.3.1. Promoting data protection standards through multilateral instruments and fora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data protection legal framework has often served as a point of reference for third countries developing </w:t>
      </w:r>
      <w:r>
        <w:rPr>
          <w:rFonts w:ascii="Times New Roman" w:hAnsi="Times New Roman" w:cs="Times New Roman"/>
          <w:noProof/>
          <w:sz w:val="24"/>
          <w:szCs w:val="24"/>
          <w:lang w:val="en-GB"/>
        </w:rPr>
        <w:t>legislation in this field. The EU will continue to engage actively in dialogue with its international partners, at both bilateral and multilateral level, to foster convergence by developing high and interoperable personal data protection standards globally</w:t>
      </w:r>
      <w:r>
        <w:rPr>
          <w:rFonts w:ascii="Times New Roman" w:hAnsi="Times New Roman" w:cs="Times New Roman"/>
          <w:noProof/>
          <w:sz w:val="24"/>
          <w:szCs w:val="24"/>
          <w:lang w:val="en-GB"/>
        </w:rPr>
        <w:t>. This contributes to the more effective protection of individuals' rights and at the same time reduces obstacles to the cross-border flow of data as an important element of free trade.</w:t>
      </w:r>
    </w:p>
    <w:p w:rsidR="00140188" w:rsidRDefault="0009234B">
      <w:pPr>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the Commission encourages accession by third countries </w:t>
      </w:r>
      <w:r>
        <w:rPr>
          <w:rFonts w:ascii="Times New Roman" w:hAnsi="Times New Roman" w:cs="Times New Roman"/>
          <w:noProof/>
          <w:sz w:val="24"/>
          <w:szCs w:val="24"/>
        </w:rPr>
        <w:t>to Council of Europe Convention 108 and its additional Protocol.</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The Convention, which is open to non-members of the Council of Europe and has already been ratified by 50 countries, including African and South American States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is the only binding multila</w:t>
      </w:r>
      <w:r>
        <w:rPr>
          <w:rFonts w:ascii="Times New Roman" w:hAnsi="Times New Roman" w:cs="Times New Roman"/>
          <w:noProof/>
          <w:sz w:val="24"/>
          <w:szCs w:val="24"/>
        </w:rPr>
        <w:t xml:space="preserve">teral instrument in the area of data protection. It is currently in the process of being revised and the Commission will actively promote the swift adoption of the modernised text with a view to the EU becoming a Party. It will reflect the same principles </w:t>
      </w:r>
      <w:r>
        <w:rPr>
          <w:rFonts w:ascii="Times New Roman" w:hAnsi="Times New Roman" w:cs="Times New Roman"/>
          <w:noProof/>
          <w:sz w:val="24"/>
          <w:szCs w:val="24"/>
        </w:rPr>
        <w:t xml:space="preserve">as those enshrined in the new EU data protection rules and thus contribute to the convergence towards a set of high data protection standards.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G20 meeting in 2017 will provide a further opportunity for the EU to work towards convergence around the pr</w:t>
      </w:r>
      <w:r>
        <w:rPr>
          <w:rFonts w:ascii="Times New Roman" w:hAnsi="Times New Roman" w:cs="Times New Roman"/>
          <w:noProof/>
          <w:sz w:val="24"/>
          <w:szCs w:val="24"/>
          <w:lang w:val="en-GB"/>
        </w:rPr>
        <w:t>inciple that high data protection standards are an essential component of the further development of a global information society capable of promoting innovation, growth and social prosperity.</w:t>
      </w:r>
      <w:r>
        <w:rPr>
          <w:rStyle w:val="FootnoteReference"/>
          <w:rFonts w:ascii="Times New Roman" w:hAnsi="Times New Roman" w:cs="Times New Roman"/>
          <w:noProof/>
          <w:sz w:val="24"/>
          <w:szCs w:val="24"/>
          <w:lang w:val="en-GB"/>
        </w:rPr>
        <w:footnoteReference w:id="50"/>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is also looking forward to engaging with import</w:t>
      </w:r>
      <w:r>
        <w:rPr>
          <w:rFonts w:ascii="Times New Roman" w:hAnsi="Times New Roman" w:cs="Times New Roman"/>
          <w:noProof/>
          <w:sz w:val="24"/>
          <w:szCs w:val="24"/>
          <w:lang w:val="en-GB"/>
        </w:rPr>
        <w:t>ant new actors, such as the UN Special Rapporteur on the Right to Privacy,</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xml:space="preserve"> and further developing its working relationships with regional organisations such as APEC, to foster a worldwide culture of respect for the rights to privacy and personal data prot</w:t>
      </w:r>
      <w:r>
        <w:rPr>
          <w:rFonts w:ascii="Times New Roman" w:hAnsi="Times New Roman" w:cs="Times New Roman"/>
          <w:noProof/>
          <w:sz w:val="24"/>
          <w:szCs w:val="24"/>
          <w:lang w:val="en-GB"/>
        </w:rPr>
        <w:t>ection.</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part of its broader efforts to improve privacy awareness and raise data protection safeguards internationally, on 15 November 2016, the European Commission approved a project under the Partnership Instrument to strengthen cooperation with partne</w:t>
      </w:r>
      <w:r>
        <w:rPr>
          <w:rFonts w:ascii="Times New Roman" w:hAnsi="Times New Roman" w:cs="Times New Roman"/>
          <w:noProof/>
          <w:sz w:val="24"/>
          <w:szCs w:val="24"/>
          <w:lang w:val="en-GB"/>
        </w:rPr>
        <w:t>r countries in this area.</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xml:space="preserve"> This will include the financing of activities such as training and awareness-raising. In turn, in the context of implementing the reform, the EU can benefit from the exchange of best practices and the experience of other systems </w:t>
      </w:r>
      <w:r>
        <w:rPr>
          <w:rFonts w:ascii="Times New Roman" w:hAnsi="Times New Roman" w:cs="Times New Roman"/>
          <w:noProof/>
          <w:sz w:val="24"/>
          <w:szCs w:val="24"/>
          <w:lang w:val="en-GB"/>
        </w:rPr>
        <w:t>with new challenges for the protection of privacy and emerging legal or technical solutions, including as regards enforcement, compliance tools (e.g. certification mechanisms, privacy impact assessments) or the protections for certain specific data sets (e</w:t>
      </w:r>
      <w:r>
        <w:rPr>
          <w:rFonts w:ascii="Times New Roman" w:hAnsi="Times New Roman" w:cs="Times New Roman"/>
          <w:noProof/>
          <w:sz w:val="24"/>
          <w:szCs w:val="24"/>
          <w:lang w:val="en-GB"/>
        </w:rPr>
        <w:t>.g. children's data).</w:t>
      </w:r>
    </w:p>
    <w:p w:rsidR="00140188" w:rsidRDefault="0009234B">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3.3.2</w:t>
      </w:r>
      <w:r>
        <w:rPr>
          <w:rFonts w:ascii="Times New Roman" w:hAnsi="Times New Roman" w:cs="Times New Roman"/>
          <w:noProof/>
          <w:sz w:val="24"/>
          <w:szCs w:val="24"/>
          <w:lang w:val="en-GB"/>
        </w:rPr>
        <w:t>.</w:t>
      </w:r>
      <w:r>
        <w:rPr>
          <w:rFonts w:ascii="Times New Roman" w:hAnsi="Times New Roman" w:cs="Times New Roman"/>
          <w:i/>
          <w:noProof/>
          <w:sz w:val="24"/>
          <w:szCs w:val="24"/>
          <w:lang w:val="en-GB"/>
        </w:rPr>
        <w:t xml:space="preserve"> Enforcement cooperation</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Enhancing cooperation with relevant privacy enforcement and supervisory authorities of third countries is increasingly necessary given the global reach of multinational companies that process vast amount</w:t>
      </w:r>
      <w:r>
        <w:rPr>
          <w:rFonts w:ascii="Times New Roman" w:hAnsi="Times New Roman" w:cs="Times New Roman"/>
          <w:noProof/>
          <w:sz w:val="24"/>
          <w:szCs w:val="24"/>
          <w:lang w:val="en-GB"/>
        </w:rPr>
        <w:t>s of personal data in a large number of countries. Often problems of non-compliance with data protection rules or data breaches simultaneously affect people in more than one jurisdiction. In these cases, the protection of individuals could be made more eff</w:t>
      </w:r>
      <w:r>
        <w:rPr>
          <w:rFonts w:ascii="Times New Roman" w:hAnsi="Times New Roman" w:cs="Times New Roman"/>
          <w:noProof/>
          <w:sz w:val="24"/>
          <w:szCs w:val="24"/>
          <w:lang w:val="en-GB"/>
        </w:rPr>
        <w:t xml:space="preserve">ective through common action. At the same time, economic operators would benefit from a clearer legal environment where common interpretation tools and enforcement practices are developed at global level.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borderless and connected world of data flow</w:t>
      </w:r>
      <w:r>
        <w:rPr>
          <w:rFonts w:ascii="Times New Roman" w:hAnsi="Times New Roman" w:cs="Times New Roman"/>
          <w:noProof/>
          <w:sz w:val="24"/>
          <w:szCs w:val="24"/>
          <w:lang w:val="en-GB"/>
        </w:rPr>
        <w:t>s, it is therefore time to step up cooperation between enforcers.</w:t>
      </w:r>
      <w:r>
        <w:rPr>
          <w:rStyle w:val="FootnoteReference"/>
          <w:rFonts w:ascii="Times New Roman" w:hAnsi="Times New Roman" w:cs="Times New Roman"/>
          <w:noProof/>
          <w:sz w:val="24"/>
          <w:szCs w:val="24"/>
          <w:lang w:val="en-GB"/>
        </w:rPr>
        <w:footnoteReference w:id="53"/>
      </w:r>
      <w:r>
        <w:rPr>
          <w:rFonts w:ascii="Times New Roman" w:hAnsi="Times New Roman" w:cs="Times New Roman"/>
          <w:noProof/>
          <w:sz w:val="24"/>
          <w:szCs w:val="24"/>
          <w:lang w:val="en-GB"/>
        </w:rPr>
        <w:t xml:space="preserve"> The EU stands ready to play its part. As recalled above, the GDPR enables the Commission to develop international cooperation mechanisms to facilitate the effective enforcement of data prot</w:t>
      </w:r>
      <w:r>
        <w:rPr>
          <w:rFonts w:ascii="Times New Roman" w:hAnsi="Times New Roman" w:cs="Times New Roman"/>
          <w:noProof/>
          <w:sz w:val="24"/>
          <w:szCs w:val="24"/>
          <w:lang w:val="en-GB"/>
        </w:rPr>
        <w:t xml:space="preserve">ection legislation, including through mutual assistance arrangements. In this context, the possibility to develop a framework agreement for cooperation between EU data protection authorities and enforcement authorities in certain third countries should be </w:t>
      </w:r>
      <w:r>
        <w:rPr>
          <w:rFonts w:ascii="Times New Roman" w:hAnsi="Times New Roman" w:cs="Times New Roman"/>
          <w:noProof/>
          <w:sz w:val="24"/>
          <w:szCs w:val="24"/>
          <w:lang w:val="en-GB"/>
        </w:rPr>
        <w:t>explored, drawing also from the experience gained by the Commission in other enforcement areas such as competition and consumer protection.</w:t>
      </w: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6"/>
      </w:tblGrid>
      <w:tr w:rsidR="00140188">
        <w:trPr>
          <w:trHeight w:val="3045"/>
        </w:trPr>
        <w:tc>
          <w:tcPr>
            <w:tcW w:w="9536" w:type="dxa"/>
          </w:tcPr>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w:t>
            </w:r>
          </w:p>
          <w:p w:rsidR="00140188" w:rsidRDefault="0009234B">
            <w:pPr>
              <w:pStyle w:val="ListParagraph"/>
              <w:numPr>
                <w:ilvl w:val="0"/>
                <w:numId w:val="1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Promote the swift adoption of the modernised text of Council of Europe Convention 108 with a vi</w:t>
            </w:r>
            <w:r>
              <w:rPr>
                <w:rFonts w:ascii="Times New Roman" w:hAnsi="Times New Roman" w:cs="Times New Roman"/>
                <w:noProof/>
                <w:sz w:val="24"/>
                <w:szCs w:val="24"/>
                <w:lang w:val="en-GB"/>
              </w:rPr>
              <w:t>ew to the EU becoming a Party and encourage accession by third countries.</w:t>
            </w:r>
          </w:p>
          <w:p w:rsidR="00140188" w:rsidRDefault="00140188">
            <w:pPr>
              <w:pStyle w:val="ListParagraph"/>
              <w:jc w:val="both"/>
              <w:rPr>
                <w:rFonts w:ascii="Times New Roman" w:hAnsi="Times New Roman" w:cs="Times New Roman"/>
                <w:noProof/>
                <w:sz w:val="24"/>
                <w:szCs w:val="24"/>
                <w:lang w:val="en-GB"/>
              </w:rPr>
            </w:pPr>
          </w:p>
          <w:p w:rsidR="00140188" w:rsidRDefault="0009234B">
            <w:pPr>
              <w:pStyle w:val="ListParagraph"/>
              <w:numPr>
                <w:ilvl w:val="0"/>
                <w:numId w:val="1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Use multilateral fora such as the United Nations, G20 and APEC to foster a global culture of respect for data protection rights.</w:t>
            </w:r>
          </w:p>
          <w:p w:rsidR="00140188" w:rsidRDefault="00140188">
            <w:pPr>
              <w:pStyle w:val="ListParagraph"/>
              <w:jc w:val="both"/>
              <w:rPr>
                <w:rFonts w:ascii="Times New Roman" w:hAnsi="Times New Roman" w:cs="Times New Roman"/>
                <w:noProof/>
                <w:sz w:val="24"/>
                <w:szCs w:val="24"/>
                <w:lang w:val="en-GB"/>
              </w:rPr>
            </w:pPr>
          </w:p>
          <w:p w:rsidR="00140188" w:rsidRDefault="0009234B">
            <w:pPr>
              <w:pStyle w:val="ListParagraph"/>
              <w:numPr>
                <w:ilvl w:val="0"/>
                <w:numId w:val="1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Develop international cooperation mechanisms with k</w:t>
            </w:r>
            <w:r>
              <w:rPr>
                <w:rFonts w:ascii="Times New Roman" w:hAnsi="Times New Roman" w:cs="Times New Roman"/>
                <w:noProof/>
                <w:sz w:val="24"/>
                <w:szCs w:val="24"/>
                <w:lang w:val="en-GB"/>
              </w:rPr>
              <w:t>ey international partners to facilitate effective enforcement.</w:t>
            </w:r>
          </w:p>
        </w:tc>
      </w:tr>
    </w:tbl>
    <w:p w:rsidR="00140188" w:rsidRDefault="00140188">
      <w:pPr>
        <w:jc w:val="both"/>
        <w:rPr>
          <w:rFonts w:ascii="Times New Roman" w:hAnsi="Times New Roman" w:cs="Times New Roman"/>
          <w:noProof/>
          <w:sz w:val="24"/>
          <w:szCs w:val="24"/>
          <w:lang w:val="en-GB"/>
        </w:rPr>
      </w:pPr>
    </w:p>
    <w:p w:rsidR="00140188" w:rsidRDefault="0009234B">
      <w:pPr>
        <w:pStyle w:val="Heading1"/>
        <w:rPr>
          <w:rFonts w:hint="eastAsia"/>
          <w:noProof/>
        </w:rPr>
      </w:pPr>
      <w:r>
        <w:rPr>
          <w:noProof/>
        </w:rPr>
        <w:t xml:space="preserve">4. More Effective Law Enforcement Cooperation With Strong Data Protection Safeguards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Personal data exchanges are an integral part of the prevention, investigation and prosecution of criminal</w:t>
      </w:r>
      <w:r>
        <w:rPr>
          <w:rFonts w:ascii="Times New Roman" w:hAnsi="Times New Roman" w:cs="Times New Roman"/>
          <w:noProof/>
          <w:sz w:val="24"/>
          <w:szCs w:val="24"/>
          <w:lang w:val="en-GB"/>
        </w:rPr>
        <w:t xml:space="preserve"> offences. In an interconnected world where crime rarely stops at national borders, the swift exchange of personal data is essential for successful law enforcement cooperation and an effective response to crime. Such exchanges must be underpinned by strong</w:t>
      </w:r>
      <w:r>
        <w:rPr>
          <w:rFonts w:ascii="Times New Roman" w:hAnsi="Times New Roman" w:cs="Times New Roman"/>
          <w:noProof/>
          <w:sz w:val="24"/>
          <w:szCs w:val="24"/>
          <w:lang w:val="en-GB"/>
        </w:rPr>
        <w:t xml:space="preserve"> data protection safeguards. This also contributes to building confidence between law enforcement authorities (LEAs) and strengthening legal certainty when information is collected and/or exchanged.</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rules on international transfers in the Police Direct</w:t>
      </w:r>
      <w:r>
        <w:rPr>
          <w:rFonts w:ascii="Times New Roman" w:hAnsi="Times New Roman" w:cs="Times New Roman"/>
          <w:noProof/>
          <w:sz w:val="24"/>
          <w:szCs w:val="24"/>
          <w:lang w:val="en-GB"/>
        </w:rPr>
        <w:t>ive govern data exchanges between EU and non-EU LEAs as well as, in specific situations, transfers from LEAs to other entities. The Directive introduces the possibility for adequacy findings in the criminal law enforcement sector. The Commission will promo</w:t>
      </w:r>
      <w:r>
        <w:rPr>
          <w:rFonts w:ascii="Times New Roman" w:hAnsi="Times New Roman" w:cs="Times New Roman"/>
          <w:noProof/>
          <w:sz w:val="24"/>
          <w:szCs w:val="24"/>
          <w:lang w:val="en-GB"/>
        </w:rPr>
        <w:t xml:space="preserve">te the possibility of such adequacy findings with qualifying third countries, in particular with those countries with which close and swift cooperation is required in the fight against crime and terrorism, and where significant personal data exchanges are </w:t>
      </w:r>
      <w:r>
        <w:rPr>
          <w:rFonts w:ascii="Times New Roman" w:hAnsi="Times New Roman" w:cs="Times New Roman"/>
          <w:noProof/>
          <w:sz w:val="24"/>
          <w:szCs w:val="24"/>
          <w:lang w:val="en-GB"/>
        </w:rPr>
        <w:t xml:space="preserve">already taking place. On this basis, the Commission will prioritise discussions on adequacy decisions with third countries that are key partners in this endeavour.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Alternatively, the EU-US Data Protection Umbrella Agreement</w:t>
      </w:r>
      <w:r>
        <w:rPr>
          <w:rStyle w:val="FootnoteReference"/>
          <w:rFonts w:ascii="Times New Roman" w:hAnsi="Times New Roman" w:cs="Times New Roman"/>
          <w:noProof/>
          <w:sz w:val="24"/>
          <w:szCs w:val="24"/>
          <w:lang w:val="en-GB"/>
        </w:rPr>
        <w:footnoteReference w:id="54"/>
      </w:r>
      <w:r>
        <w:rPr>
          <w:rFonts w:ascii="Times New Roman" w:hAnsi="Times New Roman" w:cs="Times New Roman"/>
          <w:noProof/>
          <w:sz w:val="24"/>
          <w:szCs w:val="24"/>
          <w:lang w:val="en-GB"/>
        </w:rPr>
        <w:t xml:space="preserve"> concluded in December 2016 is </w:t>
      </w:r>
      <w:r>
        <w:rPr>
          <w:rFonts w:ascii="Times New Roman" w:hAnsi="Times New Roman" w:cs="Times New Roman"/>
          <w:noProof/>
          <w:sz w:val="24"/>
          <w:szCs w:val="24"/>
          <w:lang w:val="en-GB"/>
        </w:rPr>
        <w:t>a successful example of how law enforcement cooperation with an important international partner can be enhanced by negotiating a strong set of data protection safeguards. By automatically supplementing existing legal instruments on which data exchanges are</w:t>
      </w:r>
      <w:r>
        <w:rPr>
          <w:rFonts w:ascii="Times New Roman" w:hAnsi="Times New Roman" w:cs="Times New Roman"/>
          <w:noProof/>
          <w:sz w:val="24"/>
          <w:szCs w:val="24"/>
          <w:lang w:val="en-GB"/>
        </w:rPr>
        <w:t xml:space="preserve"> based (in particular bilateral agreements at both EU and Member State level), the Umbrella Agreement brings immediate and direct benefits to individuals and strengthens law enforcement cooperation by facilitating the exchange of information. Also, by esta</w:t>
      </w:r>
      <w:r>
        <w:rPr>
          <w:rFonts w:ascii="Times New Roman" w:hAnsi="Times New Roman" w:cs="Times New Roman"/>
          <w:noProof/>
          <w:sz w:val="24"/>
          <w:szCs w:val="24"/>
          <w:lang w:val="en-GB"/>
        </w:rPr>
        <w:t>blishing a baseline for future data transfer arrangements with the United States, the Umbrella Agreement does away with the need to repeatedly renegotiate those same safeguards. The Umbrella Agreement constitutes the first bilateral international agreement</w:t>
      </w:r>
      <w:r>
        <w:rPr>
          <w:rFonts w:ascii="Times New Roman" w:hAnsi="Times New Roman" w:cs="Times New Roman"/>
          <w:noProof/>
          <w:sz w:val="24"/>
          <w:szCs w:val="24"/>
          <w:lang w:val="en-GB"/>
        </w:rPr>
        <w:t xml:space="preserve"> with a comprehensive catalogue of data protection rights and obligations in line with the EU acquis. </w:t>
      </w:r>
      <w:r>
        <w:rPr>
          <w:rFonts w:ascii="Times New Roman" w:hAnsi="Times New Roman" w:cs="Times New Roman"/>
          <w:noProof/>
          <w:sz w:val="24"/>
          <w:szCs w:val="24"/>
        </w:rPr>
        <w:t>It can therefore serve as</w:t>
      </w:r>
      <w:r>
        <w:rPr>
          <w:rFonts w:ascii="Times New Roman" w:hAnsi="Times New Roman" w:cs="Times New Roman"/>
          <w:noProof/>
          <w:sz w:val="24"/>
          <w:szCs w:val="24"/>
          <w:lang w:val="en-GB"/>
        </w:rPr>
        <w:t xml:space="preserve"> a basis for negotiating similar agreements with third countries not only in the field of judicial and police cooperation, but al</w:t>
      </w:r>
      <w:r>
        <w:rPr>
          <w:rFonts w:ascii="Times New Roman" w:hAnsi="Times New Roman" w:cs="Times New Roman"/>
          <w:noProof/>
          <w:sz w:val="24"/>
          <w:szCs w:val="24"/>
          <w:lang w:val="en-GB"/>
        </w:rPr>
        <w:t xml:space="preserve">so in other areas of public enforcement (e.g. competition policy, consumer protection). This would cover both government-to-government exchanges and data transfers between private companies and LEAs. It could also facilitate the conclusion by the Union of </w:t>
      </w:r>
      <w:r>
        <w:rPr>
          <w:rFonts w:ascii="Times New Roman" w:hAnsi="Times New Roman" w:cs="Times New Roman"/>
          <w:noProof/>
          <w:sz w:val="24"/>
          <w:szCs w:val="24"/>
          <w:lang w:val="en-GB"/>
        </w:rPr>
        <w:t>agreements concerning the exchange of data between relevant EU agencies (notably Europol and Eurojust) and third countries.</w:t>
      </w:r>
      <w:r>
        <w:rPr>
          <w:rStyle w:val="FootnoteReference"/>
          <w:rFonts w:ascii="Times New Roman" w:hAnsi="Times New Roman" w:cs="Times New Roman"/>
          <w:noProof/>
          <w:sz w:val="24"/>
          <w:szCs w:val="24"/>
          <w:lang w:val="en-GB"/>
        </w:rPr>
        <w:footnoteReference w:id="55"/>
      </w:r>
      <w:r>
        <w:rPr>
          <w:rFonts w:ascii="Times New Roman" w:hAnsi="Times New Roman" w:cs="Times New Roman"/>
          <w:noProof/>
          <w:sz w:val="24"/>
          <w:szCs w:val="24"/>
          <w:lang w:val="en-GB"/>
        </w:rPr>
        <w:t xml:space="preserve"> The Commission will thus explore the possibility to conclude similar framework agreements with its important law enforcement partne</w:t>
      </w:r>
      <w:r>
        <w:rPr>
          <w:rFonts w:ascii="Times New Roman" w:hAnsi="Times New Roman" w:cs="Times New Roman"/>
          <w:noProof/>
          <w:sz w:val="24"/>
          <w:szCs w:val="24"/>
          <w:lang w:val="en-GB"/>
        </w:rPr>
        <w:t>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Moreover, the Police Directive envisages the possibility, under strict safeguards and in specific circumstances, for LEAs in the EU to request information directly from a private company in a third country and to pass on personal information (typically</w:t>
      </w:r>
      <w:r>
        <w:rPr>
          <w:rFonts w:ascii="Times New Roman" w:hAnsi="Times New Roman" w:cs="Times New Roman"/>
          <w:noProof/>
          <w:sz w:val="24"/>
          <w:szCs w:val="24"/>
          <w:lang w:val="en-GB"/>
        </w:rPr>
        <w:t xml:space="preserve"> a name or an IP address) in that request.</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xml:space="preserve"> Conversely, the GDPR specifically addresses </w:t>
      </w:r>
      <w:r>
        <w:rPr>
          <w:rFonts w:ascii="Times New Roman" w:hAnsi="Times New Roman" w:cs="Times New Roman"/>
          <w:noProof/>
          <w:sz w:val="24"/>
          <w:szCs w:val="24"/>
          <w:highlight w:val="yellow"/>
          <w:lang w:val="en-GB"/>
        </w:rPr>
        <w:t>cases where</w:t>
      </w:r>
      <w:r>
        <w:rPr>
          <w:rFonts w:ascii="Times New Roman" w:hAnsi="Times New Roman" w:cs="Times New Roman"/>
          <w:noProof/>
          <w:sz w:val="24"/>
          <w:szCs w:val="24"/>
          <w:lang w:val="en-GB"/>
        </w:rPr>
        <w:t xml:space="preserve"> private entities in the EU transmit personal data to the LEAs of a third country following a request: such transfers outside the EU are permissible only und</w:t>
      </w:r>
      <w:r>
        <w:rPr>
          <w:rFonts w:ascii="Times New Roman" w:hAnsi="Times New Roman" w:cs="Times New Roman"/>
          <w:noProof/>
          <w:sz w:val="24"/>
          <w:szCs w:val="24"/>
          <w:lang w:val="en-GB"/>
        </w:rPr>
        <w:t>er certain conditions, e.g. based on an international agreement or where disclosure is necessary for an important ground of public interest recognised in Union or Member State law.</w:t>
      </w:r>
      <w:r>
        <w:rPr>
          <w:rStyle w:val="FootnoteReference"/>
          <w:rFonts w:ascii="Times New Roman" w:hAnsi="Times New Roman" w:cs="Times New Roman"/>
          <w:noProof/>
          <w:sz w:val="24"/>
          <w:szCs w:val="24"/>
          <w:lang w:val="en-GB"/>
        </w:rPr>
        <w:footnoteReference w:id="57"/>
      </w:r>
    </w:p>
    <w:p w:rsidR="00140188" w:rsidRDefault="0009234B">
      <w:pPr>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0"/>
          <w:lang w:val="en-GB" w:eastAsia="en-GB"/>
        </w:rPr>
        <w:t>This cooperation, which has become central to the successful investigation</w:t>
      </w:r>
      <w:r>
        <w:rPr>
          <w:rFonts w:ascii="Times New Roman" w:eastAsia="Times New Roman" w:hAnsi="Times New Roman" w:cs="Times New Roman"/>
          <w:noProof/>
          <w:sz w:val="24"/>
          <w:szCs w:val="20"/>
          <w:lang w:val="en-GB" w:eastAsia="en-GB"/>
        </w:rPr>
        <w:t xml:space="preserve"> and prosecution of crime and terrorism, is highlighted in Council conclusions on improving criminal justice in cyberspace. T</w:t>
      </w:r>
      <w:r>
        <w:rPr>
          <w:rFonts w:ascii="Times New Roman" w:hAnsi="Times New Roman" w:cs="Times New Roman"/>
          <w:noProof/>
          <w:sz w:val="24"/>
          <w:szCs w:val="24"/>
          <w:lang w:val="en-GB"/>
        </w:rPr>
        <w:t>he Council has called on the Commission to take concrete actions, based on a common EU approach, to improve cooperation with servic</w:t>
      </w:r>
      <w:r>
        <w:rPr>
          <w:rFonts w:ascii="Times New Roman" w:hAnsi="Times New Roman" w:cs="Times New Roman"/>
          <w:noProof/>
          <w:sz w:val="24"/>
          <w:szCs w:val="24"/>
          <w:lang w:val="en-GB"/>
        </w:rPr>
        <w:t>e providers, make mutual legal assistance more efficient and propose solutions to the problems of determining and enforcing jurisdiction in cyberspace.</w:t>
      </w:r>
      <w:r>
        <w:rPr>
          <w:rStyle w:val="FootnoteReference"/>
          <w:rFonts w:ascii="Times New Roman" w:hAnsi="Times New Roman" w:cs="Times New Roman"/>
          <w:noProof/>
          <w:sz w:val="24"/>
          <w:szCs w:val="24"/>
          <w:lang w:val="en-GB"/>
        </w:rPr>
        <w:footnoteReference w:id="58"/>
      </w:r>
      <w:r>
        <w:rPr>
          <w:rFonts w:ascii="Times New Roman" w:hAnsi="Times New Roman" w:cs="Times New Roman"/>
          <w:noProof/>
          <w:sz w:val="24"/>
          <w:szCs w:val="24"/>
          <w:lang w:val="en-GB"/>
        </w:rPr>
        <w:t xml:space="preserve"> These actions cover both exchanges between LEAs and service providers based in the EU and exchanges wit</w:t>
      </w:r>
      <w:r>
        <w:rPr>
          <w:rFonts w:ascii="Times New Roman" w:hAnsi="Times New Roman" w:cs="Times New Roman"/>
          <w:noProof/>
          <w:sz w:val="24"/>
          <w:szCs w:val="24"/>
          <w:lang w:val="en-GB"/>
        </w:rPr>
        <w:t>h non-EU authorities and companies. The Commission will outline options for access to electronic evidence in June 2017, taking into account the need for swift and reliable cooperation underpinned by the strong data protection standards of the Police Direct</w:t>
      </w:r>
      <w:r>
        <w:rPr>
          <w:rFonts w:ascii="Times New Roman" w:hAnsi="Times New Roman" w:cs="Times New Roman"/>
          <w:noProof/>
          <w:sz w:val="24"/>
          <w:szCs w:val="24"/>
          <w:lang w:val="en-GB"/>
        </w:rPr>
        <w:t>ive and the GDPR both in EU-internal situations and for international transfers.</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in accordance with the new legal basis for Europol, the Commission will assess the provisions contained in those operational cooperation agreements between Europol an</w:t>
      </w:r>
      <w:r>
        <w:rPr>
          <w:rFonts w:ascii="Times New Roman" w:hAnsi="Times New Roman" w:cs="Times New Roman"/>
          <w:noProof/>
          <w:sz w:val="24"/>
          <w:szCs w:val="24"/>
          <w:lang w:val="en-GB"/>
        </w:rPr>
        <w:t>d third parties, concluded under Council Decision 2009/371/JHA, including their data protection provisions.</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 xml:space="preserve"> Moreover, as set out in the 2015 European Agenda on Security, the Union's future approach to the exchange of PNR data with non-EU countries will ta</w:t>
      </w:r>
      <w:r>
        <w:rPr>
          <w:rFonts w:ascii="Times New Roman" w:hAnsi="Times New Roman" w:cs="Times New Roman"/>
          <w:noProof/>
          <w:sz w:val="24"/>
          <w:szCs w:val="24"/>
          <w:lang w:val="en-GB"/>
        </w:rPr>
        <w:t>ke into account the need to apply consistent standards and specific fundamental rights protections. The Commission will work on legally sound and sustainable solutions to exchange Passenger Name Records (PNR) data with third countries, including by conside</w:t>
      </w:r>
      <w:r>
        <w:rPr>
          <w:rFonts w:ascii="Times New Roman" w:hAnsi="Times New Roman" w:cs="Times New Roman"/>
          <w:noProof/>
          <w:sz w:val="24"/>
          <w:szCs w:val="24"/>
          <w:lang w:val="en-GB"/>
        </w:rPr>
        <w:t>ring a model agreement on PNR setting out requirements third countries have to meet to receive PNR data from the EU. Any future policy in this area will, however, depend, in particular, on the forthcoming Opinion by the Court of Justice of the European Uni</w:t>
      </w:r>
      <w:r>
        <w:rPr>
          <w:rFonts w:ascii="Times New Roman" w:hAnsi="Times New Roman" w:cs="Times New Roman"/>
          <w:noProof/>
          <w:sz w:val="24"/>
          <w:szCs w:val="24"/>
          <w:lang w:val="en-GB"/>
        </w:rPr>
        <w:t>on on the envisaged EU PNR Agreement with Canada.</w:t>
      </w:r>
      <w:r>
        <w:rPr>
          <w:rStyle w:val="FootnoteReference"/>
          <w:rFonts w:ascii="Times New Roman" w:hAnsi="Times New Roman" w:cs="Times New Roman"/>
          <w:noProof/>
          <w:sz w:val="24"/>
          <w:szCs w:val="24"/>
          <w:lang w:val="en-GB"/>
        </w:rPr>
        <w:footnoteReference w:id="60"/>
      </w:r>
      <w:r>
        <w:rPr>
          <w:rFonts w:ascii="Times New Roman" w:hAnsi="Times New Roman" w:cs="Times New Roman"/>
          <w:noProof/>
          <w:sz w:val="24"/>
          <w:szCs w:val="24"/>
          <w:lang w:val="en-GB"/>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140188">
        <w:trPr>
          <w:trHeight w:val="1504"/>
        </w:trPr>
        <w:tc>
          <w:tcPr>
            <w:tcW w:w="9296" w:type="dxa"/>
          </w:tcPr>
          <w:p w:rsidR="00140188" w:rsidRDefault="0009234B">
            <w:pPr>
              <w:pStyle w:val="Heading1"/>
              <w:rPr>
                <w:rFonts w:hint="eastAsia"/>
                <w:noProof/>
              </w:rPr>
            </w:pPr>
            <w:r>
              <w:rPr>
                <w:noProof/>
              </w:rPr>
              <w:t xml:space="preserve">More Effective Law Enforcement Cooperation With Strong Data Protection Safeguards </w:t>
            </w:r>
          </w:p>
          <w:p w:rsidR="00140188" w:rsidRDefault="0009234B">
            <w:pPr>
              <w:ind w:left="-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w:t>
            </w:r>
          </w:p>
          <w:p w:rsidR="00140188" w:rsidRDefault="0009234B">
            <w:pPr>
              <w:pStyle w:val="ListParagraph"/>
              <w:numPr>
                <w:ilvl w:val="0"/>
                <w:numId w:val="12"/>
              </w:numPr>
              <w:spacing w:before="240"/>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highlight w:val="yellow"/>
                <w:lang w:val="en-GB"/>
              </w:rPr>
              <w:t>Promote</w:t>
            </w:r>
            <w:r>
              <w:rPr>
                <w:rFonts w:ascii="Times New Roman" w:hAnsi="Times New Roman" w:cs="Times New Roman"/>
                <w:noProof/>
                <w:sz w:val="24"/>
                <w:szCs w:val="24"/>
                <w:lang w:val="en-GB"/>
              </w:rPr>
              <w:t xml:space="preserve"> the possibility for adequacy decisions under the Police Directive with qualifying third cou</w:t>
            </w:r>
            <w:r>
              <w:rPr>
                <w:rFonts w:ascii="Times New Roman" w:hAnsi="Times New Roman" w:cs="Times New Roman"/>
                <w:noProof/>
                <w:sz w:val="24"/>
                <w:szCs w:val="24"/>
                <w:lang w:val="en-GB"/>
              </w:rPr>
              <w:t>ntries.</w:t>
            </w:r>
          </w:p>
          <w:p w:rsidR="00140188" w:rsidRDefault="00140188">
            <w:pPr>
              <w:pStyle w:val="ListParagraph"/>
              <w:spacing w:before="240"/>
              <w:ind w:left="714"/>
              <w:jc w:val="both"/>
              <w:rPr>
                <w:rFonts w:ascii="Times New Roman" w:hAnsi="Times New Roman" w:cs="Times New Roman"/>
                <w:noProof/>
                <w:sz w:val="24"/>
                <w:szCs w:val="24"/>
                <w:lang w:val="en-GB"/>
              </w:rPr>
            </w:pPr>
          </w:p>
          <w:p w:rsidR="00140188" w:rsidRDefault="0009234B">
            <w:pPr>
              <w:pStyle w:val="ListParagraph"/>
              <w:numPr>
                <w:ilvl w:val="0"/>
                <w:numId w:val="12"/>
              </w:numPr>
              <w:spacing w:before="240"/>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Promote the negotiation of agreements in the area of </w:t>
            </w:r>
            <w:r>
              <w:rPr>
                <w:rFonts w:ascii="Times New Roman" w:hAnsi="Times New Roman" w:cs="Times New Roman"/>
                <w:noProof/>
                <w:sz w:val="24"/>
                <w:szCs w:val="24"/>
                <w:highlight w:val="green"/>
                <w:lang w:val="en-GB"/>
              </w:rPr>
              <w:t>law</w:t>
            </w:r>
            <w:r>
              <w:rPr>
                <w:rFonts w:ascii="Times New Roman" w:hAnsi="Times New Roman" w:cs="Times New Roman"/>
                <w:noProof/>
                <w:sz w:val="24"/>
                <w:szCs w:val="24"/>
                <w:lang w:val="en-GB"/>
              </w:rPr>
              <w:t xml:space="preserve"> enforcement with important international partners along the model provided by the Umbrella Agreement with the U.S.</w:t>
            </w:r>
          </w:p>
          <w:p w:rsidR="00140188" w:rsidRDefault="00140188">
            <w:pPr>
              <w:pStyle w:val="ListParagraph"/>
              <w:spacing w:before="240"/>
              <w:ind w:left="714"/>
              <w:jc w:val="both"/>
              <w:rPr>
                <w:rFonts w:ascii="Times New Roman" w:hAnsi="Times New Roman" w:cs="Times New Roman"/>
                <w:noProof/>
                <w:sz w:val="24"/>
                <w:szCs w:val="24"/>
                <w:lang w:val="en-GB"/>
              </w:rPr>
            </w:pPr>
          </w:p>
          <w:p w:rsidR="00140188" w:rsidRDefault="0009234B">
            <w:pPr>
              <w:pStyle w:val="ListParagraph"/>
              <w:numPr>
                <w:ilvl w:val="0"/>
                <w:numId w:val="12"/>
              </w:numPr>
              <w:spacing w:before="240"/>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Follow-up the Council Conclusions on improving criminal justice in cybersp</w:t>
            </w:r>
            <w:r>
              <w:rPr>
                <w:rFonts w:ascii="Times New Roman" w:hAnsi="Times New Roman" w:cs="Times New Roman"/>
                <w:noProof/>
                <w:sz w:val="24"/>
                <w:szCs w:val="24"/>
                <w:lang w:val="en-GB"/>
              </w:rPr>
              <w:t>ace to facilitate the cross-border exchange of e-evidence in conformity with data protection rules.</w:t>
            </w:r>
          </w:p>
        </w:tc>
      </w:tr>
    </w:tbl>
    <w:p w:rsidR="00140188" w:rsidRDefault="00140188">
      <w:pPr>
        <w:jc w:val="both"/>
        <w:rPr>
          <w:rFonts w:ascii="Times New Roman" w:hAnsi="Times New Roman" w:cs="Times New Roman"/>
          <w:noProof/>
          <w:sz w:val="24"/>
          <w:szCs w:val="24"/>
          <w:lang w:val="en-GB"/>
        </w:rPr>
      </w:pPr>
    </w:p>
    <w:p w:rsidR="00140188" w:rsidRDefault="0009234B">
      <w:pPr>
        <w:pStyle w:val="Heading1"/>
        <w:rPr>
          <w:rFonts w:ascii="Times New Roman" w:hAnsi="Times New Roman"/>
          <w:noProof/>
        </w:rPr>
      </w:pPr>
      <w:r>
        <w:rPr>
          <w:rFonts w:ascii="Times New Roman" w:hAnsi="Times New Roman"/>
          <w:noProof/>
        </w:rPr>
        <w:t xml:space="preserve">5. Conclusion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Protecting and exchanging personal data are not mutually exclusive. A strong data protection system facilitates data flows by building consumer confidence in those companies that care about the way they handle their customers' personal data. High data prot</w:t>
      </w:r>
      <w:r>
        <w:rPr>
          <w:rFonts w:ascii="Times New Roman" w:hAnsi="Times New Roman" w:cs="Times New Roman"/>
          <w:noProof/>
          <w:sz w:val="24"/>
          <w:szCs w:val="24"/>
          <w:lang w:val="en-GB"/>
        </w:rPr>
        <w:t>ection standards thus become an advantage in the global digital economy. The same holds true for law enforcement cooperation: privacy safeguards are an integral part of the effective and swift exchange of information in the fight against crime, based on mu</w:t>
      </w:r>
      <w:r>
        <w:rPr>
          <w:rFonts w:ascii="Times New Roman" w:hAnsi="Times New Roman" w:cs="Times New Roman"/>
          <w:noProof/>
          <w:sz w:val="24"/>
          <w:szCs w:val="24"/>
          <w:lang w:val="en-GB"/>
        </w:rPr>
        <w:t xml:space="preserve">tual trust and legal certainty. </w:t>
      </w:r>
    </w:p>
    <w:p w:rsidR="00140188" w:rsidRDefault="0009234B">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Having completed the reform of its data protection rules, the EU should proactively engage with third countries on this matter. It should strive to seek greater upward convergence of data protection principles international</w:t>
      </w:r>
      <w:r>
        <w:rPr>
          <w:rFonts w:ascii="Times New Roman" w:hAnsi="Times New Roman" w:cs="Times New Roman"/>
          <w:noProof/>
          <w:sz w:val="24"/>
          <w:szCs w:val="24"/>
          <w:lang w:val="en-GB"/>
        </w:rPr>
        <w:t xml:space="preserve">ly, at both bilateral and multilateral levels. This is in the interest and to the benefit of citizens and businesses alike. The new data protection legislative framework provides the EU with the necessary and appropriate tools to achieve these objectives. </w:t>
      </w:r>
      <w:r>
        <w:rPr>
          <w:rFonts w:ascii="Times New Roman" w:hAnsi="Times New Roman" w:cs="Times New Roman"/>
          <w:noProof/>
          <w:sz w:val="24"/>
          <w:szCs w:val="24"/>
          <w:lang w:val="en-GB"/>
        </w:rPr>
        <w:t xml:space="preserve">Based on the strategic approach presented in this Communication, the Commission will actively engage with key third countries to explore the possibility to adopt adequacy findings, starting with Japan and Korea in 2017, with a view to fostering regulatory </w:t>
      </w:r>
      <w:r>
        <w:rPr>
          <w:rFonts w:ascii="Times New Roman" w:hAnsi="Times New Roman" w:cs="Times New Roman"/>
          <w:noProof/>
          <w:sz w:val="24"/>
          <w:szCs w:val="24"/>
          <w:lang w:val="en-GB"/>
        </w:rPr>
        <w:t>convergence towards the EU standards and facilitating trade relations. At the same time, the EU will make full use of the range of alternative transfer tools to protect data protection rights and support economic operators when data are transferred to coun</w:t>
      </w:r>
      <w:r>
        <w:rPr>
          <w:rFonts w:ascii="Times New Roman" w:hAnsi="Times New Roman" w:cs="Times New Roman"/>
          <w:noProof/>
          <w:sz w:val="24"/>
          <w:szCs w:val="24"/>
          <w:lang w:val="en-GB"/>
        </w:rPr>
        <w:t>tries whose domestic law does not ensure an adequate level of data protection. Such tools should also be used to further facilitate cooperation between EU supervisory and law enforcement authorities and their international partners. The Commission will ens</w:t>
      </w:r>
      <w:r>
        <w:rPr>
          <w:rFonts w:ascii="Times New Roman" w:hAnsi="Times New Roman" w:cs="Times New Roman"/>
          <w:noProof/>
          <w:sz w:val="24"/>
          <w:szCs w:val="24"/>
          <w:lang w:val="en-GB"/>
        </w:rPr>
        <w:t>ure coherence of the internal and external dimension of EU data protection policy and promote strong data protection at international level to improve law enforcement cooperation, contribute to free trade and develop high personal data protection standards</w:t>
      </w:r>
      <w:r>
        <w:rPr>
          <w:rFonts w:ascii="Times New Roman" w:hAnsi="Times New Roman" w:cs="Times New Roman"/>
          <w:noProof/>
          <w:sz w:val="24"/>
          <w:szCs w:val="24"/>
          <w:lang w:val="en-GB"/>
        </w:rPr>
        <w:t xml:space="preserve"> globally. </w:t>
      </w:r>
    </w:p>
    <w:sectPr w:rsidR="00140188">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AE00B6" w15:done="0"/>
  <w15:commentEx w15:paraId="2DEEEA64" w15:done="0"/>
  <w15:commentEx w15:paraId="5841F8AB" w15:done="0"/>
  <w15:commentEx w15:paraId="3DFBA5CE" w15:done="0"/>
  <w15:commentEx w15:paraId="3FDFEF5A" w15:done="0"/>
  <w15:commentEx w15:paraId="114311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88" w:rsidRDefault="0009234B">
      <w:pPr>
        <w:spacing w:after="0" w:line="240" w:lineRule="auto"/>
      </w:pPr>
      <w:r>
        <w:separator/>
      </w:r>
    </w:p>
  </w:endnote>
  <w:endnote w:type="continuationSeparator" w:id="0">
    <w:p w:rsidR="00140188" w:rsidRDefault="0009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FooterCoverPage"/>
      <w:rPr>
        <w:rFonts w:ascii="Arial" w:hAnsi="Arial" w:cs="Arial"/>
        <w:b/>
        <w:sz w:val="48"/>
      </w:rPr>
    </w:pPr>
    <w:r w:rsidRPr="0009234B">
      <w:rPr>
        <w:rFonts w:ascii="Arial" w:hAnsi="Arial" w:cs="Arial"/>
        <w:b/>
        <w:sz w:val="48"/>
      </w:rPr>
      <w:t>EN</w:t>
    </w:r>
    <w:r w:rsidRPr="0009234B">
      <w:rPr>
        <w:rFonts w:ascii="Arial" w:hAnsi="Arial" w:cs="Arial"/>
        <w:b/>
        <w:sz w:val="48"/>
      </w:rPr>
      <w:tab/>
    </w:r>
    <w:r w:rsidRPr="0009234B">
      <w:rPr>
        <w:rFonts w:ascii="Arial" w:hAnsi="Arial" w:cs="Arial"/>
        <w:b/>
        <w:sz w:val="48"/>
      </w:rPr>
      <w:tab/>
    </w:r>
    <w:fldSimple w:instr=" DOCVARIABLE &quot;LW_Confidence&quot; \* MERGEFORMAT ">
      <w:r>
        <w:t xml:space="preserve"> </w:t>
      </w:r>
    </w:fldSimple>
    <w:r w:rsidRPr="0009234B">
      <w:tab/>
    </w:r>
    <w:r w:rsidRPr="0009234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rsidR="00140188" w:rsidRDefault="0009234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40188" w:rsidRDefault="001401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88" w:rsidRDefault="0009234B">
      <w:pPr>
        <w:spacing w:after="0" w:line="240" w:lineRule="auto"/>
      </w:pPr>
      <w:r>
        <w:separator/>
      </w:r>
    </w:p>
  </w:footnote>
  <w:footnote w:type="continuationSeparator" w:id="0">
    <w:p w:rsidR="00140188" w:rsidRDefault="0009234B">
      <w:pPr>
        <w:spacing w:after="0" w:line="240" w:lineRule="auto"/>
      </w:pPr>
      <w:r>
        <w:continuationSeparator/>
      </w:r>
    </w:p>
  </w:footnote>
  <w:footnote w:id="1">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Directive 95/46/EC of the European Parliament and of the Council of 24 October 1995 on the protection of individuals with regard to the processing of personal data and on the free movement of such data</w:t>
      </w:r>
      <w:r>
        <w:rPr>
          <w:rFonts w:ascii="Times New Roman" w:hAnsi="Times New Roman" w:cs="Times New Roman"/>
          <w:lang w:val="en-GB"/>
        </w:rPr>
        <w:t>, OJ L 281 of 23.11.95.</w:t>
      </w:r>
    </w:p>
  </w:footnote>
  <w:footnote w:id="2">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Regulation (EU) 2016/679 of the European Parliament and of the Council of 27 April 2016 on the protection of natural persons with regard to the processing of personal data and on the free movement of such data, and repealing Dire</w:t>
      </w:r>
      <w:r>
        <w:rPr>
          <w:rFonts w:ascii="Times New Roman" w:hAnsi="Times New Roman" w:cs="Times New Roman"/>
          <w:lang w:val="en-GB"/>
        </w:rPr>
        <w:t xml:space="preserve">ctive 95/46/EC (General Data Protection Regulation), OJ L 119, 4.5.2016, p. 1–88. It entered into force on 24 May 2016 and shall apply from 25 May 2018. </w:t>
      </w:r>
    </w:p>
  </w:footnote>
  <w:footnote w:id="3">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Directive (EU) 2016/680 of the European Parliament and of the Council of 27 April 2016 on the prote</w:t>
      </w:r>
      <w:r>
        <w:rPr>
          <w:rFonts w:ascii="Times New Roman" w:hAnsi="Times New Roman" w:cs="Times New Roman"/>
          <w:lang w:val="en-GB"/>
        </w:rPr>
        <w:t>ction of natural persons with regard to the processing of personal data by competent authorities for the purposes of the prevention, investigation, detection or prosecution of criminal offences or the execution of criminal penalties, and on the free moveme</w:t>
      </w:r>
      <w:r>
        <w:rPr>
          <w:rFonts w:ascii="Times New Roman" w:hAnsi="Times New Roman" w:cs="Times New Roman"/>
          <w:lang w:val="en-GB"/>
        </w:rPr>
        <w:t>nt of such data, and repealing Council Framework Decision 2008/977/JHA, OJ L 119, 4.5.2016, p. 89-131. It entered into force on 5 May 2016. EU Member States have to transpose it into their national law by 6 May 2018.</w:t>
      </w:r>
    </w:p>
  </w:footnote>
  <w:footnote w:id="4">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"Data protection regulations and</w:t>
      </w:r>
      <w:r>
        <w:rPr>
          <w:rFonts w:ascii="Times New Roman" w:hAnsi="Times New Roman" w:cs="Times New Roman"/>
        </w:rPr>
        <w:t xml:space="preserve"> international data flows: Implications for trade and development", UNCTAD (2016): http://unctad.org/en/PublicationsLibrary/dtlstict2016d1_en.pdf.</w:t>
      </w:r>
    </w:p>
  </w:footnote>
  <w:footnote w:id="5">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 xml:space="preserve">Commission Work Programme 2017, Delivering a Europe that protects, empowers and defends, COM(2016) 710 final, 25.10.2016, p.12 and Annex 1. </w:t>
      </w:r>
    </w:p>
  </w:footnote>
  <w:footnote w:id="6">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to the European Parliament, the Council, the European Economic and Social Comm</w:t>
      </w:r>
      <w:r>
        <w:rPr>
          <w:rFonts w:ascii="Times New Roman" w:hAnsi="Times New Roman" w:cs="Times New Roman"/>
        </w:rPr>
        <w:t>ittee and the Committee of the Regions, The European Agenda on Security, COM(2015) 185 final, 28.4.2015.</w:t>
      </w:r>
    </w:p>
  </w:footnote>
  <w:footnote w:id="7">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Judgment of the Court of Justice of the EU of 6 October 2015 in Case C-362/14, </w:t>
      </w:r>
      <w:r>
        <w:rPr>
          <w:rFonts w:ascii="Times New Roman" w:hAnsi="Times New Roman" w:cs="Times New Roman"/>
          <w:i/>
          <w:lang w:val="en-GB"/>
        </w:rPr>
        <w:t xml:space="preserve">Maximillian Schrems v Data Protection Commissioner, </w:t>
      </w:r>
      <w:r>
        <w:rPr>
          <w:rFonts w:ascii="Times New Roman" w:hAnsi="Times New Roman" w:cs="Times New Roman"/>
          <w:lang w:val="en-GB"/>
        </w:rPr>
        <w:t xml:space="preserve">points 73, 74 and 96. See also recital 104 of the GDPR and recital 67 of the Police Directive which refer to the standard of essential equivalence. </w:t>
      </w:r>
    </w:p>
  </w:footnote>
  <w:footnote w:id="8">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See Article 45 of the GDPR. As set out in Article 45(2), in its assessment the Commission must take into</w:t>
      </w:r>
      <w:r>
        <w:rPr>
          <w:rFonts w:ascii="Times New Roman" w:hAnsi="Times New Roman" w:cs="Times New Roman"/>
          <w:lang w:val="en-GB"/>
        </w:rPr>
        <w:t xml:space="preserve"> account, inter alia, the rule of law, respect for human rights and fundamental freedoms and relevant legislation, including in the area of data protection, public security, defence, national security and criminal law and access by public authorities to pe</w:t>
      </w:r>
      <w:r>
        <w:rPr>
          <w:rFonts w:ascii="Times New Roman" w:hAnsi="Times New Roman" w:cs="Times New Roman"/>
          <w:lang w:val="en-GB"/>
        </w:rPr>
        <w:t>rsonal data. These must be underpinned by effective and enforceable rights, including administrative and judicial redress for individuals, and an effectively functioning independent supervisory authority to ensure and enforce compliance with data protectio</w:t>
      </w:r>
      <w:r>
        <w:rPr>
          <w:rFonts w:ascii="Times New Roman" w:hAnsi="Times New Roman" w:cs="Times New Roman"/>
          <w:lang w:val="en-GB"/>
        </w:rPr>
        <w:t>n rules. Adherence to legally binding conventions, in particular Council of Europe Convention 108, and participation in multilateral or regional systems dealing with data protection, will also be taken into account.</w:t>
      </w:r>
    </w:p>
  </w:footnote>
  <w:footnote w:id="9">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36(2) Police Directive fo</w:t>
      </w:r>
      <w:r>
        <w:rPr>
          <w:rFonts w:ascii="Times New Roman" w:hAnsi="Times New Roman" w:cs="Times New Roman"/>
        </w:rPr>
        <w:t>r the specific adequacy assessment elements.</w:t>
      </w:r>
    </w:p>
  </w:footnote>
  <w:footnote w:id="10">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45(1) GDPR and Article 36(1) Police Directive.</w:t>
      </w:r>
    </w:p>
  </w:footnote>
  <w:footnote w:id="11">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e.g. Communication from the Commission to the European Parliament and the Council on the Transfer of Personal Data from the EU to the United S</w:t>
      </w:r>
      <w:r>
        <w:rPr>
          <w:rFonts w:ascii="Times New Roman" w:hAnsi="Times New Roman" w:cs="Times New Roman"/>
        </w:rPr>
        <w:t>tates of America under Directive 95/46/EC following the Judgment by the Court of Justice in Case C-362/14 (</w:t>
      </w:r>
      <w:r>
        <w:rPr>
          <w:rFonts w:ascii="Times New Roman" w:hAnsi="Times New Roman" w:cs="Times New Roman"/>
          <w:i/>
        </w:rPr>
        <w:t>Schrems</w:t>
      </w:r>
      <w:r>
        <w:rPr>
          <w:rFonts w:ascii="Times New Roman" w:hAnsi="Times New Roman" w:cs="Times New Roman"/>
        </w:rPr>
        <w:t>), COM(2015) 566 final, 6.11.2015.</w:t>
      </w:r>
    </w:p>
  </w:footnote>
  <w:footnote w:id="12">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SCCs lay down the respective data protection obligations between the EU exporter and the third country i</w:t>
      </w:r>
      <w:r>
        <w:rPr>
          <w:rFonts w:ascii="Times New Roman" w:hAnsi="Times New Roman" w:cs="Times New Roman"/>
          <w:lang w:val="en-GB"/>
        </w:rPr>
        <w:t>mporter.</w:t>
      </w:r>
    </w:p>
  </w:footnote>
  <w:footnote w:id="13">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BCRs are internal rules adopted by a multinational group of companies to carry out data transfers within the same corporate group to entities located in countries which do not provide an adequate level of protection.</w:t>
      </w:r>
      <w:r>
        <w:t xml:space="preserve"> </w:t>
      </w:r>
      <w:r>
        <w:rPr>
          <w:rFonts w:ascii="Times New Roman" w:hAnsi="Times New Roman" w:cs="Times New Roman"/>
          <w:lang w:val="en-GB"/>
        </w:rPr>
        <w:t>While BCRs are already in u</w:t>
      </w:r>
      <w:r>
        <w:rPr>
          <w:rFonts w:ascii="Times New Roman" w:hAnsi="Times New Roman" w:cs="Times New Roman"/>
          <w:lang w:val="en-GB"/>
        </w:rPr>
        <w:t>se under the 1995 Directive, the GDPR codifies and formalises their role as a tool for transfers.</w:t>
      </w:r>
    </w:p>
  </w:footnote>
  <w:footnote w:id="14">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46(2)(c) and (d) and recital 168 GDPR.</w:t>
      </w:r>
    </w:p>
  </w:footnote>
  <w:footnote w:id="15">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Articles 46(2)(b), 47 and recital 110 GDPR.</w:t>
      </w:r>
    </w:p>
  </w:footnote>
  <w:footnote w:id="16">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46(2) GDPR. </w:t>
      </w:r>
    </w:p>
  </w:footnote>
  <w:footnote w:id="17">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That registration requ</w:t>
      </w:r>
      <w:r>
        <w:rPr>
          <w:rFonts w:ascii="Times New Roman" w:hAnsi="Times New Roman" w:cs="Times New Roman"/>
        </w:rPr>
        <w:t>irements create a barrier to trade for many businesses, especially SMEs, was highlighted e.g. in the UNCTAD report, p. 34.</w:t>
      </w:r>
    </w:p>
  </w:footnote>
  <w:footnote w:id="18">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46(2)(e) and (f) GDPR.</w:t>
      </w:r>
    </w:p>
  </w:footnote>
  <w:footnote w:id="19">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w:t>
      </w:r>
      <w:r>
        <w:rPr>
          <w:rFonts w:ascii="Times New Roman" w:hAnsi="Times New Roman" w:cs="Times New Roman"/>
          <w:lang w:val="en-GB"/>
        </w:rPr>
        <w:t>on EU-controllers will be able to adhere to an EU code of conduct or certification mechanis</w:t>
      </w:r>
      <w:r>
        <w:rPr>
          <w:rFonts w:ascii="Times New Roman" w:hAnsi="Times New Roman" w:cs="Times New Roman"/>
          <w:lang w:val="en-GB"/>
        </w:rPr>
        <w:t>m by making binding and enforceable commitments, via contractual or other legally binding commitments, to apply the data protection safeguards contained in those instruments. See Article 42(2) GDPR.</w:t>
      </w:r>
    </w:p>
  </w:footnote>
  <w:footnote w:id="20">
    <w:p w:rsidR="00140188" w:rsidRDefault="0009234B">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46(2)(a) and 46(3)(b) GDPR.</w:t>
      </w:r>
    </w:p>
  </w:footnote>
  <w:footnote w:id="21">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w:t>
      </w:r>
      <w:r>
        <w:rPr>
          <w:rFonts w:ascii="Times New Roman" w:hAnsi="Times New Roman" w:cs="Times New Roman"/>
        </w:rPr>
        <w:t xml:space="preserve"> 49 GDPR. </w:t>
      </w:r>
    </w:p>
  </w:footnote>
  <w:footnote w:id="22">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49(1), second subparagraph. </w:t>
      </w:r>
    </w:p>
  </w:footnote>
  <w:footnote w:id="23">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50 GDPR.</w:t>
      </w:r>
    </w:p>
  </w:footnote>
  <w:footnote w:id="24">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e.g. Communication from the Commission to the European Parliament, the Council, the European Economic and Social Committee and the Committee of the Regions on Trade for A</w:t>
      </w:r>
      <w:r>
        <w:rPr>
          <w:rFonts w:ascii="Times New Roman" w:hAnsi="Times New Roman" w:cs="Times New Roman"/>
        </w:rPr>
        <w:t>ll Towards a more responsible trade and investment policy, COM(2015) 497 final, 14.10.2015, p. 7.</w:t>
      </w:r>
    </w:p>
  </w:footnote>
  <w:footnote w:id="25">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Special Eurobarometer 431 - Data protection, June 2015.</w:t>
      </w:r>
    </w:p>
  </w:footnote>
  <w:footnote w:id="26">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President Juncker's political guidelines: </w:t>
      </w:r>
      <w:r>
        <w:rPr>
          <w:rFonts w:ascii="Times New Roman" w:hAnsi="Times New Roman" w:cs="Times New Roman"/>
          <w:i/>
        </w:rPr>
        <w:t>A New Start for Europe: My Agenda for Jobs, Growth, Fa</w:t>
      </w:r>
      <w:r>
        <w:rPr>
          <w:rFonts w:ascii="Times New Roman" w:hAnsi="Times New Roman" w:cs="Times New Roman"/>
          <w:i/>
        </w:rPr>
        <w:t>irness and Democratic Change</w:t>
      </w:r>
    </w:p>
  </w:footnote>
  <w:footnote w:id="27">
    <w:p w:rsidR="00140188" w:rsidRDefault="0009234B">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footnote 7. </w:t>
      </w:r>
    </w:p>
  </w:footnote>
  <w:footnote w:id="28">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Cf. point 74 of the </w:t>
      </w:r>
      <w:r>
        <w:rPr>
          <w:rFonts w:ascii="Times New Roman" w:hAnsi="Times New Roman" w:cs="Times New Roman"/>
          <w:i/>
        </w:rPr>
        <w:t>Schrems</w:t>
      </w:r>
      <w:r>
        <w:rPr>
          <w:rFonts w:ascii="Times New Roman" w:hAnsi="Times New Roman" w:cs="Times New Roman"/>
        </w:rPr>
        <w:t xml:space="preserve"> ruling. </w:t>
      </w:r>
    </w:p>
  </w:footnote>
  <w:footnote w:id="29">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Implementing Decision EU(2016) 1260 of 12 July 2016.</w:t>
      </w:r>
    </w:p>
  </w:footnote>
  <w:footnote w:id="30">
    <w:p w:rsidR="00140188" w:rsidRDefault="0009234B">
      <w:pPr>
        <w:pStyle w:val="FootnoteText"/>
        <w:ind w:left="360" w:hanging="360"/>
        <w:jc w:val="both"/>
      </w:pPr>
      <w:r>
        <w:rPr>
          <w:rStyle w:val="FootnoteReference"/>
          <w:rFonts w:ascii="Times New Roman" w:hAnsi="Times New Roman" w:cs="Times New Roman"/>
        </w:rPr>
        <w:footnoteRef/>
      </w:r>
      <w:r>
        <w:t xml:space="preserve"> </w:t>
      </w:r>
      <w:r>
        <w:tab/>
      </w:r>
      <w:r>
        <w:rPr>
          <w:rFonts w:ascii="Times New Roman" w:hAnsi="Times New Roman" w:cs="Times New Roman"/>
        </w:rPr>
        <w:t>The Commission encourages the U.S. to pursue efforts towards a comprehensive system of privacy and data protection, allowing for convergence between the two systems in the longer term. See Communication from the Commission to the European Parliament and th</w:t>
      </w:r>
      <w:r>
        <w:rPr>
          <w:rFonts w:ascii="Times New Roman" w:hAnsi="Times New Roman" w:cs="Times New Roman"/>
        </w:rPr>
        <w:t xml:space="preserve">e Council, Transatlantic Data Flows: Restoring Trust through Strong Safeguards, COM(2016) 117 final, 29.2.2016. </w:t>
      </w:r>
    </w:p>
  </w:footnote>
  <w:footnote w:id="31">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includes in particular the application of Presidential Policy Directive 28 (PPD-28), which imposes a number of limitations and safeguar</w:t>
      </w:r>
      <w:r>
        <w:rPr>
          <w:rFonts w:ascii="Times New Roman" w:hAnsi="Times New Roman" w:cs="Times New Roman"/>
        </w:rPr>
        <w:t>ds for "signals intelligence" operations, and the appointment of a specific Ombudsperson for complaints by EU individuals in this regard.</w:t>
      </w:r>
    </w:p>
  </w:footnote>
  <w:footnote w:id="32">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G. Greenleaf, "Global data privacy laws 2015: 109 countries, with European laws now in a minority", (2015) 133 Privacy Laws &amp; Business International Report, 14-17. </w:t>
      </w:r>
    </w:p>
  </w:footnote>
  <w:footnote w:id="33">
    <w:p w:rsidR="00140188" w:rsidRDefault="0009234B">
      <w:pPr>
        <w:pStyle w:val="FootnoteText"/>
        <w:ind w:left="360" w:hanging="360"/>
        <w:jc w:val="both"/>
        <w:rPr>
          <w:lang w:val="en-GB"/>
        </w:rPr>
      </w:pPr>
      <w:r>
        <w:rPr>
          <w:rStyle w:val="FootnoteReference"/>
        </w:rPr>
        <w:footnoteRef/>
      </w:r>
      <w:r>
        <w:t xml:space="preserve"> </w:t>
      </w:r>
      <w:r>
        <w:tab/>
      </w:r>
      <w:r>
        <w:rPr>
          <w:rFonts w:ascii="Times New Roman" w:hAnsi="Times New Roman" w:cs="Times New Roman"/>
        </w:rPr>
        <w:t>UNCTAD study, pp. 8 and 42 (footnote 4 above).</w:t>
      </w:r>
    </w:p>
  </w:footnote>
  <w:footnote w:id="34">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this respect, the Commission also t</w:t>
      </w:r>
      <w:r>
        <w:rPr>
          <w:rFonts w:ascii="Times New Roman" w:hAnsi="Times New Roman" w:cs="Times New Roman"/>
        </w:rPr>
        <w:t>akes into account the third country's obligations arising from legally binding conventions, in particular its accession to Convention 108 and its additional Protocol, when carrying out an adequacy assessment. See Article 45(2)(c) and recital 105 GDPR.</w:t>
      </w:r>
    </w:p>
  </w:footnote>
  <w:footnote w:id="35">
    <w:p w:rsidR="00140188" w:rsidRDefault="0009234B">
      <w:pPr>
        <w:pStyle w:val="FootnoteText"/>
        <w:ind w:left="360" w:hanging="360"/>
        <w:jc w:val="both"/>
        <w:rPr>
          <w:lang w:val="en-GB"/>
        </w:rPr>
      </w:pPr>
      <w:r>
        <w:rPr>
          <w:rStyle w:val="FootnoteReference"/>
        </w:rPr>
        <w:footnoteRef/>
      </w:r>
      <w:r>
        <w:t xml:space="preserve"> </w:t>
      </w:r>
      <w:r>
        <w:tab/>
      </w:r>
      <w:r>
        <w:rPr>
          <w:rFonts w:ascii="Times New Roman" w:hAnsi="Times New Roman" w:cs="Times New Roman"/>
        </w:rPr>
        <w:t>F</w:t>
      </w:r>
      <w:r>
        <w:rPr>
          <w:rFonts w:ascii="Times New Roman" w:hAnsi="Times New Roman" w:cs="Times New Roman"/>
        </w:rPr>
        <w:t>or countries with respect to which relevant interests for cooperation in the internal security and law enforcement area exist, the Commission will explore the possibility for specific adequacy findings under the Police Directive, see section 4.</w:t>
      </w:r>
    </w:p>
  </w:footnote>
  <w:footnote w:id="36">
    <w:p w:rsidR="00140188" w:rsidRDefault="0009234B">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may</w:t>
      </w:r>
      <w:r>
        <w:rPr>
          <w:rFonts w:ascii="Times New Roman" w:hAnsi="Times New Roman" w:cs="Times New Roman"/>
        </w:rPr>
        <w:t xml:space="preserve"> be particularly relevant for developing and transition countries as the protection of personal data is both a crucial element of the rule of law and an important factor of economic competitiveness.</w:t>
      </w:r>
    </w:p>
  </w:footnote>
  <w:footnote w:id="37">
    <w:p w:rsidR="00140188" w:rsidRDefault="0009234B">
      <w:pPr>
        <w:pStyle w:val="FootnoteText"/>
        <w:ind w:left="360" w:hanging="360"/>
        <w:rPr>
          <w:rFonts w:ascii="Times New Roman" w:hAnsi="Times New Roman" w:cs="Times New Roman"/>
          <w:lang w:val="en-GB"/>
        </w:rPr>
      </w:pPr>
      <w:r>
        <w:rPr>
          <w:rStyle w:val="FootnoteReference"/>
        </w:rPr>
        <w:footnoteRef/>
      </w:r>
      <w:r>
        <w:t xml:space="preserve"> </w:t>
      </w:r>
      <w:r>
        <w:tab/>
      </w:r>
      <w:r>
        <w:rPr>
          <w:rFonts w:ascii="Times New Roman" w:hAnsi="Times New Roman" w:cs="Times New Roman"/>
          <w:lang w:val="en-GB"/>
        </w:rPr>
        <w:t>Japan and Korea have recently adopted or modernised th</w:t>
      </w:r>
      <w:r>
        <w:rPr>
          <w:rFonts w:ascii="Times New Roman" w:hAnsi="Times New Roman" w:cs="Times New Roman"/>
          <w:lang w:val="en-GB"/>
        </w:rPr>
        <w:t>eir legislation to put in place comprehensive data protection regimes.</w:t>
      </w:r>
    </w:p>
  </w:footnote>
  <w:footnote w:id="38">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45(4) and (5) GDPR require the Commission to monitor developments in third countries on an ongoing basis and give it the power to repeal, amend or suspend an adequacy decisio</w:t>
      </w:r>
      <w:r>
        <w:rPr>
          <w:rFonts w:ascii="Times New Roman" w:hAnsi="Times New Roman" w:cs="Times New Roman"/>
        </w:rPr>
        <w:t xml:space="preserve">n if it finds that the respective country no longer ensures an adequate level of protection. </w:t>
      </w:r>
    </w:p>
  </w:footnote>
  <w:footnote w:id="39">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Article 45(3) GDPR.</w:t>
      </w:r>
    </w:p>
  </w:footnote>
  <w:footnote w:id="40">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Article 97(2)(a) GDPR also requires the Commission to submit an evaluation report by 2020 to the European Parliament and the Council.</w:t>
      </w:r>
    </w:p>
  </w:footnote>
  <w:footnote w:id="41">
    <w:p w:rsidR="00140188" w:rsidRDefault="0009234B">
      <w:pPr>
        <w:pStyle w:val="FootnoteText"/>
        <w:ind w:left="360" w:hanging="360"/>
        <w:jc w:val="both"/>
        <w:rPr>
          <w:rFonts w:ascii="Times New Roman" w:hAnsi="Times New Roman" w:cs="Times New Roman"/>
          <w:lang w:val="en-GB"/>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To draw the consequences from the </w:t>
      </w:r>
      <w:r>
        <w:rPr>
          <w:rFonts w:ascii="Times New Roman" w:hAnsi="Times New Roman" w:cs="Times New Roman"/>
          <w:i/>
        </w:rPr>
        <w:t>Schrems</w:t>
      </w:r>
      <w:r>
        <w:rPr>
          <w:rFonts w:ascii="Times New Roman" w:hAnsi="Times New Roman" w:cs="Times New Roman"/>
        </w:rPr>
        <w:t xml:space="preserve"> ruling which found that the Commission had exceeded its powers in restricting the powers of DPAs to suspend or ban data flows in the Safe Harbour decision, the Commission on 16 December 2016 adopted an "omnibus" a</w:t>
      </w:r>
      <w:r>
        <w:rPr>
          <w:rFonts w:ascii="Times New Roman" w:hAnsi="Times New Roman" w:cs="Times New Roman"/>
        </w:rPr>
        <w:t xml:space="preserve">mending decision that deletes similar provisions in existing adequacy decisions and replaces them with provisions that merely provide for information requirements between Member States and the Commission in case a DPA suspends or bans transfers to a third </w:t>
      </w:r>
      <w:r>
        <w:rPr>
          <w:rFonts w:ascii="Times New Roman" w:hAnsi="Times New Roman" w:cs="Times New Roman"/>
        </w:rPr>
        <w:t>country. The omnibus decision also introduces a requirement for the Commission to monitor relevant developments in the third country. See OJ L355, 17.12.2016, p.83.</w:t>
      </w:r>
    </w:p>
  </w:footnote>
  <w:footnote w:id="42">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an adequacy finding is a unilateral implementing decision by the Commissi</w:t>
      </w:r>
      <w:r>
        <w:rPr>
          <w:rFonts w:ascii="Times New Roman" w:hAnsi="Times New Roman" w:cs="Times New Roman"/>
        </w:rPr>
        <w:t xml:space="preserve">on in accordance with EU data protection law, based on the criteria therein. </w:t>
      </w:r>
    </w:p>
  </w:footnote>
  <w:footnote w:id="43">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Trade for All Communication, p. 12 (footnote 24 above).</w:t>
      </w:r>
    </w:p>
  </w:footnote>
  <w:footnote w:id="44">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46(2)(c) and (d) and recital 109 GDPR which clarify that adaptations to approved model clauses are p</w:t>
      </w:r>
      <w:r>
        <w:rPr>
          <w:rFonts w:ascii="Times New Roman" w:hAnsi="Times New Roman" w:cs="Times New Roman"/>
        </w:rPr>
        <w:t xml:space="preserve">ossible as long as they are not contradictory, either directly or indirectly, to those model clauses or prejudice the fundamental rights or freedoms of individuals. </w:t>
      </w:r>
    </w:p>
  </w:footnote>
  <w:footnote w:id="45">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Currently no EU-processor to non-EU processor SCCs are in place.</w:t>
      </w:r>
    </w:p>
  </w:footnote>
  <w:footnote w:id="46">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Article 43(8) and (</w:t>
      </w:r>
      <w:r>
        <w:rPr>
          <w:rFonts w:ascii="Times New Roman" w:hAnsi="Times New Roman" w:cs="Times New Roman"/>
          <w:lang w:val="en-GB"/>
        </w:rPr>
        <w:t>9) GDPR.</w:t>
      </w:r>
    </w:p>
  </w:footnote>
  <w:footnote w:id="47">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r>
        <w:rPr>
          <w:rFonts w:ascii="Times New Roman" w:hAnsi="Times New Roman" w:cs="Times New Roman"/>
          <w:lang w:val="en-GB"/>
        </w:rPr>
        <w:t>2014 APEC/EU Common Referential for the Structure of the EU Binding Corporate Rules and the APEC Cross Border Privacy Rules System (CBPR), comparing the compliance and certification requirements of both systems</w:t>
      </w:r>
      <w:r>
        <w:rPr>
          <w:rFonts w:ascii="Times New Roman" w:hAnsi="Times New Roman" w:cs="Times New Roman"/>
        </w:rPr>
        <w:t>: http://www.apec.org/~/media/</w:t>
      </w:r>
      <w:r>
        <w:rPr>
          <w:rFonts w:ascii="Times New Roman" w:hAnsi="Times New Roman" w:cs="Times New Roman"/>
        </w:rPr>
        <w:t>Files/Groups/ECSG/20140307_Referential-BCR-CBPR-reqs.pdf.</w:t>
      </w:r>
    </w:p>
  </w:footnote>
  <w:footnote w:id="48">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 xml:space="preserve">Council of Europe Convention of 28 January 1981 for the Protection of Individuals with regard to Automatic Processing of Personal Data (ETS No. 180) and the 2001 Additional Protocol to the </w:t>
      </w:r>
      <w:r>
        <w:rPr>
          <w:rFonts w:ascii="Times New Roman" w:hAnsi="Times New Roman" w:cs="Times New Roman"/>
          <w:lang w:val="en-GB"/>
        </w:rPr>
        <w:t>Convention for the Protection of Individuals with regard to Automatic Processing of Personal Data, regarding supervisory authorities and transborder data flows (ETS No. 181).</w:t>
      </w:r>
    </w:p>
  </w:footnote>
  <w:footnote w:id="49">
    <w:p w:rsidR="00140188" w:rsidRDefault="0009234B">
      <w:pPr>
        <w:pStyle w:val="FootnoteText"/>
        <w:ind w:left="360" w:hanging="360"/>
        <w:rPr>
          <w:lang w:val="en-GB"/>
        </w:rPr>
      </w:pPr>
      <w:r>
        <w:rPr>
          <w:rStyle w:val="FootnoteReference"/>
        </w:rPr>
        <w:footnoteRef/>
      </w:r>
      <w:r>
        <w:t xml:space="preserve"> </w:t>
      </w:r>
      <w:r>
        <w:rPr>
          <w:lang w:val="en-GB"/>
        </w:rPr>
        <w:t xml:space="preserve">   </w:t>
      </w:r>
      <w:r>
        <w:rPr>
          <w:rFonts w:ascii="Times New Roman" w:hAnsi="Times New Roman" w:cs="Times New Roman"/>
          <w:lang w:val="en-GB"/>
        </w:rPr>
        <w:t>Mauritius, Senegal and Uruguay have ratified the Convention. In addition, Ca</w:t>
      </w:r>
      <w:r>
        <w:rPr>
          <w:rFonts w:ascii="Times New Roman" w:hAnsi="Times New Roman" w:cs="Times New Roman"/>
          <w:lang w:val="en-GB"/>
        </w:rPr>
        <w:t>bo Verde, Morocco and Tunisia have been invited to accede.</w:t>
      </w:r>
    </w:p>
  </w:footnote>
  <w:footnote w:id="50">
    <w:p w:rsidR="00140188" w:rsidRDefault="0009234B">
      <w:pPr>
        <w:pStyle w:val="FootnoteText"/>
        <w:ind w:left="360" w:hanging="360"/>
      </w:pPr>
      <w:r>
        <w:rPr>
          <w:rStyle w:val="FootnoteReference"/>
        </w:rPr>
        <w:footnoteRef/>
      </w:r>
      <w:r>
        <w:tab/>
      </w:r>
      <w:r>
        <w:rPr>
          <w:rFonts w:ascii="Times New Roman" w:hAnsi="Times New Roman" w:cs="Times New Roman"/>
        </w:rPr>
        <w:t>See also the OECD Ministerial Declaration on the Digital Economy: Innovation, Growth and Social Prosperity (“Cancun Declaration”), 23 June 2016.</w:t>
      </w:r>
    </w:p>
  </w:footnote>
  <w:footnote w:id="51">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 xml:space="preserve">See: </w:t>
      </w:r>
      <w:hyperlink r:id="rId1" w:history="1">
        <w:r>
          <w:rPr>
            <w:rStyle w:val="Hyperlink"/>
            <w:rFonts w:ascii="Times New Roman" w:hAnsi="Times New Roman" w:cs="Times New Roman"/>
            <w:lang w:val="en-GB"/>
          </w:rPr>
          <w:t>http://www.ohchr.org/EN/Issues/Privacy/SR/Pages/SRPrivacyIndex.aspx</w:t>
        </w:r>
      </w:hyperlink>
      <w:r>
        <w:rPr>
          <w:rFonts w:ascii="Times New Roman" w:hAnsi="Times New Roman" w:cs="Times New Roman"/>
          <w:lang w:val="en-GB"/>
        </w:rPr>
        <w:t>.</w:t>
      </w:r>
    </w:p>
  </w:footnote>
  <w:footnote w:id="52">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implementing decision C(2016)7198, endorsing the second phase of the Annual Action Programme 2016 (AAP 2016) of the Partnership Ins</w:t>
      </w:r>
      <w:r>
        <w:rPr>
          <w:rFonts w:ascii="Times New Roman" w:hAnsi="Times New Roman" w:cs="Times New Roman"/>
        </w:rPr>
        <w:t>trument.</w:t>
      </w:r>
    </w:p>
  </w:footnote>
  <w:footnote w:id="53">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Existing networks include the Global Privacy Enforcement Network (GPEN) launched in 2010 under the auspices of the OECD. It is an informal network of Privacy Enforcement Authorities, in which EU DPAs are involved, which is tasked with, among ot</w:t>
      </w:r>
      <w:r>
        <w:rPr>
          <w:rFonts w:ascii="Times New Roman" w:hAnsi="Times New Roman" w:cs="Times New Roman"/>
          <w:lang w:val="en-GB"/>
        </w:rPr>
        <w:t>hers, law enforcement co-operation, sharing of best practices in addressing cross-border challenges and supporting joint enforcement initiatives and awareness raising campaigns. It does not create any new legally binding obligations amongst the participant</w:t>
      </w:r>
      <w:r>
        <w:rPr>
          <w:rFonts w:ascii="Times New Roman" w:hAnsi="Times New Roman" w:cs="Times New Roman"/>
          <w:lang w:val="en-GB"/>
        </w:rPr>
        <w:t xml:space="preserve">s and focuses primarily on facilitating cooperation in the enforcement of privacy laws governing the private sector. See </w:t>
      </w:r>
      <w:hyperlink r:id="rId2" w:history="1">
        <w:r>
          <w:rPr>
            <w:rStyle w:val="Hyperlink"/>
            <w:rFonts w:ascii="Times New Roman" w:hAnsi="Times New Roman" w:cs="Times New Roman"/>
            <w:lang w:val="en-GB"/>
          </w:rPr>
          <w:t>https://privacyenforcement.net/</w:t>
        </w:r>
      </w:hyperlink>
      <w:r>
        <w:rPr>
          <w:rFonts w:ascii="Times New Roman" w:hAnsi="Times New Roman" w:cs="Times New Roman"/>
          <w:lang w:val="en-GB"/>
        </w:rPr>
        <w:t xml:space="preserve">. </w:t>
      </w:r>
    </w:p>
  </w:footnote>
  <w:footnote w:id="54">
    <w:p w:rsidR="00140188" w:rsidRDefault="0009234B">
      <w:pPr>
        <w:pStyle w:val="FootnoteText"/>
        <w:ind w:left="360" w:hanging="360"/>
        <w:jc w:val="both"/>
        <w:rPr>
          <w:rFonts w:ascii="Times New Roman" w:hAnsi="Times New Roman" w:cs="Times New Roman"/>
          <w:lang w:val="en-GB"/>
        </w:rPr>
      </w:pPr>
      <w:r>
        <w:rPr>
          <w:rStyle w:val="FootnoteReference"/>
          <w:lang w:val="en-GB"/>
        </w:rPr>
        <w:footnoteRef/>
      </w:r>
      <w:r>
        <w:rPr>
          <w:lang w:val="en-GB"/>
        </w:rPr>
        <w:t xml:space="preserve"> </w:t>
      </w:r>
      <w:r>
        <w:rPr>
          <w:lang w:val="en-GB"/>
        </w:rPr>
        <w:tab/>
      </w:r>
      <w:r>
        <w:rPr>
          <w:rFonts w:ascii="Times New Roman" w:hAnsi="Times New Roman" w:cs="Times New Roman"/>
          <w:lang w:val="en-GB"/>
        </w:rPr>
        <w:t>Agreement between the EU and the U.S. on the prote</w:t>
      </w:r>
      <w:r>
        <w:rPr>
          <w:rFonts w:ascii="Times New Roman" w:hAnsi="Times New Roman" w:cs="Times New Roman"/>
          <w:lang w:val="en-GB"/>
        </w:rPr>
        <w:t xml:space="preserve">ction of personal data when transferred and processed for the purpose of preventing, investigating, detecting or prosecuting criminal offences, including terrorism, in the framework of police cooperation and judicial cooperation in criminal matters: </w:t>
      </w:r>
      <w:hyperlink r:id="rId3" w:history="1">
        <w:r>
          <w:rPr>
            <w:rStyle w:val="Hyperlink"/>
            <w:rFonts w:ascii="Times New Roman" w:hAnsi="Times New Roman" w:cs="Times New Roman"/>
            <w:lang w:val="en-GB"/>
          </w:rPr>
          <w:t>http://ec.europa.eu/justice/data-protection/files/dp-umbrella-agreement_en.pdf</w:t>
        </w:r>
      </w:hyperlink>
      <w:r>
        <w:rPr>
          <w:rFonts w:ascii="Times New Roman" w:hAnsi="Times New Roman" w:cs="Times New Roman"/>
          <w:lang w:val="en-GB"/>
        </w:rPr>
        <w:t xml:space="preserve"> (the “Umbrella Agreement”)</w:t>
      </w:r>
    </w:p>
  </w:footnote>
  <w:footnote w:id="55">
    <w:p w:rsidR="00140188" w:rsidRDefault="0009234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conclusion of operational agreements with Europol and </w:t>
      </w:r>
      <w:r>
        <w:rPr>
          <w:rFonts w:ascii="Times New Roman" w:hAnsi="Times New Roman" w:cs="Times New Roman"/>
        </w:rPr>
        <w:t xml:space="preserve">Eurojust has also been a benchmark in visa liberalisation dialogues with certain third countries, including e.g. in the context of the ongoing dialogue with Turkey. </w:t>
      </w:r>
    </w:p>
  </w:footnote>
  <w:footnote w:id="56">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See Article 39 and recital 73 of the Police Directive. </w:t>
      </w:r>
    </w:p>
  </w:footnote>
  <w:footnote w:id="57">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See Article 48 and recital 1</w:t>
      </w:r>
      <w:r>
        <w:rPr>
          <w:rFonts w:ascii="Times New Roman" w:hAnsi="Times New Roman" w:cs="Times New Roman"/>
          <w:lang w:val="en-GB"/>
        </w:rPr>
        <w:t>15 of the GDPR.</w:t>
      </w:r>
    </w:p>
  </w:footnote>
  <w:footnote w:id="58">
    <w:p w:rsidR="00140188" w:rsidRDefault="0009234B">
      <w:pPr>
        <w:pStyle w:val="FootnoteText"/>
        <w:ind w:left="360" w:hanging="360"/>
        <w:jc w:val="both"/>
        <w:rPr>
          <w:rFonts w:ascii="Times New Roman" w:hAnsi="Times New Roman" w:cs="Times New Roman"/>
          <w:i/>
          <w:iCs/>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Conclusions of the Council of the European Union on improving criminal justice in cyberspace, 9 June 2016: </w:t>
      </w:r>
      <w:r>
        <w:rPr>
          <w:rFonts w:ascii="Times New Roman" w:hAnsi="Times New Roman" w:cs="Times New Roman"/>
        </w:rPr>
        <w:t>www.consilium.europa.eu/en/meetings/jha/2016/06/cyberspace--en_pdf/</w:t>
      </w:r>
      <w:r>
        <w:rPr>
          <w:rFonts w:ascii="Times New Roman" w:hAnsi="Times New Roman" w:cs="Times New Roman"/>
          <w:i/>
          <w:iCs/>
        </w:rPr>
        <w:t xml:space="preserve">. </w:t>
      </w:r>
      <w:r>
        <w:rPr>
          <w:rFonts w:ascii="Times New Roman" w:hAnsi="Times New Roman" w:cs="Times New Roman"/>
          <w:iCs/>
        </w:rPr>
        <w:t xml:space="preserve">The Commission has been tasked to present deliverables on </w:t>
      </w:r>
      <w:r>
        <w:rPr>
          <w:rFonts w:ascii="Times New Roman" w:hAnsi="Times New Roman" w:cs="Times New Roman"/>
          <w:iCs/>
        </w:rPr>
        <w:t>these issues to the Council by June 2017, following its progress report to the Council made in December 2016.</w:t>
      </w:r>
    </w:p>
  </w:footnote>
  <w:footnote w:id="59">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See Article 25(4) of Regulation (EU) 2016/794 of the European Parliament and of the Council of 11 May 2016 on the European Union Agency for Law Enforcement Cooperation (Europol) and replacing and repealing Council Decisions 2009/371/JHA, 2009/934/JHA, 2009</w:t>
      </w:r>
      <w:r>
        <w:rPr>
          <w:rFonts w:ascii="Times New Roman" w:hAnsi="Times New Roman" w:cs="Times New Roman"/>
          <w:lang w:val="en-GB"/>
        </w:rPr>
        <w:t xml:space="preserve">/935/JHA, 2009/936/JHA and 2009/968/JHA, OJ L 135, 24.5.2016 (pp. 53-114). The Commission is required to present an assessment report by 14 June 2021 on Europol's cooperation agreements concluded before 1 May 2017. </w:t>
      </w:r>
    </w:p>
  </w:footnote>
  <w:footnote w:id="60">
    <w:p w:rsidR="00140188" w:rsidRDefault="0009234B">
      <w:pPr>
        <w:pStyle w:val="FootnoteText"/>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Opinion of the Court of Justice on th</w:t>
      </w:r>
      <w:r>
        <w:rPr>
          <w:rFonts w:ascii="Times New Roman" w:hAnsi="Times New Roman" w:cs="Times New Roman"/>
        </w:rPr>
        <w:t xml:space="preserve">e draft 2014 EU-Canada PNR Agreement referred to the Court by the European Parliament (Opinion 1/15). The Court was asked to assess the compatibility of the draft Agreement with the EU Charter of Fundamental Rights.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4B" w:rsidRPr="0009234B" w:rsidRDefault="0009234B" w:rsidP="000923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8" w:rsidRDefault="00140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4"/>
  </w:num>
  <w:num w:numId="6">
    <w:abstractNumId w:val="2"/>
  </w:num>
  <w:num w:numId="7">
    <w:abstractNumId w:val="6"/>
  </w:num>
  <w:num w:numId="8">
    <w:abstractNumId w:val="7"/>
  </w:num>
  <w:num w:numId="9">
    <w:abstractNumId w:val="11"/>
  </w:num>
  <w:num w:numId="10">
    <w:abstractNumId w:val="3"/>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o">
    <w15:presenceInfo w15:providerId="None" w15:userId="Br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29F56674393453D923B8EFF120BD2AB"/>
    <w:docVar w:name="LW_CROSSREFERENCE" w:val="&lt;UNUSED&gt;"/>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
    <w:docVar w:name="LW_REF.INTERNE" w:val="&lt;UNUSED&gt;"/>
    <w:docVar w:name="LW_SOUS.TITRE.OBJ.CP" w:val="&lt;UNUSED&gt;"/>
    <w:docVar w:name="LW_SUPERTITRE" w:val="&lt;UNUSED&gt;"/>
    <w:docVar w:name="LW_TITRE.OBJ.CP" w:val="Exchanging and Protecting Personal Data in a Globalised World"/>
    <w:docVar w:name="LW_TYPE.DOC.CP" w:val="COMMUNICATION FROM THE COMMISSION TO THE EUROPEAN PARLIAMENT AND THE COUNCIL"/>
    <w:docVar w:name="LW_TYPE.DOC.CP.USERTEXT" w:val="&lt;EMPTY&gt;"/>
  </w:docVars>
  <w:rsids>
    <w:rsidRoot w:val="00140188"/>
    <w:rsid w:val="0009234B"/>
    <w:rsid w:val="00140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files/dp-umbrella-agreement_en.pdf" TargetMode="External"/><Relationship Id="rId2" Type="http://schemas.openxmlformats.org/officeDocument/2006/relationships/hyperlink" Target="https://privacyenforcement.net/" TargetMode="External"/><Relationship Id="rId1" Type="http://schemas.openxmlformats.org/officeDocument/2006/relationships/hyperlink" Target="http://www.ohchr.org/EN/Issues/Privacy/SR/Pages/SRPrivac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15CE-D24C-4E3E-B63B-A89B43F6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5388</Words>
  <Characters>30574</Characters>
  <Application>Microsoft Office Word</Application>
  <DocSecurity>0</DocSecurity>
  <Lines>443</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2017-01-06T13:13:00Z</cp:lastPrinted>
  <dcterms:created xsi:type="dcterms:W3CDTF">2017-01-06T13:13:00Z</dcterms:created>
  <dcterms:modified xsi:type="dcterms:W3CDTF">2017-01-10T10:42:00Z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