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83" w:rsidRDefault="00CE764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BE36BE626B24577B3CC5B8297B6783B" style="width:450.6pt;height:379.6pt">
            <v:imagedata r:id="rId9" o:title=""/>
          </v:shape>
        </w:pict>
      </w:r>
    </w:p>
    <w:bookmarkEnd w:id="0"/>
    <w:p w:rsidR="008C2383" w:rsidRDefault="008C2383">
      <w:pPr>
        <w:rPr>
          <w:noProof/>
        </w:rPr>
        <w:sectPr w:rsidR="008C2383">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p w:rsidR="008C2383" w:rsidRDefault="008C2383">
      <w:pPr>
        <w:spacing w:line="240" w:lineRule="exact"/>
        <w:rPr>
          <w:noProof/>
          <w:sz w:val="19"/>
          <w:szCs w:val="19"/>
        </w:rPr>
      </w:pPr>
    </w:p>
    <w:p w:rsidR="008C2383" w:rsidRDefault="008C2383">
      <w:pPr>
        <w:spacing w:line="240" w:lineRule="exact"/>
        <w:rPr>
          <w:noProof/>
          <w:sz w:val="19"/>
          <w:szCs w:val="19"/>
        </w:rPr>
      </w:pPr>
    </w:p>
    <w:p w:rsidR="008C2383" w:rsidRDefault="008C2383">
      <w:pPr>
        <w:spacing w:before="108" w:after="108" w:line="240" w:lineRule="exact"/>
        <w:rPr>
          <w:noProof/>
          <w:sz w:val="19"/>
          <w:szCs w:val="19"/>
        </w:rPr>
      </w:pPr>
    </w:p>
    <w:p w:rsidR="008C2383" w:rsidRDefault="008C2383">
      <w:pPr>
        <w:rPr>
          <w:noProof/>
          <w:sz w:val="2"/>
          <w:szCs w:val="2"/>
        </w:rPr>
        <w:sectPr w:rsidR="008C2383">
          <w:headerReference w:type="even" r:id="rId16"/>
          <w:headerReference w:type="default" r:id="rId17"/>
          <w:footerReference w:type="even" r:id="rId18"/>
          <w:footerReference w:type="default" r:id="rId19"/>
          <w:headerReference w:type="first" r:id="rId20"/>
          <w:footerReference w:type="first" r:id="rId21"/>
          <w:pgSz w:w="11900" w:h="16840"/>
          <w:pgMar w:top="776" w:right="0" w:bottom="1365" w:left="0" w:header="0" w:footer="3" w:gutter="0"/>
          <w:pgNumType w:start="2"/>
          <w:cols w:space="720"/>
          <w:noEndnote/>
          <w:titlePg/>
          <w:docGrid w:linePitch="360"/>
        </w:sectPr>
      </w:pPr>
    </w:p>
    <w:p w:rsidR="008C2383" w:rsidRDefault="00CE7645">
      <w:pPr>
        <w:pStyle w:val="Bodytext30"/>
        <w:shd w:val="clear" w:color="auto" w:fill="auto"/>
        <w:spacing w:after="233"/>
        <w:rPr>
          <w:noProof/>
        </w:rPr>
      </w:pPr>
      <w:r>
        <w:rPr>
          <w:noProof/>
        </w:rPr>
        <w:lastRenderedPageBreak/>
        <w:t>Décision XXVIII/1: Nouvel amendement au protocole de Montréal</w:t>
      </w:r>
    </w:p>
    <w:p w:rsidR="008C2383" w:rsidRDefault="00CE7645">
      <w:pPr>
        <w:pStyle w:val="Bodytext20"/>
        <w:shd w:val="clear" w:color="auto" w:fill="auto"/>
        <w:spacing w:before="0"/>
        <w:ind w:firstLine="0"/>
        <w:rPr>
          <w:noProof/>
        </w:rPr>
      </w:pPr>
      <w:r>
        <w:rPr>
          <w:noProof/>
          <w:lang w:val="en-GB" w:eastAsia="en-GB" w:bidi="ar-SA"/>
        </w:rPr>
        <mc:AlternateContent>
          <mc:Choice Requires="wps">
            <w:drawing>
              <wp:anchor distT="0" distB="0" distL="63500" distR="63500" simplePos="0" relativeHeight="377487104" behindDoc="1" locked="0" layoutInCell="1" allowOverlap="1">
                <wp:simplePos x="0" y="0"/>
                <wp:positionH relativeFrom="margin">
                  <wp:posOffset>-743585</wp:posOffset>
                </wp:positionH>
                <wp:positionV relativeFrom="paragraph">
                  <wp:posOffset>8174355</wp:posOffset>
                </wp:positionV>
                <wp:extent cx="567055" cy="140970"/>
                <wp:effectExtent l="0" t="1905" r="0" b="12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pPr>
                              <w:pStyle w:val="Bodytext20"/>
                              <w:shd w:val="clear" w:color="auto" w:fill="auto"/>
                              <w:spacing w:before="0" w:line="222" w:lineRule="exact"/>
                              <w:ind w:firstLine="0"/>
                            </w:pPr>
                            <w:r>
                              <w:rPr>
                                <w:rStyle w:val="Bodytext2Exact"/>
                              </w:rPr>
                              <w:t>K1610214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55pt;margin-top:643.65pt;width:44.65pt;height:11.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AVrAIAAKg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" filled="f" stroked="f">
                <v:textbox style="mso-fit-shape-to-text:t" inset="0,0,0,0">
                  <w:txbxContent>
                    <w:p>
                      <w:pPr>
                        <w:pStyle w:val="Bodytext20"/>
                        <w:shd w:val="clear" w:color="auto" w:fill="auto"/>
                        <w:spacing w:before="0" w:line="222" w:lineRule="exact"/>
                        <w:ind w:firstLine="0"/>
                      </w:pPr>
                      <w:r>
                        <w:rPr>
                          <w:rStyle w:val="Bodytext2Exact"/>
                        </w:rPr>
                        <w:t>K1610214</w:t>
                      </w:r>
                    </w:p>
                  </w:txbxContent>
                </v:textbox>
                <w10:wrap type="topAndBottom" anchorx="margin"/>
              </v:shape>
            </w:pict>
          </mc:Fallback>
        </mc:AlternateContent>
      </w:r>
      <w:r>
        <w:rPr>
          <w:noProof/>
          <w:lang w:val="en-GB" w:eastAsia="en-GB" w:bidi="ar-SA"/>
        </w:rPr>
        <mc:AlternateContent>
          <mc:Choice Requires="wps">
            <w:drawing>
              <wp:anchor distT="0" distB="226060" distL="63500" distR="63500" simplePos="0" relativeHeight="377487105" behindDoc="1" locked="0" layoutInCell="1" allowOverlap="1">
                <wp:simplePos x="0" y="0"/>
                <wp:positionH relativeFrom="margin">
                  <wp:posOffset>64135</wp:posOffset>
                </wp:positionH>
                <wp:positionV relativeFrom="paragraph">
                  <wp:posOffset>8174355</wp:posOffset>
                </wp:positionV>
                <wp:extent cx="396240" cy="140970"/>
                <wp:effectExtent l="0" t="1905"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pPr>
                              <w:pStyle w:val="Bodytext20"/>
                              <w:shd w:val="clear" w:color="auto" w:fill="auto"/>
                              <w:spacing w:before="0" w:line="222" w:lineRule="exact"/>
                              <w:ind w:firstLine="0"/>
                            </w:pPr>
                            <w:r>
                              <w:rPr>
                                <w:rStyle w:val="Bodytext2Exact"/>
                              </w:rPr>
                              <w:t>141116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5pt;margin-top:643.65pt;width:31.2pt;height:11.1pt;z-index:-125829375;visibility:visible;mso-wrap-style:square;mso-width-percent:0;mso-height-percent:0;mso-wrap-distance-left:5pt;mso-wrap-distance-top:0;mso-wrap-distance-right: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W8rw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" filled="f" stroked="f">
                <v:textbox style="mso-fit-shape-to-text:t" inset="0,0,0,0">
                  <w:txbxContent>
                    <w:p>
                      <w:pPr>
                        <w:pStyle w:val="Bodytext20"/>
                        <w:shd w:val="clear" w:color="auto" w:fill="auto"/>
                        <w:spacing w:before="0" w:line="222" w:lineRule="exact"/>
                        <w:ind w:firstLine="0"/>
                      </w:pPr>
                      <w:r>
                        <w:rPr>
                          <w:rStyle w:val="Bodytext2Exact"/>
                        </w:rPr>
                        <w:t>141116</w:t>
                      </w:r>
                    </w:p>
                  </w:txbxContent>
                </v:textbox>
                <w10:wrap type="topAndBottom" anchorx="margin"/>
              </v:shape>
            </w:pict>
          </mc:Fallback>
        </mc:AlternateContent>
      </w:r>
      <w:r>
        <w:rPr>
          <w:noProof/>
        </w:rPr>
        <w:t>Portant adoption, conformément à la procédure prévue au paragraphe 4 de l’article 9 de la convention de Vienne pour la protection de la couche d’ozone, de l’amendement au p</w:t>
      </w:r>
      <w:r>
        <w:rPr>
          <w:noProof/>
        </w:rPr>
        <w:t>rotocole de Montréal figurant à l’annexe I du rapport de la vingt-huitième réunion des Parties;</w:t>
      </w:r>
      <w:r>
        <w:rPr>
          <w:noProof/>
        </w:rPr>
        <w:br w:type="page"/>
      </w:r>
    </w:p>
    <w:p w:rsidR="008C2383" w:rsidRDefault="00CE7645">
      <w:pPr>
        <w:pStyle w:val="Heading10"/>
        <w:keepNext/>
        <w:keepLines/>
        <w:shd w:val="clear" w:color="auto" w:fill="auto"/>
        <w:spacing w:after="101"/>
        <w:rPr>
          <w:noProof/>
        </w:rPr>
      </w:pPr>
      <w:r>
        <w:rPr>
          <w:noProof/>
        </w:rPr>
        <w:lastRenderedPageBreak/>
        <w:t>Amendement au Protocole de Montréal relatif à des substances qui appauvrissent la couche d’ozone</w:t>
      </w:r>
    </w:p>
    <w:p w:rsidR="008C2383" w:rsidRDefault="00CE7645">
      <w:pPr>
        <w:pStyle w:val="Heading20"/>
        <w:keepNext/>
        <w:keepLines/>
        <w:shd w:val="clear" w:color="auto" w:fill="auto"/>
        <w:spacing w:before="0"/>
        <w:rPr>
          <w:noProof/>
        </w:rPr>
      </w:pPr>
      <w:r>
        <w:rPr>
          <w:noProof/>
        </w:rPr>
        <w:t>Article I: Amendement</w:t>
      </w:r>
    </w:p>
    <w:p w:rsidR="008C2383" w:rsidRDefault="00CE7645">
      <w:pPr>
        <w:pStyle w:val="Bodytext40"/>
        <w:shd w:val="clear" w:color="auto" w:fill="auto"/>
        <w:rPr>
          <w:noProof/>
        </w:rPr>
      </w:pPr>
      <w:r>
        <w:rPr>
          <w:noProof/>
        </w:rPr>
        <w:t>Article 1, paragraphe 4</w:t>
      </w:r>
    </w:p>
    <w:p w:rsidR="008C2383" w:rsidRDefault="00CE7645">
      <w:pPr>
        <w:pStyle w:val="Bodytext20"/>
        <w:shd w:val="clear" w:color="auto" w:fill="auto"/>
        <w:spacing w:before="0" w:line="346" w:lineRule="exact"/>
        <w:ind w:left="780" w:firstLine="0"/>
        <w:rPr>
          <w:noProof/>
        </w:rPr>
      </w:pPr>
      <w:r>
        <w:rPr>
          <w:noProof/>
        </w:rPr>
        <w:t xml:space="preserve">Au paragraphe 4 </w:t>
      </w:r>
      <w:r>
        <w:rPr>
          <w:noProof/>
        </w:rPr>
        <w:t>de l’article 1 du Protocole, remplacer:</w:t>
      </w:r>
    </w:p>
    <w:p w:rsidR="008C2383" w:rsidRDefault="00CE7645">
      <w:pPr>
        <w:pStyle w:val="Bodytext20"/>
        <w:shd w:val="clear" w:color="auto" w:fill="auto"/>
        <w:spacing w:before="0" w:line="346" w:lineRule="exact"/>
        <w:ind w:left="780" w:right="2080" w:firstLine="0"/>
        <w:rPr>
          <w:noProof/>
        </w:rPr>
      </w:pPr>
      <w:r>
        <w:rPr>
          <w:noProof/>
        </w:rPr>
        <w:t>«à l’Annexe C ou à l’Annexe E» par:</w:t>
      </w:r>
    </w:p>
    <w:p w:rsidR="008C2383" w:rsidRDefault="00CE7645">
      <w:pPr>
        <w:pStyle w:val="Bodytext20"/>
        <w:shd w:val="clear" w:color="auto" w:fill="auto"/>
        <w:spacing w:before="0" w:line="346" w:lineRule="exact"/>
        <w:ind w:left="780" w:firstLine="0"/>
        <w:rPr>
          <w:noProof/>
        </w:rPr>
      </w:pPr>
      <w:r>
        <w:rPr>
          <w:noProof/>
        </w:rPr>
        <w:t>«à l’Annexe C, l’Annexe E ou l’Annexe F»</w:t>
      </w:r>
    </w:p>
    <w:p w:rsidR="008C2383" w:rsidRDefault="00CE7645">
      <w:pPr>
        <w:pStyle w:val="Bodytext40"/>
        <w:shd w:val="clear" w:color="auto" w:fill="auto"/>
        <w:rPr>
          <w:noProof/>
        </w:rPr>
      </w:pPr>
      <w:r>
        <w:rPr>
          <w:noProof/>
        </w:rPr>
        <w:t>Article 2, paragraphe 5</w:t>
      </w:r>
    </w:p>
    <w:p w:rsidR="008C2383" w:rsidRDefault="00CE7645">
      <w:pPr>
        <w:pStyle w:val="Bodytext20"/>
        <w:shd w:val="clear" w:color="auto" w:fill="auto"/>
        <w:spacing w:before="0" w:line="346" w:lineRule="exact"/>
        <w:ind w:left="780" w:firstLine="0"/>
        <w:rPr>
          <w:noProof/>
        </w:rPr>
      </w:pPr>
      <w:r>
        <w:rPr>
          <w:noProof/>
        </w:rPr>
        <w:t>Au paragraphe 5 de l’article 2 du Protocole, remplacer:</w:t>
      </w:r>
    </w:p>
    <w:p w:rsidR="008C2383" w:rsidRDefault="00CE7645">
      <w:pPr>
        <w:pStyle w:val="Bodytext20"/>
        <w:shd w:val="clear" w:color="auto" w:fill="auto"/>
        <w:spacing w:before="0" w:line="346" w:lineRule="exact"/>
        <w:ind w:left="780" w:right="2080" w:firstLine="0"/>
        <w:rPr>
          <w:noProof/>
        </w:rPr>
      </w:pPr>
      <w:r>
        <w:rPr>
          <w:noProof/>
        </w:rPr>
        <w:t>«et à l’article 2H» par:</w:t>
      </w:r>
    </w:p>
    <w:p w:rsidR="008C2383" w:rsidRDefault="00CE7645">
      <w:pPr>
        <w:pStyle w:val="Bodytext20"/>
        <w:shd w:val="clear" w:color="auto" w:fill="auto"/>
        <w:spacing w:before="0" w:line="346" w:lineRule="exact"/>
        <w:ind w:left="780" w:firstLine="0"/>
        <w:rPr>
          <w:noProof/>
        </w:rPr>
      </w:pPr>
      <w:r>
        <w:rPr>
          <w:noProof/>
        </w:rPr>
        <w:t>«et aux articles 2H et 2J»</w:t>
      </w:r>
    </w:p>
    <w:p w:rsidR="008C2383" w:rsidRDefault="00CE7645">
      <w:pPr>
        <w:pStyle w:val="Bodytext40"/>
        <w:shd w:val="clear" w:color="auto" w:fill="auto"/>
        <w:rPr>
          <w:noProof/>
        </w:rPr>
      </w:pPr>
      <w:r>
        <w:rPr>
          <w:noProof/>
        </w:rPr>
        <w:t>Article</w:t>
      </w:r>
      <w:r>
        <w:rPr>
          <w:noProof/>
        </w:rPr>
        <w:t xml:space="preserve"> 2, paragraphes 8 a), 9 a) et 11</w:t>
      </w:r>
    </w:p>
    <w:p w:rsidR="008C2383" w:rsidRDefault="00CE7645">
      <w:pPr>
        <w:pStyle w:val="Bodytext20"/>
        <w:shd w:val="clear" w:color="auto" w:fill="auto"/>
        <w:spacing w:before="0" w:line="346" w:lineRule="exact"/>
        <w:ind w:left="780" w:firstLine="0"/>
        <w:rPr>
          <w:noProof/>
        </w:rPr>
      </w:pPr>
      <w:r>
        <w:rPr>
          <w:noProof/>
        </w:rPr>
        <w:t>Aux paragraphes 8 a) et 11 de l’article 2 du Protocole, remplacer:</w:t>
      </w:r>
    </w:p>
    <w:p w:rsidR="008C2383" w:rsidRDefault="00CE7645">
      <w:pPr>
        <w:pStyle w:val="Bodytext20"/>
        <w:shd w:val="clear" w:color="auto" w:fill="auto"/>
        <w:spacing w:before="0" w:line="346" w:lineRule="exact"/>
        <w:ind w:left="780" w:right="2080" w:firstLine="0"/>
        <w:rPr>
          <w:noProof/>
        </w:rPr>
      </w:pPr>
      <w:r>
        <w:rPr>
          <w:noProof/>
        </w:rPr>
        <w:t>«des articles 2A à 2I» par:</w:t>
      </w:r>
    </w:p>
    <w:p w:rsidR="008C2383" w:rsidRDefault="00CE7645">
      <w:pPr>
        <w:pStyle w:val="Bodytext20"/>
        <w:shd w:val="clear" w:color="auto" w:fill="auto"/>
        <w:spacing w:before="0" w:line="346" w:lineRule="exact"/>
        <w:ind w:left="780" w:firstLine="0"/>
        <w:rPr>
          <w:noProof/>
        </w:rPr>
      </w:pPr>
      <w:r>
        <w:rPr>
          <w:noProof/>
        </w:rPr>
        <w:t>«des articles 2A à 2J»</w:t>
      </w:r>
    </w:p>
    <w:p w:rsidR="008C2383" w:rsidRDefault="00CE7645">
      <w:pPr>
        <w:pStyle w:val="Bodytext20"/>
        <w:shd w:val="clear" w:color="auto" w:fill="auto"/>
        <w:spacing w:before="0" w:after="116" w:line="226" w:lineRule="exact"/>
        <w:ind w:left="780" w:firstLine="0"/>
        <w:rPr>
          <w:noProof/>
        </w:rPr>
      </w:pPr>
      <w:r>
        <w:rPr>
          <w:noProof/>
        </w:rPr>
        <w:t>Le texte suivant est ajouté à la suite de l’alinéa a) du paragraphe 8 de l’article 2 du Protocole:</w:t>
      </w:r>
    </w:p>
    <w:p w:rsidR="008C2383" w:rsidRDefault="00CE7645">
      <w:pPr>
        <w:pStyle w:val="Bodytext20"/>
        <w:shd w:val="clear" w:color="auto" w:fill="auto"/>
        <w:spacing w:before="0" w:after="120"/>
        <w:ind w:left="780" w:firstLine="0"/>
        <w:rPr>
          <w:noProof/>
        </w:rPr>
      </w:pPr>
      <w:r>
        <w:rPr>
          <w:noProof/>
        </w:rPr>
        <w:t xml:space="preserve">«Tout </w:t>
      </w:r>
      <w:r>
        <w:rPr>
          <w:noProof/>
        </w:rPr>
        <w:t>accord de ce type peut être élargi pour inclure des obligations concernant la consommation ou la production au titre de l’article 2J, à condition que le total combiné des niveaux de consommation ou de production des Parties concernées ne dépasse pas les ni</w:t>
      </w:r>
      <w:r>
        <w:rPr>
          <w:noProof/>
        </w:rPr>
        <w:t>veaux exigés par l’article 2J.»</w:t>
      </w:r>
    </w:p>
    <w:p w:rsidR="008C2383" w:rsidRDefault="00CE7645">
      <w:pPr>
        <w:pStyle w:val="Bodytext20"/>
        <w:shd w:val="clear" w:color="auto" w:fill="auto"/>
        <w:spacing w:before="0" w:after="24"/>
        <w:ind w:left="780" w:firstLine="0"/>
        <w:rPr>
          <w:noProof/>
        </w:rPr>
      </w:pPr>
      <w:r>
        <w:rPr>
          <w:noProof/>
        </w:rPr>
        <w:t>Au paragraphe 9 a) i) de l’article 2 du Protocole, après la deuxième occurrence des mots:</w:t>
      </w:r>
    </w:p>
    <w:p w:rsidR="008C2383" w:rsidRDefault="00CE7645">
      <w:pPr>
        <w:pStyle w:val="Bodytext20"/>
        <w:shd w:val="clear" w:color="auto" w:fill="auto"/>
        <w:spacing w:before="0" w:line="350" w:lineRule="exact"/>
        <w:ind w:left="780" w:firstLine="0"/>
        <w:rPr>
          <w:noProof/>
        </w:rPr>
      </w:pPr>
      <w:r>
        <w:rPr>
          <w:noProof/>
        </w:rPr>
        <w:t>«devraient être»</w:t>
      </w:r>
    </w:p>
    <w:p w:rsidR="008C2383" w:rsidRDefault="00CE7645">
      <w:pPr>
        <w:pStyle w:val="Bodytext20"/>
        <w:shd w:val="clear" w:color="auto" w:fill="auto"/>
        <w:spacing w:before="0" w:line="350" w:lineRule="exact"/>
        <w:ind w:left="780" w:firstLine="0"/>
        <w:rPr>
          <w:noProof/>
        </w:rPr>
      </w:pPr>
      <w:r>
        <w:rPr>
          <w:noProof/>
        </w:rPr>
        <w:t>supprimer:</w:t>
      </w:r>
    </w:p>
    <w:p w:rsidR="008C2383" w:rsidRDefault="00CE7645">
      <w:pPr>
        <w:pStyle w:val="Bodytext20"/>
        <w:shd w:val="clear" w:color="auto" w:fill="auto"/>
        <w:spacing w:before="0" w:line="350" w:lineRule="exact"/>
        <w:ind w:left="780" w:firstLine="0"/>
        <w:rPr>
          <w:noProof/>
        </w:rPr>
      </w:pPr>
      <w:r>
        <w:rPr>
          <w:noProof/>
        </w:rPr>
        <w:t>«et»</w:t>
      </w:r>
    </w:p>
    <w:p w:rsidR="008C2383" w:rsidRDefault="00CE7645">
      <w:pPr>
        <w:pStyle w:val="Bodytext20"/>
        <w:shd w:val="clear" w:color="auto" w:fill="auto"/>
        <w:spacing w:before="0" w:after="120"/>
        <w:ind w:left="780" w:firstLine="0"/>
        <w:rPr>
          <w:noProof/>
        </w:rPr>
      </w:pPr>
      <w:r>
        <w:rPr>
          <w:noProof/>
        </w:rPr>
        <w:t xml:space="preserve">Renuméroter l’alinéa a) ii) du paragraphe 9 de l’article 2 du Protocole, qui devient </w:t>
      </w:r>
      <w:r>
        <w:rPr>
          <w:noProof/>
        </w:rPr>
        <w:t>l’alinéa a) iii).</w:t>
      </w:r>
    </w:p>
    <w:p w:rsidR="008C2383" w:rsidRDefault="00CE7645">
      <w:pPr>
        <w:pStyle w:val="Bodytext20"/>
        <w:shd w:val="clear" w:color="auto" w:fill="auto"/>
        <w:spacing w:before="0" w:after="120"/>
        <w:ind w:left="780" w:firstLine="0"/>
        <w:rPr>
          <w:noProof/>
        </w:rPr>
      </w:pPr>
      <w:r>
        <w:rPr>
          <w:noProof/>
        </w:rPr>
        <w:t>Ajouter après l’alinéa a) i) du paragraphe 9 de l’article 2 du Protocole un alinéa a) ii) ainsi conçu:</w:t>
      </w:r>
    </w:p>
    <w:p w:rsidR="008C2383" w:rsidRDefault="00CE7645">
      <w:pPr>
        <w:pStyle w:val="Bodytext20"/>
        <w:shd w:val="clear" w:color="auto" w:fill="auto"/>
        <w:spacing w:before="0" w:after="24"/>
        <w:ind w:left="780" w:firstLine="0"/>
        <w:rPr>
          <w:noProof/>
        </w:rPr>
      </w:pPr>
      <w:r>
        <w:rPr>
          <w:noProof/>
        </w:rPr>
        <w:t>«S’il y a lieu d’ajuster les potentiels de réchauffement global indiqués pour les substances du groupe I de l’Annexe A, de l’Annexe C e</w:t>
      </w:r>
      <w:r>
        <w:rPr>
          <w:noProof/>
        </w:rPr>
        <w:t>t de l’Annexe F et, dans l’affirmative, quels devraient être les ajustements à apporter; et»</w:t>
      </w:r>
    </w:p>
    <w:p w:rsidR="008C2383" w:rsidRDefault="00CE7645">
      <w:pPr>
        <w:pStyle w:val="Bodytext40"/>
        <w:shd w:val="clear" w:color="auto" w:fill="auto"/>
        <w:spacing w:line="350" w:lineRule="exact"/>
        <w:rPr>
          <w:noProof/>
        </w:rPr>
      </w:pPr>
      <w:r>
        <w:rPr>
          <w:noProof/>
        </w:rPr>
        <w:t>Article 2J</w:t>
      </w:r>
    </w:p>
    <w:p w:rsidR="008C2383" w:rsidRDefault="00CE7645">
      <w:pPr>
        <w:pStyle w:val="Bodytext20"/>
        <w:shd w:val="clear" w:color="auto" w:fill="auto"/>
        <w:spacing w:before="0" w:line="350" w:lineRule="exact"/>
        <w:ind w:left="980" w:hanging="360"/>
        <w:rPr>
          <w:noProof/>
        </w:rPr>
      </w:pPr>
      <w:r>
        <w:rPr>
          <w:noProof/>
        </w:rPr>
        <w:t>L’article suivant est ajouté à la suite de l’article 2I du Protocole:</w:t>
      </w:r>
    </w:p>
    <w:p w:rsidR="008C2383" w:rsidRDefault="00CE7645">
      <w:pPr>
        <w:pStyle w:val="Bodytext20"/>
        <w:shd w:val="clear" w:color="auto" w:fill="auto"/>
        <w:spacing w:before="0" w:line="350" w:lineRule="exact"/>
        <w:ind w:left="980" w:hanging="360"/>
        <w:rPr>
          <w:noProof/>
        </w:rPr>
      </w:pPr>
      <w:r>
        <w:rPr>
          <w:noProof/>
        </w:rPr>
        <w:t>«Article 2J: Hydrofluorocarbones</w:t>
      </w:r>
    </w:p>
    <w:p w:rsidR="008C2383" w:rsidRDefault="00CE7645">
      <w:pPr>
        <w:pStyle w:val="Bodytext20"/>
        <w:numPr>
          <w:ilvl w:val="0"/>
          <w:numId w:val="1"/>
        </w:numPr>
        <w:shd w:val="clear" w:color="auto" w:fill="auto"/>
        <w:tabs>
          <w:tab w:val="left" w:pos="956"/>
        </w:tabs>
        <w:spacing w:before="0" w:after="20" w:line="226" w:lineRule="exact"/>
        <w:ind w:left="980" w:hanging="360"/>
        <w:rPr>
          <w:noProof/>
        </w:rPr>
      </w:pPr>
      <w:r>
        <w:rPr>
          <w:noProof/>
        </w:rPr>
        <w:t>Chaque Partie veille à ce que, pendant la période</w:t>
      </w:r>
      <w:r>
        <w:rPr>
          <w:noProof/>
        </w:rPr>
        <w:t xml:space="preserve"> de douze mois commençant le 1</w:t>
      </w:r>
      <w:r>
        <w:rPr>
          <w:noProof/>
          <w:vertAlign w:val="superscript"/>
        </w:rPr>
        <w:t>er</w:t>
      </w:r>
      <w:r>
        <w:rPr>
          <w:noProof/>
        </w:rPr>
        <w:t> janvier 2019, et ensuite pendant chaque période de douze mois, son niveau calculé de consommation des substances réglementées de l’Annexe F, exprimé en équivalent CO</w:t>
      </w:r>
      <w:r>
        <w:rPr>
          <w:noProof/>
          <w:vertAlign w:val="subscript"/>
        </w:rPr>
        <w:t>2</w:t>
      </w:r>
      <w:r>
        <w:rPr>
          <w:noProof/>
        </w:rPr>
        <w:t xml:space="preserve">, ne dépasse pas le pourcentage, indiqué pour les années </w:t>
      </w:r>
      <w:r>
        <w:rPr>
          <w:noProof/>
        </w:rPr>
        <w:t xml:space="preserve">spécifiées ci-après aux alinéas a) à e), de la moyenne annuelle de ses niveaux calculés de </w:t>
      </w:r>
      <w:r>
        <w:rPr>
          <w:noProof/>
        </w:rPr>
        <w:br w:type="page"/>
      </w:r>
      <w:r>
        <w:rPr>
          <w:noProof/>
        </w:rPr>
        <w:lastRenderedPageBreak/>
        <w:t>consommation des substances réglementées de l’Annexe F pour les années 2011, 2012 et 2013, plus 15 % de son niveau calculé de consommation des substances réglementé</w:t>
      </w:r>
      <w:r>
        <w:rPr>
          <w:noProof/>
        </w:rPr>
        <w:t>es du groupe I de l’Annexe C, comme indiqué au paragraphe 1 de l’article 2F, exprimé en équivalent CO</w:t>
      </w:r>
      <w:r>
        <w:rPr>
          <w:noProof/>
          <w:vertAlign w:val="subscript"/>
        </w:rPr>
        <w:t>2</w:t>
      </w:r>
      <w:r>
        <w:rPr>
          <w:noProof/>
        </w:rPr>
        <w:t>:</w:t>
      </w:r>
    </w:p>
    <w:p w:rsidR="008C2383" w:rsidRDefault="00CE7645">
      <w:pPr>
        <w:pStyle w:val="Bodytext20"/>
        <w:numPr>
          <w:ilvl w:val="0"/>
          <w:numId w:val="8"/>
        </w:numPr>
        <w:shd w:val="clear" w:color="auto" w:fill="auto"/>
        <w:tabs>
          <w:tab w:val="left" w:pos="1322"/>
        </w:tabs>
        <w:spacing w:before="0" w:line="350" w:lineRule="exact"/>
        <w:ind w:left="980" w:firstLine="0"/>
        <w:rPr>
          <w:noProof/>
        </w:rPr>
      </w:pPr>
      <w:r>
        <w:rPr>
          <w:noProof/>
        </w:rPr>
        <w:t>2019 à 2023: 90 %</w:t>
      </w:r>
    </w:p>
    <w:p w:rsidR="008C2383" w:rsidRDefault="00CE7645">
      <w:pPr>
        <w:pStyle w:val="Bodytext20"/>
        <w:numPr>
          <w:ilvl w:val="0"/>
          <w:numId w:val="8"/>
        </w:numPr>
        <w:shd w:val="clear" w:color="auto" w:fill="auto"/>
        <w:tabs>
          <w:tab w:val="left" w:pos="1331"/>
        </w:tabs>
        <w:spacing w:before="0" w:line="350" w:lineRule="exact"/>
        <w:ind w:left="980" w:firstLine="0"/>
        <w:rPr>
          <w:noProof/>
        </w:rPr>
      </w:pPr>
      <w:r>
        <w:rPr>
          <w:noProof/>
        </w:rPr>
        <w:t>2024 à 2028: 60 %</w:t>
      </w:r>
    </w:p>
    <w:p w:rsidR="008C2383" w:rsidRDefault="00CE7645">
      <w:pPr>
        <w:pStyle w:val="Bodytext20"/>
        <w:numPr>
          <w:ilvl w:val="0"/>
          <w:numId w:val="8"/>
        </w:numPr>
        <w:shd w:val="clear" w:color="auto" w:fill="auto"/>
        <w:tabs>
          <w:tab w:val="left" w:pos="1331"/>
        </w:tabs>
        <w:spacing w:before="0" w:line="350" w:lineRule="exact"/>
        <w:ind w:left="980" w:firstLine="0"/>
        <w:rPr>
          <w:noProof/>
        </w:rPr>
      </w:pPr>
      <w:r>
        <w:rPr>
          <w:noProof/>
        </w:rPr>
        <w:t>2029 à 2033: 30 %</w:t>
      </w:r>
    </w:p>
    <w:p w:rsidR="008C2383" w:rsidRDefault="00CE7645">
      <w:pPr>
        <w:pStyle w:val="Bodytext20"/>
        <w:numPr>
          <w:ilvl w:val="0"/>
          <w:numId w:val="8"/>
        </w:numPr>
        <w:shd w:val="clear" w:color="auto" w:fill="auto"/>
        <w:tabs>
          <w:tab w:val="left" w:pos="1331"/>
        </w:tabs>
        <w:spacing w:before="0" w:line="350" w:lineRule="exact"/>
        <w:ind w:left="980" w:firstLine="0"/>
        <w:rPr>
          <w:noProof/>
        </w:rPr>
      </w:pPr>
      <w:r>
        <w:rPr>
          <w:noProof/>
        </w:rPr>
        <w:t>2034 à 2035: 20 %</w:t>
      </w:r>
    </w:p>
    <w:p w:rsidR="008C2383" w:rsidRDefault="00CE7645">
      <w:pPr>
        <w:pStyle w:val="Bodytext20"/>
        <w:numPr>
          <w:ilvl w:val="0"/>
          <w:numId w:val="8"/>
        </w:numPr>
        <w:shd w:val="clear" w:color="auto" w:fill="auto"/>
        <w:tabs>
          <w:tab w:val="left" w:pos="1331"/>
        </w:tabs>
        <w:spacing w:before="0" w:line="350" w:lineRule="exact"/>
        <w:ind w:left="980" w:firstLine="0"/>
        <w:rPr>
          <w:noProof/>
        </w:rPr>
      </w:pPr>
      <w:r>
        <w:rPr>
          <w:noProof/>
        </w:rPr>
        <w:t>2036 et au-delà: 15 %</w:t>
      </w:r>
    </w:p>
    <w:p w:rsidR="008C2383" w:rsidRDefault="00CE7645">
      <w:pPr>
        <w:pStyle w:val="Bodytext20"/>
        <w:numPr>
          <w:ilvl w:val="0"/>
          <w:numId w:val="1"/>
        </w:numPr>
        <w:shd w:val="clear" w:color="auto" w:fill="auto"/>
        <w:tabs>
          <w:tab w:val="left" w:pos="968"/>
        </w:tabs>
        <w:spacing w:before="0" w:after="24"/>
        <w:ind w:left="980" w:hanging="380"/>
        <w:rPr>
          <w:noProof/>
        </w:rPr>
      </w:pPr>
      <w:r>
        <w:rPr>
          <w:noProof/>
        </w:rPr>
        <w:t>Nonobstant le paragraphe 1 du présent article, les Parties</w:t>
      </w:r>
      <w:r>
        <w:rPr>
          <w:noProof/>
        </w:rPr>
        <w:t xml:space="preserve"> peuvent décider qu’une Partie veille à ce que, pendant la période de douze mois commençant le 1</w:t>
      </w:r>
      <w:r>
        <w:rPr>
          <w:noProof/>
          <w:vertAlign w:val="superscript"/>
        </w:rPr>
        <w:t>er</w:t>
      </w:r>
      <w:r>
        <w:rPr>
          <w:noProof/>
        </w:rPr>
        <w:t> janvier 2020, et ensuite pendant chaque période de douze mois, son niveau calculé de consommation des substances réglementées de l’Annexe F, exprimé en équiv</w:t>
      </w:r>
      <w:r>
        <w:rPr>
          <w:noProof/>
        </w:rPr>
        <w:t>alent CO</w:t>
      </w:r>
      <w:r>
        <w:rPr>
          <w:noProof/>
          <w:vertAlign w:val="subscript"/>
        </w:rPr>
        <w:t>2</w:t>
      </w:r>
      <w:r>
        <w:rPr>
          <w:noProof/>
        </w:rPr>
        <w:t>, ne dépasse pas le pourcentage, indiqué pour les années spécifiées ci-après aux alinéas a) à e), de la moyenne annuelle de ses niveaux calculés de consommation des substances réglementées de l’Annexe F pour les années 2011, 2012 et 2013, plus 25 </w:t>
      </w:r>
      <w:r>
        <w:rPr>
          <w:noProof/>
        </w:rPr>
        <w:t>% de son niveau calculé de consommation des substances réglementées du groupe I de l’Annexe C, comme indiqué au paragraphe 1 de l’article 2F, exprimé en équivalent CO</w:t>
      </w:r>
      <w:r>
        <w:rPr>
          <w:noProof/>
          <w:vertAlign w:val="subscript"/>
        </w:rPr>
        <w:t>2</w:t>
      </w:r>
      <w:r>
        <w:rPr>
          <w:noProof/>
        </w:rPr>
        <w:t>:</w:t>
      </w:r>
    </w:p>
    <w:p w:rsidR="008C2383" w:rsidRDefault="00CE7645">
      <w:pPr>
        <w:pStyle w:val="Bodytext20"/>
        <w:numPr>
          <w:ilvl w:val="0"/>
          <w:numId w:val="3"/>
        </w:numPr>
        <w:shd w:val="clear" w:color="auto" w:fill="auto"/>
        <w:tabs>
          <w:tab w:val="left" w:pos="1322"/>
        </w:tabs>
        <w:spacing w:before="0" w:line="350" w:lineRule="exact"/>
        <w:ind w:left="980" w:firstLine="0"/>
        <w:rPr>
          <w:noProof/>
        </w:rPr>
      </w:pPr>
      <w:r>
        <w:rPr>
          <w:noProof/>
        </w:rPr>
        <w:t>2020 à 2024: 95 %</w:t>
      </w:r>
    </w:p>
    <w:p w:rsidR="008C2383" w:rsidRDefault="00CE7645">
      <w:pPr>
        <w:pStyle w:val="Bodytext20"/>
        <w:numPr>
          <w:ilvl w:val="0"/>
          <w:numId w:val="3"/>
        </w:numPr>
        <w:shd w:val="clear" w:color="auto" w:fill="auto"/>
        <w:tabs>
          <w:tab w:val="left" w:pos="1331"/>
        </w:tabs>
        <w:spacing w:before="0" w:line="350" w:lineRule="exact"/>
        <w:ind w:left="980" w:firstLine="0"/>
        <w:rPr>
          <w:noProof/>
        </w:rPr>
      </w:pPr>
      <w:r>
        <w:rPr>
          <w:noProof/>
        </w:rPr>
        <w:t>2025 à 2028: 65 %</w:t>
      </w:r>
    </w:p>
    <w:p w:rsidR="008C2383" w:rsidRDefault="00CE7645">
      <w:pPr>
        <w:pStyle w:val="Bodytext20"/>
        <w:numPr>
          <w:ilvl w:val="0"/>
          <w:numId w:val="3"/>
        </w:numPr>
        <w:shd w:val="clear" w:color="auto" w:fill="auto"/>
        <w:tabs>
          <w:tab w:val="left" w:pos="1331"/>
        </w:tabs>
        <w:spacing w:before="0" w:line="350" w:lineRule="exact"/>
        <w:ind w:left="980" w:firstLine="0"/>
        <w:rPr>
          <w:noProof/>
        </w:rPr>
      </w:pPr>
      <w:r>
        <w:rPr>
          <w:noProof/>
        </w:rPr>
        <w:t>2029 à 2033: 30 %</w:t>
      </w:r>
    </w:p>
    <w:p w:rsidR="008C2383" w:rsidRDefault="00CE7645">
      <w:pPr>
        <w:pStyle w:val="Bodytext20"/>
        <w:numPr>
          <w:ilvl w:val="0"/>
          <w:numId w:val="3"/>
        </w:numPr>
        <w:shd w:val="clear" w:color="auto" w:fill="auto"/>
        <w:tabs>
          <w:tab w:val="left" w:pos="1331"/>
        </w:tabs>
        <w:spacing w:before="0" w:line="350" w:lineRule="exact"/>
        <w:ind w:left="980" w:firstLine="0"/>
        <w:rPr>
          <w:noProof/>
        </w:rPr>
      </w:pPr>
      <w:r>
        <w:rPr>
          <w:noProof/>
        </w:rPr>
        <w:t>2034 à 2035: 20 %</w:t>
      </w:r>
    </w:p>
    <w:p w:rsidR="008C2383" w:rsidRDefault="00CE7645">
      <w:pPr>
        <w:pStyle w:val="Bodytext20"/>
        <w:numPr>
          <w:ilvl w:val="0"/>
          <w:numId w:val="3"/>
        </w:numPr>
        <w:shd w:val="clear" w:color="auto" w:fill="auto"/>
        <w:tabs>
          <w:tab w:val="left" w:pos="1331"/>
        </w:tabs>
        <w:spacing w:before="0" w:line="350" w:lineRule="exact"/>
        <w:ind w:left="980" w:firstLine="0"/>
        <w:rPr>
          <w:noProof/>
        </w:rPr>
      </w:pPr>
      <w:r>
        <w:rPr>
          <w:noProof/>
        </w:rPr>
        <w:t>2036 et au-delà</w:t>
      </w:r>
      <w:r>
        <w:rPr>
          <w:noProof/>
        </w:rPr>
        <w:t>: 15 %</w:t>
      </w:r>
    </w:p>
    <w:p w:rsidR="008C2383" w:rsidRDefault="00CE7645">
      <w:pPr>
        <w:pStyle w:val="Bodytext20"/>
        <w:numPr>
          <w:ilvl w:val="0"/>
          <w:numId w:val="1"/>
        </w:numPr>
        <w:shd w:val="clear" w:color="auto" w:fill="auto"/>
        <w:tabs>
          <w:tab w:val="left" w:pos="968"/>
        </w:tabs>
        <w:spacing w:before="0" w:after="20" w:line="226" w:lineRule="exact"/>
        <w:ind w:left="980" w:hanging="380"/>
        <w:rPr>
          <w:noProof/>
        </w:rPr>
      </w:pPr>
      <w:r>
        <w:rPr>
          <w:noProof/>
        </w:rPr>
        <w:t>Chaque Partie produisant des substances réglementées de l’Annexe F veille à ce que, pendant la période de douze mois commençant le 1</w:t>
      </w:r>
      <w:r>
        <w:rPr>
          <w:noProof/>
          <w:vertAlign w:val="superscript"/>
        </w:rPr>
        <w:t>er</w:t>
      </w:r>
      <w:r>
        <w:rPr>
          <w:noProof/>
        </w:rPr>
        <w:t xml:space="preserve"> janvier 2019, et ensuite pendant chaque période de douze mois, son niveau calculé de production des substances </w:t>
      </w:r>
      <w:r>
        <w:rPr>
          <w:noProof/>
        </w:rPr>
        <w:t>réglementées de l’Annexe F, exprimé en équivalent CO</w:t>
      </w:r>
      <w:r>
        <w:rPr>
          <w:noProof/>
          <w:vertAlign w:val="subscript"/>
        </w:rPr>
        <w:t>2</w:t>
      </w:r>
      <w:r>
        <w:rPr>
          <w:noProof/>
        </w:rPr>
        <w:t>, ne dépasse pas le pourcentage, indiqué pour les années spécifiées ci-après aux alinéas a) à e), de la moyenne annuelle de ses niveaux calculés de production des substances réglementées de l’Annexe F po</w:t>
      </w:r>
      <w:r>
        <w:rPr>
          <w:noProof/>
        </w:rPr>
        <w:t>ur les années 2011, 2012 et 2013, plus 15 % de son niveau calculé de production des substances réglementées du groupe I de l’Annexe C, comme indiqué au paragraphe 2 de l’article 2F, exprimé en équivalent CO</w:t>
      </w:r>
      <w:r>
        <w:rPr>
          <w:noProof/>
          <w:vertAlign w:val="subscript"/>
        </w:rPr>
        <w:t>2</w:t>
      </w:r>
      <w:r>
        <w:rPr>
          <w:noProof/>
        </w:rPr>
        <w:t>:</w:t>
      </w:r>
    </w:p>
    <w:p w:rsidR="008C2383" w:rsidRDefault="00CE7645">
      <w:pPr>
        <w:pStyle w:val="Bodytext20"/>
        <w:numPr>
          <w:ilvl w:val="0"/>
          <w:numId w:val="4"/>
        </w:numPr>
        <w:shd w:val="clear" w:color="auto" w:fill="auto"/>
        <w:tabs>
          <w:tab w:val="left" w:pos="1322"/>
        </w:tabs>
        <w:spacing w:before="0" w:line="350" w:lineRule="exact"/>
        <w:ind w:left="980" w:firstLine="0"/>
        <w:rPr>
          <w:noProof/>
        </w:rPr>
      </w:pPr>
      <w:r>
        <w:rPr>
          <w:noProof/>
        </w:rPr>
        <w:t>2019 à 2023: 90 %</w:t>
      </w:r>
    </w:p>
    <w:p w:rsidR="008C2383" w:rsidRDefault="00CE7645">
      <w:pPr>
        <w:pStyle w:val="Bodytext20"/>
        <w:numPr>
          <w:ilvl w:val="0"/>
          <w:numId w:val="4"/>
        </w:numPr>
        <w:shd w:val="clear" w:color="auto" w:fill="auto"/>
        <w:tabs>
          <w:tab w:val="left" w:pos="1331"/>
        </w:tabs>
        <w:spacing w:before="0" w:line="350" w:lineRule="exact"/>
        <w:ind w:left="980" w:firstLine="0"/>
        <w:rPr>
          <w:noProof/>
        </w:rPr>
      </w:pPr>
      <w:r>
        <w:rPr>
          <w:noProof/>
        </w:rPr>
        <w:t>2024 à 2028: 60 %</w:t>
      </w:r>
    </w:p>
    <w:p w:rsidR="008C2383" w:rsidRDefault="00CE7645">
      <w:pPr>
        <w:pStyle w:val="Bodytext20"/>
        <w:numPr>
          <w:ilvl w:val="0"/>
          <w:numId w:val="4"/>
        </w:numPr>
        <w:shd w:val="clear" w:color="auto" w:fill="auto"/>
        <w:tabs>
          <w:tab w:val="left" w:pos="1331"/>
        </w:tabs>
        <w:spacing w:before="0" w:line="350" w:lineRule="exact"/>
        <w:ind w:left="980" w:firstLine="0"/>
        <w:rPr>
          <w:noProof/>
        </w:rPr>
      </w:pPr>
      <w:r>
        <w:rPr>
          <w:noProof/>
        </w:rPr>
        <w:t>2029 à 2033</w:t>
      </w:r>
      <w:r>
        <w:rPr>
          <w:noProof/>
        </w:rPr>
        <w:t>: 30 %</w:t>
      </w:r>
    </w:p>
    <w:p w:rsidR="008C2383" w:rsidRDefault="00CE7645">
      <w:pPr>
        <w:pStyle w:val="Bodytext20"/>
        <w:numPr>
          <w:ilvl w:val="0"/>
          <w:numId w:val="4"/>
        </w:numPr>
        <w:shd w:val="clear" w:color="auto" w:fill="auto"/>
        <w:tabs>
          <w:tab w:val="left" w:pos="1331"/>
        </w:tabs>
        <w:spacing w:before="0" w:line="350" w:lineRule="exact"/>
        <w:ind w:left="980" w:firstLine="0"/>
        <w:rPr>
          <w:noProof/>
        </w:rPr>
      </w:pPr>
      <w:r>
        <w:rPr>
          <w:noProof/>
        </w:rPr>
        <w:t>2034 à 2035: 20 %</w:t>
      </w:r>
    </w:p>
    <w:p w:rsidR="008C2383" w:rsidRDefault="00CE7645">
      <w:pPr>
        <w:pStyle w:val="Bodytext20"/>
        <w:numPr>
          <w:ilvl w:val="0"/>
          <w:numId w:val="4"/>
        </w:numPr>
        <w:shd w:val="clear" w:color="auto" w:fill="auto"/>
        <w:tabs>
          <w:tab w:val="left" w:pos="1331"/>
        </w:tabs>
        <w:spacing w:before="0" w:line="350" w:lineRule="exact"/>
        <w:ind w:left="980" w:firstLine="0"/>
        <w:rPr>
          <w:noProof/>
        </w:rPr>
      </w:pPr>
      <w:r>
        <w:rPr>
          <w:noProof/>
        </w:rPr>
        <w:t>2036 et au-delà: 15 %</w:t>
      </w:r>
    </w:p>
    <w:p w:rsidR="008C2383" w:rsidRDefault="00CE7645">
      <w:pPr>
        <w:pStyle w:val="Bodytext20"/>
        <w:numPr>
          <w:ilvl w:val="0"/>
          <w:numId w:val="1"/>
        </w:numPr>
        <w:shd w:val="clear" w:color="auto" w:fill="auto"/>
        <w:tabs>
          <w:tab w:val="left" w:pos="968"/>
        </w:tabs>
        <w:spacing w:before="0" w:after="20" w:line="226" w:lineRule="exact"/>
        <w:ind w:left="980" w:hanging="380"/>
        <w:rPr>
          <w:noProof/>
        </w:rPr>
      </w:pPr>
      <w:r>
        <w:rPr>
          <w:noProof/>
        </w:rPr>
        <w:t>Nonobstant le paragraphe 3 du présent article, les Parties peuvent décider qu’une Partie produisant des substances réglementées de l’Annexe F veille à ce que, pendant la période de douze mois commençant le 1</w:t>
      </w:r>
      <w:r>
        <w:rPr>
          <w:noProof/>
          <w:vertAlign w:val="superscript"/>
        </w:rPr>
        <w:t>er</w:t>
      </w:r>
      <w:r>
        <w:rPr>
          <w:noProof/>
        </w:rPr>
        <w:t> janvier 2020, et ensuite pendant chaque période de douze mois, son niveau calculé de production des substances réglementées de l’Annexe F, exprimé en équivalent CO</w:t>
      </w:r>
      <w:r>
        <w:rPr>
          <w:noProof/>
          <w:vertAlign w:val="subscript"/>
        </w:rPr>
        <w:t>2</w:t>
      </w:r>
      <w:r>
        <w:rPr>
          <w:noProof/>
        </w:rPr>
        <w:t>, ne dépasse pas le pourcentage, indiqué pour les années spécifiées ci-après aux alinéas a)</w:t>
      </w:r>
      <w:r>
        <w:rPr>
          <w:noProof/>
        </w:rPr>
        <w:t xml:space="preserve"> à e), de la moyenne annuelle de ses niveaux calculés de production des substances réglementées de l’Annexe F pour les années 2011, 2012 et 2013, plus 25 % de son niveau calculé de production des substances réglementées du groupe I de l’Annexe C, comme ind</w:t>
      </w:r>
      <w:r>
        <w:rPr>
          <w:noProof/>
        </w:rPr>
        <w:t>iqué au paragraphe 2 de l’article 2F, exprimé en équivalent CO</w:t>
      </w:r>
      <w:r>
        <w:rPr>
          <w:noProof/>
          <w:vertAlign w:val="subscript"/>
        </w:rPr>
        <w:t>2</w:t>
      </w:r>
      <w:r>
        <w:rPr>
          <w:noProof/>
        </w:rPr>
        <w:t>:</w:t>
      </w:r>
    </w:p>
    <w:p w:rsidR="008C2383" w:rsidRDefault="00CE7645">
      <w:pPr>
        <w:pStyle w:val="Bodytext20"/>
        <w:numPr>
          <w:ilvl w:val="0"/>
          <w:numId w:val="5"/>
        </w:numPr>
        <w:shd w:val="clear" w:color="auto" w:fill="auto"/>
        <w:tabs>
          <w:tab w:val="left" w:pos="1322"/>
        </w:tabs>
        <w:spacing w:before="0" w:line="350" w:lineRule="exact"/>
        <w:ind w:left="980" w:firstLine="0"/>
        <w:rPr>
          <w:noProof/>
        </w:rPr>
      </w:pPr>
      <w:r>
        <w:rPr>
          <w:noProof/>
        </w:rPr>
        <w:t>2020 à 2024: 95 %</w:t>
      </w:r>
    </w:p>
    <w:p w:rsidR="008C2383" w:rsidRDefault="00CE7645">
      <w:pPr>
        <w:pStyle w:val="Bodytext20"/>
        <w:numPr>
          <w:ilvl w:val="0"/>
          <w:numId w:val="5"/>
        </w:numPr>
        <w:shd w:val="clear" w:color="auto" w:fill="auto"/>
        <w:tabs>
          <w:tab w:val="left" w:pos="1331"/>
        </w:tabs>
        <w:spacing w:before="0" w:line="350" w:lineRule="exact"/>
        <w:ind w:left="980" w:firstLine="0"/>
        <w:rPr>
          <w:noProof/>
        </w:rPr>
      </w:pPr>
      <w:r>
        <w:rPr>
          <w:noProof/>
        </w:rPr>
        <w:t>2025 à 2028: 65 %</w:t>
      </w:r>
    </w:p>
    <w:p w:rsidR="008C2383" w:rsidRDefault="00CE7645">
      <w:pPr>
        <w:pStyle w:val="Bodytext20"/>
        <w:numPr>
          <w:ilvl w:val="0"/>
          <w:numId w:val="5"/>
        </w:numPr>
        <w:shd w:val="clear" w:color="auto" w:fill="auto"/>
        <w:tabs>
          <w:tab w:val="left" w:pos="1331"/>
        </w:tabs>
        <w:spacing w:before="0" w:line="350" w:lineRule="exact"/>
        <w:ind w:left="980" w:firstLine="0"/>
        <w:rPr>
          <w:noProof/>
        </w:rPr>
      </w:pPr>
      <w:r>
        <w:rPr>
          <w:noProof/>
        </w:rPr>
        <w:t>2029 à 2033: 30 %</w:t>
      </w:r>
    </w:p>
    <w:p w:rsidR="008C2383" w:rsidRDefault="00CE7645">
      <w:pPr>
        <w:pStyle w:val="Bodytext20"/>
        <w:numPr>
          <w:ilvl w:val="0"/>
          <w:numId w:val="5"/>
        </w:numPr>
        <w:shd w:val="clear" w:color="auto" w:fill="auto"/>
        <w:tabs>
          <w:tab w:val="left" w:pos="1331"/>
        </w:tabs>
        <w:spacing w:before="0" w:line="350" w:lineRule="exact"/>
        <w:ind w:left="980" w:firstLine="0"/>
        <w:rPr>
          <w:noProof/>
        </w:rPr>
      </w:pPr>
      <w:r>
        <w:rPr>
          <w:noProof/>
        </w:rPr>
        <w:t>2034 à 2035: 20 %</w:t>
      </w:r>
    </w:p>
    <w:p w:rsidR="008C2383" w:rsidRDefault="00CE7645">
      <w:pPr>
        <w:pStyle w:val="Bodytext20"/>
        <w:numPr>
          <w:ilvl w:val="0"/>
          <w:numId w:val="5"/>
        </w:numPr>
        <w:shd w:val="clear" w:color="auto" w:fill="auto"/>
        <w:tabs>
          <w:tab w:val="left" w:pos="1331"/>
        </w:tabs>
        <w:spacing w:before="0" w:line="350" w:lineRule="exact"/>
        <w:ind w:left="980" w:firstLine="0"/>
        <w:rPr>
          <w:noProof/>
        </w:rPr>
      </w:pPr>
      <w:r>
        <w:rPr>
          <w:noProof/>
        </w:rPr>
        <w:t>2036 et au-delà: 15 %</w:t>
      </w:r>
    </w:p>
    <w:p w:rsidR="008C2383" w:rsidRDefault="00CE7645">
      <w:pPr>
        <w:pStyle w:val="Bodytext20"/>
        <w:numPr>
          <w:ilvl w:val="0"/>
          <w:numId w:val="1"/>
        </w:numPr>
        <w:shd w:val="clear" w:color="auto" w:fill="auto"/>
        <w:tabs>
          <w:tab w:val="left" w:pos="1028"/>
        </w:tabs>
        <w:spacing w:before="0" w:after="120"/>
        <w:ind w:left="980" w:hanging="320"/>
        <w:rPr>
          <w:noProof/>
        </w:rPr>
      </w:pPr>
      <w:r>
        <w:rPr>
          <w:noProof/>
        </w:rPr>
        <w:t>Les paragraphes 1 à 4 du présent article s’appliquent sauf si les Parties décident d’autoriser le</w:t>
      </w:r>
      <w:r>
        <w:rPr>
          <w:noProof/>
        </w:rPr>
        <w:t xml:space="preserve"> niveau de production ou de consommation nécessaire pour satisfaire aux utilisations dont elles conviennent au titre de dérogations.</w:t>
      </w:r>
    </w:p>
    <w:p w:rsidR="008C2383" w:rsidRDefault="00CE7645">
      <w:pPr>
        <w:pStyle w:val="Bodytext20"/>
        <w:numPr>
          <w:ilvl w:val="0"/>
          <w:numId w:val="1"/>
        </w:numPr>
        <w:shd w:val="clear" w:color="auto" w:fill="auto"/>
        <w:tabs>
          <w:tab w:val="left" w:pos="1028"/>
        </w:tabs>
        <w:spacing w:before="0" w:after="120"/>
        <w:ind w:left="980" w:hanging="320"/>
        <w:rPr>
          <w:noProof/>
        </w:rPr>
      </w:pPr>
      <w:r>
        <w:rPr>
          <w:noProof/>
        </w:rPr>
        <w:t>Chaque Partie qui fabrique des substances du groupe I de l’Annexe C ou des substances de l’Annexe F veille à ce que, pendan</w:t>
      </w:r>
      <w:r>
        <w:rPr>
          <w:noProof/>
        </w:rPr>
        <w:t>t la période de douze mois commençant le 1</w:t>
      </w:r>
      <w:r>
        <w:rPr>
          <w:noProof/>
          <w:vertAlign w:val="superscript"/>
        </w:rPr>
        <w:t>er</w:t>
      </w:r>
      <w:r>
        <w:rPr>
          <w:noProof/>
        </w:rPr>
        <w:t> janvier 2020, et ensuite pendant chaque période de douze mois, ses émissions de substances du groupe II de l’Annexe F engendrées par les installations produisant des substances du groupe I de l’Annexe C ou des s</w:t>
      </w:r>
      <w:r>
        <w:rPr>
          <w:noProof/>
        </w:rPr>
        <w:t>ubstances de l’Annexe F sont détruites dans la mesure du possible au moyen de technologies approuvées par les Parties au cours de la même période de douze mois.</w:t>
      </w:r>
    </w:p>
    <w:p w:rsidR="008C2383" w:rsidRDefault="00CE7645">
      <w:pPr>
        <w:pStyle w:val="Bodytext20"/>
        <w:numPr>
          <w:ilvl w:val="0"/>
          <w:numId w:val="1"/>
        </w:numPr>
        <w:shd w:val="clear" w:color="auto" w:fill="auto"/>
        <w:tabs>
          <w:tab w:val="left" w:pos="1028"/>
        </w:tabs>
        <w:spacing w:before="0" w:after="127"/>
        <w:ind w:left="980" w:hanging="320"/>
        <w:rPr>
          <w:noProof/>
        </w:rPr>
      </w:pPr>
      <w:r>
        <w:rPr>
          <w:noProof/>
        </w:rPr>
        <w:t>Chaque Partie veille à ce que la destruction des substances du groupe II de l’Annexe F engendré</w:t>
      </w:r>
      <w:r>
        <w:rPr>
          <w:noProof/>
        </w:rPr>
        <w:t>es par les installations produisant des substances du groupe I de l’Annexe C ou de l’Annexe F ne s’opère qu’au moyen de technologies approuvées par les Parties.</w:t>
      </w:r>
    </w:p>
    <w:p w:rsidR="008C2383" w:rsidRDefault="00CE7645">
      <w:pPr>
        <w:pStyle w:val="Bodytext40"/>
        <w:shd w:val="clear" w:color="auto" w:fill="auto"/>
        <w:spacing w:after="120" w:line="222" w:lineRule="exact"/>
        <w:jc w:val="left"/>
        <w:rPr>
          <w:noProof/>
        </w:rPr>
      </w:pPr>
      <w:r>
        <w:rPr>
          <w:noProof/>
        </w:rPr>
        <w:t>Article 3</w:t>
      </w:r>
    </w:p>
    <w:p w:rsidR="008C2383" w:rsidRDefault="00CE7645">
      <w:pPr>
        <w:pStyle w:val="Bodytext20"/>
        <w:shd w:val="clear" w:color="auto" w:fill="auto"/>
        <w:spacing w:before="0" w:after="113" w:line="222" w:lineRule="exact"/>
        <w:ind w:left="660" w:firstLine="0"/>
        <w:rPr>
          <w:noProof/>
        </w:rPr>
      </w:pPr>
      <w:r>
        <w:rPr>
          <w:noProof/>
        </w:rPr>
        <w:t>Le préambule de l’article 3 du Protocole est remplacé par le texte qui suit:</w:t>
      </w:r>
    </w:p>
    <w:p w:rsidR="008C2383" w:rsidRDefault="00CE7645">
      <w:pPr>
        <w:pStyle w:val="Bodytext20"/>
        <w:shd w:val="clear" w:color="auto" w:fill="auto"/>
        <w:spacing w:before="0" w:after="74"/>
        <w:ind w:left="660" w:firstLine="0"/>
        <w:rPr>
          <w:noProof/>
        </w:rPr>
      </w:pPr>
      <w:r>
        <w:rPr>
          <w:noProof/>
        </w:rPr>
        <w:t xml:space="preserve">«1. Aux </w:t>
      </w:r>
      <w:r>
        <w:rPr>
          <w:noProof/>
        </w:rPr>
        <w:t>fins des articles 2, 2A à 2J et 5, chaque Partie détermine, pour chacun des groupes de substances des Annexes A, B, C, E ou F, les niveaux calculés:»</w:t>
      </w:r>
    </w:p>
    <w:p w:rsidR="008C2383" w:rsidRDefault="00CE7645">
      <w:pPr>
        <w:pStyle w:val="Bodytext20"/>
        <w:shd w:val="clear" w:color="auto" w:fill="auto"/>
        <w:spacing w:before="0" w:after="173" w:line="288" w:lineRule="exact"/>
        <w:ind w:left="660" w:firstLine="0"/>
        <w:rPr>
          <w:noProof/>
        </w:rPr>
      </w:pPr>
      <w:r>
        <w:rPr>
          <w:noProof/>
        </w:rPr>
        <w:t>À la fin de l’alinéa a) i) de l’article 3 du Protocole, ajouter:</w:t>
      </w:r>
    </w:p>
    <w:p w:rsidR="008C2383" w:rsidRDefault="00CE7645">
      <w:pPr>
        <w:pStyle w:val="Bodytext20"/>
        <w:shd w:val="clear" w:color="auto" w:fill="auto"/>
        <w:spacing w:before="0" w:after="120" w:line="222" w:lineRule="exact"/>
        <w:ind w:left="660" w:firstLine="0"/>
        <w:rPr>
          <w:noProof/>
        </w:rPr>
      </w:pPr>
      <w:r>
        <w:rPr>
          <w:noProof/>
        </w:rPr>
        <w:t>«, sauf comme spécifié au paragraphe 2;»</w:t>
      </w:r>
    </w:p>
    <w:p w:rsidR="008C2383" w:rsidRDefault="00CE7645">
      <w:pPr>
        <w:pStyle w:val="Bodytext20"/>
        <w:shd w:val="clear" w:color="auto" w:fill="auto"/>
        <w:spacing w:before="0" w:after="120" w:line="222" w:lineRule="exact"/>
        <w:ind w:left="660" w:firstLine="0"/>
        <w:rPr>
          <w:noProof/>
        </w:rPr>
      </w:pPr>
      <w:r>
        <w:rPr>
          <w:noProof/>
        </w:rPr>
        <w:t>Le texte suivant est ajouté à la fin de l’article 3 du Protocole:</w:t>
      </w:r>
    </w:p>
    <w:p w:rsidR="008C2383" w:rsidRDefault="00CE7645">
      <w:pPr>
        <w:pStyle w:val="Bodytext20"/>
        <w:shd w:val="clear" w:color="auto" w:fill="auto"/>
        <w:spacing w:before="0" w:after="113" w:line="222" w:lineRule="exact"/>
        <w:ind w:left="660" w:firstLine="0"/>
        <w:rPr>
          <w:noProof/>
        </w:rPr>
      </w:pPr>
      <w:r>
        <w:rPr>
          <w:noProof/>
        </w:rPr>
        <w:t>«; et</w:t>
      </w:r>
    </w:p>
    <w:p w:rsidR="008C2383" w:rsidRDefault="00CE7645">
      <w:pPr>
        <w:pStyle w:val="Bodytext20"/>
        <w:shd w:val="clear" w:color="auto" w:fill="auto"/>
        <w:spacing w:before="0" w:after="124"/>
        <w:ind w:left="660" w:firstLine="0"/>
        <w:rPr>
          <w:noProof/>
        </w:rPr>
      </w:pPr>
      <w:r>
        <w:rPr>
          <w:noProof/>
        </w:rPr>
        <w:t>d) des émissions de substances du groupe II de l’Annexe F engendrées par chaque installation de production de substances du groupe I de l’Annexe C ou de substances de l’Annexe F, en in</w:t>
      </w:r>
      <w:r>
        <w:rPr>
          <w:noProof/>
        </w:rPr>
        <w:t>cluant les émissions provenant de fuites éventuelles des équipements, des conduites d’évacuation et des dispositifs de destruction, et en excluant les émissions captées aux fins d’utilisation, de destruction ou de stockage.</w:t>
      </w:r>
    </w:p>
    <w:p w:rsidR="008C2383" w:rsidRDefault="00CE7645">
      <w:pPr>
        <w:pStyle w:val="Bodytext20"/>
        <w:shd w:val="clear" w:color="auto" w:fill="auto"/>
        <w:spacing w:before="0" w:after="123" w:line="226" w:lineRule="exact"/>
        <w:ind w:left="660" w:firstLine="0"/>
        <w:rPr>
          <w:noProof/>
        </w:rPr>
      </w:pPr>
      <w:r>
        <w:rPr>
          <w:noProof/>
        </w:rPr>
        <w:t>2. Lorsqu’elle calcule ses nivea</w:t>
      </w:r>
      <w:r>
        <w:rPr>
          <w:noProof/>
        </w:rPr>
        <w:t>ux, exprimés en équivalent CO</w:t>
      </w:r>
      <w:r>
        <w:rPr>
          <w:noProof/>
          <w:vertAlign w:val="subscript"/>
        </w:rPr>
        <w:t>2</w:t>
      </w:r>
      <w:r>
        <w:rPr>
          <w:noProof/>
        </w:rPr>
        <w:t>, de production, de consommation, d’importation, d’exportation et d’émission de substances de l’Annexe F et du groupe I de l’Annexe C aux fins de l’article 2J, du paragraphe 5 </w:t>
      </w:r>
      <w:r>
        <w:rPr>
          <w:i/>
          <w:noProof/>
        </w:rPr>
        <w:t>bis</w:t>
      </w:r>
      <w:r>
        <w:rPr>
          <w:noProof/>
        </w:rPr>
        <w:t xml:space="preserve"> de l’article 2 et du paragraphe 1 d) de l’arti</w:t>
      </w:r>
      <w:r>
        <w:rPr>
          <w:noProof/>
        </w:rPr>
        <w:t>cle 3, chaque Partie utilise les potentiels de réchauffement global de ces substances spécifiées à l’Annexe A, groupe I, à l’Annexe C et à l’Annexe F.»</w:t>
      </w:r>
    </w:p>
    <w:p w:rsidR="008C2383" w:rsidRDefault="00CE7645">
      <w:pPr>
        <w:pStyle w:val="Bodytext40"/>
        <w:shd w:val="clear" w:color="auto" w:fill="auto"/>
        <w:spacing w:after="120" w:line="222" w:lineRule="exact"/>
        <w:jc w:val="left"/>
        <w:rPr>
          <w:noProof/>
        </w:rPr>
      </w:pPr>
      <w:r>
        <w:rPr>
          <w:noProof/>
        </w:rPr>
        <w:t>Article 4, paragraphe 1 sept</w:t>
      </w:r>
    </w:p>
    <w:p w:rsidR="008C2383" w:rsidRDefault="00CE7645">
      <w:pPr>
        <w:pStyle w:val="Bodytext20"/>
        <w:shd w:val="clear" w:color="auto" w:fill="auto"/>
        <w:spacing w:before="0" w:after="113" w:line="222" w:lineRule="exact"/>
        <w:ind w:left="660" w:firstLine="0"/>
        <w:rPr>
          <w:noProof/>
        </w:rPr>
      </w:pPr>
      <w:r>
        <w:rPr>
          <w:noProof/>
        </w:rPr>
        <w:t xml:space="preserve">Le paragraphe suivant est ajouté à la suite du paragraphe 1 </w:t>
      </w:r>
      <w:r>
        <w:rPr>
          <w:i/>
          <w:noProof/>
        </w:rPr>
        <w:t>sex</w:t>
      </w:r>
      <w:r>
        <w:rPr>
          <w:noProof/>
        </w:rPr>
        <w:t xml:space="preserve"> de l’articl</w:t>
      </w:r>
      <w:r>
        <w:rPr>
          <w:noProof/>
        </w:rPr>
        <w:t>e 4 du Protocole:</w:t>
      </w:r>
    </w:p>
    <w:p w:rsidR="008C2383" w:rsidRDefault="00CE7645">
      <w:pPr>
        <w:pStyle w:val="Bodytext20"/>
        <w:shd w:val="clear" w:color="auto" w:fill="auto"/>
        <w:spacing w:before="0" w:after="127"/>
        <w:ind w:left="660" w:firstLine="0"/>
        <w:rPr>
          <w:noProof/>
        </w:rPr>
      </w:pPr>
      <w:r>
        <w:rPr>
          <w:noProof/>
        </w:rPr>
        <w:t xml:space="preserve">«1 </w:t>
      </w:r>
      <w:r>
        <w:rPr>
          <w:i/>
          <w:noProof/>
        </w:rPr>
        <w:t>sept</w:t>
      </w:r>
      <w:r>
        <w:rPr>
          <w:noProof/>
        </w:rPr>
        <w:t>. Dès l’entrée en vigueur du présent paragraphe, chaque Partie interdit l’importation des substances réglementées de l’Annexe F à partir de tout État qui n’est pas Partie au présent Protocole.»</w:t>
      </w:r>
    </w:p>
    <w:p w:rsidR="008C2383" w:rsidRDefault="00CE7645">
      <w:pPr>
        <w:pStyle w:val="Bodytext40"/>
        <w:shd w:val="clear" w:color="auto" w:fill="auto"/>
        <w:spacing w:after="120" w:line="222" w:lineRule="exact"/>
        <w:jc w:val="left"/>
        <w:rPr>
          <w:noProof/>
        </w:rPr>
      </w:pPr>
      <w:r>
        <w:rPr>
          <w:noProof/>
        </w:rPr>
        <w:t>Article 4, paragraphe 2 sept</w:t>
      </w:r>
    </w:p>
    <w:p w:rsidR="008C2383" w:rsidRDefault="00CE7645">
      <w:pPr>
        <w:pStyle w:val="Bodytext20"/>
        <w:shd w:val="clear" w:color="auto" w:fill="auto"/>
        <w:spacing w:before="0" w:after="113" w:line="222" w:lineRule="exact"/>
        <w:ind w:left="660" w:firstLine="0"/>
        <w:rPr>
          <w:noProof/>
        </w:rPr>
      </w:pPr>
      <w:r>
        <w:rPr>
          <w:noProof/>
        </w:rPr>
        <w:t>Le parag</w:t>
      </w:r>
      <w:r>
        <w:rPr>
          <w:noProof/>
        </w:rPr>
        <w:t>raphe suivant est ajouté à la suite du paragraphe 2 </w:t>
      </w:r>
      <w:r>
        <w:rPr>
          <w:i/>
          <w:noProof/>
        </w:rPr>
        <w:t>sex</w:t>
      </w:r>
      <w:r>
        <w:rPr>
          <w:noProof/>
        </w:rPr>
        <w:t xml:space="preserve"> de l’article 4 du Protocole:</w:t>
      </w:r>
    </w:p>
    <w:p w:rsidR="008C2383" w:rsidRDefault="00CE7645">
      <w:pPr>
        <w:pStyle w:val="Bodytext20"/>
        <w:shd w:val="clear" w:color="auto" w:fill="auto"/>
        <w:spacing w:before="0" w:after="127"/>
        <w:ind w:left="660" w:firstLine="0"/>
        <w:rPr>
          <w:noProof/>
        </w:rPr>
      </w:pPr>
      <w:r>
        <w:rPr>
          <w:noProof/>
        </w:rPr>
        <w:t xml:space="preserve">«2 </w:t>
      </w:r>
      <w:r>
        <w:rPr>
          <w:i/>
          <w:noProof/>
        </w:rPr>
        <w:t>sept</w:t>
      </w:r>
      <w:r>
        <w:rPr>
          <w:noProof/>
        </w:rPr>
        <w:t xml:space="preserve">. Dès l’entrée en vigueur du présent paragraphe, chaque Partie interdit l’exportation des substances réglementées de l’Annexe F vers tout État qui n’est pas Partie </w:t>
      </w:r>
      <w:r>
        <w:rPr>
          <w:noProof/>
        </w:rPr>
        <w:t>au présent Protocole.»</w:t>
      </w:r>
    </w:p>
    <w:p w:rsidR="008C2383" w:rsidRDefault="00CE7645">
      <w:pPr>
        <w:pStyle w:val="Bodytext40"/>
        <w:shd w:val="clear" w:color="auto" w:fill="auto"/>
        <w:spacing w:after="37" w:line="222" w:lineRule="exact"/>
        <w:jc w:val="left"/>
        <w:rPr>
          <w:noProof/>
        </w:rPr>
      </w:pPr>
      <w:r>
        <w:rPr>
          <w:noProof/>
        </w:rPr>
        <w:t>Article 4, paragraphes 5, 6 et 7</w:t>
      </w:r>
    </w:p>
    <w:p w:rsidR="008C2383" w:rsidRDefault="00CE7645">
      <w:pPr>
        <w:pStyle w:val="Bodytext20"/>
        <w:shd w:val="clear" w:color="auto" w:fill="auto"/>
        <w:spacing w:before="0" w:line="326" w:lineRule="exact"/>
        <w:ind w:left="660" w:firstLine="0"/>
        <w:rPr>
          <w:noProof/>
        </w:rPr>
      </w:pPr>
      <w:r>
        <w:rPr>
          <w:noProof/>
        </w:rPr>
        <w:t>Aux paragraphes 5, 6 et 7 de l’article 4 du Protocole, remplacer:</w:t>
      </w:r>
    </w:p>
    <w:p w:rsidR="008C2383" w:rsidRDefault="00CE7645">
      <w:pPr>
        <w:pStyle w:val="Bodytext20"/>
        <w:shd w:val="clear" w:color="auto" w:fill="auto"/>
        <w:spacing w:before="0" w:line="326" w:lineRule="exact"/>
        <w:ind w:left="660" w:firstLine="0"/>
        <w:rPr>
          <w:noProof/>
        </w:rPr>
      </w:pPr>
      <w:r>
        <w:rPr>
          <w:noProof/>
        </w:rPr>
        <w:t>«Annexes A, B, C et E» par:</w:t>
      </w:r>
    </w:p>
    <w:p w:rsidR="008C2383" w:rsidRDefault="00CE7645">
      <w:pPr>
        <w:pStyle w:val="Bodytext20"/>
        <w:shd w:val="clear" w:color="auto" w:fill="auto"/>
        <w:spacing w:before="0" w:line="326" w:lineRule="exact"/>
        <w:ind w:left="660" w:firstLine="0"/>
        <w:rPr>
          <w:noProof/>
        </w:rPr>
      </w:pPr>
      <w:r>
        <w:rPr>
          <w:noProof/>
        </w:rPr>
        <w:t>«Annexes A, B, C, E et F»</w:t>
      </w:r>
    </w:p>
    <w:p w:rsidR="008C2383" w:rsidRDefault="00CE7645">
      <w:pPr>
        <w:pStyle w:val="Bodytext40"/>
        <w:shd w:val="clear" w:color="auto" w:fill="auto"/>
        <w:spacing w:line="326" w:lineRule="exact"/>
        <w:jc w:val="left"/>
        <w:rPr>
          <w:noProof/>
        </w:rPr>
      </w:pPr>
      <w:r>
        <w:rPr>
          <w:noProof/>
        </w:rPr>
        <w:t>Article 4, paragraphe 8</w:t>
      </w:r>
    </w:p>
    <w:p w:rsidR="008C2383" w:rsidRDefault="00CE7645">
      <w:pPr>
        <w:pStyle w:val="Bodytext20"/>
        <w:shd w:val="clear" w:color="auto" w:fill="auto"/>
        <w:spacing w:before="0" w:after="33" w:line="222" w:lineRule="exact"/>
        <w:ind w:left="660" w:firstLine="0"/>
        <w:rPr>
          <w:noProof/>
        </w:rPr>
      </w:pPr>
      <w:r>
        <w:rPr>
          <w:noProof/>
        </w:rPr>
        <w:t>Au paragraphe 8 de l’article 4 du Protocole, remplacer:</w:t>
      </w:r>
    </w:p>
    <w:p w:rsidR="008C2383" w:rsidRDefault="00CE7645">
      <w:pPr>
        <w:pStyle w:val="Bodytext20"/>
        <w:shd w:val="clear" w:color="auto" w:fill="auto"/>
        <w:spacing w:before="0" w:line="331" w:lineRule="exact"/>
        <w:ind w:left="660" w:firstLine="0"/>
        <w:rPr>
          <w:noProof/>
        </w:rPr>
      </w:pPr>
      <w:r>
        <w:rPr>
          <w:noProof/>
        </w:rPr>
        <w:t>«articles 2A à 2I» par:</w:t>
      </w:r>
    </w:p>
    <w:p w:rsidR="008C2383" w:rsidRDefault="00CE7645">
      <w:pPr>
        <w:pStyle w:val="Bodytext20"/>
        <w:shd w:val="clear" w:color="auto" w:fill="auto"/>
        <w:spacing w:before="0" w:line="331" w:lineRule="exact"/>
        <w:ind w:left="660" w:firstLine="0"/>
        <w:rPr>
          <w:noProof/>
        </w:rPr>
      </w:pPr>
      <w:r>
        <w:rPr>
          <w:noProof/>
        </w:rPr>
        <w:t>«articles 2A à 2J»</w:t>
      </w:r>
    </w:p>
    <w:p w:rsidR="008C2383" w:rsidRDefault="00CE7645">
      <w:pPr>
        <w:pStyle w:val="Bodytext40"/>
        <w:shd w:val="clear" w:color="auto" w:fill="auto"/>
        <w:spacing w:after="140" w:line="222" w:lineRule="exact"/>
        <w:jc w:val="left"/>
        <w:rPr>
          <w:noProof/>
        </w:rPr>
      </w:pPr>
      <w:r>
        <w:rPr>
          <w:noProof/>
        </w:rPr>
        <w:t>Article 4B</w:t>
      </w:r>
    </w:p>
    <w:p w:rsidR="008C2383" w:rsidRDefault="00CE7645">
      <w:pPr>
        <w:pStyle w:val="Bodytext20"/>
        <w:shd w:val="clear" w:color="auto" w:fill="auto"/>
        <w:spacing w:before="0" w:after="137" w:line="222" w:lineRule="exact"/>
        <w:ind w:left="660" w:firstLine="0"/>
        <w:rPr>
          <w:noProof/>
        </w:rPr>
      </w:pPr>
      <w:r>
        <w:rPr>
          <w:noProof/>
        </w:rPr>
        <w:t>Le paragraphe suivant est ajouté à la suite du paragraphe 2 de l’article 4B du Protocole:</w:t>
      </w:r>
    </w:p>
    <w:p w:rsidR="008C2383" w:rsidRDefault="00CE7645">
      <w:pPr>
        <w:pStyle w:val="Bodytext20"/>
        <w:shd w:val="clear" w:color="auto" w:fill="auto"/>
        <w:spacing w:before="0" w:after="44" w:line="226" w:lineRule="exact"/>
        <w:ind w:left="660" w:firstLine="0"/>
        <w:rPr>
          <w:noProof/>
        </w:rPr>
      </w:pPr>
      <w:r>
        <w:rPr>
          <w:noProof/>
        </w:rPr>
        <w:t>«2 </w:t>
      </w:r>
      <w:r>
        <w:rPr>
          <w:i/>
          <w:noProof/>
        </w:rPr>
        <w:t>bis</w:t>
      </w:r>
      <w:r>
        <w:rPr>
          <w:noProof/>
        </w:rPr>
        <w:t>. Chaque Partie établit et met en œuvre, d’ici le 1</w:t>
      </w:r>
      <w:r>
        <w:rPr>
          <w:noProof/>
          <w:vertAlign w:val="superscript"/>
        </w:rPr>
        <w:t>er</w:t>
      </w:r>
      <w:r>
        <w:rPr>
          <w:noProof/>
        </w:rPr>
        <w:t xml:space="preserve"> janvier 2019 ou dans un délai de trois mois à </w:t>
      </w:r>
      <w:r>
        <w:rPr>
          <w:noProof/>
        </w:rPr>
        <w:t>compter de la date d’entrée en vigueur du présent paragraphe en ce qui la concerne, la date la plus éloignée étant retenue, un système d’octroi de licences pour les importations et les exportations de substances réglementées nouvelles, utilisées, recyclées</w:t>
      </w:r>
      <w:r>
        <w:rPr>
          <w:noProof/>
        </w:rPr>
        <w:t xml:space="preserve"> ou régénérées de l’Annexe F. Toute Partie visée au paragraphe 1 de l’article 5 qui décide qu’elle n’est pas en mesure d’établir et de mettre en œuvre un tel système d’ici au 1</w:t>
      </w:r>
      <w:r>
        <w:rPr>
          <w:noProof/>
          <w:vertAlign w:val="superscript"/>
        </w:rPr>
        <w:t>er</w:t>
      </w:r>
      <w:r>
        <w:rPr>
          <w:noProof/>
        </w:rPr>
        <w:t> janvier 2019 peut reporter au 1</w:t>
      </w:r>
      <w:r>
        <w:rPr>
          <w:noProof/>
          <w:vertAlign w:val="superscript"/>
        </w:rPr>
        <w:t>er</w:t>
      </w:r>
      <w:r>
        <w:rPr>
          <w:noProof/>
        </w:rPr>
        <w:t> janvier 2021 l’adoption de ces mesures.»</w:t>
      </w:r>
    </w:p>
    <w:p w:rsidR="008C2383" w:rsidRDefault="00CE7645">
      <w:pPr>
        <w:pStyle w:val="Bodytext40"/>
        <w:shd w:val="clear" w:color="auto" w:fill="auto"/>
        <w:jc w:val="left"/>
        <w:rPr>
          <w:noProof/>
        </w:rPr>
      </w:pPr>
      <w:r>
        <w:rPr>
          <w:noProof/>
        </w:rPr>
        <w:t>Ar</w:t>
      </w:r>
      <w:r>
        <w:rPr>
          <w:noProof/>
        </w:rPr>
        <w:t>ticle 5</w:t>
      </w:r>
    </w:p>
    <w:p w:rsidR="008C2383" w:rsidRDefault="00CE7645">
      <w:pPr>
        <w:pStyle w:val="Bodytext20"/>
        <w:shd w:val="clear" w:color="auto" w:fill="auto"/>
        <w:spacing w:before="0" w:line="346" w:lineRule="exact"/>
        <w:ind w:left="660" w:firstLine="0"/>
        <w:rPr>
          <w:noProof/>
        </w:rPr>
      </w:pPr>
      <w:r>
        <w:rPr>
          <w:noProof/>
        </w:rPr>
        <w:t>Au paragraphe 4 de l’article 5 du Protocole, remplacer:</w:t>
      </w:r>
    </w:p>
    <w:p w:rsidR="008C2383" w:rsidRDefault="00CE7645">
      <w:pPr>
        <w:pStyle w:val="Bodytext20"/>
        <w:shd w:val="clear" w:color="auto" w:fill="auto"/>
        <w:spacing w:before="0" w:line="346" w:lineRule="exact"/>
        <w:ind w:left="660" w:firstLine="0"/>
        <w:rPr>
          <w:noProof/>
        </w:rPr>
      </w:pPr>
      <w:r>
        <w:rPr>
          <w:noProof/>
        </w:rPr>
        <w:t>«2I»</w:t>
      </w:r>
    </w:p>
    <w:p w:rsidR="008C2383" w:rsidRDefault="00CE7645">
      <w:pPr>
        <w:pStyle w:val="Bodytext20"/>
        <w:shd w:val="clear" w:color="auto" w:fill="auto"/>
        <w:spacing w:before="0" w:line="346" w:lineRule="exact"/>
        <w:ind w:left="660" w:firstLine="0"/>
        <w:rPr>
          <w:noProof/>
        </w:rPr>
      </w:pPr>
      <w:r>
        <w:rPr>
          <w:noProof/>
        </w:rPr>
        <w:t>par:</w:t>
      </w:r>
    </w:p>
    <w:p w:rsidR="008C2383" w:rsidRDefault="00CE7645">
      <w:pPr>
        <w:pStyle w:val="Bodytext20"/>
        <w:shd w:val="clear" w:color="auto" w:fill="auto"/>
        <w:spacing w:before="0" w:line="346" w:lineRule="exact"/>
        <w:ind w:left="660" w:firstLine="0"/>
        <w:rPr>
          <w:noProof/>
        </w:rPr>
      </w:pPr>
      <w:r>
        <w:rPr>
          <w:noProof/>
        </w:rPr>
        <w:t>«2J»</w:t>
      </w:r>
    </w:p>
    <w:p w:rsidR="008C2383" w:rsidRDefault="00CE7645">
      <w:pPr>
        <w:pStyle w:val="Bodytext20"/>
        <w:shd w:val="clear" w:color="auto" w:fill="auto"/>
        <w:spacing w:before="0" w:line="346" w:lineRule="exact"/>
        <w:ind w:left="660" w:firstLine="0"/>
        <w:rPr>
          <w:noProof/>
        </w:rPr>
      </w:pPr>
      <w:r>
        <w:rPr>
          <w:noProof/>
        </w:rPr>
        <w:t>Aux paragraphes 5 et 6 de l’article 5 du Protocole, remplacer:</w:t>
      </w:r>
    </w:p>
    <w:p w:rsidR="008C2383" w:rsidRDefault="00CE7645">
      <w:pPr>
        <w:pStyle w:val="Bodytext20"/>
        <w:shd w:val="clear" w:color="auto" w:fill="auto"/>
        <w:spacing w:before="0" w:line="346" w:lineRule="exact"/>
        <w:ind w:left="660" w:firstLine="0"/>
        <w:rPr>
          <w:noProof/>
        </w:rPr>
      </w:pPr>
      <w:r>
        <w:rPr>
          <w:noProof/>
        </w:rPr>
        <w:t>«article 2I»</w:t>
      </w:r>
    </w:p>
    <w:p w:rsidR="008C2383" w:rsidRDefault="00CE7645">
      <w:pPr>
        <w:pStyle w:val="Bodytext20"/>
        <w:shd w:val="clear" w:color="auto" w:fill="auto"/>
        <w:spacing w:before="0" w:line="346" w:lineRule="exact"/>
        <w:ind w:left="660" w:firstLine="0"/>
        <w:rPr>
          <w:noProof/>
        </w:rPr>
      </w:pPr>
      <w:r>
        <w:rPr>
          <w:noProof/>
        </w:rPr>
        <w:t>par:</w:t>
      </w:r>
    </w:p>
    <w:p w:rsidR="008C2383" w:rsidRDefault="00CE7645">
      <w:pPr>
        <w:pStyle w:val="Bodytext20"/>
        <w:shd w:val="clear" w:color="auto" w:fill="auto"/>
        <w:spacing w:before="0" w:line="346" w:lineRule="exact"/>
        <w:ind w:left="660" w:firstLine="0"/>
        <w:rPr>
          <w:noProof/>
        </w:rPr>
      </w:pPr>
      <w:r>
        <w:rPr>
          <w:noProof/>
        </w:rPr>
        <w:t>«articles 2I et 2J»</w:t>
      </w:r>
    </w:p>
    <w:p w:rsidR="008C2383" w:rsidRDefault="00CE7645">
      <w:pPr>
        <w:pStyle w:val="Bodytext20"/>
        <w:shd w:val="clear" w:color="auto" w:fill="auto"/>
        <w:spacing w:before="0" w:line="346" w:lineRule="exact"/>
        <w:ind w:left="660" w:firstLine="0"/>
        <w:rPr>
          <w:noProof/>
        </w:rPr>
      </w:pPr>
      <w:r>
        <w:rPr>
          <w:noProof/>
        </w:rPr>
        <w:t>Au paragraphe 5 de l’article 5 du Protocole, avant:</w:t>
      </w:r>
    </w:p>
    <w:p w:rsidR="008C2383" w:rsidRDefault="00CE7645">
      <w:pPr>
        <w:pStyle w:val="Bodytext20"/>
        <w:shd w:val="clear" w:color="auto" w:fill="auto"/>
        <w:spacing w:before="0" w:line="346" w:lineRule="exact"/>
        <w:ind w:left="660" w:firstLine="0"/>
        <w:rPr>
          <w:noProof/>
        </w:rPr>
      </w:pPr>
      <w:r>
        <w:rPr>
          <w:noProof/>
        </w:rPr>
        <w:t>«à toute mesure de régle</w:t>
      </w:r>
      <w:r>
        <w:rPr>
          <w:noProof/>
        </w:rPr>
        <w:t>mentation» ajouter:</w:t>
      </w:r>
    </w:p>
    <w:p w:rsidR="008C2383" w:rsidRDefault="00CE7645">
      <w:pPr>
        <w:pStyle w:val="Bodytext20"/>
        <w:shd w:val="clear" w:color="auto" w:fill="auto"/>
        <w:spacing w:before="0" w:line="346" w:lineRule="exact"/>
        <w:ind w:left="660" w:firstLine="0"/>
        <w:rPr>
          <w:noProof/>
        </w:rPr>
      </w:pPr>
      <w:r>
        <w:rPr>
          <w:noProof/>
        </w:rPr>
        <w:t>«avec»</w:t>
      </w:r>
    </w:p>
    <w:p w:rsidR="008C2383" w:rsidRDefault="00CE7645">
      <w:pPr>
        <w:pStyle w:val="Bodytext20"/>
        <w:shd w:val="clear" w:color="auto" w:fill="auto"/>
        <w:spacing w:before="0" w:line="346" w:lineRule="exact"/>
        <w:ind w:left="660" w:firstLine="0"/>
        <w:rPr>
          <w:noProof/>
        </w:rPr>
      </w:pPr>
      <w:r>
        <w:rPr>
          <w:noProof/>
        </w:rPr>
        <w:t>Le paragraphe suivant est ajouté à la suite du paragraphe 8 </w:t>
      </w:r>
      <w:r>
        <w:rPr>
          <w:i/>
          <w:noProof/>
        </w:rPr>
        <w:t>ter</w:t>
      </w:r>
      <w:r>
        <w:rPr>
          <w:noProof/>
        </w:rPr>
        <w:t xml:space="preserve"> de l’article 5 du Protocole:</w:t>
      </w:r>
    </w:p>
    <w:p w:rsidR="008C2383" w:rsidRDefault="00CE7645">
      <w:pPr>
        <w:pStyle w:val="Bodytext40"/>
        <w:shd w:val="clear" w:color="auto" w:fill="auto"/>
        <w:spacing w:after="232"/>
        <w:ind w:left="660"/>
        <w:jc w:val="left"/>
        <w:rPr>
          <w:noProof/>
        </w:rPr>
      </w:pPr>
      <w:r>
        <w:rPr>
          <w:i w:val="0"/>
          <w:noProof/>
        </w:rPr>
        <w:t>«8</w:t>
      </w:r>
      <w:r>
        <w:rPr>
          <w:noProof/>
        </w:rPr>
        <w:t xml:space="preserve"> qua</w:t>
      </w:r>
    </w:p>
    <w:p w:rsidR="008C2383" w:rsidRDefault="00CE7645">
      <w:pPr>
        <w:pStyle w:val="Bodytext20"/>
        <w:numPr>
          <w:ilvl w:val="0"/>
          <w:numId w:val="6"/>
        </w:numPr>
        <w:shd w:val="clear" w:color="auto" w:fill="auto"/>
        <w:tabs>
          <w:tab w:val="left" w:pos="1029"/>
        </w:tabs>
        <w:spacing w:before="0"/>
        <w:ind w:left="660" w:firstLine="0"/>
        <w:rPr>
          <w:noProof/>
        </w:rPr>
      </w:pPr>
      <w:r>
        <w:rPr>
          <w:noProof/>
        </w:rPr>
        <w:t>Toute Partie visée au paragraphe 1 du présent article est autorisée, sous réserve de tout ajustement apporté aux mesures de régle</w:t>
      </w:r>
      <w:r>
        <w:rPr>
          <w:noProof/>
        </w:rPr>
        <w:t>mentation énoncées à l’article 2J conformément au paragraphe 9 de l’article 2, à surseoir au respect des mesures de réglementation énoncées aux alinéas a) à e) du paragraphe 1 de l’article 2J et aux alinéas a) à e) du paragraphe 3 de l’article 2J, et à mod</w:t>
      </w:r>
      <w:r>
        <w:rPr>
          <w:noProof/>
        </w:rPr>
        <w:t>ifier ces mesures comme suit:</w:t>
      </w:r>
    </w:p>
    <w:p w:rsidR="008C2383" w:rsidRDefault="00CE7645">
      <w:pPr>
        <w:pStyle w:val="ListParagraph"/>
        <w:widowControl/>
        <w:autoSpaceDE w:val="0"/>
        <w:autoSpaceDN w:val="0"/>
        <w:adjustRightInd w:val="0"/>
        <w:rPr>
          <w:noProof/>
          <w:color w:val="auto"/>
          <w:sz w:val="20"/>
          <w:szCs w:val="20"/>
        </w:rPr>
      </w:pPr>
      <w:r>
        <w:rPr>
          <w:noProof/>
          <w:color w:val="auto"/>
          <w:sz w:val="20"/>
        </w:rPr>
        <w:t>i) 2024 à 2028: 100 %</w:t>
      </w:r>
    </w:p>
    <w:p w:rsidR="008C2383" w:rsidRDefault="00CE7645">
      <w:pPr>
        <w:pStyle w:val="ListParagraph"/>
        <w:widowControl/>
        <w:autoSpaceDE w:val="0"/>
        <w:autoSpaceDN w:val="0"/>
        <w:adjustRightInd w:val="0"/>
        <w:rPr>
          <w:noProof/>
          <w:color w:val="auto"/>
          <w:sz w:val="20"/>
          <w:szCs w:val="20"/>
        </w:rPr>
      </w:pPr>
      <w:r>
        <w:rPr>
          <w:noProof/>
          <w:color w:val="auto"/>
          <w:sz w:val="20"/>
        </w:rPr>
        <w:t>ii) 2029 à 2034: 90 %</w:t>
      </w:r>
    </w:p>
    <w:p w:rsidR="008C2383" w:rsidRDefault="00CE7645">
      <w:pPr>
        <w:pStyle w:val="ListParagraph"/>
        <w:widowControl/>
        <w:autoSpaceDE w:val="0"/>
        <w:autoSpaceDN w:val="0"/>
        <w:adjustRightInd w:val="0"/>
        <w:rPr>
          <w:noProof/>
          <w:color w:val="auto"/>
          <w:sz w:val="20"/>
          <w:szCs w:val="20"/>
        </w:rPr>
      </w:pPr>
      <w:r>
        <w:rPr>
          <w:noProof/>
          <w:color w:val="auto"/>
          <w:sz w:val="20"/>
        </w:rPr>
        <w:t>iii) 2035 à 2039: 70 %</w:t>
      </w:r>
    </w:p>
    <w:p w:rsidR="008C2383" w:rsidRDefault="00CE7645">
      <w:pPr>
        <w:widowControl/>
        <w:autoSpaceDE w:val="0"/>
        <w:autoSpaceDN w:val="0"/>
        <w:adjustRightInd w:val="0"/>
        <w:ind w:left="720"/>
        <w:rPr>
          <w:noProof/>
          <w:color w:val="auto"/>
          <w:sz w:val="20"/>
          <w:szCs w:val="20"/>
        </w:rPr>
      </w:pPr>
      <w:r>
        <w:rPr>
          <w:noProof/>
          <w:color w:val="auto"/>
          <w:sz w:val="20"/>
        </w:rPr>
        <w:t>iv) 2040 à 2044: 50 %</w:t>
      </w:r>
    </w:p>
    <w:p w:rsidR="008C2383" w:rsidRDefault="00CE7645">
      <w:pPr>
        <w:pStyle w:val="Bodytext20"/>
        <w:shd w:val="clear" w:color="auto" w:fill="auto"/>
        <w:tabs>
          <w:tab w:val="left" w:pos="1029"/>
        </w:tabs>
        <w:spacing w:before="0"/>
        <w:ind w:left="660" w:firstLine="0"/>
        <w:rPr>
          <w:noProof/>
        </w:rPr>
      </w:pPr>
      <w:r>
        <w:rPr>
          <w:noProof/>
          <w:color w:val="auto"/>
        </w:rPr>
        <w:t>v) 2045 et au-delà: 20 %</w:t>
      </w:r>
    </w:p>
    <w:p w:rsidR="008C2383" w:rsidRDefault="008C2383">
      <w:pPr>
        <w:rPr>
          <w:noProof/>
          <w:sz w:val="2"/>
          <w:szCs w:val="2"/>
        </w:rPr>
      </w:pPr>
    </w:p>
    <w:p w:rsidR="008C2383" w:rsidRDefault="00CE7645">
      <w:pPr>
        <w:pStyle w:val="Bodytext20"/>
        <w:numPr>
          <w:ilvl w:val="0"/>
          <w:numId w:val="6"/>
        </w:numPr>
        <w:shd w:val="clear" w:color="auto" w:fill="auto"/>
        <w:tabs>
          <w:tab w:val="left" w:pos="1039"/>
        </w:tabs>
        <w:spacing w:before="104" w:line="226" w:lineRule="exact"/>
        <w:ind w:left="660" w:firstLine="0"/>
        <w:rPr>
          <w:noProof/>
        </w:rPr>
      </w:pPr>
      <w:r>
        <w:rPr>
          <w:noProof/>
        </w:rPr>
        <w:t xml:space="preserve">Nonobstant l’alinéa a) ci-dessus, les Parties peuvent décider qu’une Partie visée au paragraphe 1 du présent </w:t>
      </w:r>
      <w:r>
        <w:rPr>
          <w:noProof/>
        </w:rPr>
        <w:t>article est autorisée, sous réserve de tout ajustement apporté aux mesures de réglementation énoncées à l’article 2J conformément au paragraphe 9 de l’article 2, à surseoir au respect des mesures de réglementation énoncées aux alinéas a) à e) du paragraphe</w:t>
      </w:r>
      <w:r>
        <w:rPr>
          <w:noProof/>
        </w:rPr>
        <w:t> 1 de l’article 2J et aux alinéas a) à e) du paragraphe 3 de l’article 2J, et à modifier ces mesures comme suit:</w:t>
      </w:r>
    </w:p>
    <w:p w:rsidR="008C2383" w:rsidRDefault="00CE7645">
      <w:pPr>
        <w:pStyle w:val="ListParagraph"/>
        <w:widowControl/>
        <w:autoSpaceDE w:val="0"/>
        <w:autoSpaceDN w:val="0"/>
        <w:adjustRightInd w:val="0"/>
        <w:rPr>
          <w:noProof/>
          <w:color w:val="auto"/>
          <w:sz w:val="20"/>
          <w:szCs w:val="20"/>
        </w:rPr>
      </w:pPr>
      <w:r>
        <w:rPr>
          <w:noProof/>
          <w:color w:val="auto"/>
          <w:sz w:val="20"/>
        </w:rPr>
        <w:t>i) 2028 à 2031: 100 %</w:t>
      </w:r>
    </w:p>
    <w:p w:rsidR="008C2383" w:rsidRDefault="00CE7645">
      <w:pPr>
        <w:pStyle w:val="ListParagraph"/>
        <w:widowControl/>
        <w:autoSpaceDE w:val="0"/>
        <w:autoSpaceDN w:val="0"/>
        <w:adjustRightInd w:val="0"/>
        <w:rPr>
          <w:noProof/>
          <w:color w:val="auto"/>
          <w:sz w:val="20"/>
          <w:szCs w:val="20"/>
        </w:rPr>
      </w:pPr>
      <w:r>
        <w:rPr>
          <w:noProof/>
          <w:color w:val="auto"/>
          <w:sz w:val="20"/>
        </w:rPr>
        <w:t>ii) 2032 à 2036: 90 %</w:t>
      </w:r>
    </w:p>
    <w:p w:rsidR="008C2383" w:rsidRDefault="00CE7645">
      <w:pPr>
        <w:pStyle w:val="ListParagraph"/>
        <w:widowControl/>
        <w:autoSpaceDE w:val="0"/>
        <w:autoSpaceDN w:val="0"/>
        <w:adjustRightInd w:val="0"/>
        <w:rPr>
          <w:noProof/>
          <w:color w:val="auto"/>
          <w:sz w:val="20"/>
          <w:szCs w:val="20"/>
        </w:rPr>
      </w:pPr>
      <w:r>
        <w:rPr>
          <w:noProof/>
          <w:color w:val="auto"/>
          <w:sz w:val="20"/>
        </w:rPr>
        <w:t>iii) 2037 à 2041: 80 %</w:t>
      </w:r>
    </w:p>
    <w:p w:rsidR="008C2383" w:rsidRDefault="00CE7645">
      <w:pPr>
        <w:pStyle w:val="ListParagraph"/>
        <w:widowControl/>
        <w:autoSpaceDE w:val="0"/>
        <w:autoSpaceDN w:val="0"/>
        <w:adjustRightInd w:val="0"/>
        <w:rPr>
          <w:noProof/>
          <w:color w:val="auto"/>
          <w:sz w:val="20"/>
          <w:szCs w:val="20"/>
        </w:rPr>
      </w:pPr>
      <w:r>
        <w:rPr>
          <w:noProof/>
          <w:color w:val="auto"/>
          <w:sz w:val="20"/>
        </w:rPr>
        <w:t>iv) 2042 à 2046: 70 %</w:t>
      </w:r>
    </w:p>
    <w:p w:rsidR="008C2383" w:rsidRDefault="00CE7645">
      <w:pPr>
        <w:pStyle w:val="ListParagraph"/>
        <w:widowControl/>
        <w:autoSpaceDE w:val="0"/>
        <w:autoSpaceDN w:val="0"/>
        <w:adjustRightInd w:val="0"/>
        <w:rPr>
          <w:noProof/>
          <w:color w:val="auto"/>
          <w:sz w:val="20"/>
          <w:szCs w:val="20"/>
        </w:rPr>
      </w:pPr>
      <w:r>
        <w:rPr>
          <w:noProof/>
          <w:color w:val="auto"/>
          <w:sz w:val="20"/>
        </w:rPr>
        <w:t>v) 2047 et au-delà: 15 %</w:t>
      </w:r>
    </w:p>
    <w:p w:rsidR="008C2383" w:rsidRDefault="008C2383">
      <w:pPr>
        <w:framePr w:w="3221" w:hSpace="653" w:wrap="notBeside" w:vAnchor="text" w:hAnchor="text" w:xAlign="center" w:y="1"/>
        <w:rPr>
          <w:noProof/>
          <w:sz w:val="2"/>
          <w:szCs w:val="2"/>
        </w:rPr>
      </w:pPr>
    </w:p>
    <w:p w:rsidR="008C2383" w:rsidRDefault="008C2383">
      <w:pPr>
        <w:rPr>
          <w:noProof/>
          <w:sz w:val="2"/>
          <w:szCs w:val="2"/>
        </w:rPr>
      </w:pPr>
    </w:p>
    <w:p w:rsidR="008C2383" w:rsidRDefault="00CE7645">
      <w:pPr>
        <w:pStyle w:val="Bodytext20"/>
        <w:numPr>
          <w:ilvl w:val="0"/>
          <w:numId w:val="6"/>
        </w:numPr>
        <w:shd w:val="clear" w:color="auto" w:fill="auto"/>
        <w:tabs>
          <w:tab w:val="left" w:pos="1024"/>
        </w:tabs>
        <w:spacing w:before="95" w:after="124"/>
        <w:ind w:left="660" w:firstLine="0"/>
        <w:rPr>
          <w:noProof/>
        </w:rPr>
      </w:pPr>
      <w:r>
        <w:rPr>
          <w:noProof/>
        </w:rPr>
        <w:t>Chaque Partie visée au para</w:t>
      </w:r>
      <w:r>
        <w:rPr>
          <w:noProof/>
        </w:rPr>
        <w:t>graphe 1 du présent article est autorisée, pour calculer sa consommation de référence au titre de l’article 2J, à utiliser la moyenne de ses niveaux calculés de consommation des substances réglementées de l’Annexe F pour les années 2020, 2021 et 2022, plus</w:t>
      </w:r>
      <w:r>
        <w:rPr>
          <w:noProof/>
        </w:rPr>
        <w:t xml:space="preserve"> 65 % de sa consommation de référence pour les substances réglementées du groupe I de l’Annexe C, comme indiqué au paragraphe 8 </w:t>
      </w:r>
      <w:r>
        <w:rPr>
          <w:i/>
          <w:noProof/>
        </w:rPr>
        <w:t>ter</w:t>
      </w:r>
      <w:r>
        <w:rPr>
          <w:noProof/>
        </w:rPr>
        <w:t xml:space="preserve"> du présent article.</w:t>
      </w:r>
    </w:p>
    <w:p w:rsidR="008C2383" w:rsidRDefault="00CE7645">
      <w:pPr>
        <w:pStyle w:val="Bodytext20"/>
        <w:numPr>
          <w:ilvl w:val="0"/>
          <w:numId w:val="6"/>
        </w:numPr>
        <w:shd w:val="clear" w:color="auto" w:fill="auto"/>
        <w:tabs>
          <w:tab w:val="left" w:pos="1050"/>
        </w:tabs>
        <w:spacing w:before="0" w:after="116" w:line="226" w:lineRule="exact"/>
        <w:ind w:left="680" w:firstLine="0"/>
        <w:rPr>
          <w:noProof/>
        </w:rPr>
      </w:pPr>
      <w:r>
        <w:rPr>
          <w:noProof/>
        </w:rPr>
        <w:t xml:space="preserve">Nonobstant l’alinéa c) ci-dessus, les Parties peuvent décider qu’une Partie visée au paragraphe 1 du </w:t>
      </w:r>
      <w:r>
        <w:rPr>
          <w:noProof/>
        </w:rPr>
        <w:t xml:space="preserve">présent article est autorisée, pour calculer sa consommation de référence au titre de l’article 2J, à utiliser la moyenne de ses niveaux calculés de consommation des substances réglementées de l’Annexe F pour les années 2024, 2025 et 2026, plus 65 % de sa </w:t>
      </w:r>
      <w:r>
        <w:rPr>
          <w:noProof/>
        </w:rPr>
        <w:t>consommation de référence pour les substances réglementées du groupe I de l’Annexe C, comme indiqué au paragraphe 8 </w:t>
      </w:r>
      <w:r>
        <w:rPr>
          <w:i/>
          <w:noProof/>
        </w:rPr>
        <w:t>ter</w:t>
      </w:r>
      <w:r>
        <w:rPr>
          <w:noProof/>
        </w:rPr>
        <w:t xml:space="preserve"> du présent article.</w:t>
      </w:r>
    </w:p>
    <w:p w:rsidR="008C2383" w:rsidRDefault="00CE7645">
      <w:pPr>
        <w:pStyle w:val="Bodytext20"/>
        <w:numPr>
          <w:ilvl w:val="0"/>
          <w:numId w:val="6"/>
        </w:numPr>
        <w:shd w:val="clear" w:color="auto" w:fill="auto"/>
        <w:tabs>
          <w:tab w:val="left" w:pos="1060"/>
        </w:tabs>
        <w:spacing w:before="0" w:after="124"/>
        <w:ind w:left="680" w:firstLine="0"/>
        <w:rPr>
          <w:noProof/>
        </w:rPr>
      </w:pPr>
      <w:r>
        <w:rPr>
          <w:noProof/>
        </w:rPr>
        <w:t xml:space="preserve">Chaque Partie visée au paragraphe 1 du présent article qui produit des substances réglementées de l’Annexe F est </w:t>
      </w:r>
      <w:r>
        <w:rPr>
          <w:noProof/>
        </w:rPr>
        <w:t xml:space="preserve">autorisée, pour calculer sa production de référence au titre de l’article 2J, à utiliser la moyenne de ses niveaux calculés de production des substances réglementées de l’Annexe F pour les années 2020, 2021 et 2022, plus 65 % de sa production de référence </w:t>
      </w:r>
      <w:r>
        <w:rPr>
          <w:noProof/>
        </w:rPr>
        <w:t>des substances réglementées du groupe I de l’Annexe C, comme indiqué au paragraphe 8 </w:t>
      </w:r>
      <w:r>
        <w:rPr>
          <w:i/>
          <w:noProof/>
        </w:rPr>
        <w:t>ter</w:t>
      </w:r>
      <w:r>
        <w:rPr>
          <w:noProof/>
        </w:rPr>
        <w:t xml:space="preserve"> du présent article.</w:t>
      </w:r>
    </w:p>
    <w:p w:rsidR="008C2383" w:rsidRDefault="00CE7645">
      <w:pPr>
        <w:pStyle w:val="Bodytext20"/>
        <w:numPr>
          <w:ilvl w:val="0"/>
          <w:numId w:val="6"/>
        </w:numPr>
        <w:shd w:val="clear" w:color="auto" w:fill="auto"/>
        <w:tabs>
          <w:tab w:val="left" w:pos="1060"/>
        </w:tabs>
        <w:spacing w:before="0" w:after="116" w:line="226" w:lineRule="exact"/>
        <w:ind w:left="680" w:firstLine="0"/>
        <w:rPr>
          <w:noProof/>
        </w:rPr>
      </w:pPr>
      <w:r>
        <w:rPr>
          <w:noProof/>
        </w:rPr>
        <w:t>Nonobstant l’alinéa e) ci-dessus, les Parties peuvent décider qu’une Partie visée au paragraphe 1 du présent article qui produit des substances rég</w:t>
      </w:r>
      <w:r>
        <w:rPr>
          <w:noProof/>
        </w:rPr>
        <w:t>lementées de l’Annexe F, est autorisée, pour calculer sa production de référence au titre de l’article 2J, à utiliser la moyenne de ses niveaux calculés de production des substances réglementées de l’Annexe F pour les années 2024, 2025 et 2026, plus 65 % d</w:t>
      </w:r>
      <w:r>
        <w:rPr>
          <w:noProof/>
        </w:rPr>
        <w:t>e sa production de référence des substances réglementées du groupe I de l’Annexe C, comme indiqué au paragraphe 8 </w:t>
      </w:r>
      <w:r>
        <w:rPr>
          <w:i/>
          <w:noProof/>
        </w:rPr>
        <w:t>ter</w:t>
      </w:r>
      <w:r>
        <w:rPr>
          <w:noProof/>
        </w:rPr>
        <w:t xml:space="preserve"> du présent article.</w:t>
      </w:r>
    </w:p>
    <w:p w:rsidR="008C2383" w:rsidRDefault="00CE7645">
      <w:pPr>
        <w:pStyle w:val="Bodytext20"/>
        <w:numPr>
          <w:ilvl w:val="0"/>
          <w:numId w:val="6"/>
        </w:numPr>
        <w:shd w:val="clear" w:color="auto" w:fill="auto"/>
        <w:tabs>
          <w:tab w:val="left" w:pos="1055"/>
        </w:tabs>
        <w:spacing w:before="0" w:after="28"/>
        <w:ind w:left="680" w:firstLine="0"/>
        <w:rPr>
          <w:noProof/>
        </w:rPr>
      </w:pPr>
      <w:r>
        <w:rPr>
          <w:noProof/>
        </w:rPr>
        <w:t xml:space="preserve">Les alinéas a) à f) du présent paragraphe s’appliquent aux niveaux calculés de production et de consommation, sauf si </w:t>
      </w:r>
      <w:r>
        <w:rPr>
          <w:noProof/>
        </w:rPr>
        <w:t>une dérogation pour températures ambiantes élevées est applicable sur la base des critères arrêtés par les Parties.»</w:t>
      </w:r>
    </w:p>
    <w:p w:rsidR="008C2383" w:rsidRDefault="00CE7645">
      <w:pPr>
        <w:pStyle w:val="Bodytext40"/>
        <w:shd w:val="clear" w:color="auto" w:fill="auto"/>
        <w:jc w:val="left"/>
        <w:rPr>
          <w:noProof/>
        </w:rPr>
      </w:pPr>
      <w:r>
        <w:rPr>
          <w:noProof/>
        </w:rPr>
        <w:t>Article 6</w:t>
      </w:r>
    </w:p>
    <w:p w:rsidR="008C2383" w:rsidRDefault="00CE7645">
      <w:pPr>
        <w:pStyle w:val="Bodytext20"/>
        <w:shd w:val="clear" w:color="auto" w:fill="auto"/>
        <w:spacing w:before="0" w:line="346" w:lineRule="exact"/>
        <w:ind w:left="680" w:firstLine="0"/>
        <w:rPr>
          <w:noProof/>
        </w:rPr>
      </w:pPr>
      <w:r>
        <w:rPr>
          <w:noProof/>
        </w:rPr>
        <w:t>À l’article 6 du Protocole, remplacer:</w:t>
      </w:r>
    </w:p>
    <w:p w:rsidR="008C2383" w:rsidRDefault="00CE7645">
      <w:pPr>
        <w:pStyle w:val="Bodytext20"/>
        <w:shd w:val="clear" w:color="auto" w:fill="auto"/>
        <w:spacing w:before="0" w:line="346" w:lineRule="exact"/>
        <w:ind w:left="680" w:firstLine="0"/>
        <w:rPr>
          <w:noProof/>
        </w:rPr>
      </w:pPr>
      <w:r>
        <w:rPr>
          <w:noProof/>
        </w:rPr>
        <w:t>«articles 2A à 2I» par:</w:t>
      </w:r>
    </w:p>
    <w:p w:rsidR="008C2383" w:rsidRDefault="00CE7645">
      <w:pPr>
        <w:pStyle w:val="Bodytext20"/>
        <w:shd w:val="clear" w:color="auto" w:fill="auto"/>
        <w:spacing w:before="0" w:line="346" w:lineRule="exact"/>
        <w:ind w:left="680" w:firstLine="0"/>
        <w:rPr>
          <w:noProof/>
        </w:rPr>
      </w:pPr>
      <w:r>
        <w:rPr>
          <w:noProof/>
        </w:rPr>
        <w:t>«articles 2A à 2J»</w:t>
      </w:r>
    </w:p>
    <w:p w:rsidR="008C2383" w:rsidRDefault="00CE7645">
      <w:pPr>
        <w:pStyle w:val="Bodytext40"/>
        <w:shd w:val="clear" w:color="auto" w:fill="auto"/>
        <w:jc w:val="left"/>
        <w:rPr>
          <w:noProof/>
        </w:rPr>
      </w:pPr>
      <w:r>
        <w:rPr>
          <w:noProof/>
        </w:rPr>
        <w:t>Article 7, paragraphes 2, 3 et 3 ter</w:t>
      </w:r>
    </w:p>
    <w:p w:rsidR="008C2383" w:rsidRDefault="00CE7645">
      <w:pPr>
        <w:pStyle w:val="Bodytext20"/>
        <w:shd w:val="clear" w:color="auto" w:fill="auto"/>
        <w:spacing w:before="0" w:after="120"/>
        <w:ind w:left="680" w:firstLine="0"/>
        <w:rPr>
          <w:noProof/>
        </w:rPr>
      </w:pPr>
      <w:r>
        <w:rPr>
          <w:noProof/>
        </w:rPr>
        <w:t xml:space="preserve">Le texte </w:t>
      </w:r>
      <w:r>
        <w:rPr>
          <w:noProof/>
        </w:rPr>
        <w:t>suivant est ajouté à la suite du texte qui se lit «- À l’Annexe E, pour l’année 1991,» au paragraphe 2 de l’article 7 du Protocole:</w:t>
      </w:r>
    </w:p>
    <w:p w:rsidR="008C2383" w:rsidRDefault="00CE7645">
      <w:pPr>
        <w:pStyle w:val="Bodytext20"/>
        <w:shd w:val="clear" w:color="auto" w:fill="auto"/>
        <w:spacing w:before="0" w:after="28"/>
        <w:ind w:left="680" w:firstLine="0"/>
        <w:rPr>
          <w:noProof/>
        </w:rPr>
      </w:pPr>
      <w:r>
        <w:rPr>
          <w:noProof/>
        </w:rPr>
        <w:t>« - À l’Annexe F, pour les années 2011 à 2013, étant entendu que les Parties visées au paragraphe 1 de l’article 5 fourniron</w:t>
      </w:r>
      <w:r>
        <w:rPr>
          <w:noProof/>
        </w:rPr>
        <w:t>t ces données pour les années 2020 à 2022, mais que les Parties visées au paragraphe 1 de l’article 5 auxquelles s’appliquent les alinéas d) et f) du paragraphe 8 </w:t>
      </w:r>
      <w:r>
        <w:rPr>
          <w:i/>
          <w:noProof/>
        </w:rPr>
        <w:t>qua</w:t>
      </w:r>
      <w:r>
        <w:rPr>
          <w:noProof/>
        </w:rPr>
        <w:t xml:space="preserve"> de l’article 5 fourniront ces données pour les années 2024 à 2026;»</w:t>
      </w:r>
    </w:p>
    <w:p w:rsidR="008C2383" w:rsidRDefault="00CE7645">
      <w:pPr>
        <w:pStyle w:val="Bodytext20"/>
        <w:shd w:val="clear" w:color="auto" w:fill="auto"/>
        <w:spacing w:before="0" w:line="346" w:lineRule="exact"/>
        <w:ind w:left="680" w:firstLine="0"/>
        <w:rPr>
          <w:noProof/>
        </w:rPr>
      </w:pPr>
      <w:r>
        <w:rPr>
          <w:noProof/>
        </w:rPr>
        <w:t xml:space="preserve">Aux paragraphes 2 et </w:t>
      </w:r>
      <w:r>
        <w:rPr>
          <w:noProof/>
        </w:rPr>
        <w:t>3 de l’article 7 du Protocole, remplacer:</w:t>
      </w:r>
    </w:p>
    <w:p w:rsidR="008C2383" w:rsidRDefault="00CE7645">
      <w:pPr>
        <w:pStyle w:val="Bodytext20"/>
        <w:shd w:val="clear" w:color="auto" w:fill="auto"/>
        <w:spacing w:before="0" w:line="346" w:lineRule="exact"/>
        <w:ind w:left="680" w:firstLine="0"/>
        <w:rPr>
          <w:noProof/>
        </w:rPr>
      </w:pPr>
      <w:r>
        <w:rPr>
          <w:noProof/>
        </w:rPr>
        <w:t>«C et E»</w:t>
      </w:r>
    </w:p>
    <w:p w:rsidR="008C2383" w:rsidRDefault="00CE7645">
      <w:pPr>
        <w:pStyle w:val="Bodytext20"/>
        <w:shd w:val="clear" w:color="auto" w:fill="auto"/>
        <w:spacing w:before="0" w:line="346" w:lineRule="exact"/>
        <w:ind w:left="680" w:firstLine="0"/>
        <w:rPr>
          <w:noProof/>
        </w:rPr>
      </w:pPr>
      <w:r>
        <w:rPr>
          <w:noProof/>
        </w:rPr>
        <w:t>par:</w:t>
      </w:r>
    </w:p>
    <w:p w:rsidR="008C2383" w:rsidRDefault="00CE7645">
      <w:pPr>
        <w:pStyle w:val="Bodytext20"/>
        <w:shd w:val="clear" w:color="auto" w:fill="auto"/>
        <w:spacing w:before="0" w:line="346" w:lineRule="exact"/>
        <w:ind w:left="680" w:firstLine="0"/>
        <w:rPr>
          <w:noProof/>
        </w:rPr>
      </w:pPr>
      <w:r>
        <w:rPr>
          <w:noProof/>
        </w:rPr>
        <w:t>«C, E et F».</w:t>
      </w:r>
    </w:p>
    <w:p w:rsidR="008C2383" w:rsidRDefault="00CE7645">
      <w:pPr>
        <w:pStyle w:val="Bodytext20"/>
        <w:shd w:val="clear" w:color="auto" w:fill="auto"/>
        <w:spacing w:before="0" w:line="346" w:lineRule="exact"/>
        <w:ind w:left="680" w:firstLine="0"/>
        <w:rPr>
          <w:noProof/>
        </w:rPr>
      </w:pPr>
      <w:r>
        <w:rPr>
          <w:noProof/>
        </w:rPr>
        <w:t>Le paragraphe suivant est ajouté à la suite du paragraphe 3 </w:t>
      </w:r>
      <w:r>
        <w:rPr>
          <w:i/>
          <w:noProof/>
        </w:rPr>
        <w:t>bis</w:t>
      </w:r>
      <w:r>
        <w:rPr>
          <w:noProof/>
        </w:rPr>
        <w:t xml:space="preserve"> de l’article 7 du Protocole:</w:t>
      </w:r>
    </w:p>
    <w:p w:rsidR="008C2383" w:rsidRDefault="00CE7645">
      <w:pPr>
        <w:pStyle w:val="Bodytext20"/>
        <w:shd w:val="clear" w:color="auto" w:fill="auto"/>
        <w:spacing w:before="0" w:after="24"/>
        <w:ind w:left="680" w:firstLine="0"/>
        <w:rPr>
          <w:noProof/>
        </w:rPr>
      </w:pPr>
      <w:r>
        <w:rPr>
          <w:noProof/>
        </w:rPr>
        <w:t>« 3 </w:t>
      </w:r>
      <w:r>
        <w:rPr>
          <w:i/>
          <w:noProof/>
        </w:rPr>
        <w:t>ter</w:t>
      </w:r>
      <w:r>
        <w:rPr>
          <w:noProof/>
        </w:rPr>
        <w:t>. Chaque Partie fournit au Secrétariat des données statistiques sur ses émissions annue</w:t>
      </w:r>
      <w:r>
        <w:rPr>
          <w:noProof/>
        </w:rPr>
        <w:t>lles des substances réglementées du groupe II de l’Annexe F pour chaque installation de production, conformément au paragraphe 1 d) de l’article 3 du Protocole.»</w:t>
      </w:r>
    </w:p>
    <w:p w:rsidR="008C2383" w:rsidRDefault="00CE7645">
      <w:pPr>
        <w:pStyle w:val="Bodytext40"/>
        <w:shd w:val="clear" w:color="auto" w:fill="auto"/>
        <w:spacing w:line="350" w:lineRule="exact"/>
        <w:jc w:val="left"/>
        <w:rPr>
          <w:noProof/>
        </w:rPr>
      </w:pPr>
      <w:r>
        <w:rPr>
          <w:noProof/>
        </w:rPr>
        <w:t>Article 7, paragraphe 4</w:t>
      </w:r>
    </w:p>
    <w:p w:rsidR="008C2383" w:rsidRDefault="00CE7645">
      <w:pPr>
        <w:pStyle w:val="Bodytext20"/>
        <w:shd w:val="clear" w:color="auto" w:fill="auto"/>
        <w:spacing w:before="0" w:line="350" w:lineRule="exact"/>
        <w:ind w:left="680" w:firstLine="0"/>
        <w:rPr>
          <w:noProof/>
        </w:rPr>
      </w:pPr>
      <w:r>
        <w:rPr>
          <w:noProof/>
        </w:rPr>
        <w:t>Au paragraphe 4 de l’article 7, après:</w:t>
      </w:r>
    </w:p>
    <w:p w:rsidR="008C2383" w:rsidRDefault="00CE7645">
      <w:pPr>
        <w:pStyle w:val="Bodytext20"/>
        <w:shd w:val="clear" w:color="auto" w:fill="auto"/>
        <w:spacing w:before="0" w:line="350" w:lineRule="exact"/>
        <w:ind w:left="680" w:firstLine="0"/>
        <w:rPr>
          <w:noProof/>
        </w:rPr>
      </w:pPr>
      <w:r>
        <w:rPr>
          <w:noProof/>
        </w:rPr>
        <w:t>«données statistiques sur» et «</w:t>
      </w:r>
      <w:r>
        <w:rPr>
          <w:noProof/>
        </w:rPr>
        <w:t>fournit des données sur», ajouter:</w:t>
      </w:r>
    </w:p>
    <w:p w:rsidR="008C2383" w:rsidRDefault="00CE7645">
      <w:pPr>
        <w:pStyle w:val="Bodytext20"/>
        <w:shd w:val="clear" w:color="auto" w:fill="auto"/>
        <w:spacing w:before="0" w:line="350" w:lineRule="exact"/>
        <w:ind w:left="680" w:firstLine="0"/>
        <w:rPr>
          <w:noProof/>
        </w:rPr>
      </w:pPr>
      <w:r>
        <w:rPr>
          <w:noProof/>
        </w:rPr>
        <w:t>«la production,»</w:t>
      </w:r>
    </w:p>
    <w:p w:rsidR="008C2383" w:rsidRDefault="00CE7645">
      <w:pPr>
        <w:pStyle w:val="Bodytext40"/>
        <w:shd w:val="clear" w:color="auto" w:fill="auto"/>
        <w:spacing w:line="350" w:lineRule="exact"/>
        <w:jc w:val="left"/>
        <w:rPr>
          <w:noProof/>
        </w:rPr>
      </w:pPr>
      <w:r>
        <w:rPr>
          <w:noProof/>
        </w:rPr>
        <w:t>Article 10, paragraphe 1</w:t>
      </w:r>
    </w:p>
    <w:p w:rsidR="008C2383" w:rsidRDefault="00CE7645">
      <w:pPr>
        <w:pStyle w:val="Bodytext20"/>
        <w:shd w:val="clear" w:color="auto" w:fill="auto"/>
        <w:spacing w:before="0" w:line="350" w:lineRule="exact"/>
        <w:ind w:left="720" w:firstLine="0"/>
        <w:rPr>
          <w:noProof/>
        </w:rPr>
      </w:pPr>
      <w:r>
        <w:rPr>
          <w:noProof/>
        </w:rPr>
        <w:t>Au paragraphe 1 de l’article 10 du Protocole, remplacer:</w:t>
      </w:r>
    </w:p>
    <w:p w:rsidR="008C2383" w:rsidRDefault="00CE7645">
      <w:pPr>
        <w:pStyle w:val="Bodytext20"/>
        <w:shd w:val="clear" w:color="auto" w:fill="auto"/>
        <w:spacing w:before="0" w:line="350" w:lineRule="exact"/>
        <w:ind w:left="720" w:firstLine="0"/>
        <w:rPr>
          <w:noProof/>
        </w:rPr>
      </w:pPr>
      <w:r>
        <w:rPr>
          <w:noProof/>
        </w:rPr>
        <w:t>«et article 2I»</w:t>
      </w:r>
    </w:p>
    <w:p w:rsidR="008C2383" w:rsidRDefault="00CE7645">
      <w:pPr>
        <w:pStyle w:val="Bodytext20"/>
        <w:shd w:val="clear" w:color="auto" w:fill="auto"/>
        <w:spacing w:before="0" w:line="350" w:lineRule="exact"/>
        <w:ind w:left="720" w:firstLine="0"/>
        <w:rPr>
          <w:noProof/>
        </w:rPr>
      </w:pPr>
      <w:r>
        <w:rPr>
          <w:noProof/>
        </w:rPr>
        <w:t>par:</w:t>
      </w:r>
    </w:p>
    <w:p w:rsidR="008C2383" w:rsidRDefault="00CE7645">
      <w:pPr>
        <w:pStyle w:val="Bodytext20"/>
        <w:shd w:val="clear" w:color="auto" w:fill="auto"/>
        <w:spacing w:before="0" w:line="350" w:lineRule="exact"/>
        <w:ind w:left="720" w:firstLine="0"/>
        <w:rPr>
          <w:noProof/>
        </w:rPr>
      </w:pPr>
      <w:r>
        <w:rPr>
          <w:noProof/>
        </w:rPr>
        <w:t>«, article 2I et article 2J»</w:t>
      </w:r>
    </w:p>
    <w:p w:rsidR="008C2383" w:rsidRDefault="00CE7645">
      <w:pPr>
        <w:pStyle w:val="Bodytext20"/>
        <w:shd w:val="clear" w:color="auto" w:fill="auto"/>
        <w:spacing w:before="0" w:line="350" w:lineRule="exact"/>
        <w:ind w:left="720" w:firstLine="0"/>
        <w:rPr>
          <w:noProof/>
        </w:rPr>
      </w:pPr>
      <w:r>
        <w:rPr>
          <w:noProof/>
        </w:rPr>
        <w:t xml:space="preserve">Le texte suivant est ajouté à la fin du paragraphe 1 de l’article 10 du </w:t>
      </w:r>
      <w:r>
        <w:rPr>
          <w:noProof/>
        </w:rPr>
        <w:t>Protocole:</w:t>
      </w:r>
    </w:p>
    <w:p w:rsidR="008C2383" w:rsidRDefault="00CE7645">
      <w:pPr>
        <w:pStyle w:val="Bodytext20"/>
        <w:shd w:val="clear" w:color="auto" w:fill="auto"/>
        <w:spacing w:before="0" w:after="24"/>
        <w:ind w:left="720" w:firstLine="0"/>
        <w:rPr>
          <w:noProof/>
        </w:rPr>
      </w:pPr>
      <w:r>
        <w:rPr>
          <w:noProof/>
        </w:rPr>
        <w:t xml:space="preserve">«Lorsqu’une Partie visée au paragraphe 1 de l’article 5 choisit de bénéficier des fonds d’un autre mécanisme de financement pour couvrir une part quelconque de ses surcoûts convenus, cette part n’est pas couverte par le mécanisme de financement </w:t>
      </w:r>
      <w:r>
        <w:rPr>
          <w:noProof/>
        </w:rPr>
        <w:t>prévu à l’article 10 du présent Protocole.»</w:t>
      </w:r>
    </w:p>
    <w:p w:rsidR="008C2383" w:rsidRDefault="00CE7645">
      <w:pPr>
        <w:pStyle w:val="Bodytext40"/>
        <w:shd w:val="clear" w:color="auto" w:fill="auto"/>
        <w:spacing w:line="350" w:lineRule="exact"/>
        <w:jc w:val="left"/>
        <w:rPr>
          <w:noProof/>
        </w:rPr>
      </w:pPr>
      <w:r>
        <w:rPr>
          <w:noProof/>
        </w:rPr>
        <w:t>Article 17</w:t>
      </w:r>
    </w:p>
    <w:p w:rsidR="008C2383" w:rsidRDefault="00CE7645">
      <w:pPr>
        <w:pStyle w:val="Bodytext20"/>
        <w:shd w:val="clear" w:color="auto" w:fill="auto"/>
        <w:spacing w:before="0" w:line="350" w:lineRule="exact"/>
        <w:ind w:left="720" w:firstLine="0"/>
        <w:rPr>
          <w:noProof/>
        </w:rPr>
      </w:pPr>
      <w:r>
        <w:rPr>
          <w:noProof/>
        </w:rPr>
        <w:t>À l’article 17 du Protocole, remplacer:</w:t>
      </w:r>
    </w:p>
    <w:p w:rsidR="008C2383" w:rsidRDefault="00CE7645">
      <w:pPr>
        <w:pStyle w:val="Bodytext20"/>
        <w:shd w:val="clear" w:color="auto" w:fill="auto"/>
        <w:spacing w:before="0" w:line="350" w:lineRule="exact"/>
        <w:ind w:left="720" w:firstLine="0"/>
        <w:rPr>
          <w:noProof/>
        </w:rPr>
      </w:pPr>
      <w:r>
        <w:rPr>
          <w:noProof/>
        </w:rPr>
        <w:t>«des articles 2A à 2I» par:</w:t>
      </w:r>
    </w:p>
    <w:p w:rsidR="008C2383" w:rsidRDefault="00CE7645">
      <w:pPr>
        <w:pStyle w:val="Bodytext20"/>
        <w:shd w:val="clear" w:color="auto" w:fill="auto"/>
        <w:spacing w:before="0" w:after="450" w:line="350" w:lineRule="exact"/>
        <w:ind w:left="720" w:firstLine="0"/>
        <w:rPr>
          <w:noProof/>
        </w:rPr>
      </w:pPr>
      <w:r>
        <w:rPr>
          <w:noProof/>
        </w:rPr>
        <w:t>«des articles 2A à 2J»</w:t>
      </w:r>
    </w:p>
    <w:p w:rsidR="008C2383" w:rsidRDefault="00CE7645">
      <w:pPr>
        <w:pStyle w:val="Tablecaption20"/>
        <w:framePr w:w="7037" w:wrap="notBeside" w:vAnchor="text" w:hAnchor="text" w:y="1"/>
        <w:shd w:val="clear" w:color="auto" w:fill="auto"/>
        <w:rPr>
          <w:noProof/>
        </w:rPr>
      </w:pPr>
      <w:r>
        <w:rPr>
          <w:noProof/>
        </w:rPr>
        <w:t>Annexe A</w:t>
      </w:r>
    </w:p>
    <w:p w:rsidR="008C2383" w:rsidRDefault="00CE7645">
      <w:pPr>
        <w:pStyle w:val="Tablecaption0"/>
        <w:framePr w:w="7037" w:wrap="notBeside" w:vAnchor="text" w:hAnchor="text" w:y="1"/>
        <w:shd w:val="clear" w:color="auto" w:fill="auto"/>
        <w:rPr>
          <w:noProof/>
        </w:rPr>
      </w:pPr>
      <w:r>
        <w:rPr>
          <w:noProof/>
        </w:rPr>
        <w:t>Le tableau ci-après remplace le tableau correspondant au groupe I de l’Annexe A du Protocole: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603"/>
        <w:gridCol w:w="1709"/>
        <w:gridCol w:w="1733"/>
        <w:gridCol w:w="1992"/>
      </w:tblGrid>
      <w:tr w:rsidR="008C2383">
        <w:trPr>
          <w:trHeight w:hRule="exact" w:val="784"/>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Bold"/>
                <w:noProof/>
              </w:rPr>
              <w:t>Groupe</w:t>
            </w:r>
          </w:p>
        </w:tc>
        <w:tc>
          <w:tcPr>
            <w:tcW w:w="1709"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Bold"/>
                <w:noProof/>
              </w:rPr>
              <w:t>Substance</w:t>
            </w:r>
          </w:p>
        </w:tc>
        <w:tc>
          <w:tcPr>
            <w:tcW w:w="173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Bold"/>
                <w:noProof/>
              </w:rPr>
              <w:t>Potentiel</w:t>
            </w:r>
          </w:p>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Bold"/>
                <w:noProof/>
              </w:rPr>
              <w:t>de destruction</w:t>
            </w:r>
            <w:r>
              <w:rPr>
                <w:rStyle w:val="Bodytext2Bold"/>
                <w:noProof/>
              </w:rPr>
              <w:br/>
              <w:t>de l’ozone*</w:t>
            </w:r>
          </w:p>
        </w:tc>
        <w:tc>
          <w:tcPr>
            <w:tcW w:w="1992"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ind w:firstLine="0"/>
              <w:jc w:val="right"/>
              <w:rPr>
                <w:noProof/>
              </w:rPr>
            </w:pPr>
            <w:r>
              <w:rPr>
                <w:rStyle w:val="Bodytext2Bold"/>
                <w:noProof/>
              </w:rPr>
              <w:t>Potentiel de réchauffement global</w:t>
            </w:r>
            <w:r>
              <w:rPr>
                <w:rStyle w:val="Bodytext2Bold"/>
                <w:noProof/>
              </w:rPr>
              <w:br/>
              <w:t>sur 100 ans</w:t>
            </w:r>
          </w:p>
        </w:tc>
      </w:tr>
      <w:tr w:rsidR="008C2383">
        <w:trPr>
          <w:trHeight w:hRule="exact" w:val="240"/>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Italic0"/>
                <w:noProof/>
              </w:rPr>
              <w:t>Groupe I</w:t>
            </w:r>
          </w:p>
        </w:tc>
        <w:tc>
          <w:tcPr>
            <w:tcW w:w="1709" w:type="dxa"/>
            <w:tcBorders>
              <w:top w:val="single" w:sz="4" w:space="0" w:color="auto"/>
              <w:left w:val="single" w:sz="4" w:space="0" w:color="auto"/>
            </w:tcBorders>
            <w:shd w:val="clear" w:color="auto" w:fill="FFFFFF"/>
          </w:tcPr>
          <w:p w:rsidR="008C2383" w:rsidRDefault="008C2383">
            <w:pPr>
              <w:framePr w:w="7037" w:wrap="notBeside" w:vAnchor="text" w:hAnchor="text" w:y="1"/>
              <w:rPr>
                <w:noProof/>
                <w:sz w:val="10"/>
                <w:szCs w:val="10"/>
              </w:rPr>
            </w:pPr>
          </w:p>
        </w:tc>
        <w:tc>
          <w:tcPr>
            <w:tcW w:w="1733" w:type="dxa"/>
            <w:tcBorders>
              <w:top w:val="single" w:sz="4" w:space="0" w:color="auto"/>
              <w:left w:val="single" w:sz="4" w:space="0" w:color="auto"/>
            </w:tcBorders>
            <w:shd w:val="clear" w:color="auto" w:fill="FFFFFF"/>
          </w:tcPr>
          <w:p w:rsidR="008C2383" w:rsidRDefault="008C2383">
            <w:pPr>
              <w:framePr w:w="7037" w:wrap="notBeside" w:vAnchor="text" w:hAnchor="text" w:y="1"/>
              <w:rPr>
                <w:noProof/>
                <w:sz w:val="10"/>
                <w:szCs w:val="10"/>
              </w:rPr>
            </w:pPr>
          </w:p>
        </w:tc>
        <w:tc>
          <w:tcPr>
            <w:tcW w:w="1992" w:type="dxa"/>
            <w:tcBorders>
              <w:top w:val="single" w:sz="4" w:space="0" w:color="auto"/>
              <w:left w:val="single" w:sz="4" w:space="0" w:color="auto"/>
              <w:right w:val="single" w:sz="4" w:space="0" w:color="auto"/>
            </w:tcBorders>
            <w:shd w:val="clear" w:color="auto" w:fill="FFFFFF"/>
          </w:tcPr>
          <w:p w:rsidR="008C2383" w:rsidRDefault="008C2383">
            <w:pPr>
              <w:framePr w:w="7037" w:wrap="notBeside" w:vAnchor="text" w:hAnchor="text" w:y="1"/>
              <w:rPr>
                <w:noProof/>
                <w:sz w:val="10"/>
                <w:szCs w:val="10"/>
              </w:rPr>
            </w:pPr>
          </w:p>
        </w:tc>
      </w:tr>
      <w:tr w:rsidR="008C2383">
        <w:trPr>
          <w:trHeight w:hRule="exact" w:val="240"/>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CFCl</w:t>
            </w:r>
            <w:r>
              <w:rPr>
                <w:rStyle w:val="Bodytext26pt0"/>
                <w:noProof/>
              </w:rPr>
              <w:t>3</w:t>
            </w:r>
          </w:p>
        </w:tc>
        <w:tc>
          <w:tcPr>
            <w:tcW w:w="1709"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(CFC-11)</w:t>
            </w:r>
          </w:p>
        </w:tc>
        <w:tc>
          <w:tcPr>
            <w:tcW w:w="173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4 750</w:t>
            </w:r>
          </w:p>
        </w:tc>
      </w:tr>
      <w:tr w:rsidR="008C2383">
        <w:trPr>
          <w:trHeight w:hRule="exact" w:val="240"/>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w:t>
            </w:r>
            <w:r>
              <w:rPr>
                <w:rStyle w:val="Bodytext26pt0"/>
                <w:noProof/>
              </w:rPr>
              <w:t>2</w:t>
            </w:r>
            <w:r>
              <w:rPr>
                <w:rStyle w:val="Bodytext21"/>
                <w:noProof/>
              </w:rPr>
              <w:t>Cl</w:t>
            </w:r>
            <w:r>
              <w:rPr>
                <w:rStyle w:val="Bodytext26pt0"/>
                <w:noProof/>
              </w:rPr>
              <w:t>2</w:t>
            </w:r>
          </w:p>
        </w:tc>
        <w:tc>
          <w:tcPr>
            <w:tcW w:w="1709"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(CFC-12)</w:t>
            </w:r>
          </w:p>
        </w:tc>
        <w:tc>
          <w:tcPr>
            <w:tcW w:w="173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10 900</w:t>
            </w:r>
          </w:p>
        </w:tc>
      </w:tr>
      <w:tr w:rsidR="008C2383">
        <w:trPr>
          <w:trHeight w:hRule="exact" w:val="240"/>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3</w:t>
            </w:r>
            <w:r>
              <w:rPr>
                <w:rStyle w:val="Bodytext21"/>
                <w:noProof/>
              </w:rPr>
              <w:t>Cl</w:t>
            </w:r>
            <w:r>
              <w:rPr>
                <w:rStyle w:val="Bodytext26pt0"/>
                <w:noProof/>
              </w:rPr>
              <w:t>3</w:t>
            </w:r>
          </w:p>
        </w:tc>
        <w:tc>
          <w:tcPr>
            <w:tcW w:w="1709"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(CFC-113)</w:t>
            </w:r>
          </w:p>
        </w:tc>
        <w:tc>
          <w:tcPr>
            <w:tcW w:w="173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0,8</w:t>
            </w:r>
          </w:p>
        </w:tc>
        <w:tc>
          <w:tcPr>
            <w:tcW w:w="1992"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6 130</w:t>
            </w:r>
          </w:p>
        </w:tc>
      </w:tr>
      <w:tr w:rsidR="008C2383">
        <w:trPr>
          <w:trHeight w:hRule="exact" w:val="240"/>
        </w:trPr>
        <w:tc>
          <w:tcPr>
            <w:tcW w:w="160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4</w:t>
            </w:r>
            <w:r>
              <w:rPr>
                <w:rStyle w:val="Bodytext21"/>
                <w:noProof/>
              </w:rPr>
              <w:t>Cl</w:t>
            </w:r>
            <w:r>
              <w:rPr>
                <w:rStyle w:val="Bodytext26pt0"/>
                <w:noProof/>
              </w:rPr>
              <w:t>2</w:t>
            </w:r>
          </w:p>
        </w:tc>
        <w:tc>
          <w:tcPr>
            <w:tcW w:w="1709"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(CFC-114)</w:t>
            </w:r>
          </w:p>
        </w:tc>
        <w:tc>
          <w:tcPr>
            <w:tcW w:w="1733" w:type="dxa"/>
            <w:tcBorders>
              <w:top w:val="single" w:sz="4" w:space="0" w:color="auto"/>
              <w:lef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1,0</w:t>
            </w:r>
          </w:p>
        </w:tc>
        <w:tc>
          <w:tcPr>
            <w:tcW w:w="1992"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10 000</w:t>
            </w:r>
          </w:p>
        </w:tc>
      </w:tr>
      <w:tr w:rsidR="008C2383">
        <w:trPr>
          <w:trHeight w:hRule="exact" w:val="250"/>
        </w:trPr>
        <w:tc>
          <w:tcPr>
            <w:tcW w:w="1603"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w:t>
            </w:r>
            <w:r>
              <w:rPr>
                <w:rStyle w:val="Bodytext26pt0"/>
                <w:noProof/>
              </w:rPr>
              <w:t>2</w:t>
            </w:r>
            <w:r>
              <w:rPr>
                <w:rStyle w:val="Bodytext21"/>
                <w:noProof/>
              </w:rPr>
              <w:t>F</w:t>
            </w:r>
            <w:r>
              <w:rPr>
                <w:rStyle w:val="Bodytext26pt0"/>
                <w:noProof/>
              </w:rPr>
              <w:t>5</w:t>
            </w:r>
            <w:r>
              <w:rPr>
                <w:rStyle w:val="Bodytext21"/>
                <w:noProof/>
              </w:rPr>
              <w:t>Cl</w:t>
            </w:r>
          </w:p>
        </w:tc>
        <w:tc>
          <w:tcPr>
            <w:tcW w:w="1709"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rPr>
                <w:noProof/>
              </w:rPr>
            </w:pPr>
            <w:r>
              <w:rPr>
                <w:rStyle w:val="Bodytext21"/>
                <w:noProof/>
              </w:rPr>
              <w:t>(CFC-115)</w:t>
            </w:r>
          </w:p>
        </w:tc>
        <w:tc>
          <w:tcPr>
            <w:tcW w:w="1733"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C2383" w:rsidRDefault="00CE7645">
            <w:pPr>
              <w:pStyle w:val="Bodytext20"/>
              <w:framePr w:w="7037" w:wrap="notBeside" w:vAnchor="text" w:hAnchor="text" w:y="1"/>
              <w:shd w:val="clear" w:color="auto" w:fill="auto"/>
              <w:spacing w:before="0" w:line="222" w:lineRule="exact"/>
              <w:ind w:firstLine="0"/>
              <w:jc w:val="right"/>
              <w:rPr>
                <w:noProof/>
              </w:rPr>
            </w:pPr>
            <w:r>
              <w:rPr>
                <w:rStyle w:val="Bodytext21"/>
                <w:noProof/>
              </w:rPr>
              <w:t>7 370</w:t>
            </w:r>
          </w:p>
        </w:tc>
      </w:tr>
    </w:tbl>
    <w:p w:rsidR="008C2383" w:rsidRDefault="008C2383">
      <w:pPr>
        <w:pStyle w:val="Tablecaption20"/>
        <w:framePr w:w="7037" w:wrap="notBeside" w:vAnchor="text" w:hAnchor="text" w:y="1"/>
        <w:shd w:val="clear" w:color="auto" w:fill="auto"/>
        <w:rPr>
          <w:noProof/>
        </w:rPr>
      </w:pPr>
    </w:p>
    <w:p w:rsidR="008C2383" w:rsidRDefault="00CE7645">
      <w:pPr>
        <w:pStyle w:val="Tablecaption20"/>
        <w:framePr w:w="7037" w:wrap="notBeside" w:vAnchor="text" w:hAnchor="text" w:y="1"/>
        <w:shd w:val="clear" w:color="auto" w:fill="auto"/>
        <w:rPr>
          <w:noProof/>
        </w:rPr>
      </w:pPr>
      <w:r>
        <w:rPr>
          <w:noProof/>
        </w:rPr>
        <w:t>Annexe C et Annexe F</w:t>
      </w:r>
    </w:p>
    <w:p w:rsidR="008C2383" w:rsidRDefault="008C2383">
      <w:pPr>
        <w:framePr w:w="7037" w:wrap="notBeside" w:vAnchor="text" w:hAnchor="text" w:y="1"/>
        <w:rPr>
          <w:noProof/>
          <w:sz w:val="2"/>
          <w:szCs w:val="2"/>
        </w:rPr>
      </w:pPr>
    </w:p>
    <w:p w:rsidR="008C2383" w:rsidRDefault="008C2383">
      <w:pPr>
        <w:rPr>
          <w:noProof/>
          <w:sz w:val="2"/>
          <w:szCs w:val="2"/>
        </w:rPr>
      </w:pPr>
    </w:p>
    <w:p w:rsidR="008C2383" w:rsidRDefault="00CE7645">
      <w:pPr>
        <w:pStyle w:val="Tablecaption0"/>
        <w:framePr w:w="8311" w:h="5131" w:hRule="exact" w:wrap="notBeside" w:vAnchor="text" w:hAnchor="text" w:y="4"/>
        <w:shd w:val="clear" w:color="auto" w:fill="auto"/>
        <w:rPr>
          <w:noProof/>
        </w:rPr>
      </w:pPr>
      <w:r>
        <w:rPr>
          <w:noProof/>
        </w:rPr>
        <w:t>Le tableau ci-après remplace le tableau correspondant au groupe I de l’Annexe C du Protocole:</w:t>
      </w:r>
    </w:p>
    <w:tbl>
      <w:tblPr>
        <w:tblOverlap w:val="never"/>
        <w:tblW w:w="8164" w:type="dxa"/>
        <w:tblInd w:w="10" w:type="dxa"/>
        <w:tblLayout w:type="fixed"/>
        <w:tblCellMar>
          <w:left w:w="10" w:type="dxa"/>
          <w:right w:w="10" w:type="dxa"/>
        </w:tblCellMar>
        <w:tblLook w:val="0000" w:firstRow="0" w:lastRow="0" w:firstColumn="0" w:lastColumn="0" w:noHBand="0" w:noVBand="0"/>
      </w:tblPr>
      <w:tblGrid>
        <w:gridCol w:w="1783"/>
        <w:gridCol w:w="1647"/>
        <w:gridCol w:w="1055"/>
        <w:gridCol w:w="1715"/>
        <w:gridCol w:w="1964"/>
      </w:tblGrid>
      <w:tr w:rsidR="008C2383">
        <w:trPr>
          <w:trHeight w:hRule="exact" w:val="980"/>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Bold"/>
                <w:noProof/>
              </w:rPr>
              <w:t>Groupe</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Bold"/>
                <w:noProof/>
              </w:rPr>
              <w:t>Substance</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Nombre</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d'isomères</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Potentiel</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de destruction</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de l’ozone*</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Potentiel de</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réchauffement</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global</w:t>
            </w:r>
          </w:p>
          <w:p w:rsidR="008C2383" w:rsidRDefault="00CE7645">
            <w:pPr>
              <w:pStyle w:val="Bodytext20"/>
              <w:framePr w:w="8311" w:h="5131" w:hRule="exact" w:wrap="notBeside" w:vAnchor="text" w:hAnchor="text" w:y="4"/>
              <w:shd w:val="clear" w:color="auto" w:fill="auto"/>
              <w:spacing w:before="0" w:line="240" w:lineRule="exact"/>
              <w:ind w:firstLine="0"/>
              <w:jc w:val="right"/>
              <w:rPr>
                <w:noProof/>
              </w:rPr>
            </w:pPr>
            <w:r>
              <w:rPr>
                <w:rStyle w:val="Bodytext2Bold"/>
                <w:noProof/>
              </w:rPr>
              <w:t>sur 100 ans***</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Italic0"/>
                <w:noProof/>
              </w:rPr>
              <w:t>Groupe I</w:t>
            </w:r>
          </w:p>
        </w:tc>
        <w:tc>
          <w:tcPr>
            <w:tcW w:w="1647" w:type="dxa"/>
            <w:tcBorders>
              <w:top w:val="single" w:sz="4" w:space="0" w:color="auto"/>
              <w:left w:val="single" w:sz="4" w:space="0" w:color="auto"/>
            </w:tcBorders>
            <w:shd w:val="clear" w:color="auto" w:fill="FFFFFF"/>
          </w:tcPr>
          <w:p w:rsidR="008C2383" w:rsidRDefault="008C2383">
            <w:pPr>
              <w:framePr w:w="8311" w:h="5131" w:hRule="exact" w:wrap="notBeside" w:vAnchor="text" w:hAnchor="text" w:y="4"/>
              <w:rPr>
                <w:noProof/>
                <w:sz w:val="10"/>
                <w:szCs w:val="10"/>
              </w:rPr>
            </w:pPr>
          </w:p>
        </w:tc>
        <w:tc>
          <w:tcPr>
            <w:tcW w:w="1055" w:type="dxa"/>
            <w:tcBorders>
              <w:top w:val="single" w:sz="4" w:space="0" w:color="auto"/>
              <w:left w:val="single" w:sz="4" w:space="0" w:color="auto"/>
            </w:tcBorders>
            <w:shd w:val="clear" w:color="auto" w:fill="FFFFFF"/>
          </w:tcPr>
          <w:p w:rsidR="008C2383" w:rsidRDefault="008C2383">
            <w:pPr>
              <w:framePr w:w="8311" w:h="5131" w:hRule="exact" w:wrap="notBeside" w:vAnchor="text" w:hAnchor="text" w:y="4"/>
              <w:rPr>
                <w:noProof/>
                <w:sz w:val="10"/>
                <w:szCs w:val="10"/>
              </w:rPr>
            </w:pPr>
          </w:p>
        </w:tc>
        <w:tc>
          <w:tcPr>
            <w:tcW w:w="1715" w:type="dxa"/>
            <w:tcBorders>
              <w:top w:val="single" w:sz="4" w:space="0" w:color="auto"/>
              <w:left w:val="single" w:sz="4" w:space="0" w:color="auto"/>
            </w:tcBorders>
            <w:shd w:val="clear" w:color="auto" w:fill="FFFFFF"/>
          </w:tcPr>
          <w:p w:rsidR="008C2383" w:rsidRDefault="008C2383">
            <w:pPr>
              <w:framePr w:w="8311" w:h="5131" w:hRule="exact" w:wrap="notBeside" w:vAnchor="text" w:hAnchor="text" w:y="4"/>
              <w:rPr>
                <w:noProof/>
                <w:sz w:val="10"/>
                <w:szCs w:val="10"/>
              </w:rPr>
            </w:pP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CHFCl</w:t>
            </w:r>
            <w:r>
              <w:rPr>
                <w:rStyle w:val="Bodytext21"/>
                <w:noProof/>
                <w:vertAlign w:val="subscript"/>
              </w:rPr>
              <w:t>2</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(HCFC-21)**</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1</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0,04</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151</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CHF</w:t>
            </w:r>
            <w:r>
              <w:rPr>
                <w:rStyle w:val="Bodytext21"/>
                <w:noProof/>
                <w:vertAlign w:val="subscript"/>
              </w:rPr>
              <w:t>2</w:t>
            </w:r>
            <w:r>
              <w:rPr>
                <w:rStyle w:val="Bodytext21"/>
                <w:noProof/>
              </w:rPr>
              <w:t>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(HCFC-22)**</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1</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0,055</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1 810</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CHFCl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(HCFC-31)</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1</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HFCl</w:t>
            </w:r>
            <w:r>
              <w:rPr>
                <w:rStyle w:val="Bodytext21"/>
                <w:noProof/>
                <w:vertAlign w:val="subscript"/>
              </w:rPr>
              <w:t>4</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(HCFC-121)</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2</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0,01-0,04</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7"/>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2</w:t>
            </w:r>
            <w:r>
              <w:rPr>
                <w:rStyle w:val="Bodytext21"/>
                <w:noProof/>
              </w:rPr>
              <w:t>Cl</w:t>
            </w:r>
            <w:r>
              <w:rPr>
                <w:rStyle w:val="Bodytext21"/>
                <w:noProof/>
                <w:vertAlign w:val="subscript"/>
              </w:rPr>
              <w:t>3</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(HCFC-122)</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0,02-0,08</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3</w:t>
            </w:r>
            <w:r>
              <w:rPr>
                <w:rStyle w:val="Bodytext21"/>
                <w:noProof/>
              </w:rPr>
              <w:t>Cl</w:t>
            </w:r>
            <w:r>
              <w:rPr>
                <w:rStyle w:val="Bodytext21"/>
                <w:noProof/>
                <w:vertAlign w:val="subscript"/>
              </w:rPr>
              <w:t>2</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(HCFC-123)</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0,02-0,06</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77</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CHCl</w:t>
            </w:r>
            <w:r>
              <w:rPr>
                <w:rStyle w:val="Bodytext21"/>
                <w:noProof/>
                <w:vertAlign w:val="subscript"/>
              </w:rPr>
              <w:t>2</w:t>
            </w:r>
            <w:r>
              <w:rPr>
                <w:rStyle w:val="Bodytext21"/>
                <w:noProof/>
              </w:rPr>
              <w:t>CF</w:t>
            </w:r>
            <w:r>
              <w:rPr>
                <w:rStyle w:val="Bodytext21"/>
                <w:noProof/>
                <w:vertAlign w:val="subscript"/>
              </w:rPr>
              <w:t>3</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(HCFC-123)**</w:t>
            </w:r>
          </w:p>
        </w:tc>
        <w:tc>
          <w:tcPr>
            <w:tcW w:w="1055" w:type="dxa"/>
            <w:tcBorders>
              <w:top w:val="single" w:sz="4" w:space="0" w:color="auto"/>
              <w:left w:val="single" w:sz="4" w:space="0" w:color="auto"/>
            </w:tcBorders>
            <w:shd w:val="clear" w:color="auto" w:fill="FFFFFF"/>
            <w:vAlign w:val="center"/>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HF</w:t>
            </w:r>
            <w:r>
              <w:rPr>
                <w:rStyle w:val="Bodytext21"/>
                <w:noProof/>
                <w:vertAlign w:val="subscript"/>
              </w:rPr>
              <w:t>4</w:t>
            </w:r>
            <w:r>
              <w:rPr>
                <w:rStyle w:val="Bodytext21"/>
                <w:noProof/>
              </w:rPr>
              <w:t>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(HCFC-124)</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2</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0,02-0,04</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609</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CHFClCF</w:t>
            </w:r>
            <w:r>
              <w:rPr>
                <w:rStyle w:val="Bodytext21"/>
                <w:noProof/>
                <w:vertAlign w:val="subscript"/>
              </w:rPr>
              <w:t>3</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(HCFC-124)**</w:t>
            </w:r>
          </w:p>
        </w:tc>
        <w:tc>
          <w:tcPr>
            <w:tcW w:w="1055" w:type="dxa"/>
            <w:tcBorders>
              <w:top w:val="single" w:sz="4" w:space="0" w:color="auto"/>
              <w:left w:val="single" w:sz="4" w:space="0" w:color="auto"/>
            </w:tcBorders>
            <w:shd w:val="clear" w:color="auto" w:fill="FFFFFF"/>
            <w:vAlign w:val="center"/>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0,022</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FCl</w:t>
            </w:r>
            <w:r>
              <w:rPr>
                <w:rStyle w:val="Bodytext21"/>
                <w:noProof/>
                <w:vertAlign w:val="subscript"/>
              </w:rPr>
              <w:t>3</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(HCFC-131)</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0,007-0,05</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w:t>
            </w:r>
            <w:r>
              <w:rPr>
                <w:rStyle w:val="Bodytext21"/>
                <w:noProof/>
                <w:vertAlign w:val="subscript"/>
              </w:rPr>
              <w:t>2</w:t>
            </w:r>
            <w:r>
              <w:rPr>
                <w:rStyle w:val="Bodytext21"/>
                <w:noProof/>
              </w:rPr>
              <w:t>Cl</w:t>
            </w:r>
            <w:r>
              <w:rPr>
                <w:rStyle w:val="Bodytext21"/>
                <w:noProof/>
                <w:vertAlign w:val="subscript"/>
              </w:rPr>
              <w:t>2</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(HCFC-132)</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4</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0,008-0,05</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2</w:t>
            </w:r>
            <w:r>
              <w:rPr>
                <w:rStyle w:val="Bodytext21"/>
                <w:noProof/>
              </w:rPr>
              <w:t>F</w:t>
            </w:r>
            <w:r>
              <w:rPr>
                <w:rStyle w:val="Bodytext21"/>
                <w:noProof/>
                <w:vertAlign w:val="subscript"/>
              </w:rPr>
              <w:t>3</w:t>
            </w:r>
            <w:r>
              <w:rPr>
                <w:rStyle w:val="Bodytext21"/>
                <w:noProof/>
              </w:rPr>
              <w:t>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(HCFC-133)</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0,02-0,06</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3</w:t>
            </w:r>
            <w:r>
              <w:rPr>
                <w:rStyle w:val="Bodytext21"/>
                <w:noProof/>
              </w:rPr>
              <w:t>FCl</w:t>
            </w:r>
            <w:r>
              <w:rPr>
                <w:rStyle w:val="Bodytext21"/>
                <w:noProof/>
                <w:vertAlign w:val="subscript"/>
              </w:rPr>
              <w:t>2</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(HCFC-141)</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0,005-0,07</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w:t>
            </w:r>
            <w:r>
              <w:rPr>
                <w:rStyle w:val="Bodytext21"/>
                <w:noProof/>
                <w:vertAlign w:val="subscript"/>
              </w:rPr>
              <w:t>3</w:t>
            </w:r>
            <w:r>
              <w:rPr>
                <w:rStyle w:val="Bodytext21"/>
                <w:noProof/>
              </w:rPr>
              <w:t>CFCl</w:t>
            </w:r>
            <w:r>
              <w:rPr>
                <w:rStyle w:val="Bodytext21"/>
                <w:noProof/>
                <w:vertAlign w:val="subscript"/>
              </w:rPr>
              <w:t>2</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(HCFC-141b)**</w:t>
            </w:r>
          </w:p>
        </w:tc>
        <w:tc>
          <w:tcPr>
            <w:tcW w:w="1055" w:type="dxa"/>
            <w:tcBorders>
              <w:top w:val="single" w:sz="4" w:space="0" w:color="auto"/>
              <w:left w:val="single" w:sz="4" w:space="0" w:color="auto"/>
            </w:tcBorders>
            <w:shd w:val="clear" w:color="auto" w:fill="FFFFFF"/>
            <w:vAlign w:val="center"/>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0,11</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725</w:t>
            </w: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3</w:t>
            </w:r>
            <w:r>
              <w:rPr>
                <w:rStyle w:val="Bodytext21"/>
                <w:noProof/>
              </w:rPr>
              <w:t>F</w:t>
            </w:r>
            <w:r>
              <w:rPr>
                <w:rStyle w:val="Bodytext21"/>
                <w:noProof/>
                <w:vertAlign w:val="subscript"/>
              </w:rPr>
              <w:t>2</w:t>
            </w:r>
            <w:r>
              <w:rPr>
                <w:rStyle w:val="Bodytext21"/>
                <w:noProof/>
              </w:rPr>
              <w:t>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(HCFC-142)</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3</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0,008-0,07</w:t>
            </w:r>
          </w:p>
        </w:tc>
        <w:tc>
          <w:tcPr>
            <w:tcW w:w="1964" w:type="dxa"/>
            <w:tcBorders>
              <w:top w:val="single" w:sz="4" w:space="0" w:color="auto"/>
              <w:left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r w:rsidR="008C2383">
        <w:trPr>
          <w:trHeight w:hRule="exact" w:val="214"/>
        </w:trPr>
        <w:tc>
          <w:tcPr>
            <w:tcW w:w="1783"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CH</w:t>
            </w:r>
            <w:r>
              <w:rPr>
                <w:rStyle w:val="Bodytext21"/>
                <w:noProof/>
                <w:vertAlign w:val="subscript"/>
              </w:rPr>
              <w:t>3</w:t>
            </w:r>
            <w:r>
              <w:rPr>
                <w:rStyle w:val="Bodytext21"/>
                <w:noProof/>
              </w:rPr>
              <w:t>CF</w:t>
            </w:r>
            <w:r>
              <w:rPr>
                <w:rStyle w:val="Bodytext21"/>
                <w:noProof/>
                <w:vertAlign w:val="subscript"/>
              </w:rPr>
              <w:t>2</w:t>
            </w:r>
            <w:r>
              <w:rPr>
                <w:rStyle w:val="Bodytext21"/>
                <w:noProof/>
              </w:rPr>
              <w:t>Cl</w:t>
            </w:r>
          </w:p>
        </w:tc>
        <w:tc>
          <w:tcPr>
            <w:tcW w:w="1647"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(HCFC-142b)**</w:t>
            </w:r>
          </w:p>
        </w:tc>
        <w:tc>
          <w:tcPr>
            <w:tcW w:w="105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w:t>
            </w:r>
          </w:p>
        </w:tc>
        <w:tc>
          <w:tcPr>
            <w:tcW w:w="1715" w:type="dxa"/>
            <w:tcBorders>
              <w:top w:val="single" w:sz="4" w:space="0" w:color="auto"/>
              <w:lef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0,065</w:t>
            </w:r>
          </w:p>
        </w:tc>
        <w:tc>
          <w:tcPr>
            <w:tcW w:w="196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2310</w:t>
            </w:r>
          </w:p>
        </w:tc>
      </w:tr>
      <w:tr w:rsidR="008C2383">
        <w:trPr>
          <w:trHeight w:hRule="exact" w:val="226"/>
        </w:trPr>
        <w:tc>
          <w:tcPr>
            <w:tcW w:w="1783"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C</w:t>
            </w:r>
            <w:r>
              <w:rPr>
                <w:rStyle w:val="Bodytext21"/>
                <w:noProof/>
                <w:vertAlign w:val="subscript"/>
              </w:rPr>
              <w:t>2</w:t>
            </w:r>
            <w:r>
              <w:rPr>
                <w:rStyle w:val="Bodytext21"/>
                <w:noProof/>
              </w:rPr>
              <w:t>H</w:t>
            </w:r>
            <w:r>
              <w:rPr>
                <w:rStyle w:val="Bodytext21"/>
                <w:noProof/>
                <w:vertAlign w:val="subscript"/>
              </w:rPr>
              <w:t>4</w:t>
            </w:r>
            <w:r>
              <w:rPr>
                <w:rStyle w:val="Bodytext21"/>
                <w:noProof/>
              </w:rPr>
              <w:t>FCl</w:t>
            </w:r>
          </w:p>
        </w:tc>
        <w:tc>
          <w:tcPr>
            <w:tcW w:w="1647"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rPr>
                <w:noProof/>
              </w:rPr>
            </w:pPr>
            <w:r>
              <w:rPr>
                <w:rStyle w:val="Bodytext21"/>
                <w:noProof/>
              </w:rPr>
              <w:t>(HCFC-151)</w:t>
            </w:r>
          </w:p>
        </w:tc>
        <w:tc>
          <w:tcPr>
            <w:tcW w:w="1055"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2</w:t>
            </w:r>
          </w:p>
        </w:tc>
        <w:tc>
          <w:tcPr>
            <w:tcW w:w="1715"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311" w:h="5131" w:hRule="exact" w:wrap="notBeside" w:vAnchor="text" w:hAnchor="text" w:y="4"/>
              <w:shd w:val="clear" w:color="auto" w:fill="auto"/>
              <w:spacing w:before="0" w:line="222" w:lineRule="exact"/>
              <w:ind w:firstLine="0"/>
              <w:jc w:val="right"/>
              <w:rPr>
                <w:noProof/>
              </w:rPr>
            </w:pPr>
            <w:r>
              <w:rPr>
                <w:rStyle w:val="Bodytext21"/>
                <w:noProof/>
              </w:rPr>
              <w:t>0,003-0,005</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8C2383" w:rsidRDefault="008C2383">
            <w:pPr>
              <w:framePr w:w="8311" w:h="5131" w:hRule="exact" w:wrap="notBeside" w:vAnchor="text" w:hAnchor="text" w:y="4"/>
              <w:rPr>
                <w:noProof/>
                <w:sz w:val="10"/>
                <w:szCs w:val="10"/>
              </w:rPr>
            </w:pPr>
          </w:p>
        </w:tc>
      </w:tr>
    </w:tbl>
    <w:p w:rsidR="008C2383" w:rsidRDefault="008C2383">
      <w:pPr>
        <w:framePr w:w="8311" w:h="5131" w:hRule="exact" w:wrap="notBeside" w:vAnchor="text" w:hAnchor="text" w:y="4"/>
        <w:rPr>
          <w:noProof/>
          <w:sz w:val="2"/>
          <w:szCs w:val="2"/>
        </w:rPr>
      </w:pPr>
    </w:p>
    <w:p w:rsidR="008C2383" w:rsidRDefault="008C2383">
      <w:pPr>
        <w:rPr>
          <w:noProof/>
          <w:sz w:val="2"/>
          <w:szCs w:val="2"/>
        </w:rPr>
      </w:pPr>
    </w:p>
    <w:tbl>
      <w:tblPr>
        <w:tblOverlap w:val="never"/>
        <w:tblW w:w="8265" w:type="dxa"/>
        <w:tblInd w:w="10" w:type="dxa"/>
        <w:tblLayout w:type="fixed"/>
        <w:tblCellMar>
          <w:left w:w="10" w:type="dxa"/>
          <w:right w:w="10" w:type="dxa"/>
        </w:tblCellMar>
        <w:tblLook w:val="0000" w:firstRow="0" w:lastRow="0" w:firstColumn="0" w:lastColumn="0" w:noHBand="0" w:noVBand="0"/>
      </w:tblPr>
      <w:tblGrid>
        <w:gridCol w:w="1837"/>
        <w:gridCol w:w="1935"/>
        <w:gridCol w:w="1223"/>
        <w:gridCol w:w="1536"/>
        <w:gridCol w:w="1734"/>
      </w:tblGrid>
      <w:tr w:rsidR="008C2383">
        <w:trPr>
          <w:trHeight w:hRule="exact" w:val="229"/>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HFCl</w:t>
            </w:r>
            <w:r>
              <w:rPr>
                <w:rStyle w:val="Bodytext26pt0"/>
                <w:noProof/>
              </w:rPr>
              <w:t>6</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(HCFC-221)</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5</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0,015-0,07</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2</w:t>
            </w:r>
            <w:r>
              <w:rPr>
                <w:rStyle w:val="Bodytext21"/>
                <w:noProof/>
              </w:rPr>
              <w:t>Cl</w:t>
            </w:r>
            <w:r>
              <w:rPr>
                <w:rStyle w:val="Bodytext26pt0"/>
                <w:noProof/>
              </w:rPr>
              <w:t>5</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(HCFC-222)</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0,01-0,09</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3</w:t>
            </w:r>
            <w:r>
              <w:rPr>
                <w:rStyle w:val="Bodytext21"/>
                <w:noProof/>
              </w:rPr>
              <w:t>Cl</w:t>
            </w:r>
            <w:r>
              <w:rPr>
                <w:rStyle w:val="Bodytext26pt0"/>
                <w:noProof/>
              </w:rPr>
              <w:t>4</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(HCFC-223)</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0,01-0,08</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4</w:t>
            </w:r>
            <w:r>
              <w:rPr>
                <w:rStyle w:val="Bodytext21"/>
                <w:noProof/>
              </w:rPr>
              <w:t>Cl</w:t>
            </w:r>
            <w:r>
              <w:rPr>
                <w:rStyle w:val="Bodytext26pt0"/>
                <w:noProof/>
              </w:rPr>
              <w:t>3</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(HCFC-224)</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0,01-0,09</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5</w:t>
            </w:r>
            <w:r>
              <w:rPr>
                <w:rStyle w:val="Bodytext21"/>
                <w:noProof/>
              </w:rPr>
              <w:t>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(HCFC-225)</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0,02-0,07</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CF</w:t>
            </w:r>
            <w:r>
              <w:rPr>
                <w:rStyle w:val="Bodytext26pt0"/>
                <w:noProof/>
              </w:rPr>
              <w:t>2</w:t>
            </w:r>
            <w:r>
              <w:rPr>
                <w:rStyle w:val="Bodytext21"/>
                <w:noProof/>
              </w:rPr>
              <w:t>CHCl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(HCFC-225ca)**</w:t>
            </w:r>
          </w:p>
        </w:tc>
        <w:tc>
          <w:tcPr>
            <w:tcW w:w="1223" w:type="dxa"/>
            <w:tcBorders>
              <w:top w:val="single" w:sz="4" w:space="0" w:color="auto"/>
              <w:left w:val="single" w:sz="4" w:space="0" w:color="auto"/>
            </w:tcBorders>
            <w:shd w:val="clear" w:color="auto" w:fill="FFFFFF"/>
            <w:vAlign w:val="center"/>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0,025</w:t>
            </w:r>
          </w:p>
        </w:tc>
        <w:tc>
          <w:tcPr>
            <w:tcW w:w="173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122</w:t>
            </w: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CF</w:t>
            </w:r>
            <w:r>
              <w:rPr>
                <w:rStyle w:val="Bodytext26pt0"/>
                <w:noProof/>
                <w:vertAlign w:val="subscript"/>
              </w:rPr>
              <w:t>2</w:t>
            </w:r>
            <w:r>
              <w:rPr>
                <w:rStyle w:val="Bodytext21"/>
                <w:noProof/>
              </w:rPr>
              <w:t>ClCF</w:t>
            </w:r>
            <w:r>
              <w:rPr>
                <w:rStyle w:val="Bodytext26pt0"/>
                <w:noProof/>
                <w:vertAlign w:val="subscript"/>
              </w:rPr>
              <w:t>2</w:t>
            </w:r>
            <w:r>
              <w:rPr>
                <w:rStyle w:val="Bodytext21"/>
                <w:noProof/>
              </w:rPr>
              <w:t>CHClF</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(HCFC-225cb)**</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0,033</w:t>
            </w:r>
          </w:p>
        </w:tc>
        <w:tc>
          <w:tcPr>
            <w:tcW w:w="1734"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595</w:t>
            </w: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HF</w:t>
            </w:r>
            <w:r>
              <w:rPr>
                <w:rStyle w:val="Bodytext26pt0"/>
                <w:noProof/>
              </w:rPr>
              <w:t>6</w:t>
            </w:r>
            <w:r>
              <w:rPr>
                <w:rStyle w:val="Bodytext21"/>
                <w:noProof/>
              </w:rPr>
              <w:t>Cl</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(HCFC-226)</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5</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0,02-0,10</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FCl</w:t>
            </w:r>
            <w:r>
              <w:rPr>
                <w:rStyle w:val="Bodytext26pt0"/>
                <w:noProof/>
              </w:rPr>
              <w:t>5</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(HCFC-231)</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0,05-0,09</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9"/>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2</w:t>
            </w:r>
            <w:r>
              <w:rPr>
                <w:rStyle w:val="Bodytext21"/>
                <w:noProof/>
              </w:rPr>
              <w:t>Cl</w:t>
            </w:r>
            <w:r>
              <w:rPr>
                <w:rStyle w:val="Bodytext26pt0"/>
                <w:noProof/>
              </w:rPr>
              <w:t>4</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(HCFC-232)</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16</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0,008-0,10</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3</w:t>
            </w:r>
            <w:r>
              <w:rPr>
                <w:rStyle w:val="Bodytext21"/>
                <w:noProof/>
              </w:rPr>
              <w:t>Cl</w:t>
            </w:r>
            <w:r>
              <w:rPr>
                <w:rStyle w:val="Bodytext26pt0"/>
                <w:noProof/>
              </w:rPr>
              <w:t>3</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(HCFC-233)</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18</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0,007-0,23</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4</w:t>
            </w:r>
            <w:r>
              <w:rPr>
                <w:rStyle w:val="Bodytext21"/>
                <w:noProof/>
              </w:rPr>
              <w:t>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(HCFC-234)</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16</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0,01-0,28</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2</w:t>
            </w:r>
            <w:r>
              <w:rPr>
                <w:rStyle w:val="Bodytext21"/>
                <w:noProof/>
              </w:rPr>
              <w:t>F</w:t>
            </w:r>
            <w:r>
              <w:rPr>
                <w:rStyle w:val="Bodytext26pt0"/>
                <w:noProof/>
              </w:rPr>
              <w:t>5</w:t>
            </w:r>
            <w:r>
              <w:rPr>
                <w:rStyle w:val="Bodytext21"/>
                <w:noProof/>
              </w:rPr>
              <w:t>Cl</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(HCFC-235)</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0,03-0,52</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FCl</w:t>
            </w:r>
            <w:r>
              <w:rPr>
                <w:rStyle w:val="Bodytext26pt0"/>
                <w:noProof/>
              </w:rPr>
              <w:t>4</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(HCFC-241)</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0,004-0,09</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2</w:t>
            </w:r>
            <w:r>
              <w:rPr>
                <w:rStyle w:val="Bodytext21"/>
                <w:noProof/>
              </w:rPr>
              <w:t>Cl</w:t>
            </w:r>
            <w:r>
              <w:rPr>
                <w:rStyle w:val="Bodytext26pt0"/>
                <w:noProof/>
              </w:rPr>
              <w:t>3</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(HCFC-242)</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18</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0,005-0,13</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3</w:t>
            </w:r>
            <w:r>
              <w:rPr>
                <w:rStyle w:val="Bodytext21"/>
                <w:noProof/>
              </w:rPr>
              <w:t>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(HCFC-243)</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18</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0,007-0,12</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3</w:t>
            </w:r>
            <w:r>
              <w:rPr>
                <w:rStyle w:val="Bodytext21"/>
                <w:noProof/>
              </w:rPr>
              <w:t>F</w:t>
            </w:r>
            <w:r>
              <w:rPr>
                <w:rStyle w:val="Bodytext26pt0"/>
                <w:noProof/>
              </w:rPr>
              <w:t>4</w:t>
            </w:r>
            <w:r>
              <w:rPr>
                <w:rStyle w:val="Bodytext21"/>
                <w:noProof/>
              </w:rPr>
              <w:t>Cl</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(HCFC-244)</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0,009-0,14</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FCl</w:t>
            </w:r>
            <w:r>
              <w:rPr>
                <w:rStyle w:val="Bodytext26pt0"/>
                <w:noProof/>
              </w:rPr>
              <w:t>3</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(HCFC-251)</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0,001-0,01</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w:t>
            </w:r>
            <w:r>
              <w:rPr>
                <w:rStyle w:val="Bodytext26pt0"/>
                <w:noProof/>
              </w:rPr>
              <w:t>2</w:t>
            </w:r>
            <w:r>
              <w:rPr>
                <w:rStyle w:val="Bodytext21"/>
                <w:noProof/>
              </w:rPr>
              <w:t>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(HCFC-252)</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16</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0,005-0,04</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4</w:t>
            </w:r>
            <w:r>
              <w:rPr>
                <w:rStyle w:val="Bodytext21"/>
                <w:noProof/>
              </w:rPr>
              <w:t>F</w:t>
            </w:r>
            <w:r>
              <w:rPr>
                <w:rStyle w:val="Bodytext26pt0"/>
                <w:noProof/>
              </w:rPr>
              <w:t>3</w:t>
            </w:r>
            <w:r>
              <w:rPr>
                <w:rStyle w:val="Bodytext21"/>
                <w:noProof/>
              </w:rPr>
              <w:t>Cl</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(HCFC-253)</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12</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0,003-0,03</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6"/>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5</w:t>
            </w:r>
            <w:r>
              <w:rPr>
                <w:rStyle w:val="Bodytext21"/>
                <w:noProof/>
              </w:rPr>
              <w:t>FCl</w:t>
            </w:r>
            <w:r>
              <w:rPr>
                <w:rStyle w:val="Bodytext26pt0"/>
                <w:noProof/>
              </w:rPr>
              <w:t>2</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(HCFC-261)</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0,002-0,02</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29"/>
        </w:trPr>
        <w:tc>
          <w:tcPr>
            <w:tcW w:w="1837"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5</w:t>
            </w:r>
            <w:r>
              <w:rPr>
                <w:rStyle w:val="Bodytext21"/>
                <w:noProof/>
              </w:rPr>
              <w:t>F</w:t>
            </w:r>
            <w:r>
              <w:rPr>
                <w:rStyle w:val="Bodytext26pt0"/>
                <w:noProof/>
              </w:rPr>
              <w:t>2</w:t>
            </w:r>
            <w:r>
              <w:rPr>
                <w:rStyle w:val="Bodytext21"/>
                <w:noProof/>
              </w:rPr>
              <w:t>Cl</w:t>
            </w:r>
          </w:p>
        </w:tc>
        <w:tc>
          <w:tcPr>
            <w:tcW w:w="1935"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(HCFC-262)</w:t>
            </w:r>
          </w:p>
        </w:tc>
        <w:tc>
          <w:tcPr>
            <w:tcW w:w="1223"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9</w:t>
            </w:r>
          </w:p>
        </w:tc>
        <w:tc>
          <w:tcPr>
            <w:tcW w:w="1536" w:type="dxa"/>
            <w:tcBorders>
              <w:top w:val="single" w:sz="4" w:space="0" w:color="auto"/>
              <w:left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0,002-0,02</w:t>
            </w:r>
          </w:p>
        </w:tc>
        <w:tc>
          <w:tcPr>
            <w:tcW w:w="1734" w:type="dxa"/>
            <w:tcBorders>
              <w:top w:val="single" w:sz="4" w:space="0" w:color="auto"/>
              <w:left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r w:rsidR="008C2383">
        <w:trPr>
          <w:trHeight w:hRule="exact" w:val="233"/>
        </w:trPr>
        <w:tc>
          <w:tcPr>
            <w:tcW w:w="1837"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C</w:t>
            </w:r>
            <w:r>
              <w:rPr>
                <w:rStyle w:val="Bodytext26pt0"/>
                <w:noProof/>
              </w:rPr>
              <w:t>3</w:t>
            </w:r>
            <w:r>
              <w:rPr>
                <w:rStyle w:val="Bodytext21"/>
                <w:noProof/>
              </w:rPr>
              <w:t>H</w:t>
            </w:r>
            <w:r>
              <w:rPr>
                <w:rStyle w:val="Bodytext26pt0"/>
                <w:noProof/>
              </w:rPr>
              <w:t>6</w:t>
            </w:r>
            <w:r>
              <w:rPr>
                <w:rStyle w:val="Bodytext21"/>
                <w:noProof/>
              </w:rPr>
              <w:t>FCl</w:t>
            </w:r>
          </w:p>
        </w:tc>
        <w:tc>
          <w:tcPr>
            <w:tcW w:w="1935"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rPr>
                <w:noProof/>
              </w:rPr>
            </w:pPr>
            <w:r>
              <w:rPr>
                <w:rStyle w:val="Bodytext21"/>
                <w:noProof/>
              </w:rPr>
              <w:t>(HCFC-271)</w:t>
            </w:r>
          </w:p>
        </w:tc>
        <w:tc>
          <w:tcPr>
            <w:tcW w:w="1223"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5</w:t>
            </w:r>
          </w:p>
        </w:tc>
        <w:tc>
          <w:tcPr>
            <w:tcW w:w="1536"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8281" w:h="5251" w:hRule="exact" w:wrap="notBeside" w:vAnchor="text" w:hAnchor="page" w:x="2536" w:y="111"/>
              <w:shd w:val="clear" w:color="auto" w:fill="auto"/>
              <w:spacing w:before="0" w:line="222" w:lineRule="exact"/>
              <w:ind w:firstLine="0"/>
              <w:jc w:val="right"/>
              <w:rPr>
                <w:noProof/>
              </w:rPr>
            </w:pPr>
            <w:r>
              <w:rPr>
                <w:rStyle w:val="Bodytext21"/>
                <w:noProof/>
              </w:rPr>
              <w:t>0,001-0,03</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rsidR="008C2383" w:rsidRDefault="008C2383">
            <w:pPr>
              <w:framePr w:w="8281" w:h="5251" w:hRule="exact" w:wrap="notBeside" w:vAnchor="text" w:hAnchor="page" w:x="2536" w:y="111"/>
              <w:rPr>
                <w:noProof/>
                <w:sz w:val="10"/>
                <w:szCs w:val="10"/>
              </w:rPr>
            </w:pPr>
          </w:p>
        </w:tc>
      </w:tr>
    </w:tbl>
    <w:p w:rsidR="008C2383" w:rsidRDefault="008C2383">
      <w:pPr>
        <w:framePr w:w="8281" w:h="5251" w:hRule="exact" w:wrap="notBeside" w:vAnchor="text" w:hAnchor="page" w:x="2536" w:y="111"/>
        <w:rPr>
          <w:noProof/>
          <w:sz w:val="2"/>
          <w:szCs w:val="2"/>
        </w:rPr>
      </w:pPr>
    </w:p>
    <w:p w:rsidR="008C2383" w:rsidRDefault="008C2383">
      <w:pPr>
        <w:rPr>
          <w:noProof/>
          <w:sz w:val="2"/>
          <w:szCs w:val="2"/>
        </w:rPr>
      </w:pPr>
    </w:p>
    <w:p w:rsidR="008C2383" w:rsidRDefault="008C2383">
      <w:pPr>
        <w:pStyle w:val="Bodytext20"/>
        <w:shd w:val="clear" w:color="auto" w:fill="auto"/>
        <w:spacing w:before="104" w:after="136" w:line="226" w:lineRule="exact"/>
        <w:ind w:left="620" w:firstLine="0"/>
        <w:rPr>
          <w:noProof/>
        </w:rPr>
      </w:pPr>
    </w:p>
    <w:p w:rsidR="008C2383" w:rsidRDefault="00CE7645">
      <w:pPr>
        <w:pStyle w:val="Bodytext20"/>
        <w:shd w:val="clear" w:color="auto" w:fill="auto"/>
        <w:spacing w:before="104" w:after="136" w:line="226" w:lineRule="exact"/>
        <w:ind w:left="620" w:firstLine="0"/>
        <w:rPr>
          <w:noProof/>
        </w:rPr>
      </w:pPr>
      <w:r>
        <w:rPr>
          <w:noProof/>
        </w:rPr>
        <w:t xml:space="preserve">Lorsqu’une fourchette est indiquée pour les valeurs du potentiel de destruction de l’ozone (PDO), c’est la valeur la plus </w:t>
      </w:r>
      <w:r>
        <w:rPr>
          <w:noProof/>
        </w:rPr>
        <w:t>élevée de cette fourchette qui est utilisée aux fins du Protocole. Lorsqu’un seul chiffre est indiqué comme valeur du PDO, celui-ci a été déterminé à partir de calculs reposant sur des mesures en laboratoire. Les valeurs indiquées pour la fourchette repose</w:t>
      </w:r>
      <w:r>
        <w:rPr>
          <w:noProof/>
        </w:rPr>
        <w:t>nt sur des estimations et sont donc moins certaines. La fourchette se rapporte à un groupe d’isomères. La valeur supérieure correspond à l’estimation du PDO de l’isomère au PDO le plus élevé et la valeur inférieure à l’estimation du PDO de l’isomère au PDO</w:t>
      </w:r>
      <w:r>
        <w:rPr>
          <w:noProof/>
        </w:rPr>
        <w:t xml:space="preserve"> le plus faible.</w:t>
      </w:r>
    </w:p>
    <w:p w:rsidR="008C2383" w:rsidRDefault="00CE7645">
      <w:pPr>
        <w:pStyle w:val="Bodytext20"/>
        <w:shd w:val="clear" w:color="auto" w:fill="auto"/>
        <w:spacing w:before="0" w:after="140"/>
        <w:ind w:left="620"/>
        <w:rPr>
          <w:noProof/>
        </w:rPr>
      </w:pPr>
      <w:r>
        <w:rPr>
          <w:noProof/>
        </w:rPr>
        <w:t>** Désigne les substances les plus viables commercialement, dont les valeurs indiquées pour le potentiel de destruction de l’ozone (PDO) doivent être utilisées aux fins du Protocole.</w:t>
      </w:r>
    </w:p>
    <w:p w:rsidR="008C2383" w:rsidRDefault="00CE7645">
      <w:pPr>
        <w:pStyle w:val="Bodytext20"/>
        <w:shd w:val="clear" w:color="auto" w:fill="auto"/>
        <w:spacing w:before="0" w:after="442"/>
        <w:ind w:left="620"/>
        <w:rPr>
          <w:noProof/>
        </w:rPr>
      </w:pPr>
      <w:r>
        <w:rPr>
          <w:noProof/>
        </w:rPr>
        <w:t xml:space="preserve">*** S’agissant des substances pour lesquelles aucun PRG </w:t>
      </w:r>
      <w:r>
        <w:rPr>
          <w:noProof/>
        </w:rPr>
        <w:t>n’est indiqué, la valeur zéro a été appliquée par défaut jusqu’à ce qu’une valeur du PRG soit incluse au moyen de la procédure prévue au paragraphe 9 a) ii) de l’article 2.</w:t>
      </w:r>
    </w:p>
    <w:p w:rsidR="008C2383" w:rsidRDefault="00CE7645">
      <w:pPr>
        <w:pStyle w:val="Bodytext20"/>
        <w:shd w:val="clear" w:color="auto" w:fill="auto"/>
        <w:spacing w:before="0" w:line="403" w:lineRule="exact"/>
        <w:ind w:right="2840" w:firstLine="0"/>
        <w:rPr>
          <w:noProof/>
        </w:rPr>
      </w:pPr>
      <w:r>
        <w:rPr>
          <w:noProof/>
        </w:rPr>
        <w:t xml:space="preserve">L’annexe ci-après est ajoutée au Protocole après l’Annexe E: </w:t>
      </w:r>
      <w:r>
        <w:rPr>
          <w:rStyle w:val="Bodytext2Italic"/>
          <w:noProof/>
        </w:rPr>
        <w:t xml:space="preserve">«Annexe F: Substances </w:t>
      </w:r>
      <w:r>
        <w:rPr>
          <w:rStyle w:val="Bodytext2Italic"/>
          <w:noProof/>
        </w:rPr>
        <w:t>réglementées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10"/>
        <w:gridCol w:w="2339"/>
        <w:gridCol w:w="2843"/>
      </w:tblGrid>
      <w:tr w:rsidR="008C2383">
        <w:trPr>
          <w:trHeight w:hRule="exact" w:val="642"/>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Bold"/>
                <w:noProof/>
              </w:rPr>
              <w:t>Groupe</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Bold"/>
                <w:noProof/>
              </w:rPr>
              <w:t>Substance</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40" w:lineRule="exact"/>
              <w:ind w:firstLine="0"/>
              <w:jc w:val="right"/>
              <w:rPr>
                <w:noProof/>
              </w:rPr>
            </w:pPr>
            <w:r>
              <w:rPr>
                <w:rStyle w:val="Bodytext2Bold"/>
                <w:noProof/>
              </w:rPr>
              <w:t>Potentiel de réchauffement global sur 100 ans</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Italic0"/>
                <w:noProof/>
              </w:rPr>
              <w:t>Groupe I</w:t>
            </w:r>
          </w:p>
        </w:tc>
        <w:tc>
          <w:tcPr>
            <w:tcW w:w="2339" w:type="dxa"/>
            <w:tcBorders>
              <w:top w:val="single" w:sz="4" w:space="0" w:color="auto"/>
              <w:left w:val="single" w:sz="4" w:space="0" w:color="auto"/>
            </w:tcBorders>
            <w:shd w:val="clear" w:color="auto" w:fill="FFFFFF"/>
          </w:tcPr>
          <w:p w:rsidR="008C2383" w:rsidRDefault="008C2383">
            <w:pPr>
              <w:framePr w:w="7861" w:h="4381" w:hRule="exact" w:wrap="notBeside" w:vAnchor="text" w:hAnchor="page" w:x="2461" w:y="140"/>
              <w:rPr>
                <w:noProof/>
                <w:sz w:val="10"/>
                <w:szCs w:val="10"/>
              </w:rPr>
            </w:pPr>
          </w:p>
        </w:tc>
        <w:tc>
          <w:tcPr>
            <w:tcW w:w="2843" w:type="dxa"/>
            <w:tcBorders>
              <w:top w:val="single" w:sz="4" w:space="0" w:color="auto"/>
              <w:left w:val="single" w:sz="4" w:space="0" w:color="auto"/>
              <w:right w:val="single" w:sz="4" w:space="0" w:color="auto"/>
            </w:tcBorders>
            <w:shd w:val="clear" w:color="auto" w:fill="FFFFFF"/>
          </w:tcPr>
          <w:p w:rsidR="008C2383" w:rsidRDefault="008C2383">
            <w:pPr>
              <w:framePr w:w="7861" w:h="4381" w:hRule="exact" w:wrap="notBeside" w:vAnchor="text" w:hAnchor="page" w:x="2461" w:y="140"/>
              <w:rPr>
                <w:noProof/>
                <w:sz w:val="10"/>
                <w:szCs w:val="10"/>
              </w:rPr>
            </w:pP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CHF</w:t>
            </w:r>
            <w:r>
              <w:rPr>
                <w:rStyle w:val="Bodytext26pt0"/>
                <w:noProof/>
              </w:rPr>
              <w:t>2</w:t>
            </w:r>
            <w:r>
              <w:rPr>
                <w:rStyle w:val="Bodytext21"/>
                <w:noProof/>
              </w:rPr>
              <w:t>CHF</w:t>
            </w:r>
            <w:r>
              <w:rPr>
                <w:rStyle w:val="Bodytext26pt0"/>
                <w:noProof/>
              </w:rPr>
              <w:t>2</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HFC-134</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1 100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HFC-134a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1 430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FCHF</w:t>
            </w:r>
            <w:r>
              <w:rPr>
                <w:rStyle w:val="Bodytext26pt0"/>
                <w:noProof/>
              </w:rPr>
              <w:t>2</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HFC-143</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353</w:t>
            </w:r>
          </w:p>
        </w:tc>
      </w:tr>
      <w:tr w:rsidR="008C2383">
        <w:trPr>
          <w:trHeight w:hRule="exact" w:val="224"/>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SmallCaps"/>
                <w:noProof/>
              </w:rPr>
              <w:t>chf</w:t>
            </w:r>
            <w:r>
              <w:rPr>
                <w:rStyle w:val="Bodytext21"/>
                <w:noProof/>
                <w:vertAlign w:val="subscript"/>
              </w:rPr>
              <w:t>2</w:t>
            </w:r>
            <w:r>
              <w:rPr>
                <w:rStyle w:val="Bodytext2SmallCaps"/>
                <w:noProof/>
              </w:rPr>
              <w:t>ch</w:t>
            </w:r>
            <w:r>
              <w:rPr>
                <w:rStyle w:val="Bodytext21"/>
                <w:noProof/>
                <w:vertAlign w:val="subscript"/>
              </w:rPr>
              <w:t>2</w:t>
            </w:r>
            <w:r>
              <w:rPr>
                <w:rStyle w:val="Bodytext2SmallCaps"/>
                <w:noProof/>
              </w:rPr>
              <w:t>cf</w:t>
            </w:r>
            <w:r>
              <w:rPr>
                <w:rStyle w:val="Bodytext21"/>
                <w:noProof/>
                <w:vertAlign w:val="subscript"/>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HFC-245fa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1 030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w:t>
            </w:r>
            <w:r>
              <w:rPr>
                <w:rStyle w:val="Bodytext26pt0"/>
                <w:noProof/>
              </w:rPr>
              <w:t>2</w:t>
            </w:r>
            <w:r>
              <w:rPr>
                <w:rStyle w:val="Bodytext21"/>
                <w:noProof/>
              </w:rPr>
              <w:t>CF</w:t>
            </w:r>
            <w:r>
              <w:rPr>
                <w:rStyle w:val="Bodytext26pt0"/>
                <w:noProof/>
              </w:rPr>
              <w:t>2</w:t>
            </w:r>
            <w:r>
              <w:rPr>
                <w:rStyle w:val="Bodytext21"/>
                <w:noProof/>
              </w:rPr>
              <w:t>CH</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HFC-365mfc</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794</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CHFCF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HFC-227ea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3 220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2</w:t>
            </w:r>
            <w:r>
              <w:rPr>
                <w:rStyle w:val="Bodytext21"/>
                <w:noProof/>
              </w:rPr>
              <w:t>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HFC-236cb</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1 340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SmallCaps"/>
                <w:noProof/>
              </w:rPr>
              <w:t>chf</w:t>
            </w:r>
            <w:r>
              <w:rPr>
                <w:rStyle w:val="Bodytext21"/>
                <w:noProof/>
                <w:vertAlign w:val="subscript"/>
              </w:rPr>
              <w:t>2</w:t>
            </w:r>
            <w:r>
              <w:rPr>
                <w:rStyle w:val="Bodytext2SmallCaps"/>
                <w:noProof/>
              </w:rPr>
              <w:t>chfcf</w:t>
            </w:r>
            <w:r>
              <w:rPr>
                <w:rStyle w:val="Bodytext21"/>
                <w:noProof/>
                <w:vertAlign w:val="subscript"/>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HFC-236ea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1 370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CF</w:t>
            </w:r>
            <w:r>
              <w:rPr>
                <w:rStyle w:val="Bodytext26pt0"/>
                <w:noProof/>
              </w:rPr>
              <w:t>3</w:t>
            </w:r>
            <w:r>
              <w:rPr>
                <w:rStyle w:val="Bodytext21"/>
                <w:noProof/>
              </w:rPr>
              <w:t>CH</w:t>
            </w:r>
            <w:r>
              <w:rPr>
                <w:rStyle w:val="Bodytext26pt0"/>
                <w:noProof/>
              </w:rPr>
              <w:t>2</w:t>
            </w:r>
            <w:r>
              <w:rPr>
                <w:rStyle w:val="Bodytext21"/>
                <w:noProof/>
              </w:rPr>
              <w:t>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HFC-236fa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9 810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FCF</w:t>
            </w:r>
            <w:r>
              <w:rPr>
                <w:rStyle w:val="Bodytext26pt0"/>
                <w:noProof/>
              </w:rPr>
              <w:t>2</w:t>
            </w:r>
            <w:r>
              <w:rPr>
                <w:rStyle w:val="Bodytext21"/>
                <w:noProof/>
              </w:rPr>
              <w:t>CHF</w:t>
            </w:r>
            <w:r>
              <w:rPr>
                <w:rStyle w:val="Bodytext26pt0"/>
                <w:noProof/>
              </w:rPr>
              <w:t>2</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HFC-245ca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693</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SmallCaps"/>
                <w:noProof/>
              </w:rPr>
              <w:t>cf</w:t>
            </w:r>
            <w:r>
              <w:rPr>
                <w:rStyle w:val="Bodytext21"/>
                <w:noProof/>
                <w:vertAlign w:val="subscript"/>
              </w:rPr>
              <w:t>3</w:t>
            </w:r>
            <w:r>
              <w:rPr>
                <w:rStyle w:val="Bodytext2SmallCaps"/>
                <w:noProof/>
              </w:rPr>
              <w:t>chfchfcf</w:t>
            </w:r>
            <w:r>
              <w:rPr>
                <w:rStyle w:val="Bodytext21"/>
                <w:noProof/>
                <w:vertAlign w:val="subscript"/>
              </w:rPr>
              <w:t>2</w:t>
            </w:r>
            <w:r>
              <w:rPr>
                <w:rStyle w:val="Bodytext2SmallCaps"/>
                <w:noProof/>
              </w:rPr>
              <w:t>cf</w:t>
            </w:r>
            <w:r>
              <w:rPr>
                <w:rStyle w:val="Bodytext21"/>
                <w:noProof/>
                <w:vertAlign w:val="subscript"/>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HFC-43-10mee</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1 640</w:t>
            </w:r>
          </w:p>
        </w:tc>
      </w:tr>
      <w:tr w:rsidR="008C2383">
        <w:trPr>
          <w:trHeight w:hRule="exact" w:val="227"/>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w:t>
            </w:r>
            <w:r>
              <w:rPr>
                <w:rStyle w:val="Bodytext26pt0"/>
                <w:noProof/>
              </w:rPr>
              <w:t>2</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HFC-32</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675</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CHF</w:t>
            </w:r>
            <w:r>
              <w:rPr>
                <w:rStyle w:val="Bodytext26pt0"/>
                <w:noProof/>
              </w:rPr>
              <w:t>2</w:t>
            </w:r>
            <w:r>
              <w:rPr>
                <w:rStyle w:val="Bodytext21"/>
                <w:noProof/>
              </w:rPr>
              <w:t>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HFC-125</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3 500</w:t>
            </w:r>
          </w:p>
        </w:tc>
      </w:tr>
      <w:tr w:rsidR="008C2383">
        <w:trPr>
          <w:trHeight w:hRule="exact" w:val="220"/>
        </w:trPr>
        <w:tc>
          <w:tcPr>
            <w:tcW w:w="2510"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3</w:t>
            </w:r>
            <w:r>
              <w:rPr>
                <w:rStyle w:val="Bodytext21"/>
                <w:noProof/>
              </w:rPr>
              <w:t>CF</w:t>
            </w:r>
            <w:r>
              <w:rPr>
                <w:rStyle w:val="Bodytext26pt0"/>
                <w:noProof/>
              </w:rPr>
              <w:t>3</w:t>
            </w:r>
          </w:p>
        </w:tc>
        <w:tc>
          <w:tcPr>
            <w:tcW w:w="2339" w:type="dxa"/>
            <w:tcBorders>
              <w:top w:val="single" w:sz="4" w:space="0" w:color="auto"/>
              <w:lef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HFC-143a</w:t>
            </w:r>
          </w:p>
        </w:tc>
        <w:tc>
          <w:tcPr>
            <w:tcW w:w="2843"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4 470</w:t>
            </w:r>
          </w:p>
        </w:tc>
      </w:tr>
      <w:tr w:rsidR="008C2383">
        <w:trPr>
          <w:trHeight w:hRule="exact" w:val="227"/>
        </w:trPr>
        <w:tc>
          <w:tcPr>
            <w:tcW w:w="2510"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CH</w:t>
            </w:r>
            <w:r>
              <w:rPr>
                <w:rStyle w:val="Bodytext26pt0"/>
                <w:noProof/>
              </w:rPr>
              <w:t>3</w:t>
            </w:r>
            <w:r>
              <w:rPr>
                <w:rStyle w:val="Bodytext21"/>
                <w:noProof/>
              </w:rPr>
              <w:t>F</w:t>
            </w:r>
          </w:p>
        </w:tc>
        <w:tc>
          <w:tcPr>
            <w:tcW w:w="2339"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rPr>
                <w:noProof/>
              </w:rPr>
            </w:pPr>
            <w:r>
              <w:rPr>
                <w:rStyle w:val="Bodytext21"/>
                <w:noProof/>
              </w:rPr>
              <w:t>HFC-41</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bottom"/>
          </w:tcPr>
          <w:p w:rsidR="008C2383" w:rsidRDefault="00CE7645">
            <w:pPr>
              <w:pStyle w:val="Bodytext20"/>
              <w:framePr w:w="7861" w:h="4381" w:hRule="exact" w:wrap="notBeside" w:vAnchor="text" w:hAnchor="page" w:x="2461" w:y="140"/>
              <w:shd w:val="clear" w:color="auto" w:fill="auto"/>
              <w:spacing w:before="0" w:line="222" w:lineRule="exact"/>
              <w:ind w:firstLine="0"/>
              <w:jc w:val="right"/>
              <w:rPr>
                <w:noProof/>
              </w:rPr>
            </w:pPr>
            <w:r>
              <w:rPr>
                <w:rStyle w:val="Bodytext21"/>
                <w:noProof/>
              </w:rPr>
              <w:t>92</w:t>
            </w:r>
          </w:p>
        </w:tc>
      </w:tr>
    </w:tbl>
    <w:p w:rsidR="008C2383" w:rsidRDefault="008C2383">
      <w:pPr>
        <w:framePr w:w="7861" w:h="4381" w:hRule="exact" w:wrap="notBeside" w:vAnchor="text" w:hAnchor="page" w:x="2461" w:y="140"/>
        <w:rPr>
          <w:noProof/>
          <w:sz w:val="2"/>
          <w:szCs w:val="2"/>
        </w:rPr>
      </w:pPr>
    </w:p>
    <w:p w:rsidR="008C2383" w:rsidRDefault="008C2383">
      <w:pPr>
        <w:rPr>
          <w:noProof/>
          <w:sz w:val="2"/>
          <w:szCs w:val="2"/>
        </w:rPr>
      </w:pPr>
    </w:p>
    <w:p w:rsidR="008C2383" w:rsidRDefault="008C2383">
      <w:pPr>
        <w:rPr>
          <w:noProof/>
          <w:sz w:val="2"/>
          <w:szCs w:val="2"/>
        </w:rPr>
        <w:sectPr w:rsidR="008C2383">
          <w:headerReference w:type="even" r:id="rId22"/>
          <w:headerReference w:type="default" r:id="rId23"/>
          <w:footerReference w:type="even" r:id="rId24"/>
          <w:footerReference w:type="default" r:id="rId25"/>
          <w:headerReference w:type="first" r:id="rId26"/>
          <w:footerReference w:type="first" r:id="rId27"/>
          <w:type w:val="continuous"/>
          <w:pgSz w:w="11900" w:h="16840"/>
          <w:pgMar w:top="776" w:right="954" w:bottom="1365" w:left="2566"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2371"/>
        <w:gridCol w:w="2290"/>
      </w:tblGrid>
      <w:tr w:rsidR="008C2383">
        <w:trPr>
          <w:trHeight w:hRule="exact" w:val="254"/>
          <w:jc w:val="center"/>
        </w:trPr>
        <w:tc>
          <w:tcPr>
            <w:tcW w:w="2544" w:type="dxa"/>
            <w:tcBorders>
              <w:top w:val="single" w:sz="4" w:space="0" w:color="auto"/>
              <w:lef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CH</w:t>
            </w:r>
            <w:r>
              <w:rPr>
                <w:rStyle w:val="Bodytext26pt0"/>
                <w:noProof/>
              </w:rPr>
              <w:t>2</w:t>
            </w:r>
            <w:r>
              <w:rPr>
                <w:rStyle w:val="Bodytext21"/>
                <w:noProof/>
              </w:rPr>
              <w:t>FCH</w:t>
            </w:r>
            <w:r>
              <w:rPr>
                <w:rStyle w:val="Bodytext26pt0"/>
                <w:noProof/>
              </w:rPr>
              <w:t>2</w:t>
            </w:r>
            <w:r>
              <w:rPr>
                <w:rStyle w:val="Bodytext21"/>
                <w:noProof/>
              </w:rPr>
              <w:t>F</w:t>
            </w:r>
          </w:p>
        </w:tc>
        <w:tc>
          <w:tcPr>
            <w:tcW w:w="2371" w:type="dxa"/>
            <w:tcBorders>
              <w:top w:val="single" w:sz="4" w:space="0" w:color="auto"/>
              <w:lef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HFC-152</w:t>
            </w:r>
          </w:p>
        </w:tc>
        <w:tc>
          <w:tcPr>
            <w:tcW w:w="2290"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53</w:t>
            </w:r>
          </w:p>
        </w:tc>
      </w:tr>
      <w:tr w:rsidR="008C2383">
        <w:trPr>
          <w:trHeight w:hRule="exact" w:val="250"/>
          <w:jc w:val="center"/>
        </w:trPr>
        <w:tc>
          <w:tcPr>
            <w:tcW w:w="2544" w:type="dxa"/>
            <w:tcBorders>
              <w:top w:val="single" w:sz="4" w:space="0" w:color="auto"/>
              <w:lef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CH</w:t>
            </w:r>
            <w:r>
              <w:rPr>
                <w:rStyle w:val="Bodytext26pt0"/>
                <w:noProof/>
              </w:rPr>
              <w:t>3</w:t>
            </w:r>
            <w:r>
              <w:rPr>
                <w:rStyle w:val="Bodytext21"/>
                <w:noProof/>
              </w:rPr>
              <w:t>CHF</w:t>
            </w:r>
            <w:r>
              <w:rPr>
                <w:rStyle w:val="Bodytext26pt0"/>
                <w:noProof/>
              </w:rPr>
              <w:t>2</w:t>
            </w:r>
          </w:p>
        </w:tc>
        <w:tc>
          <w:tcPr>
            <w:tcW w:w="2371" w:type="dxa"/>
            <w:tcBorders>
              <w:top w:val="single" w:sz="4" w:space="0" w:color="auto"/>
              <w:lef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HFC-152a</w:t>
            </w:r>
          </w:p>
        </w:tc>
        <w:tc>
          <w:tcPr>
            <w:tcW w:w="2290" w:type="dxa"/>
            <w:tcBorders>
              <w:top w:val="single" w:sz="4" w:space="0" w:color="auto"/>
              <w:left w:val="single" w:sz="4" w:space="0" w:color="auto"/>
              <w:righ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124</w:t>
            </w:r>
          </w:p>
        </w:tc>
      </w:tr>
      <w:tr w:rsidR="008C2383">
        <w:trPr>
          <w:trHeight w:hRule="exact" w:val="250"/>
          <w:jc w:val="center"/>
        </w:trPr>
        <w:tc>
          <w:tcPr>
            <w:tcW w:w="2544" w:type="dxa"/>
            <w:tcBorders>
              <w:top w:val="single" w:sz="4" w:space="0" w:color="auto"/>
              <w:left w:val="single" w:sz="4" w:space="0" w:color="auto"/>
            </w:tcBorders>
            <w:shd w:val="clear" w:color="auto" w:fill="FFFFFF"/>
          </w:tcPr>
          <w:p w:rsidR="008C2383" w:rsidRDefault="008C2383">
            <w:pPr>
              <w:framePr w:w="7205" w:wrap="notBeside" w:vAnchor="text" w:hAnchor="text" w:xAlign="center" w:y="1"/>
              <w:rPr>
                <w:noProof/>
                <w:sz w:val="10"/>
                <w:szCs w:val="10"/>
              </w:rPr>
            </w:pPr>
          </w:p>
        </w:tc>
        <w:tc>
          <w:tcPr>
            <w:tcW w:w="2371" w:type="dxa"/>
            <w:tcBorders>
              <w:top w:val="single" w:sz="4" w:space="0" w:color="auto"/>
              <w:left w:val="single" w:sz="4" w:space="0" w:color="auto"/>
            </w:tcBorders>
            <w:shd w:val="clear" w:color="auto" w:fill="FFFFFF"/>
          </w:tcPr>
          <w:p w:rsidR="008C2383" w:rsidRDefault="008C2383">
            <w:pPr>
              <w:framePr w:w="7205" w:wrap="notBeside" w:vAnchor="text" w:hAnchor="text" w:xAlign="center" w:y="1"/>
              <w:rPr>
                <w:noProof/>
                <w:sz w:val="10"/>
                <w:szCs w:val="10"/>
              </w:rPr>
            </w:pPr>
          </w:p>
        </w:tc>
        <w:tc>
          <w:tcPr>
            <w:tcW w:w="2290" w:type="dxa"/>
            <w:tcBorders>
              <w:top w:val="single" w:sz="4" w:space="0" w:color="auto"/>
              <w:left w:val="single" w:sz="4" w:space="0" w:color="auto"/>
              <w:right w:val="single" w:sz="4" w:space="0" w:color="auto"/>
            </w:tcBorders>
            <w:shd w:val="clear" w:color="auto" w:fill="FFFFFF"/>
          </w:tcPr>
          <w:p w:rsidR="008C2383" w:rsidRDefault="008C2383">
            <w:pPr>
              <w:framePr w:w="7205" w:wrap="notBeside" w:vAnchor="text" w:hAnchor="text" w:xAlign="center" w:y="1"/>
              <w:rPr>
                <w:noProof/>
                <w:sz w:val="10"/>
                <w:szCs w:val="10"/>
              </w:rPr>
            </w:pPr>
          </w:p>
        </w:tc>
      </w:tr>
      <w:tr w:rsidR="008C2383">
        <w:trPr>
          <w:trHeight w:hRule="exact" w:val="254"/>
          <w:jc w:val="center"/>
        </w:trPr>
        <w:tc>
          <w:tcPr>
            <w:tcW w:w="2544" w:type="dxa"/>
            <w:tcBorders>
              <w:top w:val="single" w:sz="4" w:space="0" w:color="auto"/>
              <w:lef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Italic0"/>
                <w:noProof/>
              </w:rPr>
              <w:t>Groupe II</w:t>
            </w:r>
          </w:p>
        </w:tc>
        <w:tc>
          <w:tcPr>
            <w:tcW w:w="2371" w:type="dxa"/>
            <w:tcBorders>
              <w:top w:val="single" w:sz="4" w:space="0" w:color="auto"/>
              <w:left w:val="single" w:sz="4" w:space="0" w:color="auto"/>
            </w:tcBorders>
            <w:shd w:val="clear" w:color="auto" w:fill="FFFFFF"/>
          </w:tcPr>
          <w:p w:rsidR="008C2383" w:rsidRDefault="008C2383">
            <w:pPr>
              <w:framePr w:w="7205" w:wrap="notBeside" w:vAnchor="text" w:hAnchor="text" w:xAlign="center" w:y="1"/>
              <w:rPr>
                <w:noProof/>
                <w:sz w:val="10"/>
                <w:szCs w:val="10"/>
              </w:rPr>
            </w:pPr>
          </w:p>
        </w:tc>
        <w:tc>
          <w:tcPr>
            <w:tcW w:w="2290" w:type="dxa"/>
            <w:tcBorders>
              <w:top w:val="single" w:sz="4" w:space="0" w:color="auto"/>
              <w:left w:val="single" w:sz="4" w:space="0" w:color="auto"/>
              <w:right w:val="single" w:sz="4" w:space="0" w:color="auto"/>
            </w:tcBorders>
            <w:shd w:val="clear" w:color="auto" w:fill="FFFFFF"/>
          </w:tcPr>
          <w:p w:rsidR="008C2383" w:rsidRDefault="008C2383">
            <w:pPr>
              <w:framePr w:w="7205" w:wrap="notBeside" w:vAnchor="text" w:hAnchor="text" w:xAlign="center" w:y="1"/>
              <w:rPr>
                <w:noProof/>
                <w:sz w:val="10"/>
                <w:szCs w:val="10"/>
              </w:rPr>
            </w:pPr>
          </w:p>
        </w:tc>
      </w:tr>
      <w:tr w:rsidR="008C2383">
        <w:trPr>
          <w:trHeight w:hRule="exact" w:val="259"/>
          <w:jc w:val="center"/>
        </w:trPr>
        <w:tc>
          <w:tcPr>
            <w:tcW w:w="2544"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CHF</w:t>
            </w:r>
            <w:r>
              <w:rPr>
                <w:rStyle w:val="Bodytext26pt0"/>
                <w:noProof/>
              </w:rPr>
              <w:t>3</w:t>
            </w:r>
          </w:p>
        </w:tc>
        <w:tc>
          <w:tcPr>
            <w:tcW w:w="2371" w:type="dxa"/>
            <w:tcBorders>
              <w:top w:val="single" w:sz="4" w:space="0" w:color="auto"/>
              <w:left w:val="single" w:sz="4" w:space="0" w:color="auto"/>
              <w:bottom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rPr>
                <w:noProof/>
              </w:rPr>
            </w:pPr>
            <w:r>
              <w:rPr>
                <w:rStyle w:val="Bodytext21"/>
                <w:noProof/>
              </w:rPr>
              <w:t>HFC-23</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8C2383" w:rsidRDefault="00CE7645">
            <w:pPr>
              <w:pStyle w:val="Bodytext20"/>
              <w:framePr w:w="7205" w:wrap="notBeside" w:vAnchor="text" w:hAnchor="text" w:xAlign="center" w:y="1"/>
              <w:shd w:val="clear" w:color="auto" w:fill="auto"/>
              <w:spacing w:before="0" w:line="222" w:lineRule="exact"/>
              <w:ind w:firstLine="0"/>
              <w:jc w:val="right"/>
              <w:rPr>
                <w:noProof/>
              </w:rPr>
            </w:pPr>
            <w:r>
              <w:rPr>
                <w:rStyle w:val="Bodytext21"/>
                <w:noProof/>
              </w:rPr>
              <w:t>14 800</w:t>
            </w:r>
          </w:p>
        </w:tc>
      </w:tr>
    </w:tbl>
    <w:p w:rsidR="008C2383" w:rsidRDefault="008C2383">
      <w:pPr>
        <w:framePr w:w="7205" w:wrap="notBeside" w:vAnchor="text" w:hAnchor="text" w:xAlign="center" w:y="1"/>
        <w:rPr>
          <w:noProof/>
          <w:sz w:val="2"/>
          <w:szCs w:val="2"/>
        </w:rPr>
      </w:pPr>
    </w:p>
    <w:p w:rsidR="008C2383" w:rsidRDefault="008C2383">
      <w:pPr>
        <w:rPr>
          <w:noProof/>
          <w:sz w:val="2"/>
          <w:szCs w:val="2"/>
        </w:rPr>
      </w:pPr>
    </w:p>
    <w:p w:rsidR="008C2383" w:rsidRDefault="00CE7645">
      <w:pPr>
        <w:pStyle w:val="Heading20"/>
        <w:keepNext/>
        <w:keepLines/>
        <w:shd w:val="clear" w:color="auto" w:fill="auto"/>
        <w:spacing w:before="406" w:after="117" w:line="222" w:lineRule="exact"/>
        <w:jc w:val="left"/>
        <w:rPr>
          <w:noProof/>
        </w:rPr>
      </w:pPr>
      <w:r>
        <w:rPr>
          <w:noProof/>
        </w:rPr>
        <w:t>Article II: Relations avec l’Amendement de 1999</w:t>
      </w:r>
    </w:p>
    <w:p w:rsidR="008C2383" w:rsidRDefault="00CE7645">
      <w:pPr>
        <w:pStyle w:val="Bodytext20"/>
        <w:shd w:val="clear" w:color="auto" w:fill="auto"/>
        <w:spacing w:before="0" w:after="476" w:line="226" w:lineRule="exact"/>
        <w:ind w:firstLine="0"/>
        <w:rPr>
          <w:noProof/>
        </w:rPr>
      </w:pPr>
      <w:r>
        <w:rPr>
          <w:noProof/>
        </w:rPr>
        <w:t xml:space="preserve">Aucun État ni organisation régionale d’intégration économique ne </w:t>
      </w:r>
      <w:r>
        <w:rPr>
          <w:noProof/>
        </w:rPr>
        <w:t>peut déposer un instrument de ratification, d’acceptation ou d’approbation du présent Amendement ou d’adhésion au présent Amendement, s’il n’a pas précédemment, ou simultanément, déposé un tel instrument à l’Amendement adopté par la onzième Réunion des Par</w:t>
      </w:r>
      <w:r>
        <w:rPr>
          <w:noProof/>
        </w:rPr>
        <w:t>ties à Beijing, le 3 décembre 1999.</w:t>
      </w:r>
    </w:p>
    <w:p w:rsidR="008C2383" w:rsidRDefault="00CE7645">
      <w:pPr>
        <w:pStyle w:val="Heading20"/>
        <w:keepNext/>
        <w:keepLines/>
        <w:shd w:val="clear" w:color="auto" w:fill="auto"/>
        <w:spacing w:before="0" w:after="120" w:line="230" w:lineRule="exact"/>
        <w:jc w:val="left"/>
        <w:rPr>
          <w:noProof/>
        </w:rPr>
      </w:pPr>
      <w:r>
        <w:rPr>
          <w:noProof/>
        </w:rPr>
        <w:t>Article III: Relations avec la Convention-cadre des Nations Unies sur les changements climatiques et le Protocole de Kyoto y relatif</w:t>
      </w:r>
    </w:p>
    <w:p w:rsidR="008C2383" w:rsidRDefault="00CE7645">
      <w:pPr>
        <w:pStyle w:val="Bodytext20"/>
        <w:shd w:val="clear" w:color="auto" w:fill="auto"/>
        <w:spacing w:before="0" w:after="487"/>
        <w:ind w:firstLine="0"/>
        <w:rPr>
          <w:noProof/>
        </w:rPr>
      </w:pPr>
      <w:r>
        <w:rPr>
          <w:noProof/>
        </w:rPr>
        <w:t xml:space="preserve">Le présent Amendement ne vise pas à exclure les hydrofluorocarbones de la portée des </w:t>
      </w:r>
      <w:r>
        <w:rPr>
          <w:noProof/>
        </w:rPr>
        <w:t>engagements énoncés aux articles 4 et 12 de la Convention-cadre des Nations Unies sur les changements climatiques et aux articles 2, 5, 7 et 10 du Protocole de Kyoto y relatif.</w:t>
      </w:r>
    </w:p>
    <w:p w:rsidR="008C2383" w:rsidRDefault="00CE7645">
      <w:pPr>
        <w:pStyle w:val="Heading20"/>
        <w:keepNext/>
        <w:keepLines/>
        <w:shd w:val="clear" w:color="auto" w:fill="auto"/>
        <w:spacing w:before="0" w:after="117" w:line="222" w:lineRule="exact"/>
        <w:jc w:val="left"/>
        <w:rPr>
          <w:noProof/>
        </w:rPr>
      </w:pPr>
      <w:r>
        <w:rPr>
          <w:noProof/>
        </w:rPr>
        <w:t>Article IV: Entrée en vigueur</w:t>
      </w:r>
    </w:p>
    <w:p w:rsidR="008C2383" w:rsidRDefault="00CE7645">
      <w:pPr>
        <w:pStyle w:val="Bodytext20"/>
        <w:numPr>
          <w:ilvl w:val="0"/>
          <w:numId w:val="7"/>
        </w:numPr>
        <w:shd w:val="clear" w:color="auto" w:fill="auto"/>
        <w:tabs>
          <w:tab w:val="left" w:pos="538"/>
        </w:tabs>
        <w:spacing w:before="0" w:after="116" w:line="226" w:lineRule="exact"/>
        <w:ind w:firstLine="0"/>
        <w:rPr>
          <w:noProof/>
        </w:rPr>
      </w:pPr>
      <w:r>
        <w:rPr>
          <w:noProof/>
        </w:rPr>
        <w:t>Sauf comme indiqué au paragraphe 2 ci-dessous, le</w:t>
      </w:r>
      <w:r>
        <w:rPr>
          <w:noProof/>
        </w:rPr>
        <w:t xml:space="preserve"> présent Amendement entre en vigueur le 1</w:t>
      </w:r>
      <w:r>
        <w:rPr>
          <w:noProof/>
          <w:vertAlign w:val="superscript"/>
        </w:rPr>
        <w:t>er</w:t>
      </w:r>
      <w:r>
        <w:rPr>
          <w:noProof/>
        </w:rPr>
        <w:t> janvier 2019, sous réserve du dépôt, à cette date, d’au moins vingt instruments de ratification, d’acceptation ou d’approbation de l’Amendement par des États ou des organisations régionales d’intégration économiq</w:t>
      </w:r>
      <w:r>
        <w:rPr>
          <w:noProof/>
        </w:rPr>
        <w:t>ue qui sont Parties au Protocole de Montréal relatif à des substances qui appauvrissent la couche d’ozone. Si, à cette date, cette condition n’a pas été respectée, le présent Amendement entre en vigueur le quatre-vingt-dixième jour suivant la date à laquel</w:t>
      </w:r>
      <w:r>
        <w:rPr>
          <w:noProof/>
        </w:rPr>
        <w:t>le cette condition a été remplie.</w:t>
      </w:r>
    </w:p>
    <w:p w:rsidR="008C2383" w:rsidRDefault="00CE7645">
      <w:pPr>
        <w:pStyle w:val="Bodytext20"/>
        <w:numPr>
          <w:ilvl w:val="0"/>
          <w:numId w:val="7"/>
        </w:numPr>
        <w:shd w:val="clear" w:color="auto" w:fill="auto"/>
        <w:tabs>
          <w:tab w:val="left" w:pos="538"/>
        </w:tabs>
        <w:spacing w:before="0" w:after="120"/>
        <w:ind w:firstLine="0"/>
        <w:rPr>
          <w:noProof/>
        </w:rPr>
      </w:pPr>
      <w:r>
        <w:rPr>
          <w:noProof/>
        </w:rPr>
        <w:t>Les modifications apportées à l’article 4 du Protocole (Réglementation des échanges commerciaux avec les États non Parties au Protocole), qui figurent à l’article I du présent Amendement, entrent en vigueur le 1</w:t>
      </w:r>
      <w:r>
        <w:rPr>
          <w:noProof/>
          <w:vertAlign w:val="superscript"/>
        </w:rPr>
        <w:t>er</w:t>
      </w:r>
      <w:r>
        <w:rPr>
          <w:noProof/>
        </w:rPr>
        <w:t> janvier </w:t>
      </w:r>
      <w:r>
        <w:rPr>
          <w:noProof/>
        </w:rPr>
        <w:t>2033, sous réserve du dépôt d’au moins soixante-dix instruments de ratification, d’acceptation ou d’approbation de l’Amendement par des États ou des organisations régionales d’intégration économique qui sont Parties au Protocole de Montréal relatif à des s</w:t>
      </w:r>
      <w:r>
        <w:rPr>
          <w:noProof/>
        </w:rPr>
        <w:t>ubstances qui appauvrissent la couche d’ozone. Si, à cette date, cette condition n’a pas été respectée, le présent Amendement entre en vigueur le quatre-vingt-dixième jour suivant la date à laquelle cette condition a été remplie.</w:t>
      </w:r>
    </w:p>
    <w:p w:rsidR="008C2383" w:rsidRDefault="00CE7645">
      <w:pPr>
        <w:pStyle w:val="Bodytext20"/>
        <w:numPr>
          <w:ilvl w:val="0"/>
          <w:numId w:val="7"/>
        </w:numPr>
        <w:shd w:val="clear" w:color="auto" w:fill="auto"/>
        <w:tabs>
          <w:tab w:val="left" w:pos="538"/>
        </w:tabs>
        <w:spacing w:before="0" w:after="124"/>
        <w:ind w:firstLine="0"/>
        <w:rPr>
          <w:noProof/>
        </w:rPr>
      </w:pPr>
      <w:r>
        <w:rPr>
          <w:noProof/>
        </w:rPr>
        <w:t>Aux fins des paragraphes 1</w:t>
      </w:r>
      <w:r>
        <w:rPr>
          <w:noProof/>
        </w:rPr>
        <w:t xml:space="preserve"> et 2 ci-dessus, aucun instrument déposé par une organisation régionale d’intégration économique ne saurait être considéré comme un instrument venant s’ajouter aux instruments déjà déposés par les États membres de cette organisation.</w:t>
      </w:r>
    </w:p>
    <w:p w:rsidR="008C2383" w:rsidRDefault="00CE7645">
      <w:pPr>
        <w:pStyle w:val="Bodytext20"/>
        <w:numPr>
          <w:ilvl w:val="0"/>
          <w:numId w:val="7"/>
        </w:numPr>
        <w:shd w:val="clear" w:color="auto" w:fill="auto"/>
        <w:tabs>
          <w:tab w:val="left" w:pos="538"/>
        </w:tabs>
        <w:spacing w:before="0" w:after="483" w:line="226" w:lineRule="exact"/>
        <w:ind w:firstLine="0"/>
        <w:rPr>
          <w:noProof/>
        </w:rPr>
      </w:pPr>
      <w:r>
        <w:rPr>
          <w:noProof/>
        </w:rPr>
        <w:t>Après son entrée en vi</w:t>
      </w:r>
      <w:r>
        <w:rPr>
          <w:noProof/>
        </w:rPr>
        <w:t>gueur comme prévu aux paragraphes 1 et 2 ci-dessus, le présent Amendement entre en vigueur pour toute autre Partie au Protocole le quatre-vingt-dixième jour suivant la date du dépôt de son instrument de ratification, d’acceptation ou d’approbation.</w:t>
      </w:r>
    </w:p>
    <w:p w:rsidR="008C2383" w:rsidRDefault="00CE7645">
      <w:pPr>
        <w:pStyle w:val="Heading20"/>
        <w:keepNext/>
        <w:keepLines/>
        <w:shd w:val="clear" w:color="auto" w:fill="auto"/>
        <w:spacing w:before="0" w:after="113" w:line="222" w:lineRule="exact"/>
        <w:jc w:val="left"/>
        <w:rPr>
          <w:noProof/>
        </w:rPr>
      </w:pPr>
      <w:r>
        <w:rPr>
          <w:noProof/>
        </w:rPr>
        <w:t>Article</w:t>
      </w:r>
      <w:r>
        <w:rPr>
          <w:noProof/>
        </w:rPr>
        <w:t> V: Application provisoire</w:t>
      </w:r>
    </w:p>
    <w:p w:rsidR="008C2383" w:rsidRDefault="00CE7645">
      <w:pPr>
        <w:pStyle w:val="Bodytext20"/>
        <w:shd w:val="clear" w:color="auto" w:fill="auto"/>
        <w:spacing w:before="0"/>
        <w:ind w:firstLine="0"/>
        <w:rPr>
          <w:noProof/>
        </w:rPr>
      </w:pPr>
      <w:r>
        <w:rPr>
          <w:noProof/>
        </w:rPr>
        <w:t xml:space="preserve">Toute Partie peut, à tout moment avant l’entrée en vigueur du présent Amendement pour ce qui la concerne, déclarer qu’elle appliquera à titre provisoire toute mesure de réglementation énoncée à l’article 2J et qu’elle </w:t>
      </w:r>
      <w:r>
        <w:rPr>
          <w:noProof/>
        </w:rPr>
        <w:t>s’acquittera de l’obligation correspondante de communiquer des données au titre de l’article 7 en attendant l’entrée en vigueur de l’Amendement.</w:t>
      </w:r>
    </w:p>
    <w:sectPr w:rsidR="008C2383">
      <w:headerReference w:type="even" r:id="rId28"/>
      <w:headerReference w:type="default" r:id="rId29"/>
      <w:footerReference w:type="even" r:id="rId30"/>
      <w:footerReference w:type="default" r:id="rId31"/>
      <w:headerReference w:type="first" r:id="rId32"/>
      <w:footerReference w:type="first" r:id="rId33"/>
      <w:pgSz w:w="11900" w:h="16840"/>
      <w:pgMar w:top="868" w:right="1019" w:bottom="868" w:left="13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83" w:rsidRDefault="00CE7645">
      <w:r>
        <w:separator/>
      </w:r>
    </w:p>
  </w:endnote>
  <w:endnote w:type="continuationSeparator" w:id="0">
    <w:p w:rsidR="008C2383" w:rsidRDefault="00C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CE7645">
    <w:pPr>
      <w:rPr>
        <w:sz w:val="2"/>
        <w:szCs w:val="2"/>
      </w:rPr>
    </w:pPr>
    <w:r>
      <w:rPr>
        <w:noProof/>
        <w:lang w:val="en-GB" w:eastAsia="en-GB" w:bidi="ar-SA"/>
      </w:rPr>
      <mc:AlternateContent>
        <mc:Choice Requires="wps">
          <w:drawing>
            <wp:anchor distT="0" distB="0" distL="63500" distR="63500" simplePos="0" relativeHeight="251663872"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pPr>
                            <w:pStyle w:val="Headerorfooter0"/>
                            <w:shd w:val="clear" w:color="auto" w:fill="auto"/>
                            <w:spacing w:line="240" w:lineRule="auto"/>
                          </w:pPr>
                          <w:r>
                            <w:fldChar w:fldCharType="begin"/>
                          </w:r>
                          <w:r>
                            <w:instrText xml:space="preserve"> PAGE \* MERGEFORMAT </w:instrText>
                          </w:r>
                          <w:r>
                            <w:fldChar w:fldCharType="separate"/>
                          </w:r>
                          <w:r w:rsidRPr="00CE7645">
                            <w:rPr>
                              <w:rStyle w:val="Headerorfooter1"/>
                              <w:b/>
                              <w:bCs/>
                              <w:noProof/>
                            </w:rPr>
                            <w:t>10</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4.8pt;margin-top:779.95pt;width:4.3pt;height:9.75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ncqwIAAKw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" filled="f" stroked="f">
              <v:textbox style="mso-fit-shape-to-text:t" inset="0,0,0,0">
                <w:txbxContent>
                  <w:p w:rsidR="008C2383" w:rsidRDefault="00CE7645">
                    <w:pPr>
                      <w:pStyle w:val="Headerorfooter0"/>
                      <w:shd w:val="clear" w:color="auto" w:fill="auto"/>
                      <w:spacing w:line="240" w:lineRule="auto"/>
                    </w:pPr>
                    <w:r>
                      <w:fldChar w:fldCharType="begin"/>
                    </w:r>
                    <w:r>
                      <w:instrText xml:space="preserve"> PAGE \* MERGEFORMAT </w:instrText>
                    </w:r>
                    <w:r>
                      <w:fldChar w:fldCharType="separate"/>
                    </w:r>
                    <w:r w:rsidRPr="00CE7645">
                      <w:rPr>
                        <w:rStyle w:val="Headerorfooter1"/>
                        <w:b/>
                        <w:bCs/>
                        <w:noProof/>
                      </w:rPr>
                      <w:t>10</w:t>
                    </w:r>
                    <w:r>
                      <w:rPr>
                        <w:rStyle w:val="Headerorfooter1"/>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CE764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CE7645">
    <w:pPr>
      <w:rPr>
        <w:sz w:val="2"/>
        <w:szCs w:val="2"/>
      </w:rPr>
    </w:pPr>
    <w:r>
      <w:rPr>
        <w:noProof/>
        <w:lang w:val="en-GB" w:eastAsia="en-GB" w:bidi="ar-SA"/>
      </w:rPr>
      <mc:AlternateContent>
        <mc:Choice Requires="wps">
          <w:drawing>
            <wp:anchor distT="0" distB="0" distL="63500" distR="63500" simplePos="0" relativeHeight="251659776"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2</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4.8pt;margin-top:779.95pt;width:4.3pt;height:9.7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g2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" filled="f" stroked="f">
              <v:textbox style="mso-fit-shape-to-text:t" inset="0,0,0,0">
                <w:txbxContent>
                  <w:p>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noProof/>
                      </w:rPr>
                      <w:t>2</w:t>
                    </w:r>
                    <w:r>
                      <w:rPr>
                        <w:rStyle w:val="Headerorfooter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CE7645">
    <w:pPr>
      <w:pStyle w:val="Footer"/>
    </w:pPr>
    <w:r>
      <w:rPr>
        <w:noProof/>
        <w:lang w:val="en-GB" w:eastAsia="en-GB" w:bidi="ar-SA"/>
      </w:rPr>
      <mc:AlternateContent>
        <mc:Choice Requires="wps">
          <w:drawing>
            <wp:anchor distT="0" distB="0" distL="63500" distR="63500" simplePos="0" relativeHeight="251665920" behindDoc="1" locked="0" layoutInCell="1" allowOverlap="1">
              <wp:simplePos x="0" y="0"/>
              <wp:positionH relativeFrom="page">
                <wp:posOffset>4023360</wp:posOffset>
              </wp:positionH>
              <wp:positionV relativeFrom="page">
                <wp:posOffset>10057765</wp:posOffset>
              </wp:positionV>
              <wp:extent cx="54610" cy="123825"/>
              <wp:effectExtent l="381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r>
                            <w:fldChar w:fldCharType="begin"/>
                          </w:r>
                          <w:r>
                            <w:instrText xml:space="preserve"> PAGE \* MERGEFORMAT </w:instrText>
                          </w:r>
                          <w:r>
                            <w:fldChar w:fldCharType="separate"/>
                          </w:r>
                          <w:r w:rsidRPr="00CE7645">
                            <w:rPr>
                              <w:rStyle w:val="Headerorfooter1"/>
                              <w:noProof/>
                            </w:rPr>
                            <w:t>2</w:t>
                          </w:r>
                          <w:r>
                            <w:rPr>
                              <w:rStyle w:val="Headerorfooter1"/>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16.8pt;margin-top:791.95pt;width:4.3pt;height:9.75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OUqQ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" filled="f" stroked="f">
              <v:textbox style="mso-fit-shape-to-text:t" inset="0,0,0,0">
                <w:txbxContent>
                  <w:p w:rsidR="008C2383" w:rsidRDefault="00CE7645">
                    <w:r>
                      <w:fldChar w:fldCharType="begin"/>
                    </w:r>
                    <w:r>
                      <w:instrText xml:space="preserve"> PAGE \* MERGEFORMAT </w:instrText>
                    </w:r>
                    <w:r>
                      <w:fldChar w:fldCharType="separate"/>
                    </w:r>
                    <w:r w:rsidRPr="00CE7645">
                      <w:rPr>
                        <w:rStyle w:val="Headerorfooter1"/>
                        <w:noProof/>
                      </w:rPr>
                      <w:t>2</w:t>
                    </w:r>
                    <w:r>
                      <w:rPr>
                        <w:rStyle w:val="Headerorfooter1"/>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CE7645">
    <w:pPr>
      <w:rPr>
        <w:sz w:val="2"/>
        <w:szCs w:val="2"/>
      </w:rPr>
    </w:pPr>
    <w:r>
      <w:rPr>
        <w:noProof/>
        <w:lang w:val="en-GB" w:eastAsia="en-GB" w:bidi="ar-SA"/>
      </w:rPr>
      <mc:AlternateContent>
        <mc:Choice Requires="wps">
          <w:drawing>
            <wp:anchor distT="0" distB="0" distL="63500" distR="63500" simplePos="0" relativeHeight="251661824" behindDoc="1" locked="0" layoutInCell="1" allowOverlap="1">
              <wp:simplePos x="0" y="0"/>
              <wp:positionH relativeFrom="page">
                <wp:posOffset>3870960</wp:posOffset>
              </wp:positionH>
              <wp:positionV relativeFrom="page">
                <wp:posOffset>9905365</wp:posOffset>
              </wp:positionV>
              <wp:extent cx="54610" cy="123825"/>
              <wp:effectExtent l="3810" t="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383" w:rsidRDefault="00CE7645">
                          <w:pPr>
                            <w:pStyle w:val="Headerorfooter0"/>
                            <w:shd w:val="clear" w:color="auto" w:fill="auto"/>
                            <w:spacing w:line="240" w:lineRule="auto"/>
                            <w:rPr>
                              <w:b w:val="0"/>
                            </w:rPr>
                          </w:pPr>
                          <w:r>
                            <w:rPr>
                              <w:b w:val="0"/>
                            </w:rPr>
                            <w:fldChar w:fldCharType="begin"/>
                          </w:r>
                          <w:r>
                            <w:rPr>
                              <w:b w:val="0"/>
                            </w:rPr>
                            <w:instrText xml:space="preserve"> PAGE \* MERGEFORMAT </w:instrText>
                          </w:r>
                          <w:r>
                            <w:rPr>
                              <w:b w:val="0"/>
                            </w:rPr>
                            <w:fldChar w:fldCharType="separate"/>
                          </w:r>
                          <w:r w:rsidRPr="00CE7645">
                            <w:rPr>
                              <w:rStyle w:val="Headerorfooter1"/>
                              <w:bCs/>
                              <w:noProof/>
                            </w:rPr>
                            <w:t>4</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04.8pt;margin-top:779.95pt;width:4.3pt;height:9.7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" filled="f" stroked="f">
              <v:textbox style="mso-fit-shape-to-text:t" inset="0,0,0,0">
                <w:txbxContent>
                  <w:p w:rsidR="008C2383" w:rsidRDefault="00CE7645">
                    <w:pPr>
                      <w:pStyle w:val="Headerorfooter0"/>
                      <w:shd w:val="clear" w:color="auto" w:fill="auto"/>
                      <w:spacing w:line="240" w:lineRule="auto"/>
                      <w:rPr>
                        <w:b w:val="0"/>
                      </w:rPr>
                    </w:pPr>
                    <w:r>
                      <w:rPr>
                        <w:b w:val="0"/>
                      </w:rPr>
                      <w:fldChar w:fldCharType="begin"/>
                    </w:r>
                    <w:r>
                      <w:rPr>
                        <w:b w:val="0"/>
                      </w:rPr>
                      <w:instrText xml:space="preserve"> PAGE \* MERGEFORMAT </w:instrText>
                    </w:r>
                    <w:r>
                      <w:rPr>
                        <w:b w:val="0"/>
                      </w:rPr>
                      <w:fldChar w:fldCharType="separate"/>
                    </w:r>
                    <w:r w:rsidRPr="00CE7645">
                      <w:rPr>
                        <w:rStyle w:val="Headerorfooter1"/>
                        <w:bCs/>
                        <w:noProof/>
                      </w:rPr>
                      <w:t>4</w:t>
                    </w:r>
                    <w:r>
                      <w:rPr>
                        <w:rStyle w:val="Headerorfooter1"/>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619618"/>
      <w:docPartObj>
        <w:docPartGallery w:val="Page Numbers (Bottom of Page)"/>
        <w:docPartUnique/>
      </w:docPartObj>
    </w:sdtPr>
    <w:sdtEndPr>
      <w:rPr>
        <w:noProof/>
      </w:rPr>
    </w:sdtEndPr>
    <w:sdtContent>
      <w:p w:rsidR="008C2383" w:rsidRDefault="00CE764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C2383" w:rsidRDefault="008C2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83" w:rsidRDefault="008C2383"/>
  </w:footnote>
  <w:footnote w:type="continuationSeparator" w:id="0">
    <w:p w:rsidR="008C2383" w:rsidRDefault="008C23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83" w:rsidRDefault="008C2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3E8"/>
    <w:multiLevelType w:val="multilevel"/>
    <w:tmpl w:val="5F0CB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FC0261"/>
    <w:multiLevelType w:val="multilevel"/>
    <w:tmpl w:val="E08882CC"/>
    <w:lvl w:ilvl="0">
      <w:start w:val="1"/>
      <w:numFmt w:val="lowerLetter"/>
      <w:lvlText w:val="%1)"/>
      <w:lvlJc w:val="left"/>
      <w:rPr>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8D5701"/>
    <w:multiLevelType w:val="multilevel"/>
    <w:tmpl w:val="F6AC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4E2C30"/>
    <w:multiLevelType w:val="multilevel"/>
    <w:tmpl w:val="B4D830FE"/>
    <w:lvl w:ilvl="0">
      <w:start w:val="1"/>
      <w:numFmt w:val="lowerLetter"/>
      <w:lvlText w:val="%1)"/>
      <w:lvlJc w:val="left"/>
      <w:rPr>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58504D"/>
    <w:multiLevelType w:val="multilevel"/>
    <w:tmpl w:val="CB645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DF36DE"/>
    <w:multiLevelType w:val="multilevel"/>
    <w:tmpl w:val="E3F4BE08"/>
    <w:lvl w:ilvl="0">
      <w:start w:val="1"/>
      <w:numFmt w:val="lowerLetter"/>
      <w:lvlText w:val="%1)"/>
      <w:lvlJc w:val="left"/>
      <w:rPr>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1C1859"/>
    <w:multiLevelType w:val="multilevel"/>
    <w:tmpl w:val="06984DAC"/>
    <w:lvl w:ilvl="0">
      <w:start w:val="1"/>
      <w:numFmt w:val="lowerLetter"/>
      <w:lvlText w:val="%1)"/>
      <w:lvlJc w:val="left"/>
      <w:rPr>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C26AD5"/>
    <w:multiLevelType w:val="multilevel"/>
    <w:tmpl w:val="BED0AF0A"/>
    <w:lvl w:ilvl="0">
      <w:start w:val="1"/>
      <w:numFmt w:val="lowerLetter"/>
      <w:lvlText w:val="%1)"/>
      <w:lvlJc w:val="left"/>
      <w:rPr>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7"/>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2"/>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DBE36BE626B24577B3CC5B8297B6783B"/>
    <w:docVar w:name="LW_CROSSREFERENCE" w:val="&lt;UNUSED&gt;"/>
    <w:docVar w:name="LW_DocType" w:val="NORMAL"/>
    <w:docVar w:name="LW_EMISSION" w:val="2.2.2017"/>
    <w:docVar w:name="LW_EMISSION_ISODATE" w:val="2017-02-02"/>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ve à la conclusion de l\u8217?accord modifiant le protocole de Montréal relatif à des substances qui appauvrissent la couche d\u8217?ozone, adopté à Kigali"/>
    <w:docVar w:name="LW_PART_NBR" w:val="1"/>
    <w:docVar w:name="LW_PART_NBR_TOTAL" w:val="1"/>
    <w:docVar w:name="LW_REF.INST.NEW" w:val="COM"/>
    <w:docVar w:name="LW_REF.INST.NEW_ADOPTED" w:val="final"/>
    <w:docVar w:name="LW_REF.INST.NEW_TEXT" w:val="(2017) 51"/>
    <w:docVar w:name="LW_REF.INTERNE" w:val="&lt;UNUSED&gt;"/>
    <w:docVar w:name="LW_SUPERTITRE" w:val="&lt;UNUSED&gt;"/>
    <w:docVar w:name="LW_TITRE.OBJ.CP" w:val="&lt;UNUSED&gt;"/>
    <w:docVar w:name="LW_TYPE.DOC.CP" w:val="ANNEXE_x000b_"/>
    <w:docVar w:name="LW_TYPEACTEPRINCIPAL.CP" w:val="Décision du Conseil"/>
  </w:docVars>
  <w:rsids>
    <w:rsidRoot w:val="008C2383"/>
    <w:rsid w:val="008C2383"/>
    <w:rsid w:val="00CE76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fr-F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0"/>
      <w:szCs w:val="20"/>
      <w:u w:val="none"/>
    </w:rPr>
  </w:style>
  <w:style w:type="character" w:customStyle="1" w:styleId="Heading1Exact">
    <w:name w:val="Heading #1 Exact"/>
    <w:basedOn w:val="DefaultParagraphFont"/>
    <w:rPr>
      <w:b/>
      <w:bCs/>
      <w:i w:val="0"/>
      <w:iCs w:val="0"/>
      <w:smallCaps w:val="0"/>
      <w:strike w:val="0"/>
      <w:sz w:val="28"/>
      <w:szCs w:val="28"/>
      <w:u w:val="none"/>
      <w:lang w:val="fr-FR" w:eastAsia="fr-FR" w:bidi="fr-FR"/>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2">
    <w:name w:val="Body text (2)_"/>
    <w:basedOn w:val="DefaultParagraphFont"/>
    <w:link w:val="Bodytext20"/>
    <w:rPr>
      <w:b w:val="0"/>
      <w:bCs w:val="0"/>
      <w:i w:val="0"/>
      <w:iCs w:val="0"/>
      <w:smallCaps w:val="0"/>
      <w:strike w:val="0"/>
      <w:sz w:val="20"/>
      <w:szCs w:val="20"/>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Heading2">
    <w:name w:val="Heading #2_"/>
    <w:basedOn w:val="DefaultParagraphFont"/>
    <w:link w:val="Heading20"/>
    <w:rPr>
      <w:b/>
      <w:bCs/>
      <w:i w:val="0"/>
      <w:iCs w:val="0"/>
      <w:smallCaps w:val="0"/>
      <w:strike w:val="0"/>
      <w:sz w:val="20"/>
      <w:szCs w:val="20"/>
      <w:u w:val="none"/>
    </w:rPr>
  </w:style>
  <w:style w:type="character" w:customStyle="1" w:styleId="Bodytext4">
    <w:name w:val="Body text (4)_"/>
    <w:basedOn w:val="DefaultParagraphFont"/>
    <w:link w:val="Bodytext40"/>
    <w:rPr>
      <w:b w:val="0"/>
      <w:bCs w:val="0"/>
      <w:i/>
      <w:iCs/>
      <w:smallCaps w:val="0"/>
      <w:strike w:val="0"/>
      <w:sz w:val="20"/>
      <w:szCs w:val="20"/>
      <w:u w:val="none"/>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caption2">
    <w:name w:val="Table caption (2)_"/>
    <w:basedOn w:val="DefaultParagraphFont"/>
    <w:link w:val="Tablecaption20"/>
    <w:rPr>
      <w:b w:val="0"/>
      <w:bCs w:val="0"/>
      <w:i/>
      <w:iCs/>
      <w:smallCaps w:val="0"/>
      <w:strike w:val="0"/>
      <w:sz w:val="20"/>
      <w:szCs w:val="20"/>
      <w:u w:val="none"/>
    </w:rPr>
  </w:style>
  <w:style w:type="character" w:customStyle="1" w:styleId="Tablecaption">
    <w:name w:val="Table caption_"/>
    <w:basedOn w:val="DefaultParagraphFont"/>
    <w:link w:val="Tablecaption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26pt0">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paragraph" w:customStyle="1" w:styleId="Bodytext20">
    <w:name w:val="Body text (2)"/>
    <w:basedOn w:val="Normal"/>
    <w:link w:val="Bodytext2"/>
    <w:pPr>
      <w:shd w:val="clear" w:color="auto" w:fill="FFFFFF"/>
      <w:spacing w:before="240" w:line="230" w:lineRule="exact"/>
      <w:ind w:hanging="620"/>
    </w:pPr>
    <w:rPr>
      <w:sz w:val="20"/>
      <w:szCs w:val="20"/>
    </w:rPr>
  </w:style>
  <w:style w:type="paragraph" w:customStyle="1" w:styleId="Heading10">
    <w:name w:val="Heading #1"/>
    <w:basedOn w:val="Normal"/>
    <w:link w:val="Heading1"/>
    <w:pPr>
      <w:shd w:val="clear" w:color="auto" w:fill="FFFFFF"/>
      <w:spacing w:after="120" w:line="322" w:lineRule="exact"/>
      <w:jc w:val="both"/>
      <w:outlineLvl w:val="0"/>
    </w:pPr>
    <w:rPr>
      <w:b/>
      <w:bCs/>
      <w:sz w:val="28"/>
      <w:szCs w:val="28"/>
    </w:rPr>
  </w:style>
  <w:style w:type="paragraph" w:customStyle="1" w:styleId="Bodytext30">
    <w:name w:val="Body text (3)"/>
    <w:basedOn w:val="Normal"/>
    <w:link w:val="Bodytext3"/>
    <w:pPr>
      <w:shd w:val="clear" w:color="auto" w:fill="FFFFFF"/>
      <w:spacing w:after="240" w:line="222" w:lineRule="exact"/>
    </w:pPr>
    <w:rPr>
      <w:b/>
      <w:bCs/>
      <w:sz w:val="20"/>
      <w:szCs w:val="20"/>
    </w:rPr>
  </w:style>
  <w:style w:type="paragraph" w:customStyle="1" w:styleId="Headerorfooter0">
    <w:name w:val="Header or footer"/>
    <w:basedOn w:val="Normal"/>
    <w:link w:val="Headerorfooter"/>
    <w:pPr>
      <w:shd w:val="clear" w:color="auto" w:fill="FFFFFF"/>
      <w:spacing w:line="188" w:lineRule="exact"/>
    </w:pPr>
    <w:rPr>
      <w:b/>
      <w:bCs/>
      <w:sz w:val="17"/>
      <w:szCs w:val="17"/>
    </w:rPr>
  </w:style>
  <w:style w:type="paragraph" w:customStyle="1" w:styleId="Heading20">
    <w:name w:val="Heading #2"/>
    <w:basedOn w:val="Normal"/>
    <w:link w:val="Heading2"/>
    <w:pPr>
      <w:shd w:val="clear" w:color="auto" w:fill="FFFFFF"/>
      <w:spacing w:before="120" w:line="346" w:lineRule="exact"/>
      <w:jc w:val="both"/>
      <w:outlineLvl w:val="1"/>
    </w:pPr>
    <w:rPr>
      <w:b/>
      <w:bCs/>
      <w:sz w:val="20"/>
      <w:szCs w:val="20"/>
    </w:rPr>
  </w:style>
  <w:style w:type="paragraph" w:customStyle="1" w:styleId="Bodytext40">
    <w:name w:val="Body text (4)"/>
    <w:basedOn w:val="Normal"/>
    <w:link w:val="Bodytext4"/>
    <w:pPr>
      <w:shd w:val="clear" w:color="auto" w:fill="FFFFFF"/>
      <w:spacing w:line="346" w:lineRule="exact"/>
      <w:jc w:val="both"/>
    </w:pPr>
    <w:rPr>
      <w:i/>
      <w:iCs/>
      <w:sz w:val="20"/>
      <w:szCs w:val="20"/>
    </w:rPr>
  </w:style>
  <w:style w:type="paragraph" w:customStyle="1" w:styleId="Tablecaption20">
    <w:name w:val="Table caption (2)"/>
    <w:basedOn w:val="Normal"/>
    <w:link w:val="Tablecaption2"/>
    <w:pPr>
      <w:shd w:val="clear" w:color="auto" w:fill="FFFFFF"/>
      <w:spacing w:line="222" w:lineRule="exact"/>
    </w:pPr>
    <w:rPr>
      <w:i/>
      <w:iCs/>
      <w:sz w:val="20"/>
      <w:szCs w:val="20"/>
    </w:rPr>
  </w:style>
  <w:style w:type="paragraph" w:customStyle="1" w:styleId="Tablecaption0">
    <w:name w:val="Table caption"/>
    <w:basedOn w:val="Normal"/>
    <w:link w:val="Tablecaption"/>
    <w:pPr>
      <w:shd w:val="clear" w:color="auto" w:fill="FFFFFF"/>
      <w:spacing w:line="222" w:lineRule="exact"/>
    </w:pPr>
    <w:rPr>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19"/>
    </w:rPr>
  </w:style>
  <w:style w:type="character" w:customStyle="1" w:styleId="FooterCoverPageChar">
    <w:name w:val="Footer Cover Page Char"/>
    <w:basedOn w:val="DefaultParagraphFont"/>
    <w:link w:val="FooterCoverPage"/>
    <w:rPr>
      <w:color w:val="000000"/>
      <w:szCs w:val="19"/>
    </w:rPr>
  </w:style>
  <w:style w:type="paragraph" w:customStyle="1" w:styleId="HeaderCoverPage">
    <w:name w:val="Header Cover Page"/>
    <w:basedOn w:val="Normal"/>
    <w:link w:val="HeaderCoverPageChar"/>
    <w:pPr>
      <w:tabs>
        <w:tab w:val="center" w:pos="4535"/>
        <w:tab w:val="right" w:pos="9071"/>
      </w:tabs>
      <w:spacing w:after="120"/>
      <w:jc w:val="both"/>
    </w:pPr>
    <w:rPr>
      <w:szCs w:val="19"/>
    </w:rPr>
  </w:style>
  <w:style w:type="character" w:customStyle="1" w:styleId="HeaderCoverPageChar">
    <w:name w:val="Header Cover Page Char"/>
    <w:basedOn w:val="DefaultParagraphFont"/>
    <w:link w:val="HeaderCoverPage"/>
    <w:rPr>
      <w:color w:val="000000"/>
      <w:szCs w:val="19"/>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fr-F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Pr>
      <w:b w:val="0"/>
      <w:bCs w:val="0"/>
      <w:i w:val="0"/>
      <w:iCs w:val="0"/>
      <w:smallCaps w:val="0"/>
      <w:strike w:val="0"/>
      <w:sz w:val="20"/>
      <w:szCs w:val="20"/>
      <w:u w:val="none"/>
    </w:rPr>
  </w:style>
  <w:style w:type="character" w:customStyle="1" w:styleId="Heading1Exact">
    <w:name w:val="Heading #1 Exact"/>
    <w:basedOn w:val="DefaultParagraphFont"/>
    <w:rPr>
      <w:b/>
      <w:bCs/>
      <w:i w:val="0"/>
      <w:iCs w:val="0"/>
      <w:smallCaps w:val="0"/>
      <w:strike w:val="0"/>
      <w:sz w:val="28"/>
      <w:szCs w:val="28"/>
      <w:u w:val="none"/>
      <w:lang w:val="fr-FR" w:eastAsia="fr-FR" w:bidi="fr-FR"/>
    </w:rPr>
  </w:style>
  <w:style w:type="character" w:customStyle="1" w:styleId="Bodytext3">
    <w:name w:val="Body text (3)_"/>
    <w:basedOn w:val="DefaultParagraphFont"/>
    <w:link w:val="Bodytext30"/>
    <w:rPr>
      <w:b/>
      <w:bCs/>
      <w:i w:val="0"/>
      <w:iCs w:val="0"/>
      <w:smallCaps w:val="0"/>
      <w:strike w:val="0"/>
      <w:sz w:val="20"/>
      <w:szCs w:val="20"/>
      <w:u w:val="none"/>
    </w:rPr>
  </w:style>
  <w:style w:type="character" w:customStyle="1" w:styleId="Bodytext2">
    <w:name w:val="Body text (2)_"/>
    <w:basedOn w:val="DefaultParagraphFont"/>
    <w:link w:val="Bodytext20"/>
    <w:rPr>
      <w:b w:val="0"/>
      <w:bCs w:val="0"/>
      <w:i w:val="0"/>
      <w:iCs w:val="0"/>
      <w:smallCaps w:val="0"/>
      <w:strike w:val="0"/>
      <w:sz w:val="20"/>
      <w:szCs w:val="20"/>
      <w:u w:val="none"/>
    </w:rPr>
  </w:style>
  <w:style w:type="character" w:customStyle="1" w:styleId="Heading1">
    <w:name w:val="Heading #1_"/>
    <w:basedOn w:val="DefaultParagraphFont"/>
    <w:link w:val="Heading10"/>
    <w:rPr>
      <w:b/>
      <w:bCs/>
      <w:i w:val="0"/>
      <w:iCs w:val="0"/>
      <w:smallCaps w:val="0"/>
      <w:strike w:val="0"/>
      <w:sz w:val="28"/>
      <w:szCs w:val="28"/>
      <w:u w:val="none"/>
    </w:rPr>
  </w:style>
  <w:style w:type="character" w:customStyle="1" w:styleId="Headerorfooter">
    <w:name w:val="Header or footer_"/>
    <w:basedOn w:val="DefaultParagraphFont"/>
    <w:link w:val="Headerorfooter0"/>
    <w:rPr>
      <w:b/>
      <w:bCs/>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Heading2">
    <w:name w:val="Heading #2_"/>
    <w:basedOn w:val="DefaultParagraphFont"/>
    <w:link w:val="Heading20"/>
    <w:rPr>
      <w:b/>
      <w:bCs/>
      <w:i w:val="0"/>
      <w:iCs w:val="0"/>
      <w:smallCaps w:val="0"/>
      <w:strike w:val="0"/>
      <w:sz w:val="20"/>
      <w:szCs w:val="20"/>
      <w:u w:val="none"/>
    </w:rPr>
  </w:style>
  <w:style w:type="character" w:customStyle="1" w:styleId="Bodytext4">
    <w:name w:val="Body text (4)_"/>
    <w:basedOn w:val="DefaultParagraphFont"/>
    <w:link w:val="Bodytext40"/>
    <w:rPr>
      <w:b w:val="0"/>
      <w:bCs w:val="0"/>
      <w:i/>
      <w:iCs/>
      <w:smallCaps w:val="0"/>
      <w:strike w:val="0"/>
      <w:sz w:val="20"/>
      <w:szCs w:val="20"/>
      <w:u w:val="none"/>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caption2">
    <w:name w:val="Table caption (2)_"/>
    <w:basedOn w:val="DefaultParagraphFont"/>
    <w:link w:val="Tablecaption20"/>
    <w:rPr>
      <w:b w:val="0"/>
      <w:bCs w:val="0"/>
      <w:i/>
      <w:iCs/>
      <w:smallCaps w:val="0"/>
      <w:strike w:val="0"/>
      <w:sz w:val="20"/>
      <w:szCs w:val="20"/>
      <w:u w:val="none"/>
    </w:rPr>
  </w:style>
  <w:style w:type="character" w:customStyle="1" w:styleId="Tablecaption">
    <w:name w:val="Table caption_"/>
    <w:basedOn w:val="DefaultParagraphFont"/>
    <w:link w:val="Tablecaption0"/>
    <w:rPr>
      <w:b w:val="0"/>
      <w:bCs w:val="0"/>
      <w:i w:val="0"/>
      <w:iCs w:val="0"/>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Bodytext26pt0">
    <w:name w:val="Body text (2) + 6 pt"/>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paragraph" w:customStyle="1" w:styleId="Bodytext20">
    <w:name w:val="Body text (2)"/>
    <w:basedOn w:val="Normal"/>
    <w:link w:val="Bodytext2"/>
    <w:pPr>
      <w:shd w:val="clear" w:color="auto" w:fill="FFFFFF"/>
      <w:spacing w:before="240" w:line="230" w:lineRule="exact"/>
      <w:ind w:hanging="620"/>
    </w:pPr>
    <w:rPr>
      <w:sz w:val="20"/>
      <w:szCs w:val="20"/>
    </w:rPr>
  </w:style>
  <w:style w:type="paragraph" w:customStyle="1" w:styleId="Heading10">
    <w:name w:val="Heading #1"/>
    <w:basedOn w:val="Normal"/>
    <w:link w:val="Heading1"/>
    <w:pPr>
      <w:shd w:val="clear" w:color="auto" w:fill="FFFFFF"/>
      <w:spacing w:after="120" w:line="322" w:lineRule="exact"/>
      <w:jc w:val="both"/>
      <w:outlineLvl w:val="0"/>
    </w:pPr>
    <w:rPr>
      <w:b/>
      <w:bCs/>
      <w:sz w:val="28"/>
      <w:szCs w:val="28"/>
    </w:rPr>
  </w:style>
  <w:style w:type="paragraph" w:customStyle="1" w:styleId="Bodytext30">
    <w:name w:val="Body text (3)"/>
    <w:basedOn w:val="Normal"/>
    <w:link w:val="Bodytext3"/>
    <w:pPr>
      <w:shd w:val="clear" w:color="auto" w:fill="FFFFFF"/>
      <w:spacing w:after="240" w:line="222" w:lineRule="exact"/>
    </w:pPr>
    <w:rPr>
      <w:b/>
      <w:bCs/>
      <w:sz w:val="20"/>
      <w:szCs w:val="20"/>
    </w:rPr>
  </w:style>
  <w:style w:type="paragraph" w:customStyle="1" w:styleId="Headerorfooter0">
    <w:name w:val="Header or footer"/>
    <w:basedOn w:val="Normal"/>
    <w:link w:val="Headerorfooter"/>
    <w:pPr>
      <w:shd w:val="clear" w:color="auto" w:fill="FFFFFF"/>
      <w:spacing w:line="188" w:lineRule="exact"/>
    </w:pPr>
    <w:rPr>
      <w:b/>
      <w:bCs/>
      <w:sz w:val="17"/>
      <w:szCs w:val="17"/>
    </w:rPr>
  </w:style>
  <w:style w:type="paragraph" w:customStyle="1" w:styleId="Heading20">
    <w:name w:val="Heading #2"/>
    <w:basedOn w:val="Normal"/>
    <w:link w:val="Heading2"/>
    <w:pPr>
      <w:shd w:val="clear" w:color="auto" w:fill="FFFFFF"/>
      <w:spacing w:before="120" w:line="346" w:lineRule="exact"/>
      <w:jc w:val="both"/>
      <w:outlineLvl w:val="1"/>
    </w:pPr>
    <w:rPr>
      <w:b/>
      <w:bCs/>
      <w:sz w:val="20"/>
      <w:szCs w:val="20"/>
    </w:rPr>
  </w:style>
  <w:style w:type="paragraph" w:customStyle="1" w:styleId="Bodytext40">
    <w:name w:val="Body text (4)"/>
    <w:basedOn w:val="Normal"/>
    <w:link w:val="Bodytext4"/>
    <w:pPr>
      <w:shd w:val="clear" w:color="auto" w:fill="FFFFFF"/>
      <w:spacing w:line="346" w:lineRule="exact"/>
      <w:jc w:val="both"/>
    </w:pPr>
    <w:rPr>
      <w:i/>
      <w:iCs/>
      <w:sz w:val="20"/>
      <w:szCs w:val="20"/>
    </w:rPr>
  </w:style>
  <w:style w:type="paragraph" w:customStyle="1" w:styleId="Tablecaption20">
    <w:name w:val="Table caption (2)"/>
    <w:basedOn w:val="Normal"/>
    <w:link w:val="Tablecaption2"/>
    <w:pPr>
      <w:shd w:val="clear" w:color="auto" w:fill="FFFFFF"/>
      <w:spacing w:line="222" w:lineRule="exact"/>
    </w:pPr>
    <w:rPr>
      <w:i/>
      <w:iCs/>
      <w:sz w:val="20"/>
      <w:szCs w:val="20"/>
    </w:rPr>
  </w:style>
  <w:style w:type="paragraph" w:customStyle="1" w:styleId="Tablecaption0">
    <w:name w:val="Table caption"/>
    <w:basedOn w:val="Normal"/>
    <w:link w:val="Tablecaption"/>
    <w:pPr>
      <w:shd w:val="clear" w:color="auto" w:fill="FFFFFF"/>
      <w:spacing w:line="222" w:lineRule="exact"/>
    </w:pPr>
    <w:rPr>
      <w:sz w:val="20"/>
      <w:szCs w:val="20"/>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19"/>
    </w:rPr>
  </w:style>
  <w:style w:type="character" w:customStyle="1" w:styleId="FooterCoverPageChar">
    <w:name w:val="Footer Cover Page Char"/>
    <w:basedOn w:val="DefaultParagraphFont"/>
    <w:link w:val="FooterCoverPage"/>
    <w:rPr>
      <w:color w:val="000000"/>
      <w:szCs w:val="19"/>
    </w:rPr>
  </w:style>
  <w:style w:type="paragraph" w:customStyle="1" w:styleId="HeaderCoverPage">
    <w:name w:val="Header Cover Page"/>
    <w:basedOn w:val="Normal"/>
    <w:link w:val="HeaderCoverPageChar"/>
    <w:pPr>
      <w:tabs>
        <w:tab w:val="center" w:pos="4535"/>
        <w:tab w:val="right" w:pos="9071"/>
      </w:tabs>
      <w:spacing w:after="120"/>
      <w:jc w:val="both"/>
    </w:pPr>
    <w:rPr>
      <w:szCs w:val="19"/>
    </w:rPr>
  </w:style>
  <w:style w:type="character" w:customStyle="1" w:styleId="HeaderCoverPageChar">
    <w:name w:val="Header Cover Page Char"/>
    <w:basedOn w:val="DefaultParagraphFont"/>
    <w:link w:val="HeaderCoverPage"/>
    <w:rPr>
      <w:color w:val="000000"/>
      <w:szCs w:val="19"/>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3997-C68E-4ED9-AB90-EB8F8B94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3317</Words>
  <Characters>18150</Characters>
  <Application>Microsoft Office Word</Application>
  <DocSecurity>0</DocSecurity>
  <Lines>307</Lines>
  <Paragraphs>121</Paragraphs>
  <ScaleCrop>false</ScaleCrop>
  <HeadingPairs>
    <vt:vector size="2" baseType="variant">
      <vt:variant>
        <vt:lpstr>Title</vt:lpstr>
      </vt:variant>
      <vt:variant>
        <vt:i4>1</vt:i4>
      </vt:variant>
    </vt:vector>
  </HeadingPairs>
  <TitlesOfParts>
    <vt:vector size="1" baseType="lpstr">
      <vt:lpstr>Further Amendment of the Montreal Protocol : Submitted by the Contact group on HFCs</vt:lpstr>
    </vt:vector>
  </TitlesOfParts>
  <Company>European Commission</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Amendment of the Montreal Protocol : Submitted by the Contact group on HFCs</dc:title>
  <dc:creator>mbauj</dc:creator>
  <cp:lastModifiedBy>JANSEN Colette (SG)</cp:lastModifiedBy>
  <cp:revision>21</cp:revision>
  <cp:lastPrinted>2017-01-27T10:26:00Z</cp:lastPrinted>
  <dcterms:created xsi:type="dcterms:W3CDTF">2017-01-13T14:28:00Z</dcterms:created>
  <dcterms:modified xsi:type="dcterms:W3CDTF">2017-01-27T10:28:00Z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