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CC1FBB1D3246389071499A17ED8942" style="width:450.6pt;height:321.1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Качество на бензиновите и дизеловите горива, използвани за автомобилен транспорт в Европейския съюз</w:t>
      </w:r>
      <w:r>
        <w:rPr>
          <w:rFonts w:ascii="Times New Roman" w:eastAsia="Times New Roman" w:hAnsi="Times New Roman" w:cs="Times New Roman"/>
          <w:b/>
          <w:noProof/>
          <w:sz w:val="24"/>
          <w:szCs w:val="20"/>
        </w:rPr>
        <w:br/>
      </w:r>
      <w:r>
        <w:rPr>
          <w:rFonts w:ascii="Times New Roman" w:hAnsi="Times New Roman"/>
          <w:b/>
          <w:noProof/>
          <w:sz w:val="24"/>
        </w:rPr>
        <w:t>(доклад за 2014 и 2015 г.)</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1</w:t>
      </w:r>
      <w:r>
        <w:rPr>
          <w:rFonts w:ascii="Times New Roman" w:hAnsi="Times New Roman"/>
          <w:b/>
          <w:smallCaps/>
          <w:noProof/>
          <w:sz w:val="24"/>
        </w:rPr>
        <w:t>.</w:t>
      </w:r>
      <w:r>
        <w:rPr>
          <w:noProof/>
        </w:rPr>
        <w:tab/>
      </w:r>
      <w:r>
        <w:rPr>
          <w:rFonts w:ascii="Times New Roman" w:hAnsi="Times New Roman"/>
          <w:b/>
          <w:smallCaps/>
          <w:noProof/>
          <w:sz w:val="24"/>
        </w:rPr>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Поддържането на непрекъснато съответствие на бензиновите и дизеловите горива, използвани в автомобилния транспорт, с изискванията на ЕС за качество е от решаващо значение за постигането на значителни ползи за здравето и околната среда.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е изготвен въз основа на докладите, представени от държавите членки в изпълнение на член 8, параграф 3 от Директива 98/70/ЕО</w:t>
      </w:r>
      <w:r>
        <w:rPr>
          <w:rFonts w:ascii="Times New Roman" w:hAnsi="Times New Roman"/>
          <w:noProof/>
          <w:sz w:val="24"/>
          <w:vertAlign w:val="superscript"/>
        </w:rPr>
        <w:footnoteReference w:id="1"/>
      </w:r>
      <w:r>
        <w:rPr>
          <w:rFonts w:ascii="Times New Roman" w:hAnsi="Times New Roman"/>
          <w:noProof/>
          <w:sz w:val="24"/>
        </w:rPr>
        <w:t xml:space="preserve"> (т. нар. Директива за качеството на горивата), относно качеството на бензиновите и дизеловите горива, използвани в автомобилния транспорт в ЕС през 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Европейската агенция за околна среда (ЕАОС) извърши проверка на качеството на предоставяните от държавите членки данни и на процеса, в който те участват, което доведе до подобряване на данните. Компилацията и анализът на данните, докладвани от държавите членки, са представени в Технически доклад на ЕАОС № 26/2015 „Мониторинг на качеството на горивата в ЕС през 2014 г.“ и Технически доклад № 36/2016 „Мониторинг на качеството на горивата в ЕС през 2015 г.“</w:t>
      </w:r>
      <w:r>
        <w:rPr>
          <w:rFonts w:ascii="Times New Roman" w:hAnsi="Times New Roman"/>
          <w:noProof/>
          <w:sz w:val="24"/>
          <w:vertAlign w:val="superscript"/>
        </w:rPr>
        <w:footnoteReference w:id="2"/>
      </w:r>
      <w:r>
        <w:rPr>
          <w:rFonts w:ascii="Times New Roman" w:hAnsi="Times New Roman"/>
          <w:noProof/>
          <w:sz w:val="24"/>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Преглед на данните за качеството на горивата в ЕС през 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Мониторингът на качеството на горивата през 2014 и 2015 г. отново показа, че има много малък брой отклонения от спецификациите за бензинови и дизелови горива, залегнали в Директивата за качеството на горивата. Освен това той показа, че всички държави членки прилагат спецификации на горивата, според които съдържанието на сяра в автомобилните горива трябва да бъде по-малко от 10 ppm (части на милион).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Един от основните моменти при мониторинга на спазването на изискванията за качеството на горивата е вземането на проби от горива. В резултат на заключенията от доклада относно данните за 2013 г.</w:t>
      </w:r>
      <w:r>
        <w:rPr>
          <w:rFonts w:ascii="Times New Roman" w:hAnsi="Times New Roman"/>
          <w:noProof/>
          <w:sz w:val="24"/>
          <w:vertAlign w:val="superscript"/>
        </w:rPr>
        <w:footnoteReference w:id="3"/>
      </w:r>
      <w:r>
        <w:rPr>
          <w:rFonts w:ascii="Times New Roman" w:hAnsi="Times New Roman"/>
          <w:noProof/>
          <w:sz w:val="24"/>
        </w:rPr>
        <w:t xml:space="preserve"> и последвалите двустранни контакти между Комисията и държавите членки, докладваните от държавите членки през 2014 г. данни показват подобрения по отношение на начина, по който държавите членки изпълняват своите задължения за докладване и мониторинг чрез подобрени системи за мониторинг на качеството на горивата, водещи до по-пълно и устойчиво вземане на проби от горива.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всички държави членки предоставиха минималната необходима информация относно съответствието на горивата. Поради това не се наложи Комисията да започва нови разследвания в тази област.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2015 г. голямата част от държавите членки предостави минималната необходима информация относно съответствието на горивата. Комисията поиска допълнителна информация от държавите членки, които не са докладвали необходимата информация относно съответствието на горивата.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докладите пускането на пазара на несъответстващи горива е било рядко явление в посочените две години. Държавите членки като цяло посочват, че когато това се е случвало, са били предприемани действия за изтегляне от продажба на несъответстващото гориво. Освен това няма доказателства за наличието на отрицателни последици по отношение на емисиите на автомобилите или работата на двигателите, дължащи се на тези случаи на несъответствие</w:t>
      </w:r>
    </w:p>
    <w:p>
      <w:pPr>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OВ L 350 от 28.12.1998 г., стр. 58.</w:t>
      </w:r>
    </w:p>
  </w:footnote>
  <w:footnote w:id="2">
    <w:p>
      <w:pPr>
        <w:pStyle w:val="FootnoteText"/>
        <w:rPr>
          <w:lang w:eastAsia="en-GB"/>
        </w:rPr>
      </w:pPr>
      <w:r>
        <w:rPr>
          <w:rStyle w:val="FootnoteReference"/>
        </w:rPr>
        <w:footnoteRef/>
      </w:r>
      <w:r>
        <w:t xml:space="preserve"> </w:t>
      </w:r>
      <w:r>
        <w:tab/>
      </w:r>
      <w:hyperlink r:id="rId1">
        <w:r>
          <w:rPr>
            <w:rStyle w:val="Hyperlink"/>
          </w:rPr>
          <w:t>http://www.eea.europa.eu/publications/eu-fuel-quality-monitoring-2014</w:t>
        </w:r>
      </w:hyperlink>
      <w:r>
        <w:t xml:space="preserve"> и</w:t>
      </w:r>
    </w:p>
    <w:p>
      <w:pPr>
        <w:pStyle w:val="FootnoteText"/>
        <w:ind w:firstLine="720"/>
      </w:pPr>
      <w:hyperlink r:id="rId2">
        <w:r>
          <w:rPr>
            <w:rStyle w:val="Hyperlink"/>
          </w:rPr>
          <w:t>http://www.eea.europa.eu/publications/eu-fuel-quality-monitoring-2015</w:t>
        </w:r>
      </w:hyperlink>
      <w:r>
        <w:t xml:space="preserve"> </w:t>
      </w:r>
    </w:p>
  </w:footnote>
  <w:footnote w:id="3">
    <w:p>
      <w:pPr>
        <w:pStyle w:val="FootnoteText"/>
      </w:pPr>
      <w:r>
        <w:rPr>
          <w:rStyle w:val="FootnoteReference"/>
        </w:rPr>
        <w:footnoteRef/>
      </w:r>
      <w:r>
        <w:t xml:space="preserve"> </w:t>
      </w:r>
      <w:r>
        <w:tab/>
      </w:r>
      <w:hyperlink r:id="rId3">
        <w:r>
          <w:rPr>
            <w:rStyle w:val="Hyperlink"/>
          </w:rPr>
          <w:t>http://ec.europa.eu/clima/policies/transport/fuel/docs/com_2015_70_en.pdf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CC1FBB1D3246389071499A17ED8942"/>
    <w:docVar w:name="LW_CROSSREFERENCE" w:val="&lt;UNUSED&gt;"/>
    <w:docVar w:name="LW_DocType" w:val="NORMAL"/>
    <w:docVar w:name="LW_EMISSION" w:val="1.2.2017"/>
    <w:docVar w:name="LW_EMISSION_ISODATE" w:val="2017-02-0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9"/>
    <w:docVar w:name="LW_REF.INTERNE" w:val="&lt;UNUSED&gt;"/>
    <w:docVar w:name="LW_SOUS.TITRE.OBJ.CP" w:val="&lt;UNUSED&gt;"/>
    <w:docVar w:name="LW_SUPERTITRE" w:val="&lt;UNUSED&gt;"/>
    <w:docVar w:name="LW_TITRE.OBJ.CP" w:val="\u1050?\u1072?\u1095?\u1077?\u1089?\u1090?\u1074?\u1086? \u1085?\u1072? \u1073?\u1077?\u1085?\u1079?\u1080?\u1085?\u1086?\u1074?\u1080?\u1090?\u1077? \u1080? \u1076?\u1080?\u1079?\u1077?\u1083?\u1086?\u1074?\u1080?\u1090?\u1077? \u1075?\u1086?\u1088?\u1080?\u1074?\u1072?, \u1080?\u1079?\u1087?\u1086?\u1083?\u1079?\u1074?\u1072?\u1085?\u1080? \u1079?\u1072? \u1072?\u1074?\u1090?\u1086?\u1084?\u1086?\u1073?\u1080?\u1083?\u1077?\u1085? \u1090?\u1088?\u1072?\u1085?\u1089?\u1087?\u1086?\u1088?\u1090? \u1074? \u1045?\u1074?\u1088?\u1086?\u1087?\u1077?\u1081?\u1089?\u1082?\u1080?\u1103? \u1089?\u1098?\u1102?\u1079?_x000b_(\u1076?\u1086?\u1082?\u1083?\u1072?\u1076? \u1079?\u1072? 2014 \u1080?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transport/fuel/docs/com_2015_70_en.pdf" TargetMode="External"/><Relationship Id="rId2" Type="http://schemas.openxmlformats.org/officeDocument/2006/relationships/hyperlink" Target="http://www.eea.europa.eu/publications/eu-fuel-quality-monitoring-2015" TargetMode="External"/><Relationship Id="rId1" Type="http://schemas.openxmlformats.org/officeDocument/2006/relationships/hyperlink" Target="http://www.eea.europa.eu/publications/eu-fuel-quality-monitoring-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464</Words>
  <Characters>2684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2017-01-12T07:57:00Z</cp:lastPrinted>
  <dcterms:created xsi:type="dcterms:W3CDTF">2017-01-12T10:41:00Z</dcterms:created>
  <dcterms:modified xsi:type="dcterms:W3CDTF">2017-01-25T09:05:00Z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