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C7" w:rsidRPr="009142FB" w:rsidRDefault="009142FB" w:rsidP="009142F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cae6226d-22f0-44c3-ac83-f6d716ec8d75_0" style="width:568.5pt;height:490.25pt">
            <v:imagedata r:id="rId8" o:title=""/>
          </v:shape>
        </w:pict>
      </w:r>
      <w:bookmarkEnd w:id="0"/>
    </w:p>
    <w:p w:rsidR="00085248" w:rsidRPr="000F670B" w:rsidRDefault="00085248" w:rsidP="00085248">
      <w:pPr>
        <w:pStyle w:val="PointManual"/>
        <w:spacing w:before="360"/>
      </w:pPr>
      <w:r w:rsidRPr="000F670B">
        <w:t>-</w:t>
      </w:r>
      <w:r w:rsidRPr="000F670B">
        <w:tab/>
        <w:t>Adoption de l'ordre du jour</w:t>
      </w:r>
    </w:p>
    <w:p w:rsidR="00085248" w:rsidRPr="000F670B" w:rsidRDefault="00085248" w:rsidP="00085248">
      <w:pPr>
        <w:spacing w:before="360"/>
        <w:jc w:val="center"/>
        <w:rPr>
          <w:b/>
          <w:bCs/>
          <w:u w:val="single"/>
        </w:rPr>
      </w:pPr>
      <w:r w:rsidRPr="000F670B">
        <w:rPr>
          <w:b/>
          <w:bCs/>
          <w:u w:val="single"/>
        </w:rPr>
        <w:t>Délibérations législatives</w:t>
      </w:r>
    </w:p>
    <w:p w:rsidR="00085248" w:rsidRPr="000F670B" w:rsidRDefault="00085248" w:rsidP="00085248">
      <w:pPr>
        <w:jc w:val="center"/>
        <w:rPr>
          <w:b/>
          <w:bCs/>
        </w:rPr>
      </w:pPr>
      <w:r w:rsidRPr="000F670B">
        <w:rPr>
          <w:b/>
          <w:bCs/>
        </w:rPr>
        <w:t>(Délibération publique conformément à l'article 16, para</w:t>
      </w:r>
      <w:r w:rsidR="00977B04">
        <w:rPr>
          <w:b/>
          <w:bCs/>
        </w:rPr>
        <w:t xml:space="preserve">graphe 8, </w:t>
      </w:r>
      <w:r w:rsidR="009142FB">
        <w:rPr>
          <w:b/>
          <w:bCs/>
        </w:rPr>
        <w:br/>
      </w:r>
      <w:bookmarkStart w:id="1" w:name="_GoBack"/>
      <w:bookmarkEnd w:id="1"/>
      <w:r w:rsidR="00977B04">
        <w:rPr>
          <w:b/>
          <w:bCs/>
        </w:rPr>
        <w:t>du traité sur l'Union </w:t>
      </w:r>
      <w:r w:rsidRPr="000F670B">
        <w:rPr>
          <w:b/>
          <w:bCs/>
        </w:rPr>
        <w:t>européenne)</w:t>
      </w:r>
    </w:p>
    <w:p w:rsidR="00085248" w:rsidRPr="000F670B" w:rsidRDefault="00085248" w:rsidP="00085248">
      <w:pPr>
        <w:pStyle w:val="PointManual"/>
        <w:spacing w:before="360"/>
      </w:pPr>
      <w:r w:rsidRPr="000F670B">
        <w:t>-</w:t>
      </w:r>
      <w:r w:rsidRPr="000F670B">
        <w:tab/>
        <w:t>(évent.) Approbation de la liste des points "A"</w:t>
      </w:r>
    </w:p>
    <w:p w:rsidR="00085248" w:rsidRPr="000F670B" w:rsidRDefault="00085248" w:rsidP="00085248">
      <w:pPr>
        <w:pStyle w:val="PointManual"/>
        <w:spacing w:before="360"/>
      </w:pPr>
      <w:r w:rsidRPr="000F670B">
        <w:t>-</w:t>
      </w:r>
      <w:r w:rsidRPr="000F670B">
        <w:tab/>
        <w:t xml:space="preserve">(évent.) </w:t>
      </w:r>
      <w:r w:rsidRPr="000F670B">
        <w:rPr>
          <w:b/>
          <w:bCs/>
        </w:rPr>
        <w:t>Directive sur la lutte contre l'évasion fiscale</w:t>
      </w:r>
    </w:p>
    <w:p w:rsidR="00085248" w:rsidRPr="000F670B" w:rsidRDefault="00085248" w:rsidP="00816251">
      <w:pPr>
        <w:pStyle w:val="Dash1"/>
        <w:numPr>
          <w:ilvl w:val="0"/>
          <w:numId w:val="1"/>
        </w:numPr>
      </w:pPr>
      <w:r w:rsidRPr="000F670B">
        <w:t>Proposition de directive du Conseil modifiant la dir</w:t>
      </w:r>
      <w:r w:rsidR="00977B04">
        <w:t>ective (UE) 2016/1164 en ce qui </w:t>
      </w:r>
      <w:r w:rsidRPr="000F670B">
        <w:t>concerne les dispositifs hybrides faisant intervenir des pays tiers (ATAD 2)</w:t>
      </w:r>
    </w:p>
    <w:p w:rsidR="00085248" w:rsidRPr="000F670B" w:rsidRDefault="00085248" w:rsidP="00816251">
      <w:pPr>
        <w:pStyle w:val="DashEqual2"/>
        <w:numPr>
          <w:ilvl w:val="0"/>
          <w:numId w:val="2"/>
        </w:numPr>
      </w:pPr>
      <w:r w:rsidRPr="000F670B">
        <w:t>Orientation générale</w:t>
      </w:r>
    </w:p>
    <w:p w:rsidR="00085248" w:rsidRPr="000F670B" w:rsidRDefault="00085248" w:rsidP="00977B04">
      <w:pPr>
        <w:pStyle w:val="PointManual"/>
        <w:spacing w:before="360" w:line="228" w:lineRule="auto"/>
      </w:pPr>
      <w:r w:rsidRPr="000F670B">
        <w:br w:type="page"/>
      </w:r>
      <w:r w:rsidRPr="000F670B">
        <w:lastRenderedPageBreak/>
        <w:t>-</w:t>
      </w:r>
      <w:r w:rsidRPr="000F670B">
        <w:tab/>
        <w:t>Divers</w:t>
      </w:r>
    </w:p>
    <w:p w:rsidR="00085248" w:rsidRPr="000F670B" w:rsidRDefault="00085248" w:rsidP="00977B04">
      <w:pPr>
        <w:pStyle w:val="Dash1"/>
        <w:spacing w:line="228" w:lineRule="auto"/>
        <w:rPr>
          <w:b/>
          <w:bCs/>
        </w:rPr>
      </w:pPr>
      <w:r w:rsidRPr="000F670B">
        <w:rPr>
          <w:b/>
          <w:bCs/>
        </w:rPr>
        <w:t xml:space="preserve">Propositions législatives relatives aux services financiers </w:t>
      </w:r>
    </w:p>
    <w:p w:rsidR="00085248" w:rsidRPr="000F670B" w:rsidRDefault="00085248" w:rsidP="00977B04">
      <w:pPr>
        <w:pStyle w:val="DashEqual2"/>
        <w:spacing w:line="228" w:lineRule="auto"/>
      </w:pPr>
      <w:r w:rsidRPr="000F670B">
        <w:t>Informations communiquées par la présidence</w:t>
      </w:r>
    </w:p>
    <w:p w:rsidR="00085248" w:rsidRPr="000F670B" w:rsidRDefault="00085248" w:rsidP="00977B04">
      <w:pPr>
        <w:spacing w:before="360" w:line="228" w:lineRule="auto"/>
        <w:jc w:val="center"/>
        <w:rPr>
          <w:b/>
          <w:bCs/>
          <w:u w:val="single"/>
        </w:rPr>
      </w:pPr>
      <w:r w:rsidRPr="000F670B">
        <w:rPr>
          <w:b/>
          <w:bCs/>
          <w:u w:val="single"/>
        </w:rPr>
        <w:t>Activités non législatives</w:t>
      </w:r>
    </w:p>
    <w:p w:rsidR="00085248" w:rsidRPr="000F670B" w:rsidRDefault="00085248" w:rsidP="00977B04">
      <w:pPr>
        <w:pStyle w:val="PointManual"/>
        <w:spacing w:before="360" w:line="228" w:lineRule="auto"/>
      </w:pPr>
      <w:r w:rsidRPr="000F670B">
        <w:t>-</w:t>
      </w:r>
      <w:r w:rsidRPr="000F670B">
        <w:tab/>
        <w:t>Approbation de la liste des points "A"</w:t>
      </w:r>
    </w:p>
    <w:p w:rsidR="00085248" w:rsidRPr="000F670B" w:rsidRDefault="00085248" w:rsidP="00977B04">
      <w:pPr>
        <w:pStyle w:val="PointManual"/>
        <w:spacing w:before="360" w:line="228" w:lineRule="auto"/>
        <w:rPr>
          <w:b/>
          <w:bCs/>
        </w:rPr>
      </w:pPr>
      <w:r w:rsidRPr="000F670B">
        <w:rPr>
          <w:b/>
          <w:bCs/>
        </w:rPr>
        <w:t>-</w:t>
      </w:r>
      <w:r w:rsidRPr="000F670B">
        <w:rPr>
          <w:b/>
          <w:bCs/>
        </w:rPr>
        <w:tab/>
        <w:t>Suivi des conclusions du Conseil du 8 novembre intitulées "Critères et processus relatifs à l'établissement de la liste de l'UE des pays et territoires non coopératifs à des fins fiscales"</w:t>
      </w:r>
    </w:p>
    <w:p w:rsidR="00085248" w:rsidRPr="000F670B" w:rsidRDefault="00085248" w:rsidP="00977B04">
      <w:pPr>
        <w:pStyle w:val="DashEqual1"/>
        <w:numPr>
          <w:ilvl w:val="0"/>
          <w:numId w:val="3"/>
        </w:numPr>
        <w:spacing w:line="228" w:lineRule="auto"/>
      </w:pPr>
      <w:r w:rsidRPr="000F670B">
        <w:t>État d'avancement des travaux</w:t>
      </w:r>
    </w:p>
    <w:p w:rsidR="00085248" w:rsidRPr="000F670B" w:rsidRDefault="00085248" w:rsidP="00977B04">
      <w:pPr>
        <w:pStyle w:val="PointManual"/>
        <w:spacing w:before="360" w:line="228" w:lineRule="auto"/>
        <w:rPr>
          <w:b/>
          <w:bCs/>
        </w:rPr>
      </w:pPr>
      <w:r w:rsidRPr="000F670B">
        <w:rPr>
          <w:b/>
          <w:bCs/>
        </w:rPr>
        <w:t>-</w:t>
      </w:r>
      <w:r w:rsidRPr="000F670B">
        <w:rPr>
          <w:b/>
          <w:bCs/>
        </w:rPr>
        <w:tab/>
        <w:t xml:space="preserve">Préparation de la réunion des ministres des finances et des gouverneurs des banques centrales des pays du G20 qui se tiendra les 17 et 18 mars 2017 à Baden-Baden </w:t>
      </w:r>
    </w:p>
    <w:p w:rsidR="00085248" w:rsidRPr="000F670B" w:rsidRDefault="00085248" w:rsidP="00977B04">
      <w:pPr>
        <w:pStyle w:val="DashEqual1"/>
        <w:spacing w:line="228" w:lineRule="auto"/>
      </w:pPr>
      <w:r w:rsidRPr="000F670B">
        <w:t>Mandat</w:t>
      </w:r>
    </w:p>
    <w:p w:rsidR="00085248" w:rsidRPr="000F670B" w:rsidRDefault="00085248" w:rsidP="00977B04">
      <w:pPr>
        <w:pStyle w:val="PointManual"/>
        <w:spacing w:before="360" w:line="228" w:lineRule="auto"/>
        <w:rPr>
          <w:b/>
          <w:bCs/>
        </w:rPr>
      </w:pPr>
      <w:r w:rsidRPr="000F670B">
        <w:rPr>
          <w:b/>
          <w:bCs/>
        </w:rPr>
        <w:t>-</w:t>
      </w:r>
      <w:r w:rsidRPr="000F670B">
        <w:rPr>
          <w:b/>
          <w:bCs/>
        </w:rPr>
        <w:tab/>
        <w:t>Décharge à donner à la Commission sur l'exécution du budget pour l'exercice 2015</w:t>
      </w:r>
    </w:p>
    <w:p w:rsidR="00085248" w:rsidRPr="000F670B" w:rsidRDefault="00085248" w:rsidP="00977B04">
      <w:pPr>
        <w:pStyle w:val="DashEqual1"/>
        <w:spacing w:line="228" w:lineRule="auto"/>
      </w:pPr>
      <w:r w:rsidRPr="000F670B">
        <w:t>Recommandation du Conseil</w:t>
      </w:r>
    </w:p>
    <w:p w:rsidR="00085248" w:rsidRPr="000F670B" w:rsidRDefault="00085248" w:rsidP="00977B04">
      <w:pPr>
        <w:pStyle w:val="PointManual"/>
        <w:spacing w:before="360" w:line="228" w:lineRule="auto"/>
        <w:rPr>
          <w:b/>
          <w:bCs/>
        </w:rPr>
      </w:pPr>
      <w:r w:rsidRPr="000F670B">
        <w:rPr>
          <w:b/>
          <w:bCs/>
        </w:rPr>
        <w:t>-</w:t>
      </w:r>
      <w:r w:rsidRPr="000F670B">
        <w:rPr>
          <w:b/>
          <w:bCs/>
        </w:rPr>
        <w:tab/>
        <w:t>Orientations budgétaires pour 2018</w:t>
      </w:r>
    </w:p>
    <w:p w:rsidR="00085248" w:rsidRPr="000F670B" w:rsidRDefault="00085248" w:rsidP="00977B04">
      <w:pPr>
        <w:pStyle w:val="DashEqual1"/>
        <w:spacing w:line="228" w:lineRule="auto"/>
      </w:pPr>
      <w:r w:rsidRPr="000F670B">
        <w:t>Projet de conclusions du Conseil</w:t>
      </w:r>
    </w:p>
    <w:p w:rsidR="00085248" w:rsidRPr="000F670B" w:rsidRDefault="00085248" w:rsidP="00977B04">
      <w:pPr>
        <w:pStyle w:val="PointManual"/>
        <w:spacing w:before="360" w:line="228" w:lineRule="auto"/>
      </w:pPr>
      <w:r w:rsidRPr="000F670B">
        <w:t>-</w:t>
      </w:r>
      <w:r w:rsidRPr="000F670B">
        <w:tab/>
        <w:t>Divers</w:t>
      </w:r>
    </w:p>
    <w:p w:rsidR="00085248" w:rsidRPr="000F670B" w:rsidRDefault="00085248" w:rsidP="00977B04">
      <w:pPr>
        <w:spacing w:before="240" w:line="228" w:lineRule="auto"/>
        <w:jc w:val="center"/>
        <w:rPr>
          <w:snapToGrid w:val="0"/>
        </w:rPr>
      </w:pPr>
      <w:r w:rsidRPr="000F670B">
        <w:rPr>
          <w:snapToGrid w:val="0"/>
        </w:rPr>
        <w:t>o</w:t>
      </w:r>
    </w:p>
    <w:p w:rsidR="00085248" w:rsidRPr="000F670B" w:rsidRDefault="00085248" w:rsidP="00977B04">
      <w:pPr>
        <w:spacing w:before="120" w:line="228" w:lineRule="auto"/>
        <w:jc w:val="center"/>
        <w:rPr>
          <w:snapToGrid w:val="0"/>
        </w:rPr>
      </w:pPr>
      <w:r w:rsidRPr="000F670B">
        <w:rPr>
          <w:snapToGrid w:val="0"/>
        </w:rPr>
        <w:t>o</w:t>
      </w:r>
      <w:r w:rsidRPr="000F670B">
        <w:rPr>
          <w:snapToGrid w:val="0"/>
        </w:rPr>
        <w:tab/>
        <w:t>o</w:t>
      </w:r>
    </w:p>
    <w:p w:rsidR="00085248" w:rsidRPr="000F670B" w:rsidRDefault="00085248" w:rsidP="00977B04">
      <w:pPr>
        <w:spacing w:before="120" w:line="228" w:lineRule="auto"/>
        <w:rPr>
          <w:b/>
          <w:bCs/>
        </w:rPr>
      </w:pPr>
      <w:r w:rsidRPr="000F670B">
        <w:rPr>
          <w:b/>
          <w:bCs/>
        </w:rPr>
        <w:t>p.m.:</w:t>
      </w:r>
    </w:p>
    <w:p w:rsidR="00085248" w:rsidRPr="000F670B" w:rsidRDefault="00085248" w:rsidP="00977B04">
      <w:pPr>
        <w:tabs>
          <w:tab w:val="left" w:pos="1134"/>
        </w:tabs>
        <w:spacing w:before="200" w:line="228" w:lineRule="auto"/>
        <w:rPr>
          <w:b/>
          <w:bCs/>
          <w:u w:val="single"/>
        </w:rPr>
      </w:pPr>
      <w:r w:rsidRPr="000F670B">
        <w:rPr>
          <w:b/>
          <w:bCs/>
          <w:u w:val="single"/>
        </w:rPr>
        <w:t>Lundi 20 février 2017</w:t>
      </w:r>
    </w:p>
    <w:p w:rsidR="00085248" w:rsidRPr="000F670B" w:rsidRDefault="00085248" w:rsidP="00977B04">
      <w:pPr>
        <w:tabs>
          <w:tab w:val="left" w:pos="1134"/>
        </w:tabs>
        <w:spacing w:before="200" w:line="228" w:lineRule="auto"/>
      </w:pPr>
      <w:r w:rsidRPr="000F670B">
        <w:t>15 heures</w:t>
      </w:r>
      <w:r w:rsidRPr="000F670B">
        <w:tab/>
        <w:t>Eurogroupe</w:t>
      </w:r>
    </w:p>
    <w:p w:rsidR="00085248" w:rsidRPr="000F670B" w:rsidRDefault="00085248" w:rsidP="00977B04">
      <w:pPr>
        <w:tabs>
          <w:tab w:val="left" w:pos="1134"/>
        </w:tabs>
        <w:spacing w:before="200" w:line="228" w:lineRule="auto"/>
        <w:rPr>
          <w:b/>
          <w:bCs/>
          <w:u w:val="single"/>
        </w:rPr>
      </w:pPr>
      <w:r w:rsidRPr="000F670B">
        <w:rPr>
          <w:b/>
          <w:bCs/>
          <w:u w:val="single"/>
        </w:rPr>
        <w:t>Mardi 21 février 2017</w:t>
      </w:r>
    </w:p>
    <w:p w:rsidR="00085248" w:rsidRPr="000F670B" w:rsidRDefault="00085248" w:rsidP="00977B04">
      <w:pPr>
        <w:tabs>
          <w:tab w:val="left" w:pos="1134"/>
        </w:tabs>
        <w:spacing w:before="200" w:line="228" w:lineRule="auto"/>
      </w:pPr>
      <w:r w:rsidRPr="000F670B">
        <w:t>8 heures</w:t>
      </w:r>
      <w:r w:rsidRPr="000F670B">
        <w:tab/>
        <w:t>Dialogue macroéconomique</w:t>
      </w:r>
    </w:p>
    <w:p w:rsidR="00085248" w:rsidRPr="000F670B" w:rsidRDefault="00085248" w:rsidP="00977B04">
      <w:pPr>
        <w:tabs>
          <w:tab w:val="left" w:pos="1134"/>
        </w:tabs>
        <w:spacing w:before="200" w:line="228" w:lineRule="auto"/>
      </w:pPr>
      <w:r w:rsidRPr="000F670B">
        <w:t>9 h 30</w:t>
      </w:r>
      <w:r w:rsidRPr="000F670B">
        <w:tab/>
        <w:t>Petit-déjeuner</w:t>
      </w:r>
    </w:p>
    <w:p w:rsidR="00085248" w:rsidRPr="000F670B" w:rsidRDefault="00085248" w:rsidP="00977B04">
      <w:pPr>
        <w:tabs>
          <w:tab w:val="left" w:pos="1134"/>
        </w:tabs>
        <w:spacing w:before="200" w:line="228" w:lineRule="auto"/>
      </w:pPr>
      <w:r w:rsidRPr="000F670B">
        <w:t>10 h 30</w:t>
      </w:r>
      <w:r w:rsidRPr="000F670B">
        <w:tab/>
        <w:t>Conseil (ECOFIN)</w:t>
      </w:r>
    </w:p>
    <w:p w:rsidR="009D6FC7" w:rsidRPr="000F670B" w:rsidRDefault="009D6FC7" w:rsidP="00977B04">
      <w:pPr>
        <w:pStyle w:val="FinalLine"/>
        <w:spacing w:before="240" w:line="228" w:lineRule="auto"/>
      </w:pPr>
    </w:p>
    <w:p w:rsidR="009D6FC7" w:rsidRPr="000F670B" w:rsidRDefault="00C33F9C" w:rsidP="00977B04">
      <w:pPr>
        <w:pStyle w:val="NB"/>
        <w:spacing w:line="228" w:lineRule="auto"/>
      </w:pPr>
      <w:r w:rsidRPr="000F670B">
        <w:t>NB:</w:t>
      </w:r>
      <w:r w:rsidRPr="000F670B">
        <w:tab/>
        <w:t>Veuillez transmettre au service du protocole, aussi rapidem</w:t>
      </w:r>
      <w:r w:rsidR="00977B04">
        <w:t>ent que possible, une liste des </w:t>
      </w:r>
      <w:r w:rsidRPr="000F670B">
        <w:t>délégués qui participeront à cette réunion. Adresse électronique: protocole.participants@consilium.europa.eu</w:t>
      </w:r>
    </w:p>
    <w:p w:rsidR="003549DE" w:rsidRPr="00C33F9C" w:rsidRDefault="00C33F9C" w:rsidP="00977B04">
      <w:pPr>
        <w:pStyle w:val="NB"/>
        <w:spacing w:line="228" w:lineRule="auto"/>
      </w:pPr>
      <w:r w:rsidRPr="000F670B">
        <w:lastRenderedPageBreak/>
        <w:t>NB:</w:t>
      </w:r>
      <w:r w:rsidRPr="000F670B">
        <w:tab/>
        <w:t>Il est recommandé aux délégués devant obtenir un bad</w:t>
      </w:r>
      <w:r w:rsidR="00977B04">
        <w:t>ge journalier pour assister aux </w:t>
      </w:r>
      <w:r w:rsidRPr="000F670B">
        <w:t>réunions de consulter le document 14387/1/12 REV 1 afin de prendre connaissance des modalités d'obtention de ce badge.</w:t>
      </w:r>
    </w:p>
    <w:sectPr w:rsidR="003549DE" w:rsidRPr="00C33F9C" w:rsidSect="00B9349A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C7" w:rsidRDefault="009D6FC7" w:rsidP="009D6FC7">
      <w:r>
        <w:separator/>
      </w:r>
    </w:p>
  </w:endnote>
  <w:endnote w:type="continuationSeparator" w:id="0">
    <w:p w:rsidR="009D6FC7" w:rsidRDefault="009D6FC7" w:rsidP="009D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9349A" w:rsidRPr="00D94637" w:rsidTr="00B9349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9349A" w:rsidRPr="00D94637" w:rsidRDefault="00B9349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9349A" w:rsidRPr="00B310DC" w:rsidTr="00B9349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9349A" w:rsidRPr="00AD7BF2" w:rsidRDefault="00B9349A" w:rsidP="004F54B2">
          <w:pPr>
            <w:pStyle w:val="FooterText"/>
          </w:pPr>
          <w:r>
            <w:t>CM 1426/17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9349A" w:rsidRPr="00AD7BF2" w:rsidRDefault="00B9349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9349A" w:rsidRPr="002511D8" w:rsidRDefault="00B9349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9349A" w:rsidRPr="00B310DC" w:rsidRDefault="00B9349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36B32">
            <w:rPr>
              <w:noProof/>
            </w:rPr>
            <w:t>2</w:t>
          </w:r>
          <w:r>
            <w:fldChar w:fldCharType="end"/>
          </w:r>
        </w:p>
      </w:tc>
    </w:tr>
    <w:tr w:rsidR="00B9349A" w:rsidRPr="00D94637" w:rsidTr="00B9349A">
      <w:trPr>
        <w:jc w:val="center"/>
      </w:trPr>
      <w:tc>
        <w:tcPr>
          <w:tcW w:w="1774" w:type="pct"/>
          <w:shd w:val="clear" w:color="auto" w:fill="auto"/>
        </w:tcPr>
        <w:p w:rsidR="00B9349A" w:rsidRPr="00AD7BF2" w:rsidRDefault="00B9349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9349A" w:rsidRPr="00AD7BF2" w:rsidRDefault="00B9349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9349A" w:rsidRPr="00D94637" w:rsidRDefault="00B9349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9349A" w:rsidRPr="00D94637" w:rsidRDefault="00B9349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D6FC7" w:rsidRPr="00B9349A" w:rsidRDefault="009D6FC7" w:rsidP="00B9349A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9349A" w:rsidRPr="00D94637" w:rsidTr="00B9349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9349A" w:rsidRPr="00D94637" w:rsidRDefault="00B9349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9349A" w:rsidRPr="00B310DC" w:rsidTr="00B9349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9349A" w:rsidRPr="00AD7BF2" w:rsidRDefault="00B9349A" w:rsidP="004F54B2">
          <w:pPr>
            <w:pStyle w:val="FooterText"/>
          </w:pPr>
          <w:r>
            <w:t>CM 1426/17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9349A" w:rsidRPr="00AD7BF2" w:rsidRDefault="00B9349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9349A" w:rsidRPr="002511D8" w:rsidRDefault="00B9349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9349A" w:rsidRPr="00B310DC" w:rsidRDefault="00B9349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36B32">
            <w:rPr>
              <w:noProof/>
            </w:rPr>
            <w:t>1</w:t>
          </w:r>
          <w:r>
            <w:fldChar w:fldCharType="end"/>
          </w:r>
        </w:p>
      </w:tc>
    </w:tr>
    <w:tr w:rsidR="00B9349A" w:rsidRPr="00D94637" w:rsidTr="00B9349A">
      <w:trPr>
        <w:jc w:val="center"/>
      </w:trPr>
      <w:tc>
        <w:tcPr>
          <w:tcW w:w="1774" w:type="pct"/>
          <w:shd w:val="clear" w:color="auto" w:fill="auto"/>
        </w:tcPr>
        <w:p w:rsidR="00B9349A" w:rsidRPr="00AD7BF2" w:rsidRDefault="00B9349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9349A" w:rsidRPr="00AD7BF2" w:rsidRDefault="00B9349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9349A" w:rsidRPr="00D94637" w:rsidRDefault="00B9349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9349A" w:rsidRPr="00D94637" w:rsidRDefault="00B9349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D6FC7" w:rsidRPr="00B9349A" w:rsidRDefault="009D6FC7" w:rsidP="00B9349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C7" w:rsidRDefault="009D6FC7" w:rsidP="009D6FC7">
      <w:r>
        <w:separator/>
      </w:r>
    </w:p>
  </w:footnote>
  <w:footnote w:type="continuationSeparator" w:id="0">
    <w:p w:rsidR="009D6FC7" w:rsidRDefault="009D6FC7" w:rsidP="009D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17"/>
  </w:num>
  <w:num w:numId="19">
    <w:abstractNumId w:val="0"/>
  </w:num>
  <w:num w:numId="20">
    <w:abstractNumId w:val="6"/>
  </w:num>
  <w:num w:numId="21">
    <w:abstractNumId w:val="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cae6226d-22f0-44c3-ac83-f6d716ec8d75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7-02-0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426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translate=&quot;false&quot;&gt;_x000d__x000a_    &lt;basicdatatype&gt;_x000d__x000a_      &lt;text&gt;&lt;/text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translate=&quot;false&quot;&gt;_x000d__x000a_    &lt;questions /&gt;_x000d__x000a_  &lt;/metadata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text&gt;&lt;/text&gt;_x000d__x000a_    &lt;/basicdatatype&gt;_x000d__x000a_  &lt;/metadata&gt;_x000d__x000a_  &lt;metadata key=&quot;md_Recipient&quot; translate=&quot;false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520e session du CONSEIL DE L'UNION EUROPÉENNE 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xml:space=&quot;preserve&quot;&amp;gt;3520&amp;lt;Run BaselineAlignment=&quot;Superscript&quot;&amp;gt;e &amp;lt;/Run&amp;gt;session du CONSEIL DE L'UNION EUROPÉENNE 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&gt;_x000d__x000a_    &lt;meetings&gt;_x000d__x000a_      &lt;meeting date=&quot;2017-02-21T10:30:00&quot;&gt;_x000d__x000a_        &lt;meetingvenue&gt;_x000d__x000a_          &lt;basicdatatype&gt;_x000d__x000a_            &lt;text&gt;CONSEIL _x000d__x000a_BÂTIMENT EUROPA _x000d__x000a_Rue de la Loi 155, 1048 BRUXELLES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tag=&quot;&quot; /&gt;_x000d__x000a_  &lt;/metadata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D6FC7"/>
    <w:rsid w:val="00085248"/>
    <w:rsid w:val="000F670B"/>
    <w:rsid w:val="001F61F6"/>
    <w:rsid w:val="002B1481"/>
    <w:rsid w:val="002E08AF"/>
    <w:rsid w:val="003549DE"/>
    <w:rsid w:val="00425FB1"/>
    <w:rsid w:val="004D5761"/>
    <w:rsid w:val="00521B1B"/>
    <w:rsid w:val="00606181"/>
    <w:rsid w:val="00703E1F"/>
    <w:rsid w:val="00736B32"/>
    <w:rsid w:val="007B3B3A"/>
    <w:rsid w:val="00816251"/>
    <w:rsid w:val="009142FB"/>
    <w:rsid w:val="009274A4"/>
    <w:rsid w:val="00975D35"/>
    <w:rsid w:val="00977B04"/>
    <w:rsid w:val="009D36AE"/>
    <w:rsid w:val="009D6FC7"/>
    <w:rsid w:val="00A658CA"/>
    <w:rsid w:val="00B9349A"/>
    <w:rsid w:val="00BC1F70"/>
    <w:rsid w:val="00BC24D0"/>
    <w:rsid w:val="00BE6B17"/>
    <w:rsid w:val="00BF5237"/>
    <w:rsid w:val="00C33F9C"/>
    <w:rsid w:val="00C53F63"/>
    <w:rsid w:val="00D030BA"/>
    <w:rsid w:val="00E40200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D6FC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D6FC7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9D6FC7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9D6FC7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3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B3A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3A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3A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142F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D6FC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D6FC7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9D6FC7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9D6FC7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3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B3A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3A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3A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142F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DQC</cp:lastModifiedBy>
  <cp:revision>2</cp:revision>
  <cp:lastPrinted>2017-02-02T13:50:00Z</cp:lastPrinted>
  <dcterms:created xsi:type="dcterms:W3CDTF">2017-02-02T13:51:00Z</dcterms:created>
  <dcterms:modified xsi:type="dcterms:W3CDTF">2017-02-02T13:51:00Z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  <property fmtid="{D5CDD505-2E9C-101B-9397-08002B2CF9AE}" pid="5" name="SkipControlLengthPage">
    <vt:lpwstr/>
  </property>
</Properties>
</file>