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80C79DD756734B2EAAEFDA4800E8553C" style="width:450.95pt;height:456.6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26"/>
        </w:sectPr>
      </w:pPr>
    </w:p>
    <w:p>
      <w:pPr>
        <w:pStyle w:val="Text1"/>
        <w:jc w:val="center"/>
        <w:rPr>
          <w:b/>
          <w:noProof/>
          <w:sz w:val="28"/>
          <w:szCs w:val="24"/>
        </w:rPr>
      </w:pPr>
      <w:bookmarkStart w:id="1" w:name="_GoBack"/>
      <w:bookmarkEnd w:id="1"/>
      <w:r>
        <w:rPr>
          <w:b/>
          <w:noProof/>
          <w:sz w:val="28"/>
          <w:szCs w:val="24"/>
        </w:rPr>
        <w:lastRenderedPageBreak/>
        <w:t xml:space="preserve">Updated Roadmap for the Energy Union – </w:t>
      </w:r>
      <w:r>
        <w:rPr>
          <w:b/>
          <w:noProof/>
          <w:sz w:val="28"/>
          <w:szCs w:val="24"/>
        </w:rPr>
        <w:br/>
        <w:t>State of play: 1 February 2017</w:t>
      </w:r>
    </w:p>
    <w:p>
      <w:pPr>
        <w:pStyle w:val="Text1"/>
        <w:ind w:left="0"/>
        <w:jc w:val="left"/>
        <w:rPr>
          <w:noProof/>
          <w:szCs w:val="24"/>
        </w:rPr>
      </w:pPr>
      <w:r>
        <w:rPr>
          <w:noProof/>
          <w:szCs w:val="24"/>
        </w:rPr>
        <w:t>Key: SoS: Security of Supply / IEM: Internal Energy Market / EE: Energy Efficiency / GHG: Greenhouse gases / R&amp;I: Research and Innovation</w:t>
      </w:r>
    </w:p>
    <w:p>
      <w:pPr>
        <w:pStyle w:val="Text1"/>
        <w:ind w:left="0"/>
        <w:rPr>
          <w:noProof/>
          <w:sz w:val="20"/>
        </w:rPr>
      </w:pPr>
      <w:r>
        <w:rPr>
          <w:noProof/>
          <w:szCs w:val="24"/>
        </w:rPr>
        <w:t>This roadmap is the one presented in the annex to the Commission Communication "A Framework Strategy for a Resilient Energy Union with a Forward-Looking Climate Change Policy", adopted on 25 February 2015 (COM(2015)80) and updated in November 2015 in the context of the 1</w:t>
      </w:r>
      <w:r>
        <w:rPr>
          <w:noProof/>
          <w:szCs w:val="24"/>
          <w:vertAlign w:val="superscript"/>
        </w:rPr>
        <w:t>st</w:t>
      </w:r>
      <w:r>
        <w:rPr>
          <w:noProof/>
          <w:szCs w:val="24"/>
        </w:rPr>
        <w:t xml:space="preserve"> State of the Energy Union (COM(2015)572). New information in this table relates to the last column, which provides an update for those initiatives which have already been adopted or where the time schedule changed. It does not provide any new information on initiatives originally planned for 2017 or later.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652"/>
        <w:gridCol w:w="2126"/>
        <w:gridCol w:w="1985"/>
        <w:gridCol w:w="709"/>
        <w:gridCol w:w="850"/>
        <w:gridCol w:w="851"/>
        <w:gridCol w:w="850"/>
        <w:gridCol w:w="851"/>
        <w:gridCol w:w="2976"/>
      </w:tblGrid>
      <w:tr>
        <w:trPr>
          <w:tblHeader/>
        </w:trPr>
        <w:tc>
          <w:tcPr>
            <w:tcW w:w="3652" w:type="dxa"/>
            <w:tcBorders>
              <w:top w:val="single" w:sz="12" w:space="0" w:color="auto"/>
              <w:left w:val="single" w:sz="12" w:space="0" w:color="auto"/>
              <w:bottom w:val="single" w:sz="12" w:space="0" w:color="auto"/>
              <w:right w:val="single" w:sz="12" w:space="0" w:color="auto"/>
            </w:tcBorders>
            <w:shd w:val="pct10" w:color="auto" w:fill="auto"/>
          </w:tcPr>
          <w:p>
            <w:pPr>
              <w:pStyle w:val="Text1"/>
              <w:spacing w:after="200"/>
              <w:ind w:left="55"/>
              <w:jc w:val="left"/>
              <w:rPr>
                <w:b/>
                <w:noProof/>
                <w:szCs w:val="24"/>
              </w:rPr>
            </w:pPr>
            <w:r>
              <w:rPr>
                <w:b/>
                <w:noProof/>
                <w:szCs w:val="24"/>
              </w:rPr>
              <w:t>Actions</w:t>
            </w:r>
          </w:p>
        </w:tc>
        <w:tc>
          <w:tcPr>
            <w:tcW w:w="2126" w:type="dxa"/>
            <w:tcBorders>
              <w:top w:val="single" w:sz="12" w:space="0" w:color="auto"/>
              <w:left w:val="single" w:sz="12" w:space="0" w:color="auto"/>
              <w:bottom w:val="single" w:sz="12" w:space="0" w:color="auto"/>
              <w:right w:val="single" w:sz="12" w:space="0" w:color="auto"/>
            </w:tcBorders>
            <w:shd w:val="pct10" w:color="auto" w:fill="auto"/>
          </w:tcPr>
          <w:p>
            <w:pPr>
              <w:pStyle w:val="Text1"/>
              <w:ind w:left="176"/>
              <w:jc w:val="left"/>
              <w:rPr>
                <w:noProof/>
                <w:szCs w:val="24"/>
              </w:rPr>
            </w:pPr>
            <w:r>
              <w:rPr>
                <w:b/>
                <w:noProof/>
                <w:szCs w:val="24"/>
              </w:rPr>
              <w:t>Responsible party</w:t>
            </w:r>
          </w:p>
        </w:tc>
        <w:tc>
          <w:tcPr>
            <w:tcW w:w="1985" w:type="dxa"/>
            <w:tcBorders>
              <w:top w:val="single" w:sz="12" w:space="0" w:color="auto"/>
              <w:left w:val="single" w:sz="12" w:space="0" w:color="auto"/>
              <w:bottom w:val="single" w:sz="12" w:space="0" w:color="auto"/>
              <w:right w:val="single" w:sz="12" w:space="0" w:color="auto"/>
            </w:tcBorders>
            <w:shd w:val="pct10" w:color="auto" w:fill="auto"/>
          </w:tcPr>
          <w:p>
            <w:pPr>
              <w:pStyle w:val="Text1"/>
              <w:ind w:left="132"/>
              <w:jc w:val="left"/>
              <w:rPr>
                <w:noProof/>
                <w:szCs w:val="24"/>
              </w:rPr>
            </w:pPr>
            <w:r>
              <w:rPr>
                <w:b/>
                <w:noProof/>
                <w:szCs w:val="24"/>
              </w:rPr>
              <w:t xml:space="preserve">Timetable </w:t>
            </w:r>
            <w:r>
              <w:rPr>
                <w:noProof/>
                <w:szCs w:val="24"/>
              </w:rPr>
              <w:t>(shown in the annex to COM(2015)80)</w:t>
            </w:r>
          </w:p>
        </w:tc>
        <w:tc>
          <w:tcPr>
            <w:tcW w:w="709" w:type="dxa"/>
            <w:tcBorders>
              <w:top w:val="single" w:sz="12" w:space="0" w:color="auto"/>
              <w:left w:val="single" w:sz="12" w:space="0" w:color="auto"/>
              <w:bottom w:val="single" w:sz="12" w:space="0" w:color="auto"/>
              <w:right w:val="single" w:sz="12" w:space="0" w:color="auto"/>
            </w:tcBorders>
            <w:shd w:val="pct10" w:color="auto" w:fill="auto"/>
          </w:tcPr>
          <w:p>
            <w:pPr>
              <w:pStyle w:val="Text1"/>
              <w:ind w:left="0"/>
              <w:jc w:val="center"/>
              <w:rPr>
                <w:noProof/>
                <w:szCs w:val="24"/>
              </w:rPr>
            </w:pPr>
            <w:r>
              <w:rPr>
                <w:b/>
                <w:noProof/>
                <w:szCs w:val="24"/>
              </w:rPr>
              <w:t>SoS</w:t>
            </w:r>
          </w:p>
        </w:tc>
        <w:tc>
          <w:tcPr>
            <w:tcW w:w="850" w:type="dxa"/>
            <w:tcBorders>
              <w:top w:val="single" w:sz="12" w:space="0" w:color="auto"/>
              <w:left w:val="single" w:sz="12" w:space="0" w:color="auto"/>
              <w:bottom w:val="single" w:sz="12" w:space="0" w:color="auto"/>
              <w:right w:val="single" w:sz="12" w:space="0" w:color="auto"/>
            </w:tcBorders>
            <w:shd w:val="pct10" w:color="auto" w:fill="auto"/>
          </w:tcPr>
          <w:p>
            <w:pPr>
              <w:pStyle w:val="Text1"/>
              <w:ind w:left="121"/>
              <w:jc w:val="center"/>
              <w:rPr>
                <w:noProof/>
                <w:szCs w:val="24"/>
              </w:rPr>
            </w:pPr>
            <w:r>
              <w:rPr>
                <w:b/>
                <w:noProof/>
                <w:szCs w:val="24"/>
              </w:rPr>
              <w:t>IEM</w:t>
            </w:r>
          </w:p>
        </w:tc>
        <w:tc>
          <w:tcPr>
            <w:tcW w:w="851" w:type="dxa"/>
            <w:tcBorders>
              <w:top w:val="single" w:sz="12" w:space="0" w:color="auto"/>
              <w:left w:val="single" w:sz="12" w:space="0" w:color="auto"/>
              <w:bottom w:val="single" w:sz="12" w:space="0" w:color="auto"/>
              <w:right w:val="single" w:sz="12" w:space="0" w:color="auto"/>
            </w:tcBorders>
            <w:shd w:val="pct10" w:color="auto" w:fill="auto"/>
          </w:tcPr>
          <w:p>
            <w:pPr>
              <w:pStyle w:val="Text1"/>
              <w:ind w:left="0"/>
              <w:jc w:val="center"/>
              <w:rPr>
                <w:noProof/>
                <w:szCs w:val="24"/>
              </w:rPr>
            </w:pPr>
            <w:r>
              <w:rPr>
                <w:b/>
                <w:noProof/>
                <w:szCs w:val="24"/>
              </w:rPr>
              <w:t>EE</w:t>
            </w:r>
          </w:p>
        </w:tc>
        <w:tc>
          <w:tcPr>
            <w:tcW w:w="850" w:type="dxa"/>
            <w:tcBorders>
              <w:top w:val="single" w:sz="12" w:space="0" w:color="auto"/>
              <w:left w:val="single" w:sz="12" w:space="0" w:color="auto"/>
              <w:bottom w:val="single" w:sz="12" w:space="0" w:color="auto"/>
              <w:right w:val="single" w:sz="12" w:space="0" w:color="auto"/>
            </w:tcBorders>
            <w:shd w:val="pct10" w:color="auto" w:fill="auto"/>
          </w:tcPr>
          <w:p>
            <w:pPr>
              <w:pStyle w:val="Text1"/>
              <w:ind w:left="0"/>
              <w:jc w:val="center"/>
              <w:rPr>
                <w:b/>
                <w:noProof/>
                <w:szCs w:val="24"/>
              </w:rPr>
            </w:pPr>
            <w:r>
              <w:rPr>
                <w:b/>
                <w:noProof/>
                <w:szCs w:val="24"/>
              </w:rPr>
              <w:t>GHG</w:t>
            </w:r>
          </w:p>
        </w:tc>
        <w:tc>
          <w:tcPr>
            <w:tcW w:w="851" w:type="dxa"/>
            <w:tcBorders>
              <w:top w:val="single" w:sz="12" w:space="0" w:color="auto"/>
              <w:left w:val="single" w:sz="12" w:space="0" w:color="auto"/>
              <w:bottom w:val="single" w:sz="12" w:space="0" w:color="auto"/>
              <w:right w:val="single" w:sz="12" w:space="0" w:color="auto"/>
            </w:tcBorders>
            <w:shd w:val="pct10" w:color="auto" w:fill="auto"/>
          </w:tcPr>
          <w:p>
            <w:pPr>
              <w:pStyle w:val="Text1"/>
              <w:ind w:left="0"/>
              <w:jc w:val="center"/>
              <w:rPr>
                <w:noProof/>
                <w:szCs w:val="24"/>
              </w:rPr>
            </w:pPr>
            <w:r>
              <w:rPr>
                <w:b/>
                <w:noProof/>
                <w:szCs w:val="24"/>
              </w:rPr>
              <w:t>R&amp;I</w:t>
            </w:r>
          </w:p>
        </w:tc>
        <w:tc>
          <w:tcPr>
            <w:tcW w:w="2976" w:type="dxa"/>
            <w:tcBorders>
              <w:top w:val="single" w:sz="12" w:space="0" w:color="auto"/>
              <w:left w:val="single" w:sz="12" w:space="0" w:color="auto"/>
              <w:bottom w:val="single" w:sz="12" w:space="0" w:color="auto"/>
              <w:right w:val="single" w:sz="12" w:space="0" w:color="auto"/>
            </w:tcBorders>
            <w:shd w:val="pct10" w:color="auto" w:fill="auto"/>
          </w:tcPr>
          <w:p>
            <w:pPr>
              <w:pStyle w:val="Text1"/>
              <w:ind w:left="33"/>
              <w:jc w:val="left"/>
              <w:rPr>
                <w:noProof/>
                <w:szCs w:val="24"/>
              </w:rPr>
            </w:pPr>
            <w:r>
              <w:rPr>
                <w:b/>
                <w:i/>
                <w:noProof/>
                <w:szCs w:val="24"/>
              </w:rPr>
              <w:t>Comments</w:t>
            </w:r>
            <w:r>
              <w:rPr>
                <w:b/>
                <w:noProof/>
                <w:szCs w:val="24"/>
              </w:rPr>
              <w:t xml:space="preserve"> / Update</w:t>
            </w:r>
          </w:p>
        </w:tc>
      </w:tr>
      <w:tr>
        <w:tc>
          <w:tcPr>
            <w:tcW w:w="3652" w:type="dxa"/>
            <w:shd w:val="clear" w:color="auto" w:fill="auto"/>
            <w:vAlign w:val="bottom"/>
          </w:tcPr>
          <w:p>
            <w:pPr>
              <w:pStyle w:val="Text1"/>
              <w:spacing w:after="200"/>
              <w:ind w:left="55"/>
              <w:jc w:val="left"/>
              <w:rPr>
                <w:noProof/>
                <w:szCs w:val="24"/>
              </w:rPr>
            </w:pPr>
            <w:r>
              <w:rPr>
                <w:b/>
                <w:noProof/>
                <w:szCs w:val="24"/>
              </w:rPr>
              <w:t>Infrastructure</w:t>
            </w:r>
          </w:p>
        </w:tc>
        <w:tc>
          <w:tcPr>
            <w:tcW w:w="2126" w:type="dxa"/>
            <w:shd w:val="clear" w:color="auto" w:fill="auto"/>
          </w:tcPr>
          <w:p>
            <w:pPr>
              <w:pStyle w:val="Text1"/>
              <w:ind w:left="176"/>
              <w:jc w:val="left"/>
              <w:rPr>
                <w:noProof/>
                <w:szCs w:val="24"/>
              </w:rPr>
            </w:pPr>
          </w:p>
        </w:tc>
        <w:tc>
          <w:tcPr>
            <w:tcW w:w="1985" w:type="dxa"/>
            <w:shd w:val="clear" w:color="auto" w:fill="auto"/>
          </w:tcPr>
          <w:p>
            <w:pPr>
              <w:pStyle w:val="Text1"/>
              <w:ind w:left="132"/>
              <w:jc w:val="left"/>
              <w:rPr>
                <w:noProof/>
                <w:szCs w:val="24"/>
              </w:rPr>
            </w:pPr>
          </w:p>
        </w:tc>
        <w:tc>
          <w:tcPr>
            <w:tcW w:w="709" w:type="dxa"/>
          </w:tcPr>
          <w:p>
            <w:pPr>
              <w:pStyle w:val="Text1"/>
              <w:jc w:val="center"/>
              <w:rPr>
                <w:noProof/>
                <w:szCs w:val="24"/>
              </w:rPr>
            </w:pPr>
          </w:p>
        </w:tc>
        <w:tc>
          <w:tcPr>
            <w:tcW w:w="850" w:type="dxa"/>
          </w:tcPr>
          <w:p>
            <w:pPr>
              <w:pStyle w:val="Text1"/>
              <w:ind w:left="121"/>
              <w:jc w:val="center"/>
              <w:rPr>
                <w:noProof/>
                <w:szCs w:val="24"/>
              </w:rPr>
            </w:pPr>
          </w:p>
        </w:tc>
        <w:tc>
          <w:tcPr>
            <w:tcW w:w="851" w:type="dxa"/>
          </w:tcPr>
          <w:p>
            <w:pPr>
              <w:pStyle w:val="Text1"/>
              <w:jc w:val="center"/>
              <w:rPr>
                <w:noProof/>
                <w:szCs w:val="24"/>
              </w:rPr>
            </w:pPr>
          </w:p>
        </w:tc>
        <w:tc>
          <w:tcPr>
            <w:tcW w:w="850" w:type="dxa"/>
          </w:tcPr>
          <w:p>
            <w:pPr>
              <w:pStyle w:val="Text1"/>
              <w:ind w:left="225"/>
              <w:jc w:val="center"/>
              <w:rPr>
                <w:noProof/>
                <w:szCs w:val="24"/>
              </w:rPr>
            </w:pPr>
          </w:p>
        </w:tc>
        <w:tc>
          <w:tcPr>
            <w:tcW w:w="851" w:type="dxa"/>
          </w:tcPr>
          <w:p>
            <w:pPr>
              <w:pStyle w:val="Text1"/>
              <w:jc w:val="center"/>
              <w:rPr>
                <w:noProof/>
                <w:szCs w:val="24"/>
              </w:rPr>
            </w:pPr>
          </w:p>
        </w:tc>
        <w:tc>
          <w:tcPr>
            <w:tcW w:w="2976" w:type="dxa"/>
          </w:tcPr>
          <w:p>
            <w:pPr>
              <w:pStyle w:val="Text1"/>
              <w:ind w:left="33"/>
              <w:jc w:val="left"/>
              <w:rPr>
                <w:noProof/>
                <w:szCs w:val="24"/>
              </w:rPr>
            </w:pPr>
          </w:p>
        </w:tc>
      </w:tr>
      <w:tr>
        <w:tc>
          <w:tcPr>
            <w:tcW w:w="3652" w:type="dxa"/>
            <w:shd w:val="clear" w:color="auto" w:fill="auto"/>
          </w:tcPr>
          <w:p>
            <w:pPr>
              <w:pStyle w:val="Text1"/>
              <w:spacing w:after="200"/>
              <w:ind w:left="55"/>
              <w:jc w:val="left"/>
              <w:rPr>
                <w:noProof/>
                <w:szCs w:val="24"/>
              </w:rPr>
            </w:pPr>
            <w:r>
              <w:rPr>
                <w:noProof/>
                <w:szCs w:val="24"/>
              </w:rPr>
              <w:t>Effective implementation of the 10% electricity interconnection target</w:t>
            </w:r>
          </w:p>
        </w:tc>
        <w:tc>
          <w:tcPr>
            <w:tcW w:w="2126" w:type="dxa"/>
            <w:shd w:val="clear" w:color="auto" w:fill="auto"/>
          </w:tcPr>
          <w:p>
            <w:pPr>
              <w:pStyle w:val="Text1"/>
              <w:spacing w:after="120"/>
              <w:ind w:left="176"/>
              <w:jc w:val="left"/>
              <w:rPr>
                <w:noProof/>
                <w:szCs w:val="24"/>
              </w:rPr>
            </w:pPr>
            <w:r>
              <w:rPr>
                <w:noProof/>
                <w:szCs w:val="24"/>
              </w:rPr>
              <w:t>Commission</w:t>
            </w:r>
          </w:p>
          <w:p>
            <w:pPr>
              <w:pStyle w:val="Text1"/>
              <w:spacing w:after="120"/>
              <w:ind w:left="176"/>
              <w:jc w:val="left"/>
              <w:rPr>
                <w:noProof/>
                <w:szCs w:val="24"/>
              </w:rPr>
            </w:pPr>
            <w:r>
              <w:rPr>
                <w:noProof/>
                <w:szCs w:val="24"/>
              </w:rPr>
              <w:t>Member States</w:t>
            </w:r>
          </w:p>
          <w:p>
            <w:pPr>
              <w:pStyle w:val="Text1"/>
              <w:spacing w:after="120"/>
              <w:ind w:left="176"/>
              <w:jc w:val="left"/>
              <w:rPr>
                <w:noProof/>
                <w:szCs w:val="24"/>
              </w:rPr>
            </w:pPr>
            <w:r>
              <w:rPr>
                <w:noProof/>
                <w:szCs w:val="24"/>
              </w:rPr>
              <w:t>National Regulatory Authorities</w:t>
            </w:r>
          </w:p>
          <w:p>
            <w:pPr>
              <w:pStyle w:val="Text1"/>
              <w:spacing w:after="120"/>
              <w:ind w:left="176"/>
              <w:jc w:val="left"/>
              <w:rPr>
                <w:noProof/>
                <w:szCs w:val="24"/>
              </w:rPr>
            </w:pPr>
            <w:r>
              <w:rPr>
                <w:noProof/>
                <w:szCs w:val="24"/>
              </w:rPr>
              <w:t>Transmission System Operators</w:t>
            </w:r>
          </w:p>
        </w:tc>
        <w:tc>
          <w:tcPr>
            <w:tcW w:w="1985" w:type="dxa"/>
            <w:shd w:val="clear" w:color="auto" w:fill="auto"/>
          </w:tcPr>
          <w:p>
            <w:pPr>
              <w:pStyle w:val="Text1"/>
              <w:ind w:left="132"/>
              <w:jc w:val="left"/>
              <w:rPr>
                <w:noProof/>
                <w:szCs w:val="24"/>
              </w:rPr>
            </w:pPr>
            <w:r>
              <w:rPr>
                <w:noProof/>
                <w:szCs w:val="24"/>
              </w:rPr>
              <w:t>2015-20</w:t>
            </w:r>
          </w:p>
        </w:tc>
        <w:tc>
          <w:tcPr>
            <w:tcW w:w="709" w:type="dxa"/>
          </w:tcPr>
          <w:p>
            <w:pPr>
              <w:pStyle w:val="Text1"/>
              <w:ind w:left="0"/>
              <w:jc w:val="center"/>
              <w:rPr>
                <w:noProof/>
                <w:szCs w:val="24"/>
              </w:rPr>
            </w:pPr>
            <w:r>
              <w:rPr>
                <w:noProof/>
                <w:szCs w:val="24"/>
              </w:rPr>
              <w:t>X</w:t>
            </w:r>
          </w:p>
        </w:tc>
        <w:tc>
          <w:tcPr>
            <w:tcW w:w="850" w:type="dxa"/>
          </w:tcPr>
          <w:p>
            <w:pPr>
              <w:pStyle w:val="Text1"/>
              <w:ind w:left="0"/>
              <w:jc w:val="center"/>
              <w:rPr>
                <w:noProof/>
                <w:szCs w:val="24"/>
              </w:rPr>
            </w:pPr>
            <w:r>
              <w:rPr>
                <w:noProof/>
                <w:szCs w:val="24"/>
              </w:rPr>
              <w:t>X</w:t>
            </w:r>
          </w:p>
        </w:tc>
        <w:tc>
          <w:tcPr>
            <w:tcW w:w="851" w:type="dxa"/>
          </w:tcPr>
          <w:p>
            <w:pPr>
              <w:pStyle w:val="Text1"/>
              <w:jc w:val="center"/>
              <w:rPr>
                <w:noProof/>
                <w:szCs w:val="24"/>
              </w:rPr>
            </w:pPr>
          </w:p>
        </w:tc>
        <w:tc>
          <w:tcPr>
            <w:tcW w:w="850" w:type="dxa"/>
          </w:tcPr>
          <w:p>
            <w:pPr>
              <w:pStyle w:val="Text1"/>
              <w:ind w:left="0"/>
              <w:jc w:val="center"/>
              <w:rPr>
                <w:noProof/>
                <w:szCs w:val="24"/>
              </w:rPr>
            </w:pPr>
            <w:r>
              <w:rPr>
                <w:noProof/>
                <w:szCs w:val="24"/>
              </w:rPr>
              <w:t>X</w:t>
            </w:r>
          </w:p>
        </w:tc>
        <w:tc>
          <w:tcPr>
            <w:tcW w:w="851" w:type="dxa"/>
          </w:tcPr>
          <w:p>
            <w:pPr>
              <w:pStyle w:val="Text1"/>
              <w:jc w:val="center"/>
              <w:rPr>
                <w:noProof/>
                <w:szCs w:val="24"/>
              </w:rPr>
            </w:pPr>
          </w:p>
        </w:tc>
        <w:tc>
          <w:tcPr>
            <w:tcW w:w="2976" w:type="dxa"/>
          </w:tcPr>
          <w:p>
            <w:pPr>
              <w:pStyle w:val="Text1"/>
              <w:ind w:left="33"/>
              <w:jc w:val="left"/>
              <w:rPr>
                <w:i/>
                <w:noProof/>
                <w:szCs w:val="24"/>
              </w:rPr>
            </w:pPr>
            <w:r>
              <w:rPr>
                <w:i/>
                <w:noProof/>
                <w:szCs w:val="24"/>
              </w:rPr>
              <w:t>Adopted on 25 February 2015 (COM(2015)82)</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szCs w:val="24"/>
              </w:rPr>
              <w:t>2</w:t>
            </w:r>
            <w:r>
              <w:rPr>
                <w:noProof/>
                <w:szCs w:val="24"/>
                <w:vertAlign w:val="superscript"/>
              </w:rPr>
              <w:t>nd</w:t>
            </w:r>
            <w:r>
              <w:rPr>
                <w:noProof/>
                <w:szCs w:val="24"/>
              </w:rPr>
              <w:t xml:space="preserve"> list of Projects of Common Interest (PCI) – leading to Commission Delegated Act </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176"/>
              <w:jc w:val="left"/>
              <w:rPr>
                <w:noProof/>
                <w:szCs w:val="24"/>
              </w:rPr>
            </w:pPr>
            <w:r>
              <w:rPr>
                <w:noProof/>
                <w:szCs w:val="24"/>
              </w:rPr>
              <w:t>Commission</w:t>
            </w:r>
          </w:p>
          <w:p>
            <w:pPr>
              <w:pStyle w:val="Text1"/>
              <w:spacing w:after="120"/>
              <w:ind w:left="176"/>
              <w:jc w:val="left"/>
              <w:rPr>
                <w:noProof/>
                <w:szCs w:val="24"/>
              </w:rPr>
            </w:pPr>
            <w:r>
              <w:rPr>
                <w:noProof/>
                <w:szCs w:val="24"/>
              </w:rPr>
              <w:t>Member States</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132"/>
              <w:jc w:val="left"/>
              <w:rPr>
                <w:noProof/>
                <w:szCs w:val="24"/>
              </w:rPr>
            </w:pPr>
            <w:r>
              <w:rPr>
                <w:noProof/>
                <w:szCs w:val="24"/>
              </w:rPr>
              <w:t>2015</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i/>
                <w:noProof/>
                <w:color w:val="000000" w:themeColor="text1"/>
              </w:rPr>
            </w:pPr>
            <w:r>
              <w:rPr>
                <w:i/>
                <w:noProof/>
                <w:szCs w:val="24"/>
              </w:rPr>
              <w:t xml:space="preserve">Delegated act adopted on 18 November 2015 </w:t>
            </w:r>
            <w:r>
              <w:rPr>
                <w:i/>
                <w:noProof/>
                <w:color w:val="000000" w:themeColor="text1"/>
                <w:szCs w:val="24"/>
              </w:rPr>
              <w:t>(</w:t>
            </w:r>
            <w:r>
              <w:rPr>
                <w:i/>
                <w:noProof/>
                <w:color w:val="000000" w:themeColor="text1"/>
              </w:rPr>
              <w:t>C(2015)8052)</w:t>
            </w:r>
          </w:p>
          <w:p>
            <w:pPr>
              <w:pStyle w:val="Text1"/>
              <w:ind w:left="33"/>
              <w:jc w:val="left"/>
              <w:rPr>
                <w:noProof/>
                <w:szCs w:val="24"/>
              </w:rPr>
            </w:pPr>
            <w:r>
              <w:rPr>
                <w:noProof/>
                <w:szCs w:val="24"/>
              </w:rPr>
              <w:lastRenderedPageBreak/>
              <w:t>An evaluation of the implementation of the Projects of Common Interest and of the Regulation on guidelines for trans-European energy infrastructure is taking place in 2017</w:t>
            </w:r>
          </w:p>
          <w:p>
            <w:pPr>
              <w:pStyle w:val="Text1"/>
              <w:ind w:left="33"/>
              <w:jc w:val="left"/>
              <w:rPr>
                <w:i/>
                <w:noProof/>
                <w:szCs w:val="24"/>
              </w:rPr>
            </w:pPr>
            <w:r>
              <w:rPr>
                <w:noProof/>
                <w:szCs w:val="24"/>
              </w:rPr>
              <w:t>The 3</w:t>
            </w:r>
            <w:r>
              <w:rPr>
                <w:noProof/>
                <w:szCs w:val="24"/>
                <w:vertAlign w:val="superscript"/>
              </w:rPr>
              <w:t>rd</w:t>
            </w:r>
            <w:r>
              <w:rPr>
                <w:noProof/>
                <w:szCs w:val="24"/>
              </w:rPr>
              <w:t xml:space="preserve"> list of Projects of Common Interest is scheduled for publication in Q4/2017</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szCs w:val="24"/>
              </w:rPr>
              <w:lastRenderedPageBreak/>
              <w:t>Communication on the progress towards the completion of the list of the most vital energy infrastructures and on the necessary measures to reach the 15% electricity interconnection target for 2030</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176"/>
              <w:jc w:val="left"/>
              <w:rPr>
                <w:noProof/>
                <w:szCs w:val="24"/>
              </w:rPr>
            </w:pPr>
            <w:r>
              <w:rPr>
                <w:noProof/>
                <w:szCs w:val="24"/>
              </w:rPr>
              <w:t>Commission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132"/>
              <w:jc w:val="left"/>
              <w:rPr>
                <w:noProof/>
                <w:szCs w:val="24"/>
              </w:rPr>
            </w:pPr>
            <w:r>
              <w:rPr>
                <w:noProof/>
                <w:szCs w:val="24"/>
              </w:rPr>
              <w:t>2016</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noProof/>
                <w:szCs w:val="24"/>
              </w:rPr>
            </w:pPr>
            <w:r>
              <w:rPr>
                <w:noProof/>
                <w:szCs w:val="24"/>
              </w:rPr>
              <w:t>Planned for 2017; to be adopted together with the 3</w:t>
            </w:r>
            <w:r>
              <w:rPr>
                <w:noProof/>
                <w:szCs w:val="24"/>
                <w:vertAlign w:val="superscript"/>
              </w:rPr>
              <w:t>rd</w:t>
            </w:r>
            <w:r>
              <w:rPr>
                <w:noProof/>
                <w:szCs w:val="24"/>
              </w:rPr>
              <w:t xml:space="preserve"> list of Projects of Common Interest in Q4/2017</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szCs w:val="24"/>
              </w:rPr>
              <w:t>Establish an Energy Infrastructure Forum</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176"/>
              <w:jc w:val="left"/>
              <w:rPr>
                <w:noProof/>
                <w:szCs w:val="24"/>
              </w:rPr>
            </w:pPr>
            <w:r>
              <w:rPr>
                <w:noProof/>
                <w:szCs w:val="24"/>
              </w:rPr>
              <w:t>Commission</w:t>
            </w:r>
          </w:p>
          <w:p>
            <w:pPr>
              <w:pStyle w:val="Text1"/>
              <w:spacing w:after="120"/>
              <w:ind w:left="176"/>
              <w:jc w:val="left"/>
              <w:rPr>
                <w:noProof/>
                <w:szCs w:val="24"/>
              </w:rPr>
            </w:pPr>
            <w:r>
              <w:rPr>
                <w:noProof/>
                <w:szCs w:val="24"/>
              </w:rPr>
              <w:t>Member States</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132"/>
              <w:jc w:val="left"/>
              <w:rPr>
                <w:noProof/>
                <w:szCs w:val="24"/>
              </w:rPr>
            </w:pPr>
            <w:r>
              <w:rPr>
                <w:noProof/>
                <w:szCs w:val="24"/>
              </w:rPr>
              <w:t>2015</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1"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i/>
                <w:noProof/>
                <w:szCs w:val="24"/>
              </w:rPr>
            </w:pPr>
            <w:r>
              <w:rPr>
                <w:i/>
                <w:noProof/>
                <w:szCs w:val="24"/>
              </w:rPr>
              <w:t xml:space="preserve">First meeting of the Energy Infrastructure Forum took place 9-10 November 2015 </w:t>
            </w:r>
            <w:r>
              <w:rPr>
                <w:i/>
                <w:noProof/>
                <w:szCs w:val="24"/>
              </w:rPr>
              <w:lastRenderedPageBreak/>
              <w:t>in Copenhagen; a second meeting took place 23-24 June 2016</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b/>
                <w:noProof/>
                <w:szCs w:val="24"/>
              </w:rPr>
              <w:lastRenderedPageBreak/>
              <w:t>Electricity</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176"/>
              <w:jc w:val="left"/>
              <w:rPr>
                <w:noProof/>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132"/>
              <w:jc w:val="left"/>
              <w:rPr>
                <w:noProof/>
                <w:szCs w:val="24"/>
              </w:rPr>
            </w:pP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noProof/>
                <w:szCs w:val="24"/>
              </w:rPr>
            </w:pP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120"/>
              <w:jc w:val="left"/>
              <w:rPr>
                <w:noProof/>
                <w:szCs w:val="24"/>
              </w:rPr>
            </w:pPr>
            <w:r>
              <w:rPr>
                <w:noProof/>
                <w:szCs w:val="24"/>
              </w:rPr>
              <w:t>Initiative on market design and regional electricity markets, and coordination of capacities to ensure security of supply, boosting cross-border trade and facilitating integration of renewable energy</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176"/>
              <w:jc w:val="left"/>
              <w:rPr>
                <w:noProof/>
                <w:szCs w:val="24"/>
              </w:rPr>
            </w:pPr>
            <w:r>
              <w:rPr>
                <w:noProof/>
                <w:szCs w:val="24"/>
              </w:rPr>
              <w:t>Commission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r>
              <w:rPr>
                <w:noProof/>
                <w:szCs w:val="24"/>
              </w:rPr>
              <w:t>2015-2016</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121"/>
              <w:jc w:val="center"/>
              <w:rPr>
                <w:noProof/>
                <w:szCs w:val="24"/>
              </w:rPr>
            </w:pPr>
            <w:r>
              <w:rPr>
                <w:noProof/>
                <w:szCs w:val="24"/>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1"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i/>
                <w:noProof/>
                <w:szCs w:val="24"/>
              </w:rPr>
            </w:pPr>
            <w:r>
              <w:rPr>
                <w:i/>
                <w:noProof/>
                <w:szCs w:val="24"/>
              </w:rPr>
              <w:t xml:space="preserve">Consultative Communication adopted on 15 July 2015 (COM(2015)340) </w:t>
            </w:r>
          </w:p>
          <w:p>
            <w:pPr>
              <w:pStyle w:val="Text1"/>
              <w:ind w:left="33"/>
              <w:jc w:val="left"/>
              <w:rPr>
                <w:i/>
                <w:noProof/>
                <w:szCs w:val="24"/>
              </w:rPr>
            </w:pPr>
            <w:r>
              <w:rPr>
                <w:i/>
                <w:noProof/>
                <w:szCs w:val="24"/>
              </w:rPr>
              <w:t>Legislative proposals adopted on 30 November 2016 (COM(2016) 861 (Electricity Regulation) and COM(2016) 864 (Electricity Directive))</w:t>
            </w:r>
          </w:p>
          <w:p>
            <w:pPr>
              <w:pStyle w:val="Text1"/>
              <w:ind w:left="33"/>
              <w:jc w:val="left"/>
              <w:rPr>
                <w:i/>
                <w:noProof/>
                <w:szCs w:val="24"/>
              </w:rPr>
            </w:pPr>
            <w:r>
              <w:rPr>
                <w:i/>
                <w:noProof/>
                <w:szCs w:val="24"/>
              </w:rPr>
              <w:t>Final Report on the Sector Inquiry on Capacity Mechanisms adopted on 30 November 2016 (COM(2016) 752)</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120"/>
              <w:jc w:val="left"/>
              <w:rPr>
                <w:noProof/>
                <w:szCs w:val="24"/>
              </w:rPr>
            </w:pPr>
            <w:r>
              <w:rPr>
                <w:noProof/>
                <w:szCs w:val="24"/>
              </w:rPr>
              <w:lastRenderedPageBreak/>
              <w:t>Review of the Directive concerning measures to safeguard security of electricity supply</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176"/>
              <w:jc w:val="left"/>
              <w:rPr>
                <w:noProof/>
                <w:szCs w:val="24"/>
              </w:rPr>
            </w:pPr>
            <w:r>
              <w:rPr>
                <w:noProof/>
                <w:szCs w:val="24"/>
              </w:rPr>
              <w:t>Commission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r>
              <w:rPr>
                <w:noProof/>
                <w:szCs w:val="24"/>
              </w:rPr>
              <w:t>2016</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121"/>
              <w:jc w:val="center"/>
              <w:rPr>
                <w:noProof/>
                <w:szCs w:val="24"/>
              </w:rPr>
            </w:pPr>
            <w:r>
              <w:rPr>
                <w:noProof/>
                <w:szCs w:val="24"/>
              </w:rPr>
              <w:t>X</w:t>
            </w:r>
          </w:p>
        </w:tc>
        <w:tc>
          <w:tcPr>
            <w:tcW w:w="851"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1"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noProof/>
                <w:szCs w:val="24"/>
              </w:rPr>
            </w:pPr>
            <w:r>
              <w:rPr>
                <w:i/>
                <w:noProof/>
                <w:szCs w:val="24"/>
              </w:rPr>
              <w:t>Legislative proposals adopted on 30 November 2016 (COM(2016) 862)</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b/>
                <w:noProof/>
                <w:szCs w:val="24"/>
              </w:rPr>
              <w:t>Retail</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noProof/>
                <w:szCs w:val="24"/>
              </w:rPr>
            </w:pP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szCs w:val="24"/>
              </w:rPr>
              <w:t>New Deal for energy consumers: Empowering consumers, deploying Demand Side Response; using smart technology; linking wholesale and retail markets; phase-out of regulated prices; flanking measures to protect vulnerable customers</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szCs w:val="24"/>
              </w:rPr>
              <w:t>Commission</w:t>
            </w:r>
          </w:p>
          <w:p>
            <w:pPr>
              <w:pStyle w:val="Text1"/>
              <w:spacing w:after="120"/>
              <w:ind w:left="55"/>
              <w:jc w:val="left"/>
              <w:rPr>
                <w:noProof/>
                <w:szCs w:val="24"/>
              </w:rPr>
            </w:pPr>
            <w:r>
              <w:rPr>
                <w:noProof/>
                <w:szCs w:val="24"/>
              </w:rPr>
              <w:t>Member States</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r>
              <w:rPr>
                <w:noProof/>
                <w:szCs w:val="24"/>
              </w:rPr>
              <w:t>2015-2016</w:t>
            </w:r>
          </w:p>
          <w:p>
            <w:pPr>
              <w:pStyle w:val="Text1"/>
              <w:ind w:left="55"/>
              <w:jc w:val="left"/>
              <w:rPr>
                <w:noProof/>
                <w:szCs w:val="24"/>
              </w:rPr>
            </w:pP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i/>
                <w:noProof/>
                <w:szCs w:val="24"/>
              </w:rPr>
            </w:pPr>
            <w:r>
              <w:rPr>
                <w:i/>
                <w:noProof/>
                <w:szCs w:val="24"/>
              </w:rPr>
              <w:t xml:space="preserve">Communication adopted on 15 July 2015 (COM(2015)339) </w:t>
            </w:r>
          </w:p>
          <w:p>
            <w:pPr>
              <w:pStyle w:val="Text1"/>
              <w:ind w:left="33"/>
              <w:jc w:val="left"/>
              <w:rPr>
                <w:i/>
                <w:noProof/>
                <w:szCs w:val="24"/>
              </w:rPr>
            </w:pPr>
            <w:r>
              <w:rPr>
                <w:i/>
                <w:noProof/>
                <w:szCs w:val="24"/>
              </w:rPr>
              <w:t>Legislative proposals on consumer issues included in the proposals on the new electricity market design (see above)</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b/>
                <w:noProof/>
                <w:szCs w:val="24"/>
              </w:rPr>
              <w:t>Gas</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noProof/>
                <w:szCs w:val="24"/>
              </w:rPr>
            </w:pP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szCs w:val="24"/>
              </w:rPr>
              <w:t>Revision of the Regulation on security of gas supply</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szCs w:val="24"/>
              </w:rPr>
              <w:t>Commission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r>
              <w:rPr>
                <w:noProof/>
                <w:szCs w:val="24"/>
              </w:rPr>
              <w:t>2015-2016</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1"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i/>
                <w:noProof/>
                <w:szCs w:val="24"/>
              </w:rPr>
            </w:pPr>
            <w:r>
              <w:rPr>
                <w:i/>
                <w:noProof/>
                <w:szCs w:val="24"/>
              </w:rPr>
              <w:t>Legislative proposals adopted on 16 February 2016 (COM(2016)52)</w:t>
            </w:r>
          </w:p>
          <w:p>
            <w:pPr>
              <w:pStyle w:val="Text1"/>
              <w:ind w:left="33"/>
              <w:jc w:val="left"/>
              <w:rPr>
                <w:noProof/>
                <w:szCs w:val="24"/>
              </w:rPr>
            </w:pPr>
            <w:r>
              <w:rPr>
                <w:noProof/>
                <w:szCs w:val="24"/>
              </w:rPr>
              <w:t xml:space="preserve">Inter-institutional negotiations on-going; </w:t>
            </w:r>
            <w:r>
              <w:rPr>
                <w:noProof/>
                <w:szCs w:val="24"/>
              </w:rPr>
              <w:lastRenderedPageBreak/>
              <w:t>political orientation given by the Energy Council in early December 2016; position agreed in ITRE Committee of the EP; trilogue negotiations planned for conclusion in first half of 2017</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szCs w:val="24"/>
              </w:rPr>
              <w:lastRenderedPageBreak/>
              <w:t>Liquified Natural Gas and Storage strategy</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szCs w:val="24"/>
              </w:rPr>
              <w:t>Commission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r>
              <w:rPr>
                <w:noProof/>
                <w:szCs w:val="24"/>
              </w:rPr>
              <w:t>2015-2016</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noProof/>
                <w:szCs w:val="24"/>
              </w:rPr>
            </w:pPr>
            <w:r>
              <w:rPr>
                <w:i/>
                <w:noProof/>
                <w:szCs w:val="24"/>
              </w:rPr>
              <w:t>Communication adopted on 16 February 2016 (COM(2016)49)</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b/>
                <w:noProof/>
                <w:szCs w:val="24"/>
              </w:rPr>
            </w:pPr>
            <w:r>
              <w:rPr>
                <w:b/>
                <w:noProof/>
                <w:szCs w:val="24"/>
              </w:rPr>
              <w:t>Regulatory framework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jc w:val="left"/>
              <w:rPr>
                <w:noProof/>
                <w:szCs w:val="24"/>
              </w:rPr>
            </w:pP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noProof/>
                <w:szCs w:val="24"/>
              </w:rPr>
            </w:pP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szCs w:val="24"/>
              </w:rPr>
              <w:t>Review of the Agency for the Cooperation of Energy Regulators (ACER) and the energy regulatory framework</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b/>
                <w:noProof/>
                <w:szCs w:val="24"/>
              </w:rPr>
            </w:pPr>
            <w:r>
              <w:rPr>
                <w:noProof/>
                <w:szCs w:val="24"/>
              </w:rPr>
              <w:t>Commission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r>
              <w:rPr>
                <w:noProof/>
                <w:szCs w:val="24"/>
              </w:rPr>
              <w:t>2015-16</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1"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1"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i/>
                <w:noProof/>
                <w:szCs w:val="24"/>
              </w:rPr>
            </w:pPr>
            <w:r>
              <w:rPr>
                <w:i/>
                <w:noProof/>
                <w:szCs w:val="24"/>
              </w:rPr>
              <w:t xml:space="preserve">Covered by the Consultative Communication adopted on 15 July 2015 (COM(2015)340) </w:t>
            </w:r>
          </w:p>
          <w:p>
            <w:pPr>
              <w:pStyle w:val="Text1"/>
              <w:ind w:left="33"/>
              <w:jc w:val="left"/>
              <w:rPr>
                <w:i/>
                <w:noProof/>
                <w:szCs w:val="24"/>
              </w:rPr>
            </w:pPr>
            <w:r>
              <w:rPr>
                <w:i/>
                <w:noProof/>
                <w:szCs w:val="24"/>
              </w:rPr>
              <w:t>Legislative proposals adopted on 30 November 2016 (COM(2016) 863)</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b/>
                <w:noProof/>
                <w:szCs w:val="24"/>
              </w:rPr>
              <w:lastRenderedPageBreak/>
              <w:t>Renewables</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noProof/>
                <w:szCs w:val="24"/>
              </w:rPr>
            </w:pP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szCs w:val="24"/>
              </w:rPr>
              <w:t>Renewable Energy Package: including a new Renewable Energy Directive for 2030; best practices in renewable energy self-consumption and support schemes; bioenergy sustainability policy.</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szCs w:val="24"/>
              </w:rPr>
              <w:t>Commission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r>
              <w:rPr>
                <w:noProof/>
                <w:szCs w:val="24"/>
              </w:rPr>
              <w:t>2015-2017</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1"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1"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i/>
                <w:noProof/>
                <w:szCs w:val="24"/>
              </w:rPr>
            </w:pPr>
            <w:r>
              <w:rPr>
                <w:i/>
                <w:noProof/>
                <w:szCs w:val="24"/>
              </w:rPr>
              <w:t>Best practice guidelines for renewable energy self-consumption adopted on 15 July 2015 (SWD(2015)141)</w:t>
            </w:r>
          </w:p>
          <w:p>
            <w:pPr>
              <w:pStyle w:val="Text1"/>
              <w:ind w:left="33"/>
              <w:jc w:val="left"/>
              <w:rPr>
                <w:noProof/>
                <w:szCs w:val="24"/>
              </w:rPr>
            </w:pPr>
            <w:r>
              <w:rPr>
                <w:i/>
                <w:noProof/>
                <w:szCs w:val="24"/>
              </w:rPr>
              <w:t>Legislative proposals adopted on 30 November 2016 (COM(2016) 767)</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szCs w:val="24"/>
              </w:rPr>
              <w:t>Communication on Waste to Energy</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szCs w:val="24"/>
              </w:rPr>
              <w:t>Commission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r>
              <w:rPr>
                <w:noProof/>
                <w:szCs w:val="24"/>
              </w:rPr>
              <w:t>2016</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121"/>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1"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noProof/>
                <w:szCs w:val="24"/>
              </w:rPr>
            </w:pPr>
            <w:r>
              <w:rPr>
                <w:i/>
                <w:noProof/>
                <w:szCs w:val="24"/>
              </w:rPr>
              <w:t xml:space="preserve">Communication adopted on 26 January 2017 (COM(2017) 34) </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b/>
                <w:noProof/>
                <w:szCs w:val="24"/>
              </w:rPr>
              <w:t>Climate Action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noProof/>
                <w:szCs w:val="24"/>
              </w:rPr>
            </w:pP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szCs w:val="24"/>
              </w:rPr>
              <w:t>Legislative proposal to revise the EU Emissions Trading System, 2021-2030</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szCs w:val="24"/>
              </w:rPr>
              <w:t>Commission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r>
              <w:rPr>
                <w:noProof/>
                <w:szCs w:val="24"/>
              </w:rPr>
              <w:t>2015</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1"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1"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i/>
                <w:noProof/>
                <w:szCs w:val="24"/>
              </w:rPr>
            </w:pPr>
            <w:r>
              <w:rPr>
                <w:i/>
                <w:noProof/>
                <w:szCs w:val="24"/>
              </w:rPr>
              <w:t>Proposal adopted on 15 July 2015 (COM(2015)337)</w:t>
            </w:r>
          </w:p>
          <w:p>
            <w:pPr>
              <w:pStyle w:val="Text1"/>
              <w:ind w:left="33"/>
              <w:jc w:val="left"/>
              <w:rPr>
                <w:noProof/>
                <w:szCs w:val="24"/>
              </w:rPr>
            </w:pPr>
            <w:r>
              <w:rPr>
                <w:noProof/>
                <w:szCs w:val="24"/>
              </w:rPr>
              <w:t>Inter-institutional negotiations on-going; next step in Council is to agree a position; next step in EP is Plenary vote expected for February 2017</w:t>
            </w:r>
          </w:p>
          <w:p>
            <w:pPr>
              <w:pStyle w:val="Text1"/>
              <w:ind w:left="33"/>
              <w:jc w:val="left"/>
              <w:rPr>
                <w:noProof/>
                <w:szCs w:val="24"/>
              </w:rPr>
            </w:pPr>
            <w:r>
              <w:rPr>
                <w:noProof/>
                <w:szCs w:val="24"/>
              </w:rPr>
              <w:t>Legislative proposal on the scope of the EU emissions trading system for aviation planned for adoption in 2017</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szCs w:val="24"/>
              </w:rPr>
              <w:t xml:space="preserve">Legislative proposals on the Effort-Sharing Decision and the inclusion of Land Use, Land Use Change and Forestry (LULUCF) into the 2030 Climate and Energy Framework </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szCs w:val="24"/>
              </w:rPr>
              <w:t>Commission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r>
              <w:rPr>
                <w:noProof/>
                <w:szCs w:val="24"/>
              </w:rPr>
              <w:t>2016</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noProof/>
                <w:szCs w:val="24"/>
              </w:rPr>
            </w:pPr>
            <w:r>
              <w:rPr>
                <w:i/>
                <w:noProof/>
                <w:szCs w:val="24"/>
              </w:rPr>
              <w:t>Legislative proposals adopted on 20 July 2016 (COM(2016) 482 (non-ETS); COM(2016) 479 (LULUCF))</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b/>
                <w:noProof/>
                <w:szCs w:val="24"/>
              </w:rPr>
              <w:t>Transport actions</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noProof/>
                <w:szCs w:val="24"/>
              </w:rPr>
            </w:pP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szCs w:val="24"/>
              </w:rPr>
              <w:t xml:space="preserve">Fair and efficient pricing for sustainable transport – revision of the Eurovignette Directive </w:t>
            </w:r>
            <w:r>
              <w:rPr>
                <w:noProof/>
              </w:rPr>
              <w:t>and framework to promote European electronic tolling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szCs w:val="24"/>
              </w:rPr>
              <w:t>Commission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r>
              <w:rPr>
                <w:noProof/>
                <w:szCs w:val="24"/>
              </w:rPr>
              <w:t>2016</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noProof/>
                <w:szCs w:val="24"/>
              </w:rPr>
            </w:pPr>
            <w:r>
              <w:rPr>
                <w:noProof/>
                <w:szCs w:val="24"/>
              </w:rPr>
              <w:t xml:space="preserve">Planned for 2017; implementation of the low emission mobility strategy </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szCs w:val="24"/>
              </w:rPr>
              <w:t>Review of market access rules for road transport to improve its energy efficiency</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szCs w:val="24"/>
              </w:rPr>
              <w:t>Commission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r>
              <w:rPr>
                <w:noProof/>
                <w:szCs w:val="24"/>
              </w:rPr>
              <w:t>2016</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noProof/>
                <w:szCs w:val="24"/>
              </w:rPr>
            </w:pPr>
            <w:r>
              <w:rPr>
                <w:noProof/>
                <w:szCs w:val="24"/>
              </w:rPr>
              <w:t xml:space="preserve">Planned for 2017; implementation of the low emission mobility strategy </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szCs w:val="24"/>
              </w:rPr>
              <w:t>Master Plan for the deployment of Cooperative Intelligent Transport Systems</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szCs w:val="24"/>
              </w:rPr>
              <w:t>Commission</w:t>
            </w:r>
          </w:p>
          <w:p>
            <w:pPr>
              <w:pStyle w:val="Text1"/>
              <w:spacing w:after="120"/>
              <w:ind w:left="55"/>
              <w:jc w:val="left"/>
              <w:rPr>
                <w:noProof/>
                <w:szCs w:val="24"/>
              </w:rPr>
            </w:pPr>
            <w:r>
              <w:rPr>
                <w:noProof/>
                <w:szCs w:val="24"/>
              </w:rPr>
              <w:t>Member States</w:t>
            </w:r>
          </w:p>
          <w:p>
            <w:pPr>
              <w:pStyle w:val="Text1"/>
              <w:spacing w:after="120"/>
              <w:ind w:left="55"/>
              <w:jc w:val="left"/>
              <w:rPr>
                <w:noProof/>
                <w:szCs w:val="24"/>
              </w:rPr>
            </w:pPr>
            <w:r>
              <w:rPr>
                <w:noProof/>
                <w:szCs w:val="24"/>
              </w:rPr>
              <w:t>Industry</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r>
              <w:rPr>
                <w:noProof/>
                <w:szCs w:val="24"/>
              </w:rPr>
              <w:t>2016</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noProof/>
                <w:szCs w:val="24"/>
              </w:rPr>
            </w:pPr>
            <w:r>
              <w:rPr>
                <w:i/>
                <w:noProof/>
                <w:szCs w:val="24"/>
              </w:rPr>
              <w:t>Communication adopted on 30 November 2016 (COM(2016) 766)</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szCs w:val="24"/>
              </w:rPr>
              <w:t>Review of Regulations setting emission performance standards to establish post-2020 targets for cars and vans</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szCs w:val="24"/>
              </w:rPr>
              <w:t>Commission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r>
              <w:rPr>
                <w:noProof/>
                <w:szCs w:val="24"/>
              </w:rPr>
              <w:t>2016 - 2017</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noProof/>
                <w:szCs w:val="24"/>
              </w:rPr>
            </w:pPr>
            <w:r>
              <w:rPr>
                <w:noProof/>
                <w:szCs w:val="24"/>
              </w:rPr>
              <w:t xml:space="preserve">Planned for 2017; implementation of the low emission mobility strategy </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szCs w:val="24"/>
              </w:rPr>
              <w:t>Establishing a monitoring and reporting system for heavy duty vehicles (trucks and buses) with a view to improving purchaser information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szCs w:val="24"/>
              </w:rPr>
              <w:t>Commission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r>
              <w:rPr>
                <w:noProof/>
                <w:szCs w:val="24"/>
              </w:rPr>
              <w:t>2016-2017</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noProof/>
                <w:szCs w:val="24"/>
              </w:rPr>
            </w:pPr>
            <w:r>
              <w:rPr>
                <w:noProof/>
                <w:szCs w:val="24"/>
              </w:rPr>
              <w:t xml:space="preserve">Planned for 2017; implementation of the low emission mobility strategy </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tabs>
                <w:tab w:val="left" w:pos="960"/>
              </w:tabs>
              <w:spacing w:after="200"/>
              <w:ind w:left="55"/>
              <w:jc w:val="left"/>
              <w:rPr>
                <w:noProof/>
                <w:szCs w:val="24"/>
              </w:rPr>
            </w:pPr>
            <w:r>
              <w:rPr>
                <w:noProof/>
                <w:szCs w:val="24"/>
              </w:rPr>
              <w:t xml:space="preserve">Review of Directive </w:t>
            </w:r>
            <w:r>
              <w:rPr>
                <w:noProof/>
                <w:lang w:val="en"/>
              </w:rPr>
              <w:t>on the Promotion of Clean and Energy Efficient Road Transport Vehicles</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szCs w:val="24"/>
              </w:rPr>
              <w:t>Commission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r>
              <w:rPr>
                <w:noProof/>
                <w:szCs w:val="24"/>
              </w:rPr>
              <w:t>2017</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noProof/>
                <w:szCs w:val="24"/>
              </w:rPr>
            </w:pPr>
            <w:r>
              <w:rPr>
                <w:noProof/>
                <w:szCs w:val="24"/>
              </w:rPr>
              <w:t xml:space="preserve">Planned for 2017; implementation of the low emission mobility strategy </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szCs w:val="24"/>
              </w:rPr>
              <w:t xml:space="preserve">Communication on decarbonising the transport sector, including an action plan on </w:t>
            </w:r>
            <w:r>
              <w:rPr>
                <w:noProof/>
              </w:rPr>
              <w:t>second and third generation biofuels and other alternative, sustainable fuels</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szCs w:val="24"/>
              </w:rPr>
              <w:t>Commission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r>
              <w:rPr>
                <w:noProof/>
                <w:szCs w:val="24"/>
              </w:rPr>
              <w:t>2017</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i/>
                <w:noProof/>
                <w:szCs w:val="24"/>
              </w:rPr>
            </w:pPr>
            <w:r>
              <w:rPr>
                <w:i/>
                <w:noProof/>
                <w:szCs w:val="24"/>
              </w:rPr>
              <w:t>Communication on the European Strategy for low-emission mobility adopted on 20 July 2016 (COM(2016)501)</w:t>
            </w:r>
          </w:p>
          <w:p>
            <w:pPr>
              <w:pStyle w:val="Text1"/>
              <w:ind w:left="33"/>
              <w:jc w:val="left"/>
              <w:rPr>
                <w:noProof/>
                <w:szCs w:val="24"/>
              </w:rPr>
            </w:pPr>
            <w:r>
              <w:rPr>
                <w:i/>
                <w:noProof/>
                <w:szCs w:val="24"/>
              </w:rPr>
              <w:t xml:space="preserve">Fuel element partly covered by the legislative proposal adopted on 30 November 2016 (COM(2016) 767 (Renewables Directive)) </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b/>
                <w:noProof/>
                <w:szCs w:val="24"/>
              </w:rPr>
              <w:t>Energy efficiency</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noProof/>
                <w:szCs w:val="24"/>
              </w:rPr>
            </w:pP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szCs w:val="24"/>
              </w:rPr>
              <w:t>Review of the Energy Efficiency Directive</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szCs w:val="24"/>
              </w:rPr>
              <w:t>Commission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r>
              <w:rPr>
                <w:noProof/>
                <w:szCs w:val="24"/>
              </w:rPr>
              <w:t>2016</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i/>
                <w:noProof/>
                <w:szCs w:val="24"/>
              </w:rPr>
            </w:pPr>
            <w:r>
              <w:rPr>
                <w:i/>
                <w:noProof/>
                <w:szCs w:val="24"/>
              </w:rPr>
              <w:t>Legislative proposals adopted on 30 November 2016 (COM(2016) 761)</w:t>
            </w:r>
          </w:p>
          <w:p>
            <w:pPr>
              <w:pStyle w:val="Text1"/>
              <w:ind w:left="33"/>
              <w:jc w:val="left"/>
              <w:rPr>
                <w:noProof/>
                <w:szCs w:val="24"/>
              </w:rPr>
            </w:pPr>
            <w:r>
              <w:rPr>
                <w:i/>
                <w:noProof/>
                <w:szCs w:val="24"/>
              </w:rPr>
              <w:t>Staff Working Document on good practices in energy efficiency (SWD(2016) 404</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szCs w:val="24"/>
              </w:rPr>
              <w:t>Review of the Directive on Energy Performance of Buildings including Smart Finance for Smart Buildings initiative</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szCs w:val="24"/>
              </w:rPr>
              <w:t>Commission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r>
              <w:rPr>
                <w:noProof/>
                <w:szCs w:val="24"/>
              </w:rPr>
              <w:t>2016</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i/>
                <w:noProof/>
                <w:szCs w:val="24"/>
              </w:rPr>
            </w:pPr>
            <w:r>
              <w:rPr>
                <w:i/>
                <w:noProof/>
                <w:szCs w:val="24"/>
              </w:rPr>
              <w:t>Legislative proposals adopted on 30 November 2016 (COM(2016) 765;</w:t>
            </w:r>
          </w:p>
          <w:p>
            <w:pPr>
              <w:pStyle w:val="Text1"/>
              <w:ind w:left="33"/>
              <w:jc w:val="left"/>
              <w:rPr>
                <w:noProof/>
                <w:szCs w:val="24"/>
              </w:rPr>
            </w:pPr>
            <w:r>
              <w:rPr>
                <w:i/>
                <w:noProof/>
                <w:szCs w:val="24"/>
              </w:rPr>
              <w:t>Smart financing for smart buildings is part of the Buildings initiative (Annex 1 of Communication COM(2016) 860)</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szCs w:val="24"/>
              </w:rPr>
              <w:t>Review of the energy efficiency framework for products (Energy Labelling Directive and Ecodesign Directives)</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szCs w:val="24"/>
              </w:rPr>
              <w:t>Commission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r>
              <w:rPr>
                <w:noProof/>
                <w:szCs w:val="24"/>
              </w:rPr>
              <w:t>2015</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i/>
                <w:noProof/>
                <w:szCs w:val="24"/>
              </w:rPr>
            </w:pPr>
            <w:r>
              <w:rPr>
                <w:i/>
                <w:noProof/>
                <w:szCs w:val="24"/>
              </w:rPr>
              <w:t>Energy Labelling Regulation proposal adopted on 15 July 2015 (COM(2015)341)</w:t>
            </w:r>
          </w:p>
          <w:p>
            <w:pPr>
              <w:pStyle w:val="Text1"/>
              <w:ind w:left="33"/>
              <w:jc w:val="left"/>
              <w:rPr>
                <w:noProof/>
                <w:szCs w:val="24"/>
              </w:rPr>
            </w:pPr>
            <w:r>
              <w:rPr>
                <w:noProof/>
                <w:szCs w:val="24"/>
              </w:rPr>
              <w:t>Agreement has been reached in the trilogue on all substantive issues; open procedural issues expected to be resolved in 1</w:t>
            </w:r>
            <w:r>
              <w:rPr>
                <w:noProof/>
                <w:szCs w:val="24"/>
                <w:vertAlign w:val="superscript"/>
              </w:rPr>
              <w:t>st</w:t>
            </w:r>
            <w:r>
              <w:rPr>
                <w:noProof/>
                <w:szCs w:val="24"/>
              </w:rPr>
              <w:t xml:space="preserve"> half of 2017</w:t>
            </w:r>
          </w:p>
          <w:p>
            <w:pPr>
              <w:pStyle w:val="Text1"/>
              <w:ind w:left="33"/>
              <w:jc w:val="left"/>
              <w:rPr>
                <w:i/>
                <w:noProof/>
                <w:szCs w:val="24"/>
              </w:rPr>
            </w:pPr>
            <w:r>
              <w:rPr>
                <w:i/>
                <w:noProof/>
                <w:szCs w:val="24"/>
              </w:rPr>
              <w:t xml:space="preserve">Ecodesign work plan adopted on 30 November 2016 (COM(2016) 773); 8 measures adopted at the same time </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szCs w:val="24"/>
              </w:rPr>
              <w:t>Strengthening the targeted use of financial instruments to support investments in energy efficiency</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szCs w:val="24"/>
              </w:rPr>
              <w:t>Commission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r>
              <w:rPr>
                <w:noProof/>
                <w:szCs w:val="24"/>
              </w:rPr>
              <w:t>2015-</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i/>
                <w:noProof/>
                <w:szCs w:val="24"/>
              </w:rPr>
            </w:pPr>
            <w:r>
              <w:rPr>
                <w:i/>
                <w:noProof/>
                <w:szCs w:val="24"/>
              </w:rPr>
              <w:t>Communication "Europe investing again – Taking stock of the Investment Plan for Europe and next steps" adopted on 1 June 2016 (COM(2016) 359).</w:t>
            </w:r>
          </w:p>
          <w:p>
            <w:pPr>
              <w:pStyle w:val="Text1"/>
              <w:ind w:left="33"/>
              <w:jc w:val="left"/>
              <w:rPr>
                <w:i/>
                <w:noProof/>
                <w:szCs w:val="24"/>
              </w:rPr>
            </w:pPr>
            <w:r>
              <w:rPr>
                <w:i/>
                <w:noProof/>
                <w:szCs w:val="24"/>
              </w:rPr>
              <w:t>Communication "Strengthening European Investments for jobs and growth: Towards a second phase of the European Fund for Strategic Investments and a new European External Investment Plan" adopted on 14 September 2016 (COM(2016) 581)</w:t>
            </w:r>
          </w:p>
          <w:p>
            <w:pPr>
              <w:pStyle w:val="Text1"/>
              <w:ind w:left="33"/>
              <w:jc w:val="left"/>
              <w:rPr>
                <w:i/>
                <w:noProof/>
                <w:szCs w:val="24"/>
              </w:rPr>
            </w:pPr>
            <w:r>
              <w:rPr>
                <w:i/>
                <w:noProof/>
                <w:szCs w:val="24"/>
              </w:rPr>
              <w:t>Legislative proposal on the extension of the European Fund for Strategic Investment (EFSI) Regulation (COM(2016) 597)</w:t>
            </w:r>
          </w:p>
          <w:p>
            <w:pPr>
              <w:pStyle w:val="Text1"/>
              <w:ind w:left="33"/>
              <w:jc w:val="left"/>
              <w:rPr>
                <w:i/>
                <w:noProof/>
                <w:szCs w:val="24"/>
              </w:rPr>
            </w:pPr>
            <w:r>
              <w:rPr>
                <w:i/>
                <w:noProof/>
                <w:szCs w:val="24"/>
              </w:rPr>
              <w:t>Legislative proposal on the revision of the Financial Regulation and a number of sectoral regulations for further simplification and flexibility, including for more effective use of financial instruments (COM(2016) 605)</w:t>
            </w:r>
          </w:p>
          <w:p>
            <w:pPr>
              <w:pStyle w:val="Text1"/>
              <w:ind w:left="33"/>
              <w:jc w:val="left"/>
              <w:rPr>
                <w:noProof/>
                <w:szCs w:val="24"/>
              </w:rPr>
            </w:pPr>
            <w:r>
              <w:rPr>
                <w:i/>
                <w:noProof/>
                <w:szCs w:val="24"/>
              </w:rPr>
              <w:t>See also the enabling actions, including the buildings initiative, included in the 'Clean Energy for all Europeans' package of 30 November 2016 (COM(2016) 860, Annex 1)</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b/>
                <w:noProof/>
                <w:szCs w:val="24"/>
              </w:rPr>
              <w:t>Heating and Cooling</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noProof/>
                <w:szCs w:val="24"/>
              </w:rPr>
            </w:pP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szCs w:val="24"/>
              </w:rPr>
              <w:t>EU strategy for Heating and Cooling – the contribution from heating and cooling in realising the EU's energy and climate objectives</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szCs w:val="24"/>
              </w:rPr>
              <w:t>Commission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r>
              <w:rPr>
                <w:noProof/>
                <w:szCs w:val="24"/>
              </w:rPr>
              <w:t xml:space="preserve">2015 </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i/>
                <w:noProof/>
                <w:szCs w:val="24"/>
              </w:rPr>
            </w:pPr>
            <w:r>
              <w:rPr>
                <w:i/>
                <w:noProof/>
                <w:szCs w:val="24"/>
              </w:rPr>
              <w:t>Communication adopted on 16 February 2016 (COM(2016)51)</w:t>
            </w:r>
          </w:p>
          <w:p>
            <w:pPr>
              <w:pStyle w:val="Text1"/>
              <w:ind w:left="33"/>
              <w:jc w:val="left"/>
              <w:rPr>
                <w:noProof/>
                <w:szCs w:val="24"/>
              </w:rPr>
            </w:pPr>
            <w:r>
              <w:rPr>
                <w:i/>
                <w:noProof/>
                <w:szCs w:val="24"/>
              </w:rPr>
              <w:t>Covered in the legislative proposals which were part of the 'Clean Energy for all Europeans' package of 30 November 2016</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b/>
                <w:noProof/>
                <w:szCs w:val="24"/>
              </w:rPr>
              <w:t>External Energy and Climate Policy</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spacing w:after="200"/>
              <w:ind w:left="33"/>
              <w:jc w:val="left"/>
              <w:rPr>
                <w:noProof/>
                <w:szCs w:val="24"/>
              </w:rPr>
            </w:pP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szCs w:val="24"/>
              </w:rPr>
              <w:t>EU Energy and Climate policy diplomacy</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szCs w:val="24"/>
              </w:rPr>
              <w:t xml:space="preserve">Commission </w:t>
            </w:r>
          </w:p>
          <w:p>
            <w:pPr>
              <w:pStyle w:val="Text1"/>
              <w:spacing w:after="120"/>
              <w:ind w:left="55"/>
              <w:jc w:val="left"/>
              <w:rPr>
                <w:noProof/>
                <w:szCs w:val="24"/>
              </w:rPr>
            </w:pPr>
            <w:r>
              <w:rPr>
                <w:noProof/>
                <w:szCs w:val="24"/>
              </w:rPr>
              <w:t>HR/VP</w:t>
            </w:r>
          </w:p>
          <w:p>
            <w:pPr>
              <w:pStyle w:val="Text1"/>
              <w:spacing w:after="120"/>
              <w:ind w:left="55"/>
              <w:jc w:val="left"/>
              <w:rPr>
                <w:noProof/>
                <w:szCs w:val="24"/>
              </w:rPr>
            </w:pPr>
            <w:r>
              <w:rPr>
                <w:noProof/>
                <w:szCs w:val="24"/>
              </w:rPr>
              <w:t>Member States</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szCs w:val="24"/>
              </w:rPr>
              <w:t>2015</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2976" w:type="dxa"/>
            <w:tcBorders>
              <w:top w:val="single" w:sz="4" w:space="0" w:color="auto"/>
              <w:left w:val="single" w:sz="4" w:space="0" w:color="auto"/>
              <w:bottom w:val="single" w:sz="4" w:space="0" w:color="auto"/>
              <w:right w:val="single" w:sz="4" w:space="0" w:color="auto"/>
            </w:tcBorders>
          </w:tcPr>
          <w:p>
            <w:pPr>
              <w:pStyle w:val="Text1"/>
              <w:spacing w:after="200"/>
              <w:ind w:left="33"/>
              <w:jc w:val="left"/>
              <w:rPr>
                <w:i/>
                <w:noProof/>
                <w:szCs w:val="24"/>
              </w:rPr>
            </w:pPr>
            <w:r>
              <w:rPr>
                <w:i/>
                <w:noProof/>
                <w:szCs w:val="24"/>
              </w:rPr>
              <w:t>Council conclusions on climate diplomacy adopted by the Foreign Affairs Council on 20 July 2015 (11029/15)</w:t>
            </w:r>
          </w:p>
          <w:p>
            <w:pPr>
              <w:pStyle w:val="Text1"/>
              <w:spacing w:after="200"/>
              <w:ind w:left="33"/>
              <w:jc w:val="left"/>
              <w:rPr>
                <w:i/>
                <w:noProof/>
                <w:szCs w:val="24"/>
              </w:rPr>
            </w:pPr>
            <w:r>
              <w:rPr>
                <w:i/>
                <w:noProof/>
                <w:szCs w:val="24"/>
              </w:rPr>
              <w:t>Council conclusions on energy diplomacy adopted by the Foreign Affairs Council on 20 July 2015 (10995/15)</w:t>
            </w:r>
          </w:p>
          <w:p>
            <w:pPr>
              <w:pStyle w:val="Text1"/>
              <w:spacing w:after="200"/>
              <w:ind w:left="33"/>
              <w:jc w:val="left"/>
              <w:rPr>
                <w:i/>
                <w:noProof/>
                <w:szCs w:val="24"/>
              </w:rPr>
            </w:pPr>
            <w:r>
              <w:rPr>
                <w:i/>
                <w:noProof/>
                <w:szCs w:val="24"/>
              </w:rPr>
              <w:t>Council conclusions on European climate diplomacy after COP21 adopted by the Foreign Affairs Council on 15 February 2016 (6061/16)</w:t>
            </w:r>
          </w:p>
          <w:p>
            <w:pPr>
              <w:pStyle w:val="Text1"/>
              <w:spacing w:after="200"/>
              <w:ind w:left="33"/>
              <w:jc w:val="left"/>
              <w:rPr>
                <w:i/>
                <w:noProof/>
                <w:szCs w:val="24"/>
              </w:rPr>
            </w:pPr>
            <w:r>
              <w:rPr>
                <w:i/>
                <w:noProof/>
                <w:szCs w:val="24"/>
              </w:rPr>
              <w:t>Council conclusions on Energy and Development adopted by the Foreign Affairs Council (Development) on 28 November 2016 (14839/16)</w:t>
            </w:r>
          </w:p>
          <w:p>
            <w:pPr>
              <w:pStyle w:val="Text1"/>
              <w:spacing w:after="200"/>
              <w:ind w:left="33"/>
              <w:jc w:val="left"/>
              <w:rPr>
                <w:noProof/>
                <w:szCs w:val="24"/>
              </w:rPr>
            </w:pPr>
            <w:r>
              <w:rPr>
                <w:noProof/>
                <w:szCs w:val="24"/>
              </w:rPr>
              <w:t>Council Conclusions on strengthening the synergies between EU energy and climate diplomacies – Planned for the Foreign Affairs Council on 6 March 2017</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szCs w:val="24"/>
              </w:rPr>
              <w:t>Review of the Decision on information exchange mechanism with regard to intergovernmental agreements between Member States and third countries in the field of energy</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szCs w:val="24"/>
              </w:rPr>
              <w:t>Commission</w:t>
            </w:r>
          </w:p>
          <w:p>
            <w:pPr>
              <w:pStyle w:val="Text1"/>
              <w:spacing w:after="120"/>
              <w:ind w:left="55"/>
              <w:jc w:val="left"/>
              <w:rPr>
                <w:noProof/>
                <w:szCs w:val="24"/>
              </w:rPr>
            </w:pPr>
            <w:r>
              <w:rPr>
                <w:noProof/>
                <w:szCs w:val="24"/>
              </w:rPr>
              <w:t>HR/VP</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szCs w:val="24"/>
              </w:rPr>
              <w:t>2016</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1"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199"/>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175"/>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spacing w:after="200"/>
              <w:ind w:left="33"/>
              <w:jc w:val="left"/>
              <w:rPr>
                <w:i/>
                <w:noProof/>
                <w:szCs w:val="24"/>
              </w:rPr>
            </w:pPr>
            <w:r>
              <w:rPr>
                <w:i/>
                <w:noProof/>
                <w:szCs w:val="24"/>
              </w:rPr>
              <w:t>Communication adopted on 16 February 2016 (COM(2016)53)</w:t>
            </w:r>
          </w:p>
          <w:p>
            <w:pPr>
              <w:pStyle w:val="Text1"/>
              <w:spacing w:after="200"/>
              <w:ind w:left="33"/>
              <w:jc w:val="left"/>
              <w:rPr>
                <w:noProof/>
                <w:szCs w:val="24"/>
              </w:rPr>
            </w:pPr>
            <w:r>
              <w:rPr>
                <w:i/>
                <w:noProof/>
                <w:szCs w:val="24"/>
              </w:rPr>
              <w:t>Political compromise agreed in trilogue formation in December 2016</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szCs w:val="24"/>
              </w:rPr>
              <w:t>New and strengthened energy dialogues with countries of importance for EU energy policy</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szCs w:val="24"/>
              </w:rPr>
              <w:t>Commission</w:t>
            </w:r>
          </w:p>
          <w:p>
            <w:pPr>
              <w:pStyle w:val="Text1"/>
              <w:spacing w:after="120"/>
              <w:ind w:left="55"/>
              <w:jc w:val="left"/>
              <w:rPr>
                <w:noProof/>
                <w:szCs w:val="24"/>
              </w:rPr>
            </w:pPr>
            <w:r>
              <w:rPr>
                <w:noProof/>
                <w:szCs w:val="24"/>
              </w:rPr>
              <w:t>HR/VP</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szCs w:val="24"/>
              </w:rPr>
              <w:t>2015 -</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2976" w:type="dxa"/>
            <w:tcBorders>
              <w:top w:val="single" w:sz="4" w:space="0" w:color="auto"/>
              <w:left w:val="single" w:sz="4" w:space="0" w:color="auto"/>
              <w:bottom w:val="single" w:sz="4" w:space="0" w:color="auto"/>
              <w:right w:val="single" w:sz="4" w:space="0" w:color="auto"/>
            </w:tcBorders>
          </w:tcPr>
          <w:p>
            <w:pPr>
              <w:pStyle w:val="Text1"/>
              <w:spacing w:after="200"/>
              <w:ind w:left="33"/>
              <w:jc w:val="left"/>
              <w:rPr>
                <w:noProof/>
                <w:szCs w:val="24"/>
              </w:rPr>
            </w:pPr>
            <w:r>
              <w:rPr>
                <w:noProof/>
                <w:szCs w:val="24"/>
              </w:rPr>
              <w:t>On-going</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szCs w:val="24"/>
              </w:rPr>
              <w:t>Memorandum of Understanding on an upgraded strategic partnership with Ukraine</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szCs w:val="24"/>
              </w:rPr>
              <w:t>Commission</w:t>
            </w:r>
          </w:p>
          <w:p>
            <w:pPr>
              <w:pStyle w:val="Text1"/>
              <w:spacing w:after="120"/>
              <w:ind w:left="55"/>
              <w:jc w:val="left"/>
              <w:rPr>
                <w:noProof/>
                <w:szCs w:val="24"/>
              </w:rPr>
            </w:pPr>
            <w:r>
              <w:rPr>
                <w:noProof/>
                <w:szCs w:val="24"/>
              </w:rPr>
              <w:t>HR/VP</w:t>
            </w:r>
          </w:p>
          <w:p>
            <w:pPr>
              <w:pStyle w:val="Text1"/>
              <w:spacing w:after="120"/>
              <w:ind w:left="55"/>
              <w:jc w:val="left"/>
              <w:rPr>
                <w:noProof/>
                <w:szCs w:val="24"/>
              </w:rPr>
            </w:pPr>
            <w:r>
              <w:rPr>
                <w:noProof/>
                <w:szCs w:val="24"/>
              </w:rPr>
              <w:t>European Parliament</w:t>
            </w:r>
          </w:p>
          <w:p>
            <w:pPr>
              <w:pStyle w:val="Text1"/>
              <w:spacing w:after="120"/>
              <w:ind w:left="55"/>
              <w:jc w:val="left"/>
              <w:rPr>
                <w:noProof/>
                <w:szCs w:val="24"/>
              </w:rPr>
            </w:pPr>
            <w:r>
              <w:rPr>
                <w:noProof/>
                <w:szCs w:val="24"/>
              </w:rPr>
              <w:t>Council</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szCs w:val="24"/>
              </w:rPr>
              <w:t>2015</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1"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spacing w:after="200"/>
              <w:ind w:left="33"/>
              <w:jc w:val="left"/>
              <w:rPr>
                <w:i/>
                <w:noProof/>
                <w:szCs w:val="24"/>
              </w:rPr>
            </w:pPr>
            <w:r>
              <w:rPr>
                <w:i/>
                <w:noProof/>
                <w:szCs w:val="24"/>
              </w:rPr>
              <w:t>Signed during the EU-Ukraine Summit on 24 November 2016</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szCs w:val="24"/>
              </w:rPr>
              <w:t>Trilateral Memorandum of Understanding on the Trans-Caspian pipelines with Azerbaijan and Turkmenistan</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szCs w:val="24"/>
              </w:rPr>
              <w:t>Commission</w:t>
            </w:r>
          </w:p>
          <w:p>
            <w:pPr>
              <w:pStyle w:val="Text1"/>
              <w:spacing w:after="120"/>
              <w:ind w:left="55"/>
              <w:jc w:val="left"/>
              <w:rPr>
                <w:noProof/>
                <w:szCs w:val="24"/>
              </w:rPr>
            </w:pPr>
            <w:r>
              <w:rPr>
                <w:noProof/>
                <w:szCs w:val="24"/>
              </w:rPr>
              <w:t>HR/VP</w:t>
            </w:r>
          </w:p>
          <w:p>
            <w:pPr>
              <w:pStyle w:val="Text1"/>
              <w:spacing w:after="120"/>
              <w:ind w:left="55"/>
              <w:jc w:val="left"/>
              <w:rPr>
                <w:noProof/>
                <w:szCs w:val="24"/>
              </w:rPr>
            </w:pPr>
            <w:r>
              <w:rPr>
                <w:noProof/>
                <w:szCs w:val="24"/>
              </w:rPr>
              <w:t>European Parliament</w:t>
            </w:r>
          </w:p>
          <w:p>
            <w:pPr>
              <w:pStyle w:val="Text1"/>
              <w:spacing w:after="120"/>
              <w:ind w:left="55"/>
              <w:jc w:val="left"/>
              <w:rPr>
                <w:noProof/>
                <w:szCs w:val="24"/>
              </w:rPr>
            </w:pPr>
            <w:r>
              <w:rPr>
                <w:noProof/>
                <w:szCs w:val="24"/>
              </w:rPr>
              <w:t>Council</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szCs w:val="24"/>
              </w:rPr>
              <w:t>2015</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1"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spacing w:after="200"/>
              <w:ind w:left="33"/>
              <w:jc w:val="left"/>
              <w:rPr>
                <w:i/>
                <w:noProof/>
                <w:szCs w:val="24"/>
              </w:rPr>
            </w:pPr>
            <w:r>
              <w:rPr>
                <w:i/>
                <w:noProof/>
                <w:szCs w:val="24"/>
              </w:rPr>
              <w:t>Ashgabat Declaration by Turkmenistan, Turkey, Azerbaijan and Georgia signed on 1 May 2015; no further negotiations take place on a trilateral MoU</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szCs w:val="24"/>
              </w:rPr>
              <w:t>Initiative to strengthen the Energy Community</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szCs w:val="24"/>
              </w:rPr>
              <w:t>Commission</w:t>
            </w:r>
          </w:p>
          <w:p>
            <w:pPr>
              <w:pStyle w:val="Text1"/>
              <w:spacing w:after="120"/>
              <w:ind w:left="55"/>
              <w:jc w:val="left"/>
              <w:rPr>
                <w:noProof/>
                <w:szCs w:val="24"/>
              </w:rPr>
            </w:pPr>
            <w:r>
              <w:rPr>
                <w:noProof/>
                <w:szCs w:val="24"/>
              </w:rPr>
              <w:t>Energy Community Contracting Parties</w:t>
            </w:r>
          </w:p>
          <w:p>
            <w:pPr>
              <w:pStyle w:val="Text1"/>
              <w:spacing w:after="120"/>
              <w:ind w:left="55"/>
              <w:jc w:val="left"/>
              <w:rPr>
                <w:noProof/>
                <w:szCs w:val="24"/>
              </w:rPr>
            </w:pPr>
            <w:r>
              <w:rPr>
                <w:noProof/>
                <w:szCs w:val="24"/>
              </w:rPr>
              <w:t>HR/VP</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r>
              <w:rPr>
                <w:noProof/>
                <w:szCs w:val="24"/>
              </w:rPr>
              <w:t>2015</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1"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spacing w:after="200"/>
              <w:ind w:left="33"/>
              <w:jc w:val="left"/>
              <w:rPr>
                <w:i/>
                <w:noProof/>
                <w:szCs w:val="24"/>
              </w:rPr>
            </w:pPr>
            <w:r>
              <w:rPr>
                <w:i/>
                <w:noProof/>
                <w:szCs w:val="24"/>
              </w:rPr>
              <w:t>Key decisions taken at the Ministerial Council of the Energy Community in October 2015 and September 2016</w:t>
            </w:r>
          </w:p>
          <w:p>
            <w:pPr>
              <w:pStyle w:val="Text1"/>
              <w:spacing w:after="200"/>
              <w:ind w:left="33"/>
              <w:jc w:val="left"/>
              <w:rPr>
                <w:noProof/>
                <w:szCs w:val="24"/>
              </w:rPr>
            </w:pPr>
            <w:r>
              <w:rPr>
                <w:noProof/>
                <w:szCs w:val="24"/>
              </w:rPr>
              <w:t>Joint Act on security of supply to follow</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szCs w:val="24"/>
              </w:rPr>
              <w:t>Strengthen Euromed cooperation on gas, electricity, energy efficiency and renewables</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szCs w:val="24"/>
              </w:rPr>
              <w:t>Commission</w:t>
            </w:r>
          </w:p>
          <w:p>
            <w:pPr>
              <w:pStyle w:val="Text1"/>
              <w:spacing w:after="120"/>
              <w:ind w:left="55"/>
              <w:jc w:val="left"/>
              <w:rPr>
                <w:noProof/>
                <w:szCs w:val="24"/>
              </w:rPr>
            </w:pPr>
            <w:r>
              <w:rPr>
                <w:noProof/>
                <w:szCs w:val="24"/>
              </w:rPr>
              <w:t>HR/VP</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r>
              <w:rPr>
                <w:noProof/>
                <w:szCs w:val="24"/>
              </w:rPr>
              <w:t>2015-2016</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1"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spacing w:after="200"/>
              <w:ind w:left="33"/>
              <w:jc w:val="left"/>
              <w:rPr>
                <w:i/>
                <w:noProof/>
                <w:szCs w:val="24"/>
              </w:rPr>
            </w:pPr>
            <w:r>
              <w:rPr>
                <w:i/>
                <w:noProof/>
                <w:szCs w:val="24"/>
              </w:rPr>
              <w:t>Gas platform launched in June 2015</w:t>
            </w:r>
          </w:p>
          <w:p>
            <w:pPr>
              <w:pStyle w:val="Text1"/>
              <w:spacing w:after="200"/>
              <w:ind w:left="33"/>
              <w:jc w:val="left"/>
              <w:rPr>
                <w:i/>
                <w:noProof/>
                <w:szCs w:val="24"/>
              </w:rPr>
            </w:pPr>
            <w:r>
              <w:rPr>
                <w:i/>
                <w:noProof/>
                <w:szCs w:val="24"/>
              </w:rPr>
              <w:t>Regional electricity market platform launched in October 2015</w:t>
            </w:r>
          </w:p>
          <w:p>
            <w:pPr>
              <w:pStyle w:val="Text1"/>
              <w:spacing w:after="200"/>
              <w:ind w:left="33"/>
              <w:jc w:val="left"/>
              <w:rPr>
                <w:i/>
                <w:noProof/>
                <w:szCs w:val="24"/>
              </w:rPr>
            </w:pPr>
            <w:r>
              <w:rPr>
                <w:i/>
                <w:noProof/>
                <w:szCs w:val="24"/>
              </w:rPr>
              <w:t>Renewables and energy efficiency platform launched in 2016</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120"/>
              <w:jc w:val="left"/>
              <w:rPr>
                <w:noProof/>
                <w:szCs w:val="24"/>
              </w:rPr>
            </w:pPr>
            <w:r>
              <w:rPr>
                <w:noProof/>
                <w:szCs w:val="24"/>
              </w:rPr>
              <w:t>Adoption and signature of a new International Energy Charter on behalf of the EU and EURATOM</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szCs w:val="24"/>
              </w:rPr>
              <w:t>Commission</w:t>
            </w:r>
          </w:p>
          <w:p>
            <w:pPr>
              <w:pStyle w:val="Text1"/>
              <w:spacing w:after="120"/>
              <w:ind w:left="55"/>
              <w:jc w:val="left"/>
              <w:rPr>
                <w:noProof/>
                <w:szCs w:val="24"/>
              </w:rPr>
            </w:pPr>
            <w:r>
              <w:rPr>
                <w:noProof/>
                <w:szCs w:val="24"/>
              </w:rPr>
              <w:t>HR/VP</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r>
              <w:rPr>
                <w:noProof/>
                <w:szCs w:val="24"/>
              </w:rPr>
              <w:t>2015</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1"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spacing w:after="200"/>
              <w:ind w:left="33"/>
              <w:jc w:val="left"/>
              <w:rPr>
                <w:i/>
                <w:noProof/>
                <w:szCs w:val="24"/>
              </w:rPr>
            </w:pPr>
            <w:r>
              <w:rPr>
                <w:i/>
                <w:noProof/>
                <w:szCs w:val="24"/>
              </w:rPr>
              <w:t>The International Energy Charter was co-signed by the European Commission at the Conference on 20-21 May 2015 in The Hague.</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b/>
                <w:noProof/>
                <w:szCs w:val="24"/>
              </w:rPr>
              <w:t>Industrial competitiveness</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noProof/>
                <w:szCs w:val="24"/>
              </w:rPr>
            </w:pP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szCs w:val="24"/>
              </w:rPr>
              <w:t xml:space="preserve">A new European energy R&amp;I approach to accelerate energy system transformation, composed of </w:t>
            </w:r>
          </w:p>
          <w:p>
            <w:pPr>
              <w:pStyle w:val="Text1"/>
              <w:spacing w:after="200"/>
              <w:ind w:left="55"/>
              <w:jc w:val="left"/>
              <w:rPr>
                <w:noProof/>
                <w:szCs w:val="24"/>
              </w:rPr>
            </w:pPr>
            <w:r>
              <w:rPr>
                <w:noProof/>
                <w:szCs w:val="24"/>
              </w:rPr>
              <w:t>- an integrated Strategic Energy Technology (SET) Plan</w:t>
            </w:r>
          </w:p>
          <w:p>
            <w:pPr>
              <w:pStyle w:val="Text1"/>
              <w:spacing w:after="200"/>
              <w:ind w:left="55"/>
              <w:jc w:val="left"/>
              <w:rPr>
                <w:noProof/>
                <w:szCs w:val="24"/>
                <w:lang w:val="pt-PT"/>
              </w:rPr>
            </w:pPr>
            <w:r>
              <w:rPr>
                <w:noProof/>
                <w:szCs w:val="24"/>
                <w:lang w:val="pt-PT"/>
              </w:rPr>
              <w:t>- a strategic transport R&amp;I agenda</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szCs w:val="24"/>
              </w:rPr>
              <w:t>Commission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r>
              <w:rPr>
                <w:noProof/>
                <w:szCs w:val="24"/>
              </w:rPr>
              <w:t>2015-2017</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i/>
                <w:noProof/>
                <w:szCs w:val="24"/>
              </w:rPr>
            </w:pPr>
            <w:r>
              <w:rPr>
                <w:i/>
                <w:noProof/>
                <w:szCs w:val="24"/>
              </w:rPr>
              <w:t>Communication on the Strategic Energy Technology (SET) Plan adopted on 15 September 2015 (C(2015)6317)</w:t>
            </w:r>
          </w:p>
          <w:p>
            <w:pPr>
              <w:pStyle w:val="Text1"/>
              <w:ind w:left="33"/>
              <w:jc w:val="left"/>
              <w:rPr>
                <w:i/>
                <w:noProof/>
                <w:szCs w:val="24"/>
              </w:rPr>
            </w:pPr>
            <w:r>
              <w:rPr>
                <w:i/>
                <w:noProof/>
                <w:szCs w:val="24"/>
              </w:rPr>
              <w:t>Smart Specialisation Platform on Energy launched in 2015</w:t>
            </w:r>
          </w:p>
          <w:p>
            <w:pPr>
              <w:pStyle w:val="Text1"/>
              <w:ind w:left="33"/>
              <w:jc w:val="left"/>
              <w:rPr>
                <w:i/>
                <w:noProof/>
                <w:szCs w:val="24"/>
              </w:rPr>
            </w:pPr>
            <w:r>
              <w:rPr>
                <w:i/>
                <w:noProof/>
                <w:szCs w:val="24"/>
              </w:rPr>
              <w:t>Communication "Accelerating Clean Energy Innovation" adopted on 30 November 2016 (COM(2016) 763)</w:t>
            </w:r>
          </w:p>
          <w:p>
            <w:pPr>
              <w:pStyle w:val="Text1"/>
              <w:ind w:left="33"/>
              <w:jc w:val="left"/>
              <w:rPr>
                <w:noProof/>
                <w:szCs w:val="24"/>
              </w:rPr>
            </w:pPr>
            <w:r>
              <w:rPr>
                <w:noProof/>
                <w:szCs w:val="24"/>
              </w:rPr>
              <w:t>A strategic transport research &amp; innovation agenda is planned for 2017</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lang w:val="en-US"/>
              </w:rPr>
            </w:pPr>
            <w:r>
              <w:rPr>
                <w:noProof/>
                <w:szCs w:val="24"/>
                <w:lang w:val="en-US"/>
              </w:rPr>
              <w:t>Analysis of energy prices and costs (including taxes and subsidies)</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szCs w:val="24"/>
              </w:rPr>
              <w:t>Commission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r>
              <w:rPr>
                <w:noProof/>
                <w:szCs w:val="24"/>
              </w:rPr>
              <w:t>2016 and every 2 years thereafter</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noProof/>
                <w:szCs w:val="24"/>
              </w:rPr>
            </w:pPr>
            <w:r>
              <w:rPr>
                <w:i/>
                <w:noProof/>
                <w:szCs w:val="24"/>
              </w:rPr>
              <w:t>Report adopted on 30 November 2016 (COM(2016) 769)</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szCs w:val="24"/>
              </w:rPr>
              <w:t>Initiative on EU global technology and innovation leadership on energy and climate to boost growth and jobs</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szCs w:val="24"/>
              </w:rPr>
              <w:t>Commission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r>
              <w:rPr>
                <w:noProof/>
                <w:szCs w:val="24"/>
              </w:rPr>
              <w:t>2015-2016</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noProof/>
                <w:szCs w:val="24"/>
              </w:rPr>
            </w:pPr>
            <w:r>
              <w:rPr>
                <w:noProof/>
                <w:szCs w:val="24"/>
              </w:rPr>
              <w:t>Linked to the acceleration of clean energy innovation (see above)</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szCs w:val="24"/>
              </w:rPr>
              <w:t>Enhanced trade policy to facilitate export of EU technologies</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szCs w:val="24"/>
              </w:rPr>
              <w:t>Commission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r>
              <w:rPr>
                <w:noProof/>
                <w:szCs w:val="24"/>
              </w:rPr>
              <w:t>2015-2019</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noProof/>
                <w:szCs w:val="24"/>
              </w:rPr>
            </w:pPr>
            <w:r>
              <w:rPr>
                <w:noProof/>
                <w:szCs w:val="24"/>
              </w:rPr>
              <w:t>On-going</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lang w:val="en-US"/>
              </w:rPr>
            </w:pPr>
            <w:r>
              <w:rPr>
                <w:b/>
                <w:noProof/>
                <w:szCs w:val="24"/>
              </w:rPr>
              <w:t>Cross cutting measures</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252"/>
              <w:jc w:val="left"/>
              <w:rPr>
                <w:noProof/>
                <w:szCs w:val="24"/>
              </w:rPr>
            </w:pP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noProof/>
                <w:szCs w:val="24"/>
              </w:rPr>
            </w:pP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lang w:val="en-US"/>
              </w:rPr>
            </w:pPr>
            <w:r>
              <w:rPr>
                <w:noProof/>
                <w:szCs w:val="24"/>
                <w:lang w:val="en-US"/>
              </w:rPr>
              <w:t xml:space="preserve">Review of the Guidelines on State aid for environmental protection and energy </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szCs w:val="24"/>
              </w:rPr>
              <w:t>Commission</w:t>
            </w:r>
            <w:r>
              <w:rPr>
                <w:noProof/>
                <w:szCs w:val="24"/>
              </w:rPr>
              <w:tab/>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252"/>
              <w:jc w:val="left"/>
              <w:rPr>
                <w:noProof/>
                <w:szCs w:val="24"/>
              </w:rPr>
            </w:pPr>
            <w:r>
              <w:rPr>
                <w:noProof/>
                <w:szCs w:val="24"/>
              </w:rPr>
              <w:t>2017-2019</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noProof/>
                <w:szCs w:val="24"/>
              </w:rPr>
            </w:pP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szCs w:val="24"/>
              </w:rPr>
              <w:t>Report on the European Energy Security Strategy; including a platform and roadmap for Euromed and strategies for LNG, energy storage, and the Southern gas corridor</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szCs w:val="24"/>
              </w:rPr>
              <w:t>Commission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252"/>
              <w:jc w:val="left"/>
              <w:rPr>
                <w:noProof/>
                <w:szCs w:val="24"/>
              </w:rPr>
            </w:pPr>
            <w:r>
              <w:rPr>
                <w:noProof/>
                <w:szCs w:val="24"/>
              </w:rPr>
              <w:t>2015-2016</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i/>
                <w:noProof/>
                <w:szCs w:val="24"/>
              </w:rPr>
            </w:pPr>
            <w:r>
              <w:rPr>
                <w:i/>
                <w:noProof/>
                <w:szCs w:val="24"/>
              </w:rPr>
              <w:t>Report (SWD) adopted on 18 November 2015 (SWD(2015)404)</w:t>
            </w:r>
          </w:p>
          <w:p>
            <w:pPr>
              <w:pStyle w:val="Text1"/>
              <w:ind w:left="33"/>
              <w:jc w:val="left"/>
              <w:rPr>
                <w:noProof/>
                <w:szCs w:val="24"/>
              </w:rPr>
            </w:pPr>
            <w:r>
              <w:rPr>
                <w:i/>
                <w:noProof/>
                <w:szCs w:val="24"/>
              </w:rPr>
              <w:t>Communication on LNG and storage adopted on 16 February 2016 (COM(2016)49)</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55"/>
              <w:jc w:val="left"/>
              <w:rPr>
                <w:noProof/>
                <w:szCs w:val="24"/>
              </w:rPr>
            </w:pPr>
            <w:r>
              <w:rPr>
                <w:noProof/>
                <w:szCs w:val="24"/>
              </w:rPr>
              <w:t xml:space="preserve">Data, analysis and intelligence for the Energy Union: initiative pooling and making easily accessible all relevant knowledge in the Commission and Member States </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szCs w:val="24"/>
              </w:rPr>
              <w:t>Commission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252"/>
              <w:jc w:val="left"/>
              <w:rPr>
                <w:noProof/>
                <w:szCs w:val="24"/>
              </w:rPr>
            </w:pPr>
            <w:r>
              <w:rPr>
                <w:noProof/>
                <w:szCs w:val="24"/>
              </w:rPr>
              <w:t>2016</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1"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noProof/>
                <w:szCs w:val="24"/>
              </w:rPr>
            </w:pPr>
            <w:r>
              <w:rPr>
                <w:noProof/>
                <w:szCs w:val="24"/>
              </w:rPr>
              <w:t>On-going</w:t>
            </w:r>
          </w:p>
          <w:p>
            <w:pPr>
              <w:pStyle w:val="Text1"/>
              <w:ind w:left="33"/>
              <w:jc w:val="left"/>
              <w:rPr>
                <w:i/>
                <w:noProof/>
                <w:szCs w:val="24"/>
              </w:rPr>
            </w:pPr>
            <w:r>
              <w:rPr>
                <w:i/>
                <w:noProof/>
                <w:szCs w:val="24"/>
              </w:rPr>
              <w:t>Regulation (EU) 2016/1952 on European statistics on natural gas and electricity prices adopted</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120"/>
              <w:jc w:val="left"/>
              <w:rPr>
                <w:noProof/>
                <w:szCs w:val="24"/>
              </w:rPr>
            </w:pPr>
            <w:r>
              <w:rPr>
                <w:b/>
                <w:noProof/>
                <w:szCs w:val="24"/>
              </w:rPr>
              <w:t>Nuclear</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p>
        </w:tc>
        <w:tc>
          <w:tcPr>
            <w:tcW w:w="709" w:type="dxa"/>
            <w:tcBorders>
              <w:top w:val="single" w:sz="4" w:space="0" w:color="auto"/>
              <w:left w:val="single" w:sz="4" w:space="0" w:color="auto"/>
              <w:bottom w:val="single" w:sz="4" w:space="0" w:color="auto"/>
              <w:right w:val="single" w:sz="4" w:space="0" w:color="auto"/>
            </w:tcBorders>
          </w:tcPr>
          <w:p>
            <w:pPr>
              <w:pStyle w:val="Text1"/>
              <w:ind w:left="121"/>
              <w:jc w:val="center"/>
              <w:rPr>
                <w:b/>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121"/>
              <w:jc w:val="center"/>
              <w:rPr>
                <w:b/>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199"/>
              <w:jc w:val="center"/>
              <w:rPr>
                <w:b/>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225"/>
              <w:jc w:val="center"/>
              <w:rPr>
                <w:b/>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ind w:left="175"/>
              <w:jc w:val="center"/>
              <w:rPr>
                <w:b/>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noProof/>
                <w:szCs w:val="24"/>
              </w:rPr>
            </w:pP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120"/>
              <w:jc w:val="left"/>
              <w:rPr>
                <w:noProof/>
                <w:szCs w:val="24"/>
              </w:rPr>
            </w:pPr>
            <w:r>
              <w:rPr>
                <w:noProof/>
                <w:szCs w:val="24"/>
              </w:rPr>
              <w:t>Council Regulation updating the information requirements of Article 41 of the Euratom Treaty in the light of the European Energy Security Strategy</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szCs w:val="24"/>
              </w:rPr>
              <w:t>Commission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r>
              <w:rPr>
                <w:noProof/>
                <w:szCs w:val="24"/>
              </w:rPr>
              <w:t>2015</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121"/>
              <w:jc w:val="center"/>
              <w:rPr>
                <w:noProof/>
                <w:szCs w:val="24"/>
              </w:rPr>
            </w:pPr>
            <w:r>
              <w:rPr>
                <w:noProof/>
                <w:szCs w:val="24"/>
              </w:rPr>
              <w:t>X</w:t>
            </w:r>
          </w:p>
        </w:tc>
        <w:tc>
          <w:tcPr>
            <w:tcW w:w="851"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noProof/>
                <w:szCs w:val="24"/>
              </w:rPr>
            </w:pPr>
            <w:r>
              <w:rPr>
                <w:noProof/>
                <w:szCs w:val="24"/>
              </w:rPr>
              <w:t>Planned for 2017</w:t>
            </w:r>
          </w:p>
        </w:tc>
      </w:tr>
      <w:tr>
        <w:tc>
          <w:tcPr>
            <w:tcW w:w="3652"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200"/>
              <w:ind w:left="120"/>
              <w:jc w:val="left"/>
              <w:rPr>
                <w:noProof/>
                <w:szCs w:val="24"/>
              </w:rPr>
            </w:pPr>
            <w:r>
              <w:rPr>
                <w:noProof/>
                <w:szCs w:val="24"/>
              </w:rPr>
              <w:t>Communication on a nuclear illustrative programme (PINC) pursuing Article 40 of the Euratom Treaty</w:t>
            </w:r>
          </w:p>
        </w:tc>
        <w:tc>
          <w:tcPr>
            <w:tcW w:w="2126" w:type="dxa"/>
            <w:tcBorders>
              <w:top w:val="single" w:sz="4" w:space="0" w:color="auto"/>
              <w:left w:val="single" w:sz="4" w:space="0" w:color="auto"/>
              <w:bottom w:val="single" w:sz="4" w:space="0" w:color="auto"/>
              <w:right w:val="single" w:sz="4" w:space="0" w:color="auto"/>
            </w:tcBorders>
            <w:shd w:val="clear" w:color="auto" w:fill="auto"/>
          </w:tcPr>
          <w:p>
            <w:pPr>
              <w:pStyle w:val="Text1"/>
              <w:spacing w:after="120"/>
              <w:ind w:left="55"/>
              <w:jc w:val="left"/>
              <w:rPr>
                <w:noProof/>
                <w:szCs w:val="24"/>
              </w:rPr>
            </w:pPr>
            <w:r>
              <w:rPr>
                <w:noProof/>
                <w:szCs w:val="24"/>
              </w:rPr>
              <w:t>Commission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pPr>
              <w:pStyle w:val="Text1"/>
              <w:ind w:left="55"/>
              <w:jc w:val="left"/>
              <w:rPr>
                <w:noProof/>
                <w:szCs w:val="24"/>
              </w:rPr>
            </w:pPr>
            <w:r>
              <w:rPr>
                <w:noProof/>
                <w:szCs w:val="24"/>
              </w:rPr>
              <w:t>2015</w:t>
            </w:r>
          </w:p>
        </w:tc>
        <w:tc>
          <w:tcPr>
            <w:tcW w:w="709"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0" w:type="dxa"/>
            <w:tcBorders>
              <w:top w:val="single" w:sz="4" w:space="0" w:color="auto"/>
              <w:left w:val="single" w:sz="4" w:space="0" w:color="auto"/>
              <w:bottom w:val="single" w:sz="4" w:space="0" w:color="auto"/>
              <w:right w:val="single" w:sz="4" w:space="0" w:color="auto"/>
            </w:tcBorders>
          </w:tcPr>
          <w:p>
            <w:pPr>
              <w:pStyle w:val="Text1"/>
              <w:ind w:left="121"/>
              <w:jc w:val="center"/>
              <w:rPr>
                <w:noProof/>
                <w:szCs w:val="24"/>
              </w:rPr>
            </w:pPr>
          </w:p>
        </w:tc>
        <w:tc>
          <w:tcPr>
            <w:tcW w:w="851"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850" w:type="dxa"/>
            <w:tcBorders>
              <w:top w:val="single" w:sz="4" w:space="0" w:color="auto"/>
              <w:left w:val="single" w:sz="4" w:space="0" w:color="auto"/>
              <w:bottom w:val="single" w:sz="4" w:space="0" w:color="auto"/>
              <w:right w:val="single" w:sz="4" w:space="0" w:color="auto"/>
            </w:tcBorders>
          </w:tcPr>
          <w:p>
            <w:pPr>
              <w:pStyle w:val="Text1"/>
              <w:ind w:left="0"/>
              <w:jc w:val="center"/>
              <w:rPr>
                <w:noProof/>
                <w:szCs w:val="24"/>
              </w:rPr>
            </w:pPr>
            <w:r>
              <w:rPr>
                <w:noProof/>
                <w:szCs w:val="24"/>
              </w:rPr>
              <w:t>X</w:t>
            </w:r>
          </w:p>
        </w:tc>
        <w:tc>
          <w:tcPr>
            <w:tcW w:w="851" w:type="dxa"/>
            <w:tcBorders>
              <w:top w:val="single" w:sz="4" w:space="0" w:color="auto"/>
              <w:left w:val="single" w:sz="4" w:space="0" w:color="auto"/>
              <w:bottom w:val="single" w:sz="4" w:space="0" w:color="auto"/>
              <w:right w:val="single" w:sz="4" w:space="0" w:color="auto"/>
            </w:tcBorders>
          </w:tcPr>
          <w:p>
            <w:pPr>
              <w:pStyle w:val="Text1"/>
              <w:jc w:val="center"/>
              <w:rPr>
                <w:noProof/>
                <w:szCs w:val="24"/>
              </w:rPr>
            </w:pPr>
          </w:p>
        </w:tc>
        <w:tc>
          <w:tcPr>
            <w:tcW w:w="2976" w:type="dxa"/>
            <w:tcBorders>
              <w:top w:val="single" w:sz="4" w:space="0" w:color="auto"/>
              <w:left w:val="single" w:sz="4" w:space="0" w:color="auto"/>
              <w:bottom w:val="single" w:sz="4" w:space="0" w:color="auto"/>
              <w:right w:val="single" w:sz="4" w:space="0" w:color="auto"/>
            </w:tcBorders>
          </w:tcPr>
          <w:p>
            <w:pPr>
              <w:pStyle w:val="Text1"/>
              <w:ind w:left="33"/>
              <w:jc w:val="left"/>
              <w:rPr>
                <w:i/>
                <w:noProof/>
                <w:szCs w:val="24"/>
              </w:rPr>
            </w:pPr>
            <w:r>
              <w:rPr>
                <w:i/>
                <w:noProof/>
                <w:szCs w:val="24"/>
              </w:rPr>
              <w:t>Communication adopted on 4 April 2016 for consultation of the European Economic and Social Committee (EESC) (COM(2016)177)</w:t>
            </w:r>
          </w:p>
          <w:p>
            <w:pPr>
              <w:pStyle w:val="Text1"/>
              <w:ind w:left="33"/>
              <w:jc w:val="left"/>
              <w:rPr>
                <w:noProof/>
                <w:szCs w:val="24"/>
              </w:rPr>
            </w:pPr>
            <w:r>
              <w:rPr>
                <w:noProof/>
                <w:szCs w:val="24"/>
              </w:rPr>
              <w:t xml:space="preserve">Final version, taking into account the opinion of the </w:t>
            </w:r>
            <w:r>
              <w:rPr>
                <w:i/>
                <w:noProof/>
                <w:szCs w:val="24"/>
              </w:rPr>
              <w:t>European Economic and Social Committee (</w:t>
            </w:r>
            <w:r>
              <w:rPr>
                <w:noProof/>
                <w:szCs w:val="24"/>
              </w:rPr>
              <w:t>EESC), is planned for adoption in 2017</w:t>
            </w:r>
          </w:p>
        </w:tc>
      </w:tr>
    </w:tbl>
    <w:p>
      <w:pPr>
        <w:rPr>
          <w:noProof/>
        </w:rPr>
      </w:pPr>
    </w:p>
    <w:sectPr>
      <w:headerReference w:type="even" r:id="rId15"/>
      <w:headerReference w:type="default" r:id="rId16"/>
      <w:footerReference w:type="even" r:id="rId17"/>
      <w:footerReference w:type="default" r:id="rId18"/>
      <w:headerReference w:type="first" r:id="rId19"/>
      <w:footerReference w:type="first" r:id="rId20"/>
      <w:pgSz w:w="16838" w:h="11906" w:orient="landscape"/>
      <w:pgMar w:top="1587" w:right="1020" w:bottom="1560" w:left="1020" w:header="601" w:footer="1077" w:gutter="0"/>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w:instrText>
    </w:r>
    <w:r>
      <w:rPr>
        <w:rFonts w:ascii="Times New Roman" w:hAnsi="Times New Roman" w:cs="Times New Roman"/>
        <w:sz w:val="20"/>
        <w:szCs w:val="20"/>
      </w:rPr>
      <w:fldChar w:fldCharType="separate"/>
    </w:r>
    <w:r>
      <w:rPr>
        <w:rFonts w:ascii="Times New Roman" w:hAnsi="Times New Roman" w:cs="Times New Roman"/>
        <w:noProof/>
        <w:sz w:val="20"/>
        <w:szCs w:val="20"/>
      </w:rPr>
      <w:t>3</w:t>
    </w:r>
    <w:r>
      <w:rPr>
        <w:rFonts w:ascii="Times New Roman" w:hAnsi="Times New Roman" w:cs="Times New Roman"/>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Arabic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sz w:val="20"/>
        <w:szCs w:val="20"/>
      </w:rPr>
      <w:fldChar w:fldCharType="end"/>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rFonts w:ascii="Times New Roman" w:hAnsi="Times New Roman" w:cs="Times New Roman"/>
        <w:b/>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removePersonalInformation/>
  <w:removeDateAndTime/>
  <w:hideSpellingErrors/>
  <w:hideGrammaticalErrors/>
  <w:revisionView w:markup="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1"/>
    <w:docVar w:name="LW_ANNEX_NBR_LAST" w:val="1"/>
    <w:docVar w:name="LW_CONFIDENCE" w:val=" "/>
    <w:docVar w:name="LW_CONST_RESTREINT_UE" w:val="RESTREINT UE"/>
    <w:docVar w:name="LW_CORRIGENDUM" w:val="&lt;UNUSED&gt;"/>
    <w:docVar w:name="LW_COVERPAGE_GUID" w:val="80C79DD756734B2EAAEFDA4800E8553C"/>
    <w:docVar w:name="LW_CROSSREFERENCE" w:val="&lt;UNUSED&gt;"/>
    <w:docVar w:name="LW_DocType" w:val="NORMAL"/>
    <w:docVar w:name="LW_EMISSION" w:val="1.2.2017"/>
    <w:docVar w:name="LW_EMISSION_ISODATE" w:val="2017-02-01"/>
    <w:docVar w:name="LW_EMISSION_LOCATION" w:val="BRX"/>
    <w:docVar w:name="LW_EMISSION_PREFIX" w:val="Brussels,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Second Report on the State of the Energy Union"/>
    <w:docVar w:name="LW_PART_NBR" w:val="1"/>
    <w:docVar w:name="LW_PART_NBR_TOTAL" w:val="1"/>
    <w:docVar w:name="LW_REF.INST.NEW" w:val="COM"/>
    <w:docVar w:name="LW_REF.INST.NEW_ADOPTED" w:val="final"/>
    <w:docVar w:name="LW_REF.INST.NEW_TEXT" w:val="(2017) 53"/>
    <w:docVar w:name="LW_REF.INTERNE" w:val="&lt;UNUSED&gt;"/>
    <w:docVar w:name="LW_SUPERTITRE" w:val="&lt;UNUSED&gt;"/>
    <w:docVar w:name="LW_TITRE.OBJ.CP" w:val="Updated Roadmap for the Energy Union"/>
    <w:docVar w:name="LW_TYPE.DOC.CP" w:val="ANNEX_x000b_"/>
    <w:docVar w:name="LW_TYPEACTEPRINCIPAL.CP" w:val="COMMUNICATION FROM THE COMMISSION TO THE EUROPEAN PARLIAMENT, THE COUNCIL, THE EUROPEAN ECONOMIC AND SOCIAL COMMITTEE, THE COMMITTEE OF THE REGIONS AND THE EUROPEAN INVESTMENT BANK"/>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ext1">
    <w:name w:val="Text 1"/>
    <w:basedOn w:val="Normal"/>
    <w:link w:val="Text1Char"/>
    <w:pPr>
      <w:spacing w:after="240" w:line="240" w:lineRule="auto"/>
      <w:ind w:left="482"/>
      <w:jc w:val="both"/>
    </w:pPr>
    <w:rPr>
      <w:rFonts w:ascii="Times New Roman" w:eastAsia="Times New Roman" w:hAnsi="Times New Roman" w:cs="Times New Roman"/>
      <w:sz w:val="24"/>
      <w:szCs w:val="20"/>
    </w:rPr>
  </w:style>
  <w:style w:type="character" w:customStyle="1" w:styleId="Text1Char">
    <w:name w:val="Text 1 Char"/>
    <w:link w:val="Text1"/>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ext1">
    <w:name w:val="Text 1"/>
    <w:basedOn w:val="Normal"/>
    <w:link w:val="Text1Char"/>
    <w:pPr>
      <w:spacing w:after="240" w:line="240" w:lineRule="auto"/>
      <w:ind w:left="482"/>
      <w:jc w:val="both"/>
    </w:pPr>
    <w:rPr>
      <w:rFonts w:ascii="Times New Roman" w:eastAsia="Times New Roman" w:hAnsi="Times New Roman" w:cs="Times New Roman"/>
      <w:sz w:val="24"/>
      <w:szCs w:val="20"/>
    </w:rPr>
  </w:style>
  <w:style w:type="character" w:customStyle="1" w:styleId="Text1Char">
    <w:name w:val="Text 1 Char"/>
    <w:link w:val="Text1"/>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19979">
      <w:bodyDiv w:val="1"/>
      <w:marLeft w:val="0"/>
      <w:marRight w:val="0"/>
      <w:marTop w:val="0"/>
      <w:marBottom w:val="0"/>
      <w:divBdr>
        <w:top w:val="none" w:sz="0" w:space="0" w:color="auto"/>
        <w:left w:val="none" w:sz="0" w:space="0" w:color="auto"/>
        <w:bottom w:val="none" w:sz="0" w:space="0" w:color="auto"/>
        <w:right w:val="none" w:sz="0" w:space="0" w:color="auto"/>
      </w:divBdr>
    </w:div>
    <w:div w:id="256326094">
      <w:bodyDiv w:val="1"/>
      <w:marLeft w:val="0"/>
      <w:marRight w:val="0"/>
      <w:marTop w:val="0"/>
      <w:marBottom w:val="0"/>
      <w:divBdr>
        <w:top w:val="none" w:sz="0" w:space="0" w:color="auto"/>
        <w:left w:val="none" w:sz="0" w:space="0" w:color="auto"/>
        <w:bottom w:val="none" w:sz="0" w:space="0" w:color="auto"/>
        <w:right w:val="none" w:sz="0" w:space="0" w:color="auto"/>
      </w:divBdr>
    </w:div>
    <w:div w:id="367612219">
      <w:bodyDiv w:val="1"/>
      <w:marLeft w:val="0"/>
      <w:marRight w:val="0"/>
      <w:marTop w:val="0"/>
      <w:marBottom w:val="0"/>
      <w:divBdr>
        <w:top w:val="none" w:sz="0" w:space="0" w:color="auto"/>
        <w:left w:val="none" w:sz="0" w:space="0" w:color="auto"/>
        <w:bottom w:val="none" w:sz="0" w:space="0" w:color="auto"/>
        <w:right w:val="none" w:sz="0" w:space="0" w:color="auto"/>
      </w:divBdr>
    </w:div>
    <w:div w:id="1016271014">
      <w:bodyDiv w:val="1"/>
      <w:marLeft w:val="0"/>
      <w:marRight w:val="0"/>
      <w:marTop w:val="0"/>
      <w:marBottom w:val="0"/>
      <w:divBdr>
        <w:top w:val="none" w:sz="0" w:space="0" w:color="auto"/>
        <w:left w:val="none" w:sz="0" w:space="0" w:color="auto"/>
        <w:bottom w:val="none" w:sz="0" w:space="0" w:color="auto"/>
        <w:right w:val="none" w:sz="0" w:space="0" w:color="auto"/>
      </w:divBdr>
    </w:div>
    <w:div w:id="206402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8EDD5-43D7-4354-A965-86BE4A3D3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2134</Words>
  <Characters>12187</Characters>
  <Application>Microsoft Office Word</Application>
  <DocSecurity>0</DocSecurity>
  <Lines>1015</Lines>
  <Paragraphs>447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2017-01-27T14:53:00Z</dcterms:created>
  <dcterms:modified xsi:type="dcterms:W3CDTF">2017-02-01T08:37:00Z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Classification">
    <vt:lpwstr> </vt:lpwstr>
  </property>
  <property fmtid="{D5CDD505-2E9C-101B-9397-08002B2CF9AE}" pid="7" name="DocStatus">
    <vt:lpwstr>Green</vt:lpwstr>
  </property>
</Properties>
</file>