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6AA30A37F084845B72A61BD0EFB8BB3" style="width:450.7pt;height:442.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p>
      <w:pPr>
        <w:pStyle w:val="Text1"/>
        <w:jc w:val="center"/>
        <w:rPr>
          <w:b/>
          <w:noProof/>
          <w:sz w:val="28"/>
          <w:szCs w:val="24"/>
        </w:rPr>
      </w:pPr>
      <w:bookmarkStart w:id="1" w:name="_GoBack"/>
      <w:bookmarkEnd w:id="1"/>
      <w:r>
        <w:rPr>
          <w:b/>
          <w:noProof/>
          <w:sz w:val="28"/>
        </w:rPr>
        <w:lastRenderedPageBreak/>
        <w:t>Mise à jour de la feuille de route pour l’union de l’énergie —</w:t>
      </w:r>
      <w:r>
        <w:rPr>
          <w:b/>
          <w:noProof/>
          <w:sz w:val="28"/>
          <w:szCs w:val="24"/>
        </w:rPr>
        <w:br/>
      </w:r>
      <w:r>
        <w:rPr>
          <w:b/>
          <w:noProof/>
          <w:sz w:val="28"/>
        </w:rPr>
        <w:t>État des lieux: 1</w:t>
      </w:r>
      <w:r>
        <w:rPr>
          <w:b/>
          <w:noProof/>
          <w:sz w:val="28"/>
          <w:vertAlign w:val="superscript"/>
        </w:rPr>
        <w:t>er</w:t>
      </w:r>
      <w:r>
        <w:rPr>
          <w:b/>
          <w:noProof/>
          <w:sz w:val="28"/>
        </w:rPr>
        <w:t> février 2017</w:t>
      </w:r>
    </w:p>
    <w:p>
      <w:pPr>
        <w:pStyle w:val="Text1"/>
        <w:ind w:left="0"/>
        <w:jc w:val="left"/>
        <w:rPr>
          <w:noProof/>
          <w:szCs w:val="24"/>
        </w:rPr>
      </w:pPr>
      <w:r>
        <w:rPr>
          <w:noProof/>
        </w:rPr>
        <w:t>Légende: SdA: Sécurité de l’approvisionnement / MIE: Marché intérieur de l’énergie / EE: Efficacité énergétique / GES: Gaz à effet de serre / R&amp;I: Recherche et innovation</w:t>
      </w:r>
    </w:p>
    <w:p>
      <w:pPr>
        <w:pStyle w:val="Text1"/>
        <w:ind w:left="0"/>
        <w:rPr>
          <w:noProof/>
          <w:sz w:val="20"/>
        </w:rPr>
      </w:pPr>
      <w:r>
        <w:rPr>
          <w:noProof/>
        </w:rPr>
        <w:t xml:space="preserve">La présente feuille de route est celle présentée dans l’annexe de la communication de la Commission intitulée «Cadre stratégique pour une Union de l’énergie résiliente, dotée d’une politique clairvoyante en matière de changement climatique», adoptée le 25 février 2015 [COM(2015) 80], et actualisée en novembre 2015 dans le cadre du premier état de l’union de l’énergie [COM(2015) 572]. Les nouvelles informations de ce tableau figurent dans la dernière colonne, qui fournit une mise à jour pour les initiatives déjà adoptées ou dont le calendrier a changé. Aucune nouvelle information sur les initiatives initialement prévues pour 2017 ou plus tard n’est apportée.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652"/>
        <w:gridCol w:w="2126"/>
        <w:gridCol w:w="1985"/>
        <w:gridCol w:w="709"/>
        <w:gridCol w:w="850"/>
        <w:gridCol w:w="851"/>
        <w:gridCol w:w="850"/>
        <w:gridCol w:w="851"/>
        <w:gridCol w:w="2976"/>
      </w:tblGrid>
      <w:tr>
        <w:trPr>
          <w:tblHeader/>
        </w:trPr>
        <w:tc>
          <w:tcPr>
            <w:tcW w:w="3652" w:type="dxa"/>
            <w:tcBorders>
              <w:top w:val="single" w:sz="12" w:space="0" w:color="auto"/>
              <w:left w:val="single" w:sz="12" w:space="0" w:color="auto"/>
              <w:bottom w:val="single" w:sz="12" w:space="0" w:color="auto"/>
              <w:right w:val="single" w:sz="12" w:space="0" w:color="auto"/>
            </w:tcBorders>
            <w:shd w:val="pct10" w:color="auto" w:fill="auto"/>
          </w:tcPr>
          <w:p>
            <w:pPr>
              <w:pStyle w:val="Text1"/>
              <w:spacing w:after="200"/>
              <w:ind w:left="55"/>
              <w:jc w:val="left"/>
              <w:rPr>
                <w:b/>
                <w:noProof/>
                <w:szCs w:val="24"/>
              </w:rPr>
            </w:pPr>
            <w:r>
              <w:rPr>
                <w:b/>
                <w:noProof/>
              </w:rPr>
              <w:t>Actions</w:t>
            </w:r>
          </w:p>
        </w:tc>
        <w:tc>
          <w:tcPr>
            <w:tcW w:w="2126" w:type="dxa"/>
            <w:tcBorders>
              <w:top w:val="single" w:sz="12" w:space="0" w:color="auto"/>
              <w:left w:val="single" w:sz="12" w:space="0" w:color="auto"/>
              <w:bottom w:val="single" w:sz="12" w:space="0" w:color="auto"/>
              <w:right w:val="single" w:sz="12" w:space="0" w:color="auto"/>
            </w:tcBorders>
            <w:shd w:val="pct10" w:color="auto" w:fill="auto"/>
          </w:tcPr>
          <w:p>
            <w:pPr>
              <w:pStyle w:val="Text1"/>
              <w:ind w:left="176"/>
              <w:jc w:val="left"/>
              <w:rPr>
                <w:noProof/>
                <w:szCs w:val="24"/>
              </w:rPr>
            </w:pPr>
            <w:r>
              <w:rPr>
                <w:b/>
                <w:noProof/>
              </w:rPr>
              <w:t>Instance responsable</w:t>
            </w:r>
          </w:p>
        </w:tc>
        <w:tc>
          <w:tcPr>
            <w:tcW w:w="1985" w:type="dxa"/>
            <w:tcBorders>
              <w:top w:val="single" w:sz="12" w:space="0" w:color="auto"/>
              <w:left w:val="single" w:sz="12" w:space="0" w:color="auto"/>
              <w:bottom w:val="single" w:sz="12" w:space="0" w:color="auto"/>
              <w:right w:val="single" w:sz="12" w:space="0" w:color="auto"/>
            </w:tcBorders>
            <w:shd w:val="pct10" w:color="auto" w:fill="auto"/>
          </w:tcPr>
          <w:p>
            <w:pPr>
              <w:pStyle w:val="Text1"/>
              <w:ind w:left="132"/>
              <w:jc w:val="left"/>
              <w:rPr>
                <w:noProof/>
                <w:szCs w:val="24"/>
              </w:rPr>
            </w:pPr>
            <w:r>
              <w:rPr>
                <w:b/>
                <w:noProof/>
              </w:rPr>
              <w:t>Calendrier</w:t>
            </w:r>
            <w:r>
              <w:rPr>
                <w:noProof/>
              </w:rPr>
              <w:t xml:space="preserve"> [figurant dans l’annexe de la communication COM(2015) 80]</w:t>
            </w:r>
          </w:p>
        </w:tc>
        <w:tc>
          <w:tcPr>
            <w:tcW w:w="709" w:type="dxa"/>
            <w:tcBorders>
              <w:top w:val="single" w:sz="12" w:space="0" w:color="auto"/>
              <w:left w:val="single" w:sz="12" w:space="0" w:color="auto"/>
              <w:bottom w:val="single" w:sz="12" w:space="0" w:color="auto"/>
              <w:right w:val="single" w:sz="12" w:space="0" w:color="auto"/>
            </w:tcBorders>
            <w:shd w:val="pct10" w:color="auto" w:fill="auto"/>
          </w:tcPr>
          <w:p>
            <w:pPr>
              <w:pStyle w:val="Text1"/>
              <w:ind w:left="0"/>
              <w:jc w:val="center"/>
              <w:rPr>
                <w:noProof/>
                <w:szCs w:val="24"/>
              </w:rPr>
            </w:pPr>
            <w:r>
              <w:rPr>
                <w:b/>
                <w:noProof/>
              </w:rPr>
              <w:t>SdA</w:t>
            </w:r>
          </w:p>
        </w:tc>
        <w:tc>
          <w:tcPr>
            <w:tcW w:w="850" w:type="dxa"/>
            <w:tcBorders>
              <w:top w:val="single" w:sz="12" w:space="0" w:color="auto"/>
              <w:left w:val="single" w:sz="12" w:space="0" w:color="auto"/>
              <w:bottom w:val="single" w:sz="12" w:space="0" w:color="auto"/>
              <w:right w:val="single" w:sz="12" w:space="0" w:color="auto"/>
            </w:tcBorders>
            <w:shd w:val="pct10" w:color="auto" w:fill="auto"/>
          </w:tcPr>
          <w:p>
            <w:pPr>
              <w:pStyle w:val="Text1"/>
              <w:ind w:left="121"/>
              <w:jc w:val="center"/>
              <w:rPr>
                <w:noProof/>
                <w:szCs w:val="24"/>
              </w:rPr>
            </w:pPr>
            <w:r>
              <w:rPr>
                <w:b/>
                <w:noProof/>
              </w:rPr>
              <w:t>MIE</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pPr>
              <w:pStyle w:val="Text1"/>
              <w:ind w:left="0"/>
              <w:jc w:val="center"/>
              <w:rPr>
                <w:noProof/>
                <w:szCs w:val="24"/>
              </w:rPr>
            </w:pPr>
            <w:r>
              <w:rPr>
                <w:b/>
                <w:noProof/>
              </w:rPr>
              <w:t>EE</w:t>
            </w:r>
          </w:p>
        </w:tc>
        <w:tc>
          <w:tcPr>
            <w:tcW w:w="850" w:type="dxa"/>
            <w:tcBorders>
              <w:top w:val="single" w:sz="12" w:space="0" w:color="auto"/>
              <w:left w:val="single" w:sz="12" w:space="0" w:color="auto"/>
              <w:bottom w:val="single" w:sz="12" w:space="0" w:color="auto"/>
              <w:right w:val="single" w:sz="12" w:space="0" w:color="auto"/>
            </w:tcBorders>
            <w:shd w:val="pct10" w:color="auto" w:fill="auto"/>
          </w:tcPr>
          <w:p>
            <w:pPr>
              <w:pStyle w:val="Text1"/>
              <w:ind w:left="0"/>
              <w:jc w:val="center"/>
              <w:rPr>
                <w:b/>
                <w:noProof/>
                <w:szCs w:val="24"/>
              </w:rPr>
            </w:pPr>
            <w:r>
              <w:rPr>
                <w:b/>
                <w:noProof/>
              </w:rPr>
              <w:t>GES</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pPr>
              <w:pStyle w:val="Text1"/>
              <w:ind w:left="0"/>
              <w:jc w:val="center"/>
              <w:rPr>
                <w:noProof/>
                <w:szCs w:val="24"/>
              </w:rPr>
            </w:pPr>
            <w:r>
              <w:rPr>
                <w:b/>
                <w:noProof/>
              </w:rPr>
              <w:t>R&amp;I</w:t>
            </w:r>
          </w:p>
        </w:tc>
        <w:tc>
          <w:tcPr>
            <w:tcW w:w="2976" w:type="dxa"/>
            <w:tcBorders>
              <w:top w:val="single" w:sz="12" w:space="0" w:color="auto"/>
              <w:left w:val="single" w:sz="12" w:space="0" w:color="auto"/>
              <w:bottom w:val="single" w:sz="12" w:space="0" w:color="auto"/>
              <w:right w:val="single" w:sz="12" w:space="0" w:color="auto"/>
            </w:tcBorders>
            <w:shd w:val="pct10" w:color="auto" w:fill="auto"/>
          </w:tcPr>
          <w:p>
            <w:pPr>
              <w:pStyle w:val="Text1"/>
              <w:ind w:left="33"/>
              <w:jc w:val="left"/>
              <w:rPr>
                <w:noProof/>
                <w:szCs w:val="24"/>
              </w:rPr>
            </w:pPr>
            <w:r>
              <w:rPr>
                <w:b/>
                <w:i/>
                <w:noProof/>
              </w:rPr>
              <w:t>Observations</w:t>
            </w:r>
            <w:r>
              <w:rPr>
                <w:noProof/>
              </w:rPr>
              <w:t xml:space="preserve"> </w:t>
            </w:r>
            <w:r>
              <w:rPr>
                <w:b/>
                <w:noProof/>
              </w:rPr>
              <w:t>/ Mise à jour</w:t>
            </w:r>
          </w:p>
        </w:tc>
      </w:tr>
      <w:tr>
        <w:tc>
          <w:tcPr>
            <w:tcW w:w="3652" w:type="dxa"/>
            <w:shd w:val="clear" w:color="auto" w:fill="auto"/>
            <w:vAlign w:val="bottom"/>
          </w:tcPr>
          <w:p>
            <w:pPr>
              <w:pStyle w:val="Text1"/>
              <w:spacing w:after="200"/>
              <w:ind w:left="55"/>
              <w:jc w:val="left"/>
              <w:rPr>
                <w:noProof/>
                <w:szCs w:val="24"/>
              </w:rPr>
            </w:pPr>
            <w:r>
              <w:rPr>
                <w:b/>
                <w:noProof/>
              </w:rPr>
              <w:t>Infrastructures</w:t>
            </w:r>
          </w:p>
        </w:tc>
        <w:tc>
          <w:tcPr>
            <w:tcW w:w="2126" w:type="dxa"/>
            <w:shd w:val="clear" w:color="auto" w:fill="auto"/>
          </w:tcPr>
          <w:p>
            <w:pPr>
              <w:pStyle w:val="Text1"/>
              <w:ind w:left="176"/>
              <w:jc w:val="left"/>
              <w:rPr>
                <w:noProof/>
                <w:szCs w:val="24"/>
              </w:rPr>
            </w:pPr>
          </w:p>
        </w:tc>
        <w:tc>
          <w:tcPr>
            <w:tcW w:w="1985" w:type="dxa"/>
            <w:shd w:val="clear" w:color="auto" w:fill="auto"/>
          </w:tcPr>
          <w:p>
            <w:pPr>
              <w:pStyle w:val="Text1"/>
              <w:ind w:left="132"/>
              <w:jc w:val="left"/>
              <w:rPr>
                <w:noProof/>
                <w:szCs w:val="24"/>
              </w:rPr>
            </w:pPr>
          </w:p>
        </w:tc>
        <w:tc>
          <w:tcPr>
            <w:tcW w:w="709" w:type="dxa"/>
          </w:tcPr>
          <w:p>
            <w:pPr>
              <w:pStyle w:val="Text1"/>
              <w:jc w:val="center"/>
              <w:rPr>
                <w:noProof/>
                <w:szCs w:val="24"/>
              </w:rPr>
            </w:pPr>
          </w:p>
        </w:tc>
        <w:tc>
          <w:tcPr>
            <w:tcW w:w="850" w:type="dxa"/>
          </w:tcPr>
          <w:p>
            <w:pPr>
              <w:pStyle w:val="Text1"/>
              <w:ind w:left="121"/>
              <w:jc w:val="center"/>
              <w:rPr>
                <w:noProof/>
                <w:szCs w:val="24"/>
              </w:rPr>
            </w:pPr>
          </w:p>
        </w:tc>
        <w:tc>
          <w:tcPr>
            <w:tcW w:w="851" w:type="dxa"/>
          </w:tcPr>
          <w:p>
            <w:pPr>
              <w:pStyle w:val="Text1"/>
              <w:jc w:val="center"/>
              <w:rPr>
                <w:noProof/>
                <w:szCs w:val="24"/>
              </w:rPr>
            </w:pPr>
          </w:p>
        </w:tc>
        <w:tc>
          <w:tcPr>
            <w:tcW w:w="850" w:type="dxa"/>
          </w:tcPr>
          <w:p>
            <w:pPr>
              <w:pStyle w:val="Text1"/>
              <w:ind w:left="225"/>
              <w:jc w:val="center"/>
              <w:rPr>
                <w:noProof/>
                <w:szCs w:val="24"/>
              </w:rPr>
            </w:pPr>
          </w:p>
        </w:tc>
        <w:tc>
          <w:tcPr>
            <w:tcW w:w="851" w:type="dxa"/>
          </w:tcPr>
          <w:p>
            <w:pPr>
              <w:pStyle w:val="Text1"/>
              <w:jc w:val="center"/>
              <w:rPr>
                <w:noProof/>
                <w:szCs w:val="24"/>
              </w:rPr>
            </w:pPr>
          </w:p>
        </w:tc>
        <w:tc>
          <w:tcPr>
            <w:tcW w:w="2976" w:type="dxa"/>
          </w:tcPr>
          <w:p>
            <w:pPr>
              <w:pStyle w:val="Text1"/>
              <w:ind w:left="33"/>
              <w:jc w:val="left"/>
              <w:rPr>
                <w:noProof/>
                <w:szCs w:val="24"/>
              </w:rPr>
            </w:pPr>
          </w:p>
        </w:tc>
      </w:tr>
      <w:tr>
        <w:tc>
          <w:tcPr>
            <w:tcW w:w="3652" w:type="dxa"/>
            <w:shd w:val="clear" w:color="auto" w:fill="auto"/>
          </w:tcPr>
          <w:p>
            <w:pPr>
              <w:pStyle w:val="Text1"/>
              <w:spacing w:after="200"/>
              <w:ind w:left="55"/>
              <w:jc w:val="left"/>
              <w:rPr>
                <w:noProof/>
                <w:szCs w:val="24"/>
              </w:rPr>
            </w:pPr>
            <w:r>
              <w:rPr>
                <w:noProof/>
              </w:rPr>
              <w:t>Mise en œuvre effective de l’objectif de 10 % d’interconnexion électrique</w:t>
            </w:r>
          </w:p>
        </w:tc>
        <w:tc>
          <w:tcPr>
            <w:tcW w:w="2126" w:type="dxa"/>
            <w:shd w:val="clear" w:color="auto" w:fill="auto"/>
          </w:tcPr>
          <w:p>
            <w:pPr>
              <w:pStyle w:val="Text1"/>
              <w:spacing w:after="120"/>
              <w:ind w:left="176"/>
              <w:jc w:val="left"/>
              <w:rPr>
                <w:noProof/>
                <w:szCs w:val="24"/>
              </w:rPr>
            </w:pPr>
            <w:r>
              <w:rPr>
                <w:noProof/>
              </w:rPr>
              <w:t>Commission</w:t>
            </w:r>
          </w:p>
          <w:p>
            <w:pPr>
              <w:pStyle w:val="Text1"/>
              <w:spacing w:after="120"/>
              <w:ind w:left="176"/>
              <w:jc w:val="left"/>
              <w:rPr>
                <w:noProof/>
                <w:szCs w:val="24"/>
              </w:rPr>
            </w:pPr>
            <w:r>
              <w:rPr>
                <w:noProof/>
              </w:rPr>
              <w:t>États membres</w:t>
            </w:r>
          </w:p>
          <w:p>
            <w:pPr>
              <w:pStyle w:val="Text1"/>
              <w:spacing w:after="120"/>
              <w:ind w:left="176"/>
              <w:jc w:val="left"/>
              <w:rPr>
                <w:noProof/>
                <w:szCs w:val="24"/>
              </w:rPr>
            </w:pPr>
            <w:r>
              <w:rPr>
                <w:noProof/>
              </w:rPr>
              <w:t>Autorités de régulation nationales</w:t>
            </w:r>
          </w:p>
          <w:p>
            <w:pPr>
              <w:pStyle w:val="Text1"/>
              <w:spacing w:after="120"/>
              <w:ind w:left="176"/>
              <w:jc w:val="left"/>
              <w:rPr>
                <w:noProof/>
                <w:szCs w:val="24"/>
              </w:rPr>
            </w:pPr>
            <w:r>
              <w:rPr>
                <w:noProof/>
              </w:rPr>
              <w:t>Gestionnaires de réseau de transport</w:t>
            </w:r>
          </w:p>
        </w:tc>
        <w:tc>
          <w:tcPr>
            <w:tcW w:w="1985" w:type="dxa"/>
            <w:shd w:val="clear" w:color="auto" w:fill="auto"/>
          </w:tcPr>
          <w:p>
            <w:pPr>
              <w:pStyle w:val="Text1"/>
              <w:ind w:left="132"/>
              <w:jc w:val="left"/>
              <w:rPr>
                <w:noProof/>
                <w:szCs w:val="24"/>
              </w:rPr>
            </w:pPr>
            <w:r>
              <w:rPr>
                <w:noProof/>
              </w:rPr>
              <w:t>2015-2020</w:t>
            </w:r>
          </w:p>
        </w:tc>
        <w:tc>
          <w:tcPr>
            <w:tcW w:w="709" w:type="dxa"/>
          </w:tcPr>
          <w:p>
            <w:pPr>
              <w:pStyle w:val="Text1"/>
              <w:ind w:left="0"/>
              <w:jc w:val="center"/>
              <w:rPr>
                <w:noProof/>
                <w:szCs w:val="24"/>
              </w:rPr>
            </w:pPr>
            <w:r>
              <w:rPr>
                <w:noProof/>
              </w:rPr>
              <w:t>X</w:t>
            </w:r>
          </w:p>
        </w:tc>
        <w:tc>
          <w:tcPr>
            <w:tcW w:w="850" w:type="dxa"/>
          </w:tcPr>
          <w:p>
            <w:pPr>
              <w:pStyle w:val="Text1"/>
              <w:ind w:left="0"/>
              <w:jc w:val="center"/>
              <w:rPr>
                <w:noProof/>
                <w:szCs w:val="24"/>
              </w:rPr>
            </w:pPr>
            <w:r>
              <w:rPr>
                <w:noProof/>
              </w:rPr>
              <w:t>X</w:t>
            </w:r>
          </w:p>
        </w:tc>
        <w:tc>
          <w:tcPr>
            <w:tcW w:w="851" w:type="dxa"/>
          </w:tcPr>
          <w:p>
            <w:pPr>
              <w:pStyle w:val="Text1"/>
              <w:jc w:val="center"/>
              <w:rPr>
                <w:noProof/>
                <w:szCs w:val="24"/>
              </w:rPr>
            </w:pPr>
          </w:p>
        </w:tc>
        <w:tc>
          <w:tcPr>
            <w:tcW w:w="850" w:type="dxa"/>
          </w:tcPr>
          <w:p>
            <w:pPr>
              <w:pStyle w:val="Text1"/>
              <w:ind w:left="0"/>
              <w:jc w:val="center"/>
              <w:rPr>
                <w:noProof/>
                <w:szCs w:val="24"/>
              </w:rPr>
            </w:pPr>
            <w:r>
              <w:rPr>
                <w:noProof/>
              </w:rPr>
              <w:t>X</w:t>
            </w:r>
          </w:p>
        </w:tc>
        <w:tc>
          <w:tcPr>
            <w:tcW w:w="851" w:type="dxa"/>
          </w:tcPr>
          <w:p>
            <w:pPr>
              <w:pStyle w:val="Text1"/>
              <w:jc w:val="center"/>
              <w:rPr>
                <w:noProof/>
                <w:szCs w:val="24"/>
              </w:rPr>
            </w:pPr>
          </w:p>
        </w:tc>
        <w:tc>
          <w:tcPr>
            <w:tcW w:w="2976" w:type="dxa"/>
          </w:tcPr>
          <w:p>
            <w:pPr>
              <w:pStyle w:val="Text1"/>
              <w:ind w:left="33"/>
              <w:jc w:val="left"/>
              <w:rPr>
                <w:i/>
                <w:noProof/>
                <w:szCs w:val="24"/>
              </w:rPr>
            </w:pPr>
            <w:r>
              <w:rPr>
                <w:i/>
                <w:noProof/>
              </w:rPr>
              <w:t>Adopté le 25 février 2015 [COM(2015) 82]</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lastRenderedPageBreak/>
              <w:t>2</w:t>
            </w:r>
            <w:r>
              <w:rPr>
                <w:noProof/>
                <w:vertAlign w:val="superscript"/>
              </w:rPr>
              <w:t>e</w:t>
            </w:r>
            <w:r>
              <w:rPr>
                <w:noProof/>
              </w:rPr>
              <w:t xml:space="preserve"> liste de projets d’intérêt commun (PIC), conduisant à l’adoption d’un acte délégué de la Commission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176"/>
              <w:jc w:val="left"/>
              <w:rPr>
                <w:noProof/>
                <w:szCs w:val="24"/>
              </w:rPr>
            </w:pPr>
            <w:r>
              <w:rPr>
                <w:noProof/>
              </w:rPr>
              <w:t>Commission</w:t>
            </w:r>
          </w:p>
          <w:p>
            <w:pPr>
              <w:pStyle w:val="Text1"/>
              <w:spacing w:after="120"/>
              <w:ind w:left="176"/>
              <w:jc w:val="left"/>
              <w:rPr>
                <w:noProof/>
                <w:szCs w:val="24"/>
              </w:rPr>
            </w:pPr>
            <w:r>
              <w:rPr>
                <w:noProof/>
              </w:rPr>
              <w:t>États membres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132"/>
              <w:jc w:val="left"/>
              <w:rPr>
                <w:noProof/>
                <w:szCs w:val="24"/>
              </w:rPr>
            </w:pPr>
            <w:r>
              <w:rPr>
                <w:noProof/>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color w:val="000000" w:themeColor="text1"/>
              </w:rPr>
            </w:pPr>
            <w:r>
              <w:rPr>
                <w:i/>
                <w:noProof/>
              </w:rPr>
              <w:t xml:space="preserve">Acte délégué adopté le 18 novembre 2015 </w:t>
            </w:r>
            <w:r>
              <w:rPr>
                <w:i/>
                <w:noProof/>
                <w:color w:val="000000" w:themeColor="text1"/>
              </w:rPr>
              <w:t>[C(2015) 8052]</w:t>
            </w:r>
          </w:p>
          <w:p>
            <w:pPr>
              <w:pStyle w:val="Text1"/>
              <w:ind w:left="33"/>
              <w:jc w:val="left"/>
              <w:rPr>
                <w:noProof/>
                <w:szCs w:val="24"/>
              </w:rPr>
            </w:pPr>
            <w:r>
              <w:rPr>
                <w:noProof/>
              </w:rPr>
              <w:t>Une évaluation de la mise en œuvre des projets d’intérêt commun et du règlement concernant des orientations pour les infrastructures énergétiques transeuropéennes est prévue en 2017.</w:t>
            </w:r>
          </w:p>
          <w:p>
            <w:pPr>
              <w:pStyle w:val="Text1"/>
              <w:ind w:left="33"/>
              <w:jc w:val="left"/>
              <w:rPr>
                <w:i/>
                <w:noProof/>
                <w:szCs w:val="24"/>
              </w:rPr>
            </w:pPr>
            <w:r>
              <w:rPr>
                <w:noProof/>
              </w:rPr>
              <w:t>La 3</w:t>
            </w:r>
            <w:r>
              <w:rPr>
                <w:noProof/>
                <w:vertAlign w:val="superscript"/>
              </w:rPr>
              <w:t>e</w:t>
            </w:r>
            <w:r>
              <w:rPr>
                <w:noProof/>
              </w:rPr>
              <w:t xml:space="preserve"> liste de projets d’intérêt commun devrait être publiée au 4</w:t>
            </w:r>
            <w:r>
              <w:rPr>
                <w:noProof/>
                <w:vertAlign w:val="superscript"/>
              </w:rPr>
              <w:t>e</w:t>
            </w:r>
            <w:r>
              <w:rPr>
                <w:noProof/>
              </w:rPr>
              <w:t xml:space="preserve"> trimestre 2017.</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 xml:space="preserve">Communication sur les progrès réalisés dans l’achèvement de la liste des infrastructures énergétiques essentielles et sur les mesures nécessaires pour atteindre l’objectif de 15 % </w:t>
            </w:r>
            <w:r>
              <w:rPr>
                <w:noProof/>
              </w:rPr>
              <w:lastRenderedPageBreak/>
              <w:t>d’interconnexion électrique pour 2030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176"/>
              <w:jc w:val="left"/>
              <w:rPr>
                <w:noProof/>
                <w:szCs w:val="24"/>
              </w:rPr>
            </w:pPr>
            <w:r>
              <w:rPr>
                <w:noProof/>
              </w:rPr>
              <w:lastRenderedPageBreak/>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132"/>
              <w:jc w:val="left"/>
              <w:rPr>
                <w:noProof/>
                <w:szCs w:val="24"/>
              </w:rPr>
            </w:pPr>
            <w:r>
              <w:rPr>
                <w:noProof/>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rPr>
              <w:t>Prévue pour 2017, elle doit être adoptée en même temps que la liste des projets d’intérêt commun au 4</w:t>
            </w:r>
            <w:r>
              <w:rPr>
                <w:noProof/>
                <w:vertAlign w:val="superscript"/>
              </w:rPr>
              <w:t>e</w:t>
            </w:r>
            <w:r>
              <w:rPr>
                <w:noProof/>
              </w:rPr>
              <w:t xml:space="preserve"> trimestre 2017.</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lastRenderedPageBreak/>
              <w:t>Création d’un forum consacré aux infrastructures énergétiques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176"/>
              <w:jc w:val="left"/>
              <w:rPr>
                <w:noProof/>
                <w:szCs w:val="24"/>
              </w:rPr>
            </w:pPr>
            <w:r>
              <w:rPr>
                <w:noProof/>
              </w:rPr>
              <w:t>Commission</w:t>
            </w:r>
          </w:p>
          <w:p>
            <w:pPr>
              <w:pStyle w:val="Text1"/>
              <w:spacing w:after="120"/>
              <w:ind w:left="176"/>
              <w:jc w:val="left"/>
              <w:rPr>
                <w:noProof/>
                <w:szCs w:val="24"/>
              </w:rPr>
            </w:pPr>
            <w:r>
              <w:rPr>
                <w:noProof/>
              </w:rPr>
              <w:t>États membres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132"/>
              <w:jc w:val="left"/>
              <w:rPr>
                <w:noProof/>
                <w:szCs w:val="24"/>
              </w:rPr>
            </w:pPr>
            <w:r>
              <w:rPr>
                <w:noProof/>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rPr>
              <w:t>La première réunion du forum des infrastructures énergétiques a eu lieu les 9 et 10 novembre 2015 à Copenhague, la deuxième les 23 et 24 juin 2016.</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rPr>
              <w:t>Électricité</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176"/>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132"/>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120"/>
              <w:jc w:val="left"/>
              <w:rPr>
                <w:noProof/>
                <w:szCs w:val="24"/>
              </w:rPr>
            </w:pPr>
            <w:r>
              <w:rPr>
                <w:noProof/>
              </w:rPr>
              <w:t>Initiative sur l’organisation du marché et les marchés régionaux de l’électricité, et coordination des capacités en vue d’assurer la sécurité de l’approvisionnement, la stimulation des échanges transfrontaliers et la facilitation de l’intégration des énergies renouvelables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176"/>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121"/>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rPr>
              <w:t xml:space="preserve">Communication consultative adoptée le 15 juillet 2015 [COM(2015) 340] </w:t>
            </w:r>
          </w:p>
          <w:p>
            <w:pPr>
              <w:pStyle w:val="Text1"/>
              <w:ind w:left="33"/>
              <w:jc w:val="left"/>
              <w:rPr>
                <w:i/>
                <w:noProof/>
                <w:szCs w:val="24"/>
              </w:rPr>
            </w:pPr>
            <w:r>
              <w:rPr>
                <w:i/>
                <w:noProof/>
              </w:rPr>
              <w:t>Propositions législatives adoptées le 30 novembre 2016 [COM(2016) 861 (règlement «Électricité») et COM(2016) 864 (directive «Électricité»)]</w:t>
            </w:r>
          </w:p>
          <w:p>
            <w:pPr>
              <w:pStyle w:val="Text1"/>
              <w:ind w:left="33"/>
              <w:jc w:val="left"/>
              <w:rPr>
                <w:i/>
                <w:noProof/>
                <w:szCs w:val="24"/>
              </w:rPr>
            </w:pPr>
            <w:r>
              <w:rPr>
                <w:i/>
                <w:noProof/>
              </w:rPr>
              <w:lastRenderedPageBreak/>
              <w:t>Rapport final de l'enquête sectorielle sur les mécanismes de capacité adopté le 30 novembre 2016 [(COM(2016) 752]</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120"/>
              <w:jc w:val="left"/>
              <w:rPr>
                <w:noProof/>
                <w:szCs w:val="24"/>
              </w:rPr>
            </w:pPr>
            <w:r>
              <w:rPr>
                <w:noProof/>
              </w:rPr>
              <w:lastRenderedPageBreak/>
              <w:t>Réexamen de la directive concernant des mesures visant à garantir la sécurité de l’approvisionnement en électricité</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176"/>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121"/>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i/>
                <w:noProof/>
              </w:rPr>
              <w:t>Propositions législatives adoptées le 30 novembre 2016 [COM(2016) 862]</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rPr>
              <w:t>Marché de détail</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 xml:space="preserve">Nouvelle donne pour les consommateurs d’énergie: donner aux consommateurs de véritables choix; déployer des dispositifs de participation active de la demande; utiliser des technologies intelligentes; établir des liens entre marchés de gros et marchés de détail; éliminer progressivement les tarifs réglementés; adopter des mesures d’accompagnement pour </w:t>
            </w:r>
            <w:r>
              <w:rPr>
                <w:noProof/>
              </w:rPr>
              <w:lastRenderedPageBreak/>
              <w:t>protéger les consommateurs vulnérables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lastRenderedPageBreak/>
              <w:t>Commission</w:t>
            </w:r>
          </w:p>
          <w:p>
            <w:pPr>
              <w:pStyle w:val="Text1"/>
              <w:spacing w:after="120"/>
              <w:ind w:left="55"/>
              <w:jc w:val="left"/>
              <w:rPr>
                <w:noProof/>
                <w:szCs w:val="24"/>
              </w:rPr>
            </w:pPr>
            <w:r>
              <w:rPr>
                <w:noProof/>
              </w:rPr>
              <w:t>États membres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2015-2016</w:t>
            </w:r>
          </w:p>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rPr>
              <w:t xml:space="preserve">Communication adoptée le 15 juillet 2015 [COM(2015) 339] </w:t>
            </w:r>
          </w:p>
          <w:p>
            <w:pPr>
              <w:pStyle w:val="Text1"/>
              <w:ind w:left="33"/>
              <w:jc w:val="left"/>
              <w:rPr>
                <w:i/>
                <w:noProof/>
                <w:szCs w:val="24"/>
              </w:rPr>
            </w:pPr>
            <w:r>
              <w:rPr>
                <w:i/>
                <w:noProof/>
              </w:rPr>
              <w:t xml:space="preserve">Des propositions législatives sur les questions de consommation figurent dans les propositions relatives à la nouvelle organisation du marché de l’électricité (voir </w:t>
            </w:r>
            <w:r>
              <w:rPr>
                <w:i/>
                <w:noProof/>
              </w:rPr>
              <w:lastRenderedPageBreak/>
              <w:t>ci-dessus).</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rPr>
              <w:lastRenderedPageBreak/>
              <w:t>Gaz</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Révision du règlement sur la sécurité de l’approvisionnement en gaz</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rPr>
              <w:t>Propositions législatives adoptées le 16 février 2016 [COM(2016) 52]</w:t>
            </w:r>
          </w:p>
          <w:p>
            <w:pPr>
              <w:pStyle w:val="Text1"/>
              <w:ind w:left="33"/>
              <w:jc w:val="left"/>
              <w:rPr>
                <w:noProof/>
                <w:szCs w:val="24"/>
              </w:rPr>
            </w:pPr>
            <w:r>
              <w:rPr>
                <w:noProof/>
              </w:rPr>
              <w:t>Négociations interinstitutionnelles en cours; orientations politiques données par le Conseil «Énergie» début décembre 2016; position convenue au sein de la commission ITRE du Parlement; conclusion des négociations en trilogue prévue au premier semestre 2017</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 xml:space="preserve">Stratégie relative au gaz naturel </w:t>
            </w:r>
            <w:r>
              <w:rPr>
                <w:noProof/>
              </w:rPr>
              <w:lastRenderedPageBreak/>
              <w:t>liquéfié et à son stockage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lastRenderedPageBreak/>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i/>
                <w:noProof/>
              </w:rPr>
              <w:t xml:space="preserve">Communication adoptée le 16 février 2016 </w:t>
            </w:r>
            <w:r>
              <w:rPr>
                <w:i/>
                <w:noProof/>
              </w:rPr>
              <w:lastRenderedPageBreak/>
              <w:t>[COM(2016) 49]</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b/>
                <w:noProof/>
                <w:szCs w:val="24"/>
              </w:rPr>
            </w:pPr>
            <w:r>
              <w:rPr>
                <w:b/>
                <w:noProof/>
              </w:rPr>
              <w:lastRenderedPageBreak/>
              <w:t>Cadre réglementaire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Réexamen du fonctionnement de l’Agence de coopération des régulateurs de l’énergie (ACER) et du cadre réglementaire en matière d’énergie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b/>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rPr>
              <w:t xml:space="preserve">Couvert par la communication consultative adoptée le 15 juillet 2015 [COM(2015) 340] </w:t>
            </w:r>
          </w:p>
          <w:p>
            <w:pPr>
              <w:pStyle w:val="Text1"/>
              <w:ind w:left="33"/>
              <w:jc w:val="left"/>
              <w:rPr>
                <w:i/>
                <w:noProof/>
                <w:szCs w:val="24"/>
              </w:rPr>
            </w:pPr>
            <w:r>
              <w:rPr>
                <w:i/>
                <w:noProof/>
              </w:rPr>
              <w:t>Propositions législatives adoptées le 30 novembre 2016 [COM(2016) 863]</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rPr>
              <w:t>Énergies renouvelables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 xml:space="preserve">Paquet concernant les sources d’énergie renouvelables, comprenant une nouvelle directive sur les énergies renouvelables pour 2030; bonnes pratiques en matière d’autoconsommation d’énergie renouvelable et de régimes de soutien aux énergies </w:t>
            </w:r>
            <w:r>
              <w:rPr>
                <w:noProof/>
              </w:rPr>
              <w:lastRenderedPageBreak/>
              <w:t>renouvelables; politique d’exploitation durable de la bioénergie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lastRenderedPageBreak/>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2015-2017</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rPr>
              <w:t>Lignes directrices concernant les bonnes pratiques en matière d’autoconsommation d’énergie renouvelable adoptées le 15 juillet 2015 [SWD(2015) 141]</w:t>
            </w:r>
          </w:p>
          <w:p>
            <w:pPr>
              <w:pStyle w:val="Text1"/>
              <w:ind w:left="33"/>
              <w:jc w:val="left"/>
              <w:rPr>
                <w:noProof/>
                <w:szCs w:val="24"/>
              </w:rPr>
            </w:pPr>
            <w:r>
              <w:rPr>
                <w:i/>
                <w:noProof/>
              </w:rPr>
              <w:lastRenderedPageBreak/>
              <w:t>Propositions législatives adoptées le 30 novembre 2016 [COM(2016) 767]</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lastRenderedPageBreak/>
              <w:t>Communication sur la valorisation des déchets en énergie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12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i/>
                <w:noProof/>
              </w:rPr>
              <w:t xml:space="preserve">Communication adoptée le 26 janvier 2017 [COM(2017) 34] </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rPr>
              <w:t>Action pour le climat</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Proposition législative concernant la révision du système d’échange de quotas d’émission de l’UE, 2021-2030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rPr>
              <w:t>Proposition adoptée le 15 juillet 2015 [COM(2015) 337]</w:t>
            </w:r>
          </w:p>
          <w:p>
            <w:pPr>
              <w:pStyle w:val="Text1"/>
              <w:ind w:left="33"/>
              <w:jc w:val="left"/>
              <w:rPr>
                <w:noProof/>
                <w:szCs w:val="24"/>
              </w:rPr>
            </w:pPr>
            <w:r>
              <w:rPr>
                <w:noProof/>
              </w:rPr>
              <w:t>Négociations interinstitutionnelles en cours; prochaine étape au Conseil: adoption d’une position; prochaine étape au Parlement: vote en plénière attendu en février 2017</w:t>
            </w:r>
          </w:p>
          <w:p>
            <w:pPr>
              <w:pStyle w:val="Text1"/>
              <w:ind w:left="33"/>
              <w:jc w:val="left"/>
              <w:rPr>
                <w:noProof/>
                <w:szCs w:val="24"/>
              </w:rPr>
            </w:pPr>
            <w:r>
              <w:rPr>
                <w:noProof/>
              </w:rPr>
              <w:t xml:space="preserve">Proposition législative relative à la portée du </w:t>
            </w:r>
            <w:r>
              <w:rPr>
                <w:noProof/>
              </w:rPr>
              <w:lastRenderedPageBreak/>
              <w:t>système d’échange de quotas d’émission de l’UE applicable à l'aviation, adoption prévue en 2017</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lastRenderedPageBreak/>
              <w:t xml:space="preserve">Propositions législatives concernant la décision relative à la répartition de l’effort et l’inclusion, dans le cadre d’action en matière de climat et d’énergie à l’horizon 2030, de l’utilisation des terres, du changement d’affectation des terres et de la foresterie (secteur UTCATF) </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i/>
                <w:noProof/>
              </w:rPr>
              <w:t>Propositions législatives adoptées le 20 juillet 2016 [COM(2016) 482 (hors système d’échange); COM(2016) 479 (secteur UTCATF)]</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rPr>
              <w:t>Actions dans le secteur des transports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Tarification équitable et efficace pour des transports durables – révision de la directive «Eurovignette» et cadre destiné à promouvoir les systèmes de télépéage à l’échelle européenne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rPr>
              <w:t xml:space="preserve">Prévu en 2017; mise en œuvre de la stratégie pour une mobilité à faible taux d'émissions </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Réexamen des règles d’accès au marché pour le transport routier, afin d’améliorer l’efficacité énergétique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rPr>
              <w:t xml:space="preserve">Prévu en 2017; mise en œuvre de la stratégie pour une mobilité à faible taux d'émissions </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Plan directeur pour le déploiement de systèmes de transport intelligents coopératifs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p>
            <w:pPr>
              <w:pStyle w:val="Text1"/>
              <w:spacing w:after="120"/>
              <w:ind w:left="55"/>
              <w:jc w:val="left"/>
              <w:rPr>
                <w:noProof/>
                <w:szCs w:val="24"/>
              </w:rPr>
            </w:pPr>
            <w:r>
              <w:rPr>
                <w:noProof/>
              </w:rPr>
              <w:t>États membres</w:t>
            </w:r>
          </w:p>
          <w:p>
            <w:pPr>
              <w:pStyle w:val="Text1"/>
              <w:spacing w:after="120"/>
              <w:ind w:left="55"/>
              <w:jc w:val="left"/>
              <w:rPr>
                <w:noProof/>
                <w:szCs w:val="24"/>
              </w:rPr>
            </w:pPr>
            <w:r>
              <w:rPr>
                <w:noProof/>
              </w:rPr>
              <w:t>Secteur</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i/>
                <w:noProof/>
              </w:rPr>
              <w:t>Communication adoptée le 30 novembre 2016 [COM(2016) 766]</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Réexamen des règlements établissant des normes de performance en matière d’émissions, afin d’établir des objectifs post-2020 pour les voitures et camionnettes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2016-2017</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rPr>
              <w:t xml:space="preserve">Prévu en 2017; mise en œuvre de la stratégie pour une mobilité à faible taux d'émissions </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Mise en place d’un système de surveillance et de déclaration pour les poids lourds (camions, autocars et autobus), en vue de mieux informer les acheteurs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2016-2017</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rPr>
              <w:t xml:space="preserve">Prévu en 2017; mise en œuvre de la stratégie pour une mobilité à faible taux d'émissions </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tabs>
                <w:tab w:val="left" w:pos="960"/>
              </w:tabs>
              <w:spacing w:after="200"/>
              <w:ind w:left="55"/>
              <w:jc w:val="left"/>
              <w:rPr>
                <w:noProof/>
                <w:szCs w:val="24"/>
              </w:rPr>
            </w:pPr>
            <w:r>
              <w:rPr>
                <w:noProof/>
              </w:rPr>
              <w:t>Réexamen de la directive relative à la promotion de véhicules de transport routier propres et économes en énergie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2017</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rPr>
              <w:t xml:space="preserve">Prévu en 2017; mise en œuvre de la stratégie pour une mobilité à faible taux d'émissions </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Communication relative à la décarbonation du secteur des transports, comprenant un plan d’action sur les biocarburants de deuxième et troisième générations et d’autres carburants durables de substitution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2017</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rPr>
              <w:t>Communication «Une stratégie européenne pour une mobilité à faible taux d'émissions» adoptée le 20 juillet 2016 [COM(2016) 501]</w:t>
            </w:r>
          </w:p>
          <w:p>
            <w:pPr>
              <w:pStyle w:val="Text1"/>
              <w:ind w:left="33"/>
              <w:jc w:val="left"/>
              <w:rPr>
                <w:noProof/>
                <w:szCs w:val="24"/>
              </w:rPr>
            </w:pPr>
            <w:r>
              <w:rPr>
                <w:i/>
                <w:noProof/>
              </w:rPr>
              <w:t xml:space="preserve">Volet relatif aux carburants partiellement couvert par la proposition législative adoptée le 30 novembre 2016 [COM(2016) 767 – directive sur les énergies renouvelables] </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rPr>
              <w:t>Efficacité énergétique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Réexamen de la directive relative à l’efficacité énergétique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rPr>
              <w:t>Propositions législatives adoptées le 30 novembre 2016 [COM(2016) 761]</w:t>
            </w:r>
          </w:p>
          <w:p>
            <w:pPr>
              <w:pStyle w:val="Text1"/>
              <w:ind w:left="33"/>
              <w:jc w:val="left"/>
              <w:rPr>
                <w:noProof/>
                <w:szCs w:val="24"/>
              </w:rPr>
            </w:pPr>
            <w:r>
              <w:rPr>
                <w:i/>
                <w:noProof/>
              </w:rPr>
              <w:t>Document de travail des services de la Commission sur les bonnes pratiques en matière d’efficacité énergétique [SWD(2016) 404]</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Réexamen de la directive sur la performance énergétique des bâtiments, incluant l’initiative «Un financement intelligent pour des bâtiments intelligents»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rPr>
              <w:t>Propositions législatives adoptées le 30 novembre 2016 [COM(2016) 765]</w:t>
            </w:r>
          </w:p>
          <w:p>
            <w:pPr>
              <w:pStyle w:val="Text1"/>
              <w:ind w:left="33"/>
              <w:jc w:val="left"/>
              <w:rPr>
                <w:noProof/>
                <w:szCs w:val="24"/>
              </w:rPr>
            </w:pPr>
            <w:r>
              <w:rPr>
                <w:i/>
                <w:noProof/>
              </w:rPr>
              <w:t>La mesure «Un financement intelligent pour des bâtiments intelligents» fait partie de l’initiative relative aux bâtiments [annexe 1 de la communication COM(2016) 860].</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Réexamen du cadre relatif à l’efficacité énergétique applicable aux produits (directive sur l’étiquetage énergétique et directive sur l’écoconception)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rPr>
              <w:t>Proposition de règlement sur l’étiquetage énergétique adoptée le 15 juillet 2015 [COM(2015) 341]</w:t>
            </w:r>
          </w:p>
          <w:p>
            <w:pPr>
              <w:pStyle w:val="Text1"/>
              <w:ind w:left="33"/>
              <w:jc w:val="left"/>
              <w:rPr>
                <w:noProof/>
                <w:szCs w:val="24"/>
              </w:rPr>
            </w:pPr>
            <w:r>
              <w:rPr>
                <w:noProof/>
              </w:rPr>
              <w:t>Un accord a été trouvé en trilogue sur toutes les questions de fond; les questions de procédure en cours devraient être résolues au premier semestre de 2017.</w:t>
            </w:r>
          </w:p>
          <w:p>
            <w:pPr>
              <w:pStyle w:val="Text1"/>
              <w:ind w:left="33"/>
              <w:jc w:val="left"/>
              <w:rPr>
                <w:i/>
                <w:noProof/>
                <w:szCs w:val="24"/>
              </w:rPr>
            </w:pPr>
            <w:r>
              <w:rPr>
                <w:i/>
                <w:noProof/>
              </w:rPr>
              <w:t xml:space="preserve">Plan de travail sur l’écoconception adopté le 30 novembre 2016 [COM(2016) 773]; huit mesures adoptées simultanément </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Renforcement de l’utilisation ciblée d’instruments financiers pour soutenir l’investissement dans l’efficacité énergétique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rPr>
              <w:t>Communication «L'Europe investit de nouveau: premier bilan du plan d'investissement pour l'Europe et prochaines étapes» adoptée le 1</w:t>
            </w:r>
            <w:r>
              <w:rPr>
                <w:i/>
                <w:noProof/>
                <w:vertAlign w:val="superscript"/>
              </w:rPr>
              <w:t>er</w:t>
            </w:r>
            <w:r>
              <w:rPr>
                <w:i/>
                <w:noProof/>
              </w:rPr>
              <w:t xml:space="preserve"> juin 2016 [COM(2016) 359]</w:t>
            </w:r>
          </w:p>
          <w:p>
            <w:pPr>
              <w:pStyle w:val="Text1"/>
              <w:ind w:left="33"/>
              <w:jc w:val="left"/>
              <w:rPr>
                <w:i/>
                <w:noProof/>
                <w:szCs w:val="24"/>
              </w:rPr>
            </w:pPr>
            <w:r>
              <w:rPr>
                <w:i/>
                <w:noProof/>
              </w:rPr>
              <w:t>Communication «Renforcer les investissements européens pour l’emploi et la croissance: vers une deuxième phase du Fonds européen pour les investissements stratégiques et un nouveau plan d'investissement extérieur européen» adoptée le 14 septembre 2016 [COM(2016) 581]</w:t>
            </w:r>
          </w:p>
          <w:p>
            <w:pPr>
              <w:pStyle w:val="Text1"/>
              <w:ind w:left="33"/>
              <w:jc w:val="left"/>
              <w:rPr>
                <w:i/>
                <w:noProof/>
                <w:szCs w:val="24"/>
              </w:rPr>
            </w:pPr>
            <w:r>
              <w:rPr>
                <w:i/>
                <w:noProof/>
              </w:rPr>
              <w:t>Proposition de règlement visant à prolonger la durée d'existence du Fonds européen pour les investissements stratégiques [COM(2016) 597]</w:t>
            </w:r>
          </w:p>
          <w:p>
            <w:pPr>
              <w:pStyle w:val="Text1"/>
              <w:ind w:left="33"/>
              <w:jc w:val="left"/>
              <w:rPr>
                <w:i/>
                <w:noProof/>
                <w:szCs w:val="24"/>
              </w:rPr>
            </w:pPr>
            <w:r>
              <w:rPr>
                <w:i/>
                <w:noProof/>
              </w:rPr>
              <w:t>Proposition législative sur la révision du règlement financier et d'un certain nombre de règles sectorielles dans une optique de simplification et de souplesse, y compris en vue d'une utilisation plus efficace des instruments financiers [COM(2016) 605]</w:t>
            </w:r>
          </w:p>
          <w:p>
            <w:pPr>
              <w:pStyle w:val="Text1"/>
              <w:ind w:left="33"/>
              <w:jc w:val="left"/>
              <w:rPr>
                <w:noProof/>
                <w:szCs w:val="24"/>
              </w:rPr>
            </w:pPr>
            <w:r>
              <w:rPr>
                <w:i/>
                <w:noProof/>
              </w:rPr>
              <w:t>Voir également les mesures de facilitation, notamment celles de l'initiative relative aux bâtiments, comprises dans le paquet «Une énergie propre pour tous les Européens» du 30 novembre 2016 [COM(2016) 860, annexe 1]</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rPr>
              <w:t>Chauffage et refroidissement</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Stratégie de l’UE pour le chauffage et le refroidissement – contribution des installations de chauffage et de refroidissement à la réalisation des objectifs énergétiques et climatiques de l’UE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 xml:space="preserve">2015 </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rPr>
              <w:t>Communication adoptée le 16 février 2016 [COM(2016) 51]</w:t>
            </w:r>
          </w:p>
          <w:p>
            <w:pPr>
              <w:pStyle w:val="Text1"/>
              <w:ind w:left="33"/>
              <w:jc w:val="left"/>
              <w:rPr>
                <w:noProof/>
                <w:szCs w:val="24"/>
              </w:rPr>
            </w:pPr>
            <w:r>
              <w:rPr>
                <w:i/>
                <w:noProof/>
              </w:rPr>
              <w:t>Couvert par les propositions législatives faisant partie du paquet «Une énergie propre pour tous les Européens» du 30 novembre 2016</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rPr>
              <w:t>Politique extérieure en matière d’énergie et de climat</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Diplomatie de l’UE en matière d’énergie et de climat</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 xml:space="preserve">Commission </w:t>
            </w:r>
          </w:p>
          <w:p>
            <w:pPr>
              <w:pStyle w:val="Text1"/>
              <w:spacing w:after="120"/>
              <w:ind w:left="55"/>
              <w:jc w:val="left"/>
              <w:rPr>
                <w:noProof/>
                <w:szCs w:val="24"/>
              </w:rPr>
            </w:pPr>
            <w:r>
              <w:rPr>
                <w:noProof/>
              </w:rPr>
              <w:t>HR/VP</w:t>
            </w:r>
          </w:p>
          <w:p>
            <w:pPr>
              <w:pStyle w:val="Text1"/>
              <w:spacing w:after="120"/>
              <w:ind w:left="55"/>
              <w:jc w:val="left"/>
              <w:rPr>
                <w:noProof/>
                <w:szCs w:val="24"/>
              </w:rPr>
            </w:pPr>
            <w:r>
              <w:rPr>
                <w:noProof/>
              </w:rPr>
              <w:t>États membres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i/>
                <w:noProof/>
                <w:szCs w:val="24"/>
              </w:rPr>
            </w:pPr>
            <w:r>
              <w:rPr>
                <w:i/>
                <w:noProof/>
              </w:rPr>
              <w:t>Conclusions du Conseil sur la diplomatie en matière de climat adoptées par le Conseil des affaires étrangères le 20 juillet 2015 (11029/15)</w:t>
            </w:r>
          </w:p>
          <w:p>
            <w:pPr>
              <w:pStyle w:val="Text1"/>
              <w:spacing w:after="200"/>
              <w:ind w:left="33"/>
              <w:jc w:val="left"/>
              <w:rPr>
                <w:i/>
                <w:noProof/>
                <w:szCs w:val="24"/>
              </w:rPr>
            </w:pPr>
            <w:r>
              <w:rPr>
                <w:i/>
                <w:noProof/>
              </w:rPr>
              <w:t>Conclusions du Conseil sur la diplomatie énergétique adoptées par le Conseil des affaires étrangères le 20 juillet 2015 (10995/15)</w:t>
            </w:r>
          </w:p>
          <w:p>
            <w:pPr>
              <w:pStyle w:val="Text1"/>
              <w:spacing w:after="200"/>
              <w:ind w:left="33"/>
              <w:jc w:val="left"/>
              <w:rPr>
                <w:i/>
                <w:noProof/>
                <w:szCs w:val="24"/>
              </w:rPr>
            </w:pPr>
            <w:r>
              <w:rPr>
                <w:i/>
                <w:noProof/>
              </w:rPr>
              <w:t>Conclusions du Conseil sur la diplomatie climatique européenne après la COP21, adoptées par le Conseil des affaires étrangères le 15 février 2016 (6061/16)</w:t>
            </w:r>
          </w:p>
          <w:p>
            <w:pPr>
              <w:pStyle w:val="Text1"/>
              <w:spacing w:after="200"/>
              <w:ind w:left="33"/>
              <w:jc w:val="left"/>
              <w:rPr>
                <w:i/>
                <w:noProof/>
                <w:szCs w:val="24"/>
              </w:rPr>
            </w:pPr>
            <w:r>
              <w:rPr>
                <w:i/>
                <w:noProof/>
              </w:rPr>
              <w:t>Conclusions du Conseil sur l'énergie et le développement adoptées par le Conseil des affaires étrangères (développement) le 28 novembre 2016 (14839/16)</w:t>
            </w:r>
          </w:p>
          <w:p>
            <w:pPr>
              <w:pStyle w:val="Text1"/>
              <w:spacing w:after="200"/>
              <w:ind w:left="33"/>
              <w:jc w:val="left"/>
              <w:rPr>
                <w:noProof/>
                <w:szCs w:val="24"/>
              </w:rPr>
            </w:pPr>
            <w:r>
              <w:rPr>
                <w:noProof/>
              </w:rPr>
              <w:t>Conclusions du Conseil sur le renforcement des synergies entre la diplomatie énergétique et la diplomatie climatique de l’UE (prévues pour le Conseil des affaires étrangères du 6 mars 2017)</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Réexamen de la décision établissant un mécanisme d’échange d’informations en ce qui concerne les accords intergouvernementaux conclus entre des États membres et des pays tiers dans le domaine de l’énergie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p>
            <w:pPr>
              <w:pStyle w:val="Text1"/>
              <w:spacing w:after="120"/>
              <w:ind w:left="55"/>
              <w:jc w:val="left"/>
              <w:rPr>
                <w:noProof/>
                <w:szCs w:val="24"/>
              </w:rPr>
            </w:pPr>
            <w:r>
              <w:rPr>
                <w:noProof/>
              </w:rPr>
              <w:t>HR/VP</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199"/>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175"/>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i/>
                <w:noProof/>
                <w:szCs w:val="24"/>
              </w:rPr>
            </w:pPr>
            <w:r>
              <w:rPr>
                <w:i/>
                <w:noProof/>
              </w:rPr>
              <w:t>Communication adoptée le 16 février 2016 [COM(2016) 53]</w:t>
            </w:r>
          </w:p>
          <w:p>
            <w:pPr>
              <w:pStyle w:val="Text1"/>
              <w:spacing w:after="200"/>
              <w:ind w:left="33"/>
              <w:jc w:val="left"/>
              <w:rPr>
                <w:noProof/>
                <w:szCs w:val="24"/>
              </w:rPr>
            </w:pPr>
            <w:r>
              <w:rPr>
                <w:i/>
                <w:noProof/>
              </w:rPr>
              <w:t>Compromis politique trouvé en trilogue en décembre 2016</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Lancement de dialogues sur l’énergie avec des pays jouant un rôle important pour la politique énergétique de l’UE, et renforcement des dialogues existants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p>
            <w:pPr>
              <w:pStyle w:val="Text1"/>
              <w:spacing w:after="120"/>
              <w:ind w:left="55"/>
              <w:jc w:val="left"/>
              <w:rPr>
                <w:noProof/>
                <w:szCs w:val="24"/>
              </w:rPr>
            </w:pPr>
            <w:r>
              <w:rPr>
                <w:noProof/>
              </w:rPr>
              <w:t>HR/VP</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noProof/>
                <w:szCs w:val="24"/>
              </w:rPr>
            </w:pPr>
            <w:r>
              <w:rPr>
                <w:noProof/>
              </w:rPr>
              <w:t>En cours</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Protocole d’accord relatif à un partenariat stratégique renforcé avec l’Ukraine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p>
            <w:pPr>
              <w:pStyle w:val="Text1"/>
              <w:spacing w:after="120"/>
              <w:ind w:left="55"/>
              <w:jc w:val="left"/>
              <w:rPr>
                <w:noProof/>
                <w:szCs w:val="24"/>
              </w:rPr>
            </w:pPr>
            <w:r>
              <w:rPr>
                <w:noProof/>
              </w:rPr>
              <w:t>HR/VP</w:t>
            </w:r>
          </w:p>
          <w:p>
            <w:pPr>
              <w:pStyle w:val="Text1"/>
              <w:spacing w:after="120"/>
              <w:ind w:left="55"/>
              <w:jc w:val="left"/>
              <w:rPr>
                <w:noProof/>
                <w:szCs w:val="24"/>
              </w:rPr>
            </w:pPr>
            <w:r>
              <w:rPr>
                <w:noProof/>
              </w:rPr>
              <w:t>Parlement européen</w:t>
            </w:r>
          </w:p>
          <w:p>
            <w:pPr>
              <w:pStyle w:val="Text1"/>
              <w:spacing w:after="120"/>
              <w:ind w:left="55"/>
              <w:jc w:val="left"/>
              <w:rPr>
                <w:noProof/>
                <w:szCs w:val="24"/>
              </w:rPr>
            </w:pPr>
            <w:r>
              <w:rPr>
                <w:noProof/>
              </w:rPr>
              <w:t>Conseil</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i/>
                <w:noProof/>
                <w:szCs w:val="24"/>
              </w:rPr>
            </w:pPr>
            <w:r>
              <w:rPr>
                <w:i/>
                <w:noProof/>
              </w:rPr>
              <w:t>Signé lors du sommet UE-Ukraine du 24 novembre 2016</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Protocole d’accord trilatéral UE-Azerbaïdjan-Turkménistan portant sur le projet de gazoduc transcaspien</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p>
            <w:pPr>
              <w:pStyle w:val="Text1"/>
              <w:spacing w:after="120"/>
              <w:ind w:left="55"/>
              <w:jc w:val="left"/>
              <w:rPr>
                <w:noProof/>
                <w:szCs w:val="24"/>
              </w:rPr>
            </w:pPr>
            <w:r>
              <w:rPr>
                <w:noProof/>
              </w:rPr>
              <w:t>HR/VP</w:t>
            </w:r>
          </w:p>
          <w:p>
            <w:pPr>
              <w:pStyle w:val="Text1"/>
              <w:spacing w:after="120"/>
              <w:ind w:left="55"/>
              <w:jc w:val="left"/>
              <w:rPr>
                <w:noProof/>
                <w:szCs w:val="24"/>
              </w:rPr>
            </w:pPr>
            <w:r>
              <w:rPr>
                <w:noProof/>
              </w:rPr>
              <w:t>Parlement européen</w:t>
            </w:r>
          </w:p>
          <w:p>
            <w:pPr>
              <w:pStyle w:val="Text1"/>
              <w:spacing w:after="120"/>
              <w:ind w:left="55"/>
              <w:jc w:val="left"/>
              <w:rPr>
                <w:noProof/>
                <w:szCs w:val="24"/>
              </w:rPr>
            </w:pPr>
            <w:r>
              <w:rPr>
                <w:noProof/>
              </w:rPr>
              <w:t>Conseil</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i/>
                <w:noProof/>
                <w:szCs w:val="24"/>
              </w:rPr>
            </w:pPr>
            <w:r>
              <w:rPr>
                <w:i/>
                <w:noProof/>
              </w:rPr>
              <w:t>Déclaration d’Achgabat signée par le Turkménistan, la Turquie, l’Azerbaïdjan et la Géorgie le 1</w:t>
            </w:r>
            <w:r>
              <w:rPr>
                <w:i/>
                <w:noProof/>
                <w:vertAlign w:val="superscript"/>
              </w:rPr>
              <w:t>er</w:t>
            </w:r>
            <w:r>
              <w:rPr>
                <w:i/>
                <w:noProof/>
              </w:rPr>
              <w:t xml:space="preserve"> mai 2015; aucune négociation ultérieure n’est en cours concernant un protocole d’accord trilatéral</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Initiative visant à renforcer la Communauté de l’énergie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p>
            <w:pPr>
              <w:pStyle w:val="Text1"/>
              <w:spacing w:after="120"/>
              <w:ind w:left="55"/>
              <w:jc w:val="left"/>
              <w:rPr>
                <w:noProof/>
                <w:szCs w:val="24"/>
              </w:rPr>
            </w:pPr>
            <w:r>
              <w:rPr>
                <w:noProof/>
              </w:rPr>
              <w:t>Parties contractantes à la Communauté de l’énergie</w:t>
            </w:r>
          </w:p>
          <w:p>
            <w:pPr>
              <w:pStyle w:val="Text1"/>
              <w:spacing w:after="120"/>
              <w:ind w:left="55"/>
              <w:jc w:val="left"/>
              <w:rPr>
                <w:noProof/>
                <w:szCs w:val="24"/>
              </w:rPr>
            </w:pPr>
            <w:r>
              <w:rPr>
                <w:noProof/>
              </w:rPr>
              <w:t>HR/VP</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i/>
                <w:noProof/>
                <w:szCs w:val="24"/>
              </w:rPr>
            </w:pPr>
            <w:r>
              <w:rPr>
                <w:i/>
                <w:noProof/>
              </w:rPr>
              <w:t>Décisions essentielles prises lors du Conseil ministériel de la Communauté de l’énergie en octobre 2015 et en septembre 2016</w:t>
            </w:r>
          </w:p>
          <w:p>
            <w:pPr>
              <w:pStyle w:val="Text1"/>
              <w:spacing w:after="200"/>
              <w:ind w:left="33"/>
              <w:jc w:val="left"/>
              <w:rPr>
                <w:noProof/>
                <w:szCs w:val="24"/>
              </w:rPr>
            </w:pPr>
            <w:r>
              <w:rPr>
                <w:noProof/>
              </w:rPr>
              <w:t>Suivi de l’acte conjoint relatif à la sécurité de l’approvisionnement</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Renforcement de la coopération Euromed sur le gaz, l’électricité, l’efficacité énergétique et les sources d’énergie renouvelables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p>
            <w:pPr>
              <w:pStyle w:val="Text1"/>
              <w:spacing w:after="120"/>
              <w:ind w:left="55"/>
              <w:jc w:val="left"/>
              <w:rPr>
                <w:noProof/>
                <w:szCs w:val="24"/>
              </w:rPr>
            </w:pPr>
            <w:r>
              <w:rPr>
                <w:noProof/>
              </w:rPr>
              <w:t>HR/VP</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i/>
                <w:noProof/>
                <w:szCs w:val="24"/>
              </w:rPr>
            </w:pPr>
            <w:r>
              <w:rPr>
                <w:i/>
                <w:noProof/>
              </w:rPr>
              <w:t>Plateforme sur le gaz lancée en juin 2015</w:t>
            </w:r>
          </w:p>
          <w:p>
            <w:pPr>
              <w:pStyle w:val="Text1"/>
              <w:spacing w:after="200"/>
              <w:ind w:left="33"/>
              <w:jc w:val="left"/>
              <w:rPr>
                <w:i/>
                <w:noProof/>
                <w:szCs w:val="24"/>
              </w:rPr>
            </w:pPr>
            <w:r>
              <w:rPr>
                <w:i/>
                <w:noProof/>
              </w:rPr>
              <w:t>Plateforme sur le marché régional de l’électricité lancée en octobre 2015</w:t>
            </w:r>
          </w:p>
          <w:p>
            <w:pPr>
              <w:pStyle w:val="Text1"/>
              <w:spacing w:after="200"/>
              <w:ind w:left="33"/>
              <w:jc w:val="left"/>
              <w:rPr>
                <w:i/>
                <w:noProof/>
                <w:szCs w:val="24"/>
              </w:rPr>
            </w:pPr>
            <w:r>
              <w:rPr>
                <w:i/>
                <w:noProof/>
              </w:rPr>
              <w:t>Plateforme sur les énergies renouvelables et l’efficacité énergétique lancée en 2016</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120"/>
              <w:jc w:val="left"/>
              <w:rPr>
                <w:noProof/>
                <w:szCs w:val="24"/>
              </w:rPr>
            </w:pPr>
            <w:r>
              <w:rPr>
                <w:noProof/>
              </w:rPr>
              <w:t>Adoption et signature d’une nouvelle Charte internationale de l’énergie au nom de l’UE et d’Euratom</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p>
            <w:pPr>
              <w:pStyle w:val="Text1"/>
              <w:spacing w:after="120"/>
              <w:ind w:left="55"/>
              <w:jc w:val="left"/>
              <w:rPr>
                <w:noProof/>
                <w:szCs w:val="24"/>
              </w:rPr>
            </w:pPr>
            <w:r>
              <w:rPr>
                <w:noProof/>
              </w:rPr>
              <w:t>HR/VP</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i/>
                <w:noProof/>
                <w:szCs w:val="24"/>
              </w:rPr>
            </w:pPr>
            <w:r>
              <w:rPr>
                <w:i/>
                <w:noProof/>
              </w:rPr>
              <w:t>Cosignature de la Charte internationale de l’énergie par la Commission européenne lors de la conférence des 20 et 21 mai 2015 à La Haye</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rPr>
              <w:t>Compétitivité industrielle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 xml:space="preserve">Nouvelle approche européenne de R&amp;I sur l’énergie visant à accélérer la transformation du système énergétique et comprenant: </w:t>
            </w:r>
          </w:p>
          <w:p>
            <w:pPr>
              <w:pStyle w:val="Text1"/>
              <w:spacing w:after="200"/>
              <w:ind w:left="55"/>
              <w:jc w:val="left"/>
              <w:rPr>
                <w:noProof/>
                <w:szCs w:val="24"/>
              </w:rPr>
            </w:pPr>
            <w:r>
              <w:rPr>
                <w:noProof/>
              </w:rPr>
              <w:t>- un plan stratégique pour les technologies énergétiques (plan SET) intégré</w:t>
            </w:r>
          </w:p>
          <w:p>
            <w:pPr>
              <w:pStyle w:val="Text1"/>
              <w:spacing w:after="200"/>
              <w:ind w:left="55"/>
              <w:jc w:val="left"/>
              <w:rPr>
                <w:noProof/>
                <w:szCs w:val="24"/>
              </w:rPr>
            </w:pPr>
            <w:r>
              <w:rPr>
                <w:noProof/>
              </w:rPr>
              <w:t>- un programme stratégique de R&amp;I sur les transports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2015-2017</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rPr>
              <w:t>Communication sur le plan stratégique européen pour les technologies énergétiques (SET) adoptée le 15 septembre 2015 [C(2015) 6317]</w:t>
            </w:r>
          </w:p>
          <w:p>
            <w:pPr>
              <w:pStyle w:val="Text1"/>
              <w:ind w:left="33"/>
              <w:jc w:val="left"/>
              <w:rPr>
                <w:i/>
                <w:noProof/>
                <w:szCs w:val="24"/>
              </w:rPr>
            </w:pPr>
            <w:r>
              <w:rPr>
                <w:i/>
                <w:noProof/>
              </w:rPr>
              <w:t>Plateforme de spécialisation intelligente sur l’énergie lancée en 2015</w:t>
            </w:r>
          </w:p>
          <w:p>
            <w:pPr>
              <w:pStyle w:val="Text1"/>
              <w:ind w:left="33"/>
              <w:jc w:val="left"/>
              <w:rPr>
                <w:i/>
                <w:noProof/>
                <w:szCs w:val="24"/>
              </w:rPr>
            </w:pPr>
            <w:r>
              <w:rPr>
                <w:i/>
                <w:noProof/>
              </w:rPr>
              <w:t>Communication «Accélérer l'innovation dans le domaine des énergies propres» adoptée le 30 novembre 2016 [COM(2016) 763]</w:t>
            </w:r>
          </w:p>
          <w:p>
            <w:pPr>
              <w:pStyle w:val="Text1"/>
              <w:ind w:left="33"/>
              <w:jc w:val="left"/>
              <w:rPr>
                <w:noProof/>
                <w:szCs w:val="24"/>
              </w:rPr>
            </w:pPr>
            <w:r>
              <w:rPr>
                <w:noProof/>
              </w:rPr>
              <w:t>Un programme stratégique de recherche et d’innovation en matière de transport est prévu pour 2017</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Analyse des prix et des coûts énergétiques (y compris les taxes et subventions)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2016, puis tous les 2 ans</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i/>
                <w:noProof/>
              </w:rPr>
              <w:t>Rapport adopté le 30 novembre 2016 [COM(2016) 769]</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Initiative visant à soutenir la primauté mondiale de l’UE en matière de technologie et d’innovation dans les domaines de l’énergie et du climat, pour stimuler la croissance et l’emploi</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rPr>
              <w:t>Liée à l’accélération de l'innovation dans le domaine des énergies propres (voir ci-dessus)</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Renforcement de la politique commerciale en vue de faciliter l’exportation des technologies de l’UE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2015-2019</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rPr>
              <w:t>En cours</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rPr>
              <w:t>Mesures transversales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252"/>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 xml:space="preserve">Réexamen des lignes directrices concernant les aides d’État en faveur de la protection de l’environnement et de l’énergie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r>
              <w:rPr>
                <w:noProof/>
              </w:rPr>
              <w:tab/>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252"/>
              <w:jc w:val="left"/>
              <w:rPr>
                <w:noProof/>
                <w:szCs w:val="24"/>
              </w:rPr>
            </w:pPr>
            <w:r>
              <w:rPr>
                <w:noProof/>
              </w:rPr>
              <w:t>2017-2019</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Rapport sur la stratégie européenne pour la sécurité énergétique, comprenant une plateforme et une feuille de route concernant Euromed et les stratégies relatives au GNL, au stockage de l’énergie et au corridor gazier sud-européen</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252"/>
              <w:jc w:val="left"/>
              <w:rPr>
                <w:noProof/>
                <w:szCs w:val="24"/>
              </w:rPr>
            </w:pPr>
            <w:r>
              <w:rPr>
                <w:noProof/>
              </w:rPr>
              <w:t>2015-2016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rPr>
              <w:t>Rapport (document de travail) adopté le 18 novembre 2015 [SWD(2015) 404]</w:t>
            </w:r>
          </w:p>
          <w:p>
            <w:pPr>
              <w:pStyle w:val="Text1"/>
              <w:ind w:left="33"/>
              <w:jc w:val="left"/>
              <w:rPr>
                <w:noProof/>
                <w:szCs w:val="24"/>
              </w:rPr>
            </w:pPr>
            <w:r>
              <w:rPr>
                <w:i/>
                <w:noProof/>
              </w:rPr>
              <w:t>Communication sur le GNL et le stockage du gaz adoptée le 16 février 2016 [COM(2016) 49]</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rPr>
              <w:t xml:space="preserve">Données, analyses et renseignements au service de l'Union de l'énergie: initiative consistant à mettre en commun et à rendre aisément accessibles toutes les connaissances pertinentes au niveau de la Commission et dans les États membres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252"/>
              <w:jc w:val="left"/>
              <w:rPr>
                <w:noProof/>
                <w:szCs w:val="24"/>
              </w:rPr>
            </w:pPr>
            <w:r>
              <w:rPr>
                <w:noProof/>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rPr>
              <w:t>En cours</w:t>
            </w:r>
          </w:p>
          <w:p>
            <w:pPr>
              <w:pStyle w:val="Text1"/>
              <w:ind w:left="33"/>
              <w:jc w:val="left"/>
              <w:rPr>
                <w:i/>
                <w:noProof/>
                <w:szCs w:val="24"/>
              </w:rPr>
            </w:pPr>
            <w:r>
              <w:rPr>
                <w:i/>
                <w:noProof/>
              </w:rPr>
              <w:t>Le règlement (UE) 2016/1952 sur les statistiques européennes concernant les prix du gaz et de l’électricité a été adopté</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120"/>
              <w:jc w:val="left"/>
              <w:rPr>
                <w:noProof/>
                <w:szCs w:val="24"/>
              </w:rPr>
            </w:pPr>
            <w:r>
              <w:rPr>
                <w:b/>
                <w:noProof/>
              </w:rPr>
              <w:t>Nucléaire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121"/>
              <w:jc w:val="center"/>
              <w:rPr>
                <w:b/>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121"/>
              <w:jc w:val="center"/>
              <w:rPr>
                <w:b/>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199"/>
              <w:jc w:val="center"/>
              <w:rPr>
                <w:b/>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225"/>
              <w:jc w:val="center"/>
              <w:rPr>
                <w:b/>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175"/>
              <w:jc w:val="center"/>
              <w:rPr>
                <w:b/>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120"/>
              <w:jc w:val="left"/>
              <w:rPr>
                <w:noProof/>
                <w:szCs w:val="24"/>
              </w:rPr>
            </w:pPr>
            <w:r>
              <w:rPr>
                <w:noProof/>
              </w:rPr>
              <w:t>Règlement du Conseil adaptant les exigences en matière d’information figurant à l’article 41 du traité Euratom au regard de la stratégie européenne pour la sécurité énergétique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121"/>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rPr>
              <w:t>Prévu pour 2017</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120"/>
              <w:jc w:val="left"/>
              <w:rPr>
                <w:noProof/>
                <w:szCs w:val="24"/>
              </w:rPr>
            </w:pPr>
            <w:r>
              <w:rPr>
                <w:noProof/>
              </w:rPr>
              <w:t>Communication relative à un programme indicatif nucléaire en application de l’article 40 du traité Euratom</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12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rPr>
              <w:t>Communication adoptée le 4 avril 2016 pour consultation du Comité économique et social européen (CESE) [COM(2016) 177]</w:t>
            </w:r>
          </w:p>
          <w:p>
            <w:pPr>
              <w:pStyle w:val="Text1"/>
              <w:ind w:left="33"/>
              <w:jc w:val="left"/>
              <w:rPr>
                <w:noProof/>
                <w:szCs w:val="24"/>
              </w:rPr>
            </w:pPr>
            <w:r>
              <w:rPr>
                <w:noProof/>
              </w:rPr>
              <w:t>La version finale, tenant compte de l’avis du CESE, devrait être adoptée en 2017</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6838" w:h="11906" w:orient="landscape"/>
      <w:pgMar w:top="1587" w:right="1020" w:bottom="1560" w:left="1020"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Pr>
        <w:rFonts w:ascii="Times New Roman" w:hAnsi="Times New Roman" w:cs="Times New Roman"/>
        <w:noProof/>
        <w:sz w:val="20"/>
        <w:szCs w:val="20"/>
      </w:rPr>
      <w:t>24</w:t>
    </w:r>
    <w:r>
      <w:rPr>
        <w:rFonts w:ascii="Times New Roman" w:hAnsi="Times New Roman" w:cs="Times New Roman"/>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Times New Roman" w:hAnsi="Times New Roman" w:cs="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56AA30A37F084845B72A61BD0EFB8BB3"/>
    <w:docVar w:name="LW_CROSSREFERENCE" w:val="&lt;UNUSED&gt;"/>
    <w:docVar w:name="LW_DocType" w:val="NORMAL"/>
    <w:docVar w:name="LW_EMISSION" w:val="1.2.2017"/>
    <w:docVar w:name="LW_EMISSION_ISODATE" w:val="2017-02-01"/>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Deuxième rapport sur l'état de l'union de l'énergie"/>
    <w:docVar w:name="LW_PART_NBR" w:val="1"/>
    <w:docVar w:name="LW_PART_NBR_TOTAL" w:val="1"/>
    <w:docVar w:name="LW_REF.INST.NEW" w:val="COM"/>
    <w:docVar w:name="LW_REF.INST.NEW_ADOPTED" w:val="final"/>
    <w:docVar w:name="LW_REF.INST.NEW_TEXT" w:val="(2017) 53"/>
    <w:docVar w:name="LW_REF.INTERNE" w:val="&lt;UNUSED&gt;"/>
    <w:docVar w:name="LW_SUPERTITRE" w:val="&lt;UNUSED&gt;"/>
    <w:docVar w:name="LW_TITRE.OBJ.CP" w:val="Mise à jour de la feuille de route pour l'union de l'énergie"/>
    <w:docVar w:name="LW_TYPE.DOC.CP" w:val="ANNEXE_x000b_"/>
    <w:docVar w:name="LW_TYPEACTEPRINCIPAL.CP" w:val="Communication de la Commission au Parlement européen, au Conseil, au Comité économique et social européen, au Comité des régions et à la Banque européenne d'investisse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9979">
      <w:bodyDiv w:val="1"/>
      <w:marLeft w:val="0"/>
      <w:marRight w:val="0"/>
      <w:marTop w:val="0"/>
      <w:marBottom w:val="0"/>
      <w:divBdr>
        <w:top w:val="none" w:sz="0" w:space="0" w:color="auto"/>
        <w:left w:val="none" w:sz="0" w:space="0" w:color="auto"/>
        <w:bottom w:val="none" w:sz="0" w:space="0" w:color="auto"/>
        <w:right w:val="none" w:sz="0" w:space="0" w:color="auto"/>
      </w:divBdr>
    </w:div>
    <w:div w:id="256326094">
      <w:bodyDiv w:val="1"/>
      <w:marLeft w:val="0"/>
      <w:marRight w:val="0"/>
      <w:marTop w:val="0"/>
      <w:marBottom w:val="0"/>
      <w:divBdr>
        <w:top w:val="none" w:sz="0" w:space="0" w:color="auto"/>
        <w:left w:val="none" w:sz="0" w:space="0" w:color="auto"/>
        <w:bottom w:val="none" w:sz="0" w:space="0" w:color="auto"/>
        <w:right w:val="none" w:sz="0" w:space="0" w:color="auto"/>
      </w:divBdr>
    </w:div>
    <w:div w:id="367612219">
      <w:bodyDiv w:val="1"/>
      <w:marLeft w:val="0"/>
      <w:marRight w:val="0"/>
      <w:marTop w:val="0"/>
      <w:marBottom w:val="0"/>
      <w:divBdr>
        <w:top w:val="none" w:sz="0" w:space="0" w:color="auto"/>
        <w:left w:val="none" w:sz="0" w:space="0" w:color="auto"/>
        <w:bottom w:val="none" w:sz="0" w:space="0" w:color="auto"/>
        <w:right w:val="none" w:sz="0" w:space="0" w:color="auto"/>
      </w:divBdr>
    </w:div>
    <w:div w:id="1016271014">
      <w:bodyDiv w:val="1"/>
      <w:marLeft w:val="0"/>
      <w:marRight w:val="0"/>
      <w:marTop w:val="0"/>
      <w:marBottom w:val="0"/>
      <w:divBdr>
        <w:top w:val="none" w:sz="0" w:space="0" w:color="auto"/>
        <w:left w:val="none" w:sz="0" w:space="0" w:color="auto"/>
        <w:bottom w:val="none" w:sz="0" w:space="0" w:color="auto"/>
        <w:right w:val="none" w:sz="0" w:space="0" w:color="auto"/>
      </w:divBdr>
    </w:div>
    <w:div w:id="206402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C13F8-E6E2-4CAC-80CE-D2DEDC29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2566</Words>
  <Characters>14938</Characters>
  <Application>Microsoft Office Word</Application>
  <DocSecurity>0</DocSecurity>
  <Lines>1149</Lines>
  <Paragraphs>437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2017-01-27T13:55:00Z</dcterms:created>
  <dcterms:modified xsi:type="dcterms:W3CDTF">2017-02-01T08:37:00Z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